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50984">
      <w:pPr>
        <w:widowControl/>
        <w:spacing w:line="560" w:lineRule="atLeast"/>
        <w:ind w:left="0" w:leftChars="0" w:firstLine="0" w:firstLineChars="0"/>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1</w:t>
      </w:r>
      <w:bookmarkStart w:id="343" w:name="_GoBack"/>
      <w:bookmarkEnd w:id="343"/>
    </w:p>
    <w:p w14:paraId="0D1D05CE">
      <w:pPr>
        <w:widowControl/>
        <w:spacing w:line="560" w:lineRule="atLeast"/>
        <w:ind w:firstLine="0" w:firstLineChars="0"/>
        <w:rPr>
          <w:rFonts w:ascii="方正小标宋简体" w:hAnsi="方正小标宋简体" w:eastAsia="方正小标宋简体"/>
          <w:b/>
          <w:bCs/>
          <w:sz w:val="52"/>
          <w:szCs w:val="52"/>
        </w:rPr>
      </w:pPr>
    </w:p>
    <w:p w14:paraId="1AF6E423">
      <w:pPr>
        <w:pStyle w:val="2"/>
        <w:ind w:firstLine="640"/>
      </w:pPr>
    </w:p>
    <w:p w14:paraId="6491FC31">
      <w:pPr>
        <w:pStyle w:val="2"/>
        <w:ind w:firstLine="640"/>
      </w:pPr>
    </w:p>
    <w:p w14:paraId="7756BB40">
      <w:pPr>
        <w:widowControl/>
        <w:spacing w:line="240" w:lineRule="auto"/>
        <w:ind w:firstLine="0" w:firstLineChars="0"/>
        <w:jc w:val="center"/>
        <w:rPr>
          <w:rFonts w:ascii="方正小标宋简体" w:hAnsi="方正小标宋简体" w:eastAsia="方正小标宋简体" w:cs="方正小标宋简体"/>
          <w:sz w:val="52"/>
          <w:szCs w:val="52"/>
        </w:rPr>
      </w:pPr>
      <w:bookmarkStart w:id="0" w:name="_Toc489002419"/>
      <w:bookmarkStart w:id="1" w:name="_Toc307819884"/>
      <w:r>
        <w:rPr>
          <w:rFonts w:hint="eastAsia" w:ascii="方正小标宋简体" w:hAnsi="方正小标宋简体" w:eastAsia="方正小标宋简体" w:cs="方正小标宋简体"/>
          <w:sz w:val="52"/>
          <w:szCs w:val="52"/>
        </w:rPr>
        <w:t>昌平区“十五五”时期金融业</w:t>
      </w:r>
      <w:bookmarkEnd w:id="0"/>
      <w:bookmarkEnd w:id="1"/>
      <w:bookmarkStart w:id="2" w:name="_Toc708212041"/>
      <w:bookmarkStart w:id="3" w:name="_Toc588786533"/>
    </w:p>
    <w:p w14:paraId="396A0309">
      <w:pPr>
        <w:widowControl/>
        <w:spacing w:line="240" w:lineRule="auto"/>
        <w:ind w:firstLine="0" w:firstLineChars="0"/>
        <w:jc w:val="center"/>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发展规划</w:t>
      </w:r>
      <w:bookmarkEnd w:id="2"/>
      <w:bookmarkEnd w:id="3"/>
    </w:p>
    <w:p w14:paraId="6946A20F">
      <w:pPr>
        <w:widowControl/>
        <w:spacing w:line="24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（征求意见稿）</w:t>
      </w:r>
    </w:p>
    <w:p w14:paraId="0E815D57">
      <w:pPr>
        <w:widowControl/>
        <w:spacing w:line="240" w:lineRule="auto"/>
        <w:ind w:firstLine="880"/>
        <w:jc w:val="center"/>
        <w:rPr>
          <w:rFonts w:ascii="方正小标宋简体" w:hAnsi="方正小标宋简体" w:eastAsia="方正小标宋简体" w:cs="方正小标宋简体"/>
          <w:sz w:val="44"/>
          <w:szCs w:val="44"/>
        </w:rPr>
      </w:pPr>
    </w:p>
    <w:p w14:paraId="3527F683">
      <w:pPr>
        <w:widowControl/>
        <w:tabs>
          <w:tab w:val="left" w:pos="7488"/>
        </w:tabs>
        <w:spacing w:line="240" w:lineRule="auto"/>
        <w:ind w:firstLine="880"/>
        <w:jc w:val="left"/>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ab/>
      </w:r>
    </w:p>
    <w:p w14:paraId="6F47D458">
      <w:pPr>
        <w:pStyle w:val="2"/>
        <w:ind w:firstLine="640"/>
      </w:pPr>
    </w:p>
    <w:p w14:paraId="4A2DB7BC">
      <w:pPr>
        <w:ind w:firstLine="640"/>
      </w:pPr>
    </w:p>
    <w:p w14:paraId="2118A517">
      <w:pPr>
        <w:pStyle w:val="2"/>
        <w:ind w:firstLine="640"/>
        <w:jc w:val="center"/>
      </w:pPr>
    </w:p>
    <w:p w14:paraId="73A7317E">
      <w:pPr>
        <w:ind w:firstLine="0" w:firstLineChars="0"/>
        <w:jc w:val="center"/>
        <w:rPr>
          <w:rFonts w:ascii="仿宋_GB2312" w:hAnsi="仿宋_GB2312" w:eastAsia="黑体" w:cs="Times New Roman"/>
          <w:color w:val="auto"/>
          <w:kern w:val="0"/>
        </w:rPr>
      </w:pPr>
      <w:bookmarkStart w:id="4" w:name="_Toc18260"/>
      <w:bookmarkStart w:id="5" w:name="_Toc25676"/>
      <w:bookmarkStart w:id="6" w:name="_Toc5235"/>
      <w:bookmarkStart w:id="7" w:name="_Toc1755"/>
      <w:bookmarkStart w:id="8" w:name="_Toc1559422746"/>
      <w:bookmarkStart w:id="9" w:name="_Toc10183"/>
      <w:r>
        <w:rPr>
          <w:rFonts w:ascii="仿宋_GB2312" w:hAnsi="仿宋_GB2312" w:eastAsia="黑体" w:cs="Times New Roman"/>
          <w:color w:val="auto"/>
          <w:kern w:val="0"/>
        </w:rPr>
        <w:t>北京市昌平区发展和改革委员会</w:t>
      </w:r>
      <w:bookmarkEnd w:id="4"/>
      <w:bookmarkEnd w:id="5"/>
      <w:bookmarkEnd w:id="6"/>
      <w:bookmarkEnd w:id="7"/>
      <w:bookmarkEnd w:id="8"/>
      <w:bookmarkEnd w:id="9"/>
    </w:p>
    <w:p w14:paraId="7C0DF0C0">
      <w:pPr>
        <w:ind w:firstLine="0" w:firstLineChars="0"/>
        <w:jc w:val="center"/>
      </w:pPr>
      <w:r>
        <w:rPr>
          <w:rFonts w:ascii="仿宋_GB2312" w:hAnsi="仿宋_GB2312" w:eastAsia="黑体" w:cs="Times New Roman"/>
          <w:color w:val="auto"/>
          <w:kern w:val="0"/>
        </w:rPr>
        <w:t>202</w:t>
      </w:r>
      <w:r>
        <w:rPr>
          <w:rFonts w:hint="eastAsia" w:ascii="仿宋_GB2312" w:hAnsi="仿宋_GB2312" w:eastAsia="黑体" w:cs="Times New Roman"/>
          <w:color w:val="auto"/>
          <w:kern w:val="0"/>
        </w:rPr>
        <w:t>6</w:t>
      </w:r>
      <w:r>
        <w:rPr>
          <w:rFonts w:ascii="仿宋_GB2312" w:hAnsi="仿宋_GB2312" w:eastAsia="黑体" w:cs="Times New Roman"/>
          <w:color w:val="auto"/>
          <w:kern w:val="0"/>
        </w:rPr>
        <w:t>年</w:t>
      </w:r>
      <w:r>
        <w:rPr>
          <w:rFonts w:hint="eastAsia" w:ascii="仿宋_GB2312" w:hAnsi="仿宋_GB2312" w:eastAsia="黑体" w:cs="Times New Roman"/>
          <w:color w:val="auto"/>
          <w:kern w:val="0"/>
          <w:lang w:val="en-US" w:eastAsia="zh-CN"/>
        </w:rPr>
        <w:t>9</w:t>
      </w:r>
      <w:r>
        <w:rPr>
          <w:rFonts w:hint="eastAsia" w:ascii="仿宋_GB2312" w:hAnsi="仿宋_GB2312" w:eastAsia="黑体" w:cs="Times New Roman"/>
          <w:color w:val="auto"/>
          <w:kern w:val="0"/>
        </w:rPr>
        <w:t>月</w:t>
      </w:r>
    </w:p>
    <w:p w14:paraId="02970AA2">
      <w:pPr>
        <w:ind w:firstLine="0" w:firstLineChars="0"/>
      </w:pPr>
    </w:p>
    <w:p w14:paraId="3C785527">
      <w:pPr>
        <w:ind w:firstLine="640"/>
        <w:jc w:val="center"/>
      </w:pPr>
    </w:p>
    <w:p w14:paraId="527D5B76">
      <w:pPr>
        <w:ind w:firstLine="640"/>
      </w:pPr>
    </w:p>
    <w:p w14:paraId="3836402A">
      <w:pPr>
        <w:ind w:firstLine="640"/>
      </w:pPr>
    </w:p>
    <w:p w14:paraId="18ED1F5C">
      <w:pPr>
        <w:ind w:firstLine="640"/>
      </w:pPr>
    </w:p>
    <w:p w14:paraId="62D4A0C3">
      <w:pPr>
        <w:tabs>
          <w:tab w:val="left" w:pos="5036"/>
        </w:tabs>
        <w:ind w:firstLine="640"/>
        <w:jc w:val="left"/>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sdt>
      <w:sdtPr>
        <w:rPr>
          <w:rFonts w:ascii="宋体" w:hAnsi="宋体" w:eastAsia="宋体" w:cstheme="minorBidi"/>
          <w:color w:val="000000" w:themeColor="text1"/>
          <w:kern w:val="2"/>
          <w:sz w:val="21"/>
          <w:szCs w:val="32"/>
          <w:lang w:val="en-US" w:eastAsia="zh-CN" w:bidi="ar-SA"/>
          <w14:textFill>
            <w14:solidFill>
              <w14:schemeClr w14:val="tx1"/>
            </w14:solidFill>
          </w14:textFill>
        </w:rPr>
        <w:id w:val="261501445"/>
        <w:docPartObj>
          <w:docPartGallery w:val="Table of Contents"/>
          <w:docPartUnique/>
        </w:docPartObj>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p w14:paraId="0EE8EC69">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rPr>
          </w:pPr>
          <w:bookmarkStart w:id="10" w:name="_Toc1263567574_WPSOffice_Type3"/>
          <w:r>
            <w:rPr>
              <w:rFonts w:hint="eastAsia" w:ascii="方正小标宋简体" w:hAnsi="方正小标宋简体" w:eastAsia="方正小标宋简体" w:cs="方正小标宋简体"/>
            </w:rPr>
            <w:t>目录</w:t>
          </w:r>
        </w:p>
        <w:p w14:paraId="2364CB66">
          <w:pPr>
            <w:pStyle w:val="45"/>
            <w:keepNext w:val="0"/>
            <w:keepLines w:val="0"/>
            <w:pageBreakBefore w:val="0"/>
            <w:tabs>
              <w:tab w:val="right" w:leader="dot" w:pos="8844"/>
            </w:tab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_Toc1177571920_WPSOffice_Level1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d w:val="713673014"/>
              <w:placeholder>
                <w:docPart w:val="{5e5636f6-a319-47c4-bb63-a295864bf4fe}"/>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t>第一章 发展回顾</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end"/>
          </w:r>
        </w:p>
        <w:p w14:paraId="54207265">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_Toc1263567574_WPSOffice_Level2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d w:val="122508148"/>
              <w:placeholder>
                <w:docPart w:val="{6b4877db-fc5d-4dd5-8826-f73f4caa44e2}"/>
              </w:placeholder>
            </w:sdtPr>
            <w:sdtEndPr>
              <w:rPr>
                <w:rFonts w:hint="eastAsia" w:ascii="黑体" w:hAnsi="黑体" w:eastAsia="黑体" w:cs="黑体"/>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一、“十四五”时期发展成效</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end"/>
          </w:r>
        </w:p>
        <w:p w14:paraId="46235DD0">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_Toc565601115_WPSOffice_Level2 </w:instrText>
          </w:r>
          <w:r>
            <w:rPr>
              <w:rFonts w:hint="eastAsia" w:ascii="仿宋_GB2312" w:hAnsi="仿宋_GB2312" w:eastAsia="仿宋_GB2312" w:cs="仿宋_GB2312"/>
              <w:sz w:val="32"/>
              <w:szCs w:val="32"/>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524418604"/>
              <w:placeholder>
                <w:docPart w:val="{ff494508-a9ef-4d8a-9abc-0992ab0a75b6}"/>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二、存在问题</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087CD39C">
          <w:pPr>
            <w:pStyle w:val="45"/>
            <w:keepNext w:val="0"/>
            <w:keepLines w:val="0"/>
            <w:pageBreakBefore w:val="0"/>
            <w:tabs>
              <w:tab w:val="right" w:leader="dot" w:pos="8844"/>
            </w:tabs>
            <w:kinsoku/>
            <w:wordWrap/>
            <w:overflowPunct/>
            <w:topLinePunct w:val="0"/>
            <w:autoSpaceDE/>
            <w:autoSpaceDN/>
            <w:bidi w:val="0"/>
            <w:adjustRightInd/>
            <w:snapToGrid/>
            <w:spacing w:line="520" w:lineRule="exact"/>
            <w:textAlignment w:val="auto"/>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_Toc1263567574_WPSOffice_Level1 </w:instrText>
          </w:r>
          <w:r>
            <w:rPr>
              <w:rFonts w:hint="eastAsia" w:ascii="仿宋_GB2312" w:hAnsi="仿宋_GB2312" w:eastAsia="仿宋_GB2312" w:cs="仿宋_GB2312"/>
              <w:sz w:val="32"/>
              <w:szCs w:val="32"/>
            </w:rPr>
            <w:fldChar w:fldCharType="separate"/>
          </w:r>
          <w:sdt>
            <w:sdtP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id w:val="632188396"/>
              <w:placeholder>
                <w:docPart w:val="{7975c392-da15-4850-bfcd-c753ab21992d}"/>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t>第二章 发展形势</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14:paraId="1679B40D">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_Toc61814117_WPSOffice_Level2 </w:instrText>
          </w:r>
          <w:r>
            <w:rPr>
              <w:rFonts w:hint="eastAsia" w:ascii="仿宋_GB2312" w:hAnsi="仿宋_GB2312" w:eastAsia="仿宋_GB2312" w:cs="仿宋_GB2312"/>
              <w:sz w:val="32"/>
              <w:szCs w:val="32"/>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289779236"/>
              <w:placeholder>
                <w:docPart w:val="{4df5af79-fe0c-4484-805e-a316844b2868}"/>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一、发展环境</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14:paraId="69DAB628">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_Toc1789827644_WPSOffice_Level2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d w:val="858781780"/>
              <w:placeholder>
                <w:docPart w:val="{3962232a-0d88-4ae3-8214-d9429ce6fd23}"/>
              </w:placeholder>
            </w:sdtPr>
            <w:sdtEndPr>
              <w:rPr>
                <w:rFonts w:hint="eastAsia" w:ascii="黑体" w:hAnsi="黑体" w:eastAsia="黑体" w:cs="黑体"/>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二、机遇与挑战</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fldChar w:fldCharType="end"/>
          </w:r>
        </w:p>
        <w:p w14:paraId="56CF1DD5">
          <w:pPr>
            <w:pStyle w:val="45"/>
            <w:keepNext w:val="0"/>
            <w:keepLines w:val="0"/>
            <w:pageBreakBefore w:val="0"/>
            <w:tabs>
              <w:tab w:val="right" w:leader="dot" w:pos="8844"/>
            </w:tab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_Toc565601115_WPSOffice_Level1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d w:val="796352500"/>
              <w:placeholder>
                <w:docPart w:val="{8dc3e6ec-d430-4d0b-bb5f-2cb3708efae3}"/>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t>第三章 发展思路和目标</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fldChar w:fldCharType="end"/>
          </w:r>
        </w:p>
        <w:p w14:paraId="52592895">
          <w:pPr>
            <w:pStyle w:val="14"/>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fldChar w:fldCharType="begin"/>
          </w:r>
          <w:r>
            <w:rPr>
              <w:rFonts w:hint="eastAsia" w:ascii="楷体_GB2312" w:hAnsi="楷体_GB2312" w:eastAsia="楷体_GB2312" w:cs="楷体_GB2312"/>
              <w:lang w:val="en-US" w:eastAsia="zh-CN"/>
            </w:rPr>
            <w:instrText xml:space="preserve"> HYPERLINK \l _Toc1692889955_WPSOffice_Level2 </w:instrText>
          </w:r>
          <w:r>
            <w:rPr>
              <w:rFonts w:hint="eastAsia" w:ascii="楷体_GB2312" w:hAnsi="楷体_GB2312" w:eastAsia="楷体_GB2312" w:cs="楷体_GB2312"/>
              <w:lang w:val="en-US" w:eastAsia="zh-CN"/>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618681246"/>
              <w:placeholder>
                <w:docPart w:val="{d94f2f45-4609-478a-82f6-32ae9435effb}"/>
              </w:placeholder>
            </w:sdtPr>
            <w:sdtEndPr>
              <w:rPr>
                <w:rFonts w:hint="eastAsia" w:ascii="楷体_GB2312" w:hAnsi="楷体_GB2312" w:eastAsia="楷体_GB2312" w:cs="楷体_GB2312"/>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一、指导思想</w:t>
              </w:r>
            </w:sdtContent>
          </w:sdt>
          <w:r>
            <w:rPr>
              <w:rFonts w:hint="eastAsia" w:ascii="楷体_GB2312" w:hAnsi="楷体_GB2312" w:eastAsia="楷体_GB2312" w:cs="楷体_GB2312"/>
              <w:lang w:val="en-US" w:eastAsia="zh-CN"/>
            </w:rPr>
            <w:tab/>
          </w:r>
          <w:r>
            <w:rPr>
              <w:rFonts w:hint="eastAsia" w:ascii="楷体_GB2312" w:hAnsi="楷体_GB2312" w:eastAsia="楷体_GB2312" w:cs="楷体_GB2312"/>
              <w:lang w:val="en-US" w:eastAsia="zh-CN"/>
            </w:rPr>
            <w:t>8</w:t>
          </w:r>
          <w:r>
            <w:rPr>
              <w:rFonts w:hint="eastAsia" w:ascii="楷体_GB2312" w:hAnsi="楷体_GB2312" w:eastAsia="楷体_GB2312" w:cs="楷体_GB2312"/>
              <w:lang w:val="en-US" w:eastAsia="zh-CN"/>
            </w:rPr>
            <w:fldChar w:fldCharType="end"/>
          </w:r>
        </w:p>
        <w:p w14:paraId="42BAC2B0">
          <w:pPr>
            <w:pStyle w:val="14"/>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lang w:val="en-US" w:eastAsia="zh-CN"/>
            </w:rPr>
            <w:fldChar w:fldCharType="begin"/>
          </w:r>
          <w:r>
            <w:rPr>
              <w:rFonts w:hint="eastAsia" w:ascii="楷体_GB2312" w:hAnsi="楷体_GB2312" w:eastAsia="楷体_GB2312" w:cs="楷体_GB2312"/>
              <w:lang w:val="en-US" w:eastAsia="zh-CN"/>
            </w:rPr>
            <w:instrText xml:space="preserve"> HYPERLINK \l _Toc1622423109_WPSOffice_Level2 </w:instrText>
          </w:r>
          <w:r>
            <w:rPr>
              <w:rFonts w:hint="eastAsia" w:ascii="楷体_GB2312" w:hAnsi="楷体_GB2312" w:eastAsia="楷体_GB2312" w:cs="楷体_GB2312"/>
              <w:lang w:val="en-US" w:eastAsia="zh-CN"/>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11013773"/>
              <w:placeholder>
                <w:docPart w:val="{b19721ae-c77d-43dd-91f6-e68619f7339f}"/>
              </w:placeholder>
            </w:sdtPr>
            <w:sdtEndPr>
              <w:rPr>
                <w:rFonts w:hint="eastAsia" w:ascii="楷体_GB2312" w:hAnsi="楷体_GB2312" w:eastAsia="楷体_GB2312" w:cs="楷体_GB2312"/>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二、发展目标</w:t>
              </w:r>
            </w:sdtContent>
          </w:sdt>
          <w:r>
            <w:rPr>
              <w:rFonts w:hint="eastAsia" w:ascii="楷体_GB2312" w:hAnsi="楷体_GB2312" w:eastAsia="楷体_GB2312" w:cs="楷体_GB2312"/>
              <w:lang w:val="en-US" w:eastAsia="zh-CN"/>
            </w:rPr>
            <w:tab/>
          </w:r>
          <w:r>
            <w:rPr>
              <w:rFonts w:hint="eastAsia" w:ascii="楷体_GB2312" w:hAnsi="楷体_GB2312" w:eastAsia="楷体_GB2312" w:cs="楷体_GB2312"/>
              <w:lang w:val="en-US" w:eastAsia="zh-CN"/>
            </w:rPr>
            <w:t>8</w:t>
          </w:r>
          <w:r>
            <w:rPr>
              <w:rFonts w:hint="eastAsia" w:ascii="楷体_GB2312" w:hAnsi="楷体_GB2312" w:eastAsia="楷体_GB2312" w:cs="楷体_GB2312"/>
              <w:lang w:val="en-US" w:eastAsia="zh-CN"/>
            </w:rPr>
            <w:fldChar w:fldCharType="end"/>
          </w:r>
        </w:p>
        <w:p w14:paraId="77C7BAD8">
          <w:pPr>
            <w:pStyle w:val="45"/>
            <w:keepNext w:val="0"/>
            <w:keepLines w:val="0"/>
            <w:pageBreakBefore w:val="0"/>
            <w:tabs>
              <w:tab w:val="right" w:leader="dot" w:pos="8844"/>
            </w:tab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_Toc61814117_WPSOffice_Level1 </w:instrText>
          </w:r>
          <w:r>
            <w:rPr>
              <w:rFonts w:hint="eastAsia" w:ascii="仿宋_GB2312" w:hAnsi="仿宋_GB2312" w:eastAsia="仿宋_GB2312" w:cs="仿宋_GB2312"/>
              <w:sz w:val="32"/>
              <w:szCs w:val="32"/>
            </w:rPr>
            <w:fldChar w:fldCharType="separate"/>
          </w:r>
          <w:sdt>
            <w:sdtP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id w:val="640954239"/>
              <w:placeholder>
                <w:docPart w:val="{dbb63603-5819-49d2-a019-e0a7b31a9092}"/>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t>第四章 重点任务</w:t>
              </w:r>
            </w:sdtContent>
          </w:sdt>
          <w:r>
            <w:rPr>
              <w:rFonts w:hint="eastAsia" w:ascii="仿宋_GB2312" w:hAnsi="仿宋_GB2312" w:eastAsia="仿宋_GB2312" w:cs="仿宋_GB2312"/>
              <w:sz w:val="32"/>
              <w:szCs w:val="32"/>
            </w:rPr>
            <w:tab/>
          </w:r>
          <w:bookmarkStart w:id="11" w:name="_Toc61814117_WPSOffice_Level1Page"/>
          <w:r>
            <w:rPr>
              <w:rFonts w:hint="eastAsia" w:ascii="仿宋_GB2312" w:hAnsi="仿宋_GB2312" w:eastAsia="仿宋_GB2312" w:cs="仿宋_GB2312"/>
              <w:sz w:val="32"/>
              <w:szCs w:val="32"/>
            </w:rPr>
            <w:t>1</w:t>
          </w:r>
          <w:bookmarkEnd w:id="11"/>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p>
        <w:p w14:paraId="2470B411">
          <w:pPr>
            <w:pStyle w:val="45"/>
            <w:keepNext w:val="0"/>
            <w:keepLines w:val="0"/>
            <w:pageBreakBefore w:val="0"/>
            <w:tabs>
              <w:tab w:val="right" w:leader="dot" w:pos="8844"/>
            </w:tab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_Toc514344688_WPSOffice_Level2 </w:instrText>
          </w:r>
          <w:r>
            <w:rPr>
              <w:rFonts w:hint="eastAsia" w:ascii="仿宋_GB2312" w:hAnsi="仿宋_GB2312" w:eastAsia="仿宋_GB2312" w:cs="仿宋_GB2312"/>
              <w:sz w:val="32"/>
              <w:szCs w:val="32"/>
              <w:lang w:val="en-US" w:eastAsia="zh-CN"/>
            </w:rPr>
            <w:fldChar w:fldCharType="separate"/>
          </w:r>
          <w:sdt>
            <w:sdtPr>
              <w:rPr>
                <w:rFonts w:hint="eastAsia" w:ascii="仿宋_GB2312" w:hAnsi="仿宋_GB2312" w:eastAsia="仿宋_GB2312" w:cs="仿宋_GB2312"/>
                <w:sz w:val="32"/>
                <w:szCs w:val="32"/>
                <w:lang w:val="en-US" w:eastAsia="zh-CN"/>
              </w:rPr>
              <w:id w:val="247656891"/>
              <w:placeholder>
                <w:docPart w:val="{7e5f9f94-3abf-4f2f-9eab-21605a136a5f}"/>
              </w:placeholder>
            </w:sdtPr>
            <w:sdtEndPr>
              <w:rPr>
                <w:rFonts w:hint="eastAsia" w:ascii="仿宋_GB2312" w:hAnsi="仿宋_GB2312" w:eastAsia="仿宋_GB2312" w:cs="仿宋_GB2312"/>
                <w:sz w:val="32"/>
                <w:szCs w:val="32"/>
                <w:lang w:val="en-US" w:eastAsia="zh-CN"/>
              </w:rPr>
            </w:sdtEndPr>
            <w:sdtContent>
              <w:r>
                <w:rPr>
                  <w:rFonts w:hint="default" w:ascii="仿宋_GB2312" w:hAnsi="仿宋_GB2312" w:eastAsia="仿宋_GB2312" w:cs="仿宋_GB2312"/>
                  <w:sz w:val="32"/>
                  <w:szCs w:val="32"/>
                  <w:lang w:val="en" w:eastAsia="zh-CN"/>
                </w:rPr>
                <w:t xml:space="preserve"> </w:t>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color w:val="000000" w:themeColor="text1"/>
                  <w:kern w:val="2"/>
                  <w:sz w:val="32"/>
                  <w:szCs w:val="32"/>
                  <w:lang w:val="en-US" w:eastAsia="zh-CN" w:bidi="ar-SA"/>
                  <w14:textFill>
                    <w14:solidFill>
                      <w14:schemeClr w14:val="tx1"/>
                    </w14:solidFill>
                  </w14:textFill>
                </w:rPr>
                <w:t>一、构筑金融要素聚集新高地，打造高质量发展核心引擎</w:t>
              </w:r>
            </w:sdtContent>
          </w:sdt>
          <w:r>
            <w:rPr>
              <w:rFonts w:hint="eastAsia" w:ascii="仿宋_GB2312" w:hAnsi="仿宋_GB2312" w:eastAsia="仿宋_GB2312" w:cs="仿宋_GB2312"/>
              <w:sz w:val="32"/>
              <w:szCs w:val="32"/>
              <w:lang w:val="en-US" w:eastAsia="zh-CN"/>
            </w:rPr>
            <w:tab/>
          </w:r>
          <w:bookmarkStart w:id="12" w:name="_Toc514344688_WPSOffice_Level2Page"/>
          <w:r>
            <w:rPr>
              <w:rFonts w:hint="eastAsia" w:ascii="仿宋_GB2312" w:hAnsi="仿宋_GB2312" w:eastAsia="仿宋_GB2312" w:cs="仿宋_GB2312"/>
              <w:sz w:val="32"/>
              <w:szCs w:val="32"/>
              <w:lang w:val="en-US" w:eastAsia="zh-CN"/>
            </w:rPr>
            <w:t>1</w:t>
          </w:r>
          <w:bookmarkEnd w:id="12"/>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fldChar w:fldCharType="end"/>
          </w:r>
        </w:p>
        <w:p w14:paraId="56AE547E">
          <w:pPr>
            <w:pStyle w:val="14"/>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160" w:firstLineChars="50"/>
            <w:textAlignment w:val="auto"/>
            <w:rPr>
              <w:rFonts w:hint="default" w:ascii="仿宋_GB2312" w:hAnsi="仿宋_GB2312" w:eastAsia="仿宋_GB2312" w:cs="仿宋_GB2312"/>
              <w:sz w:val="32"/>
              <w:szCs w:val="32"/>
              <w:lang w:val="en-US"/>
            </w:rPr>
          </w:pPr>
          <w:r>
            <w:rPr>
              <w:rFonts w:hint="eastAsia" w:ascii="楷体_GB2312" w:hAnsi="楷体_GB2312" w:eastAsia="楷体_GB2312" w:cs="楷体_GB2312"/>
              <w:lang w:val="en-US" w:eastAsia="zh-CN"/>
            </w:rPr>
            <w:fldChar w:fldCharType="begin"/>
          </w:r>
          <w:r>
            <w:rPr>
              <w:rFonts w:hint="eastAsia" w:ascii="楷体_GB2312" w:hAnsi="楷体_GB2312" w:eastAsia="楷体_GB2312" w:cs="楷体_GB2312"/>
              <w:lang w:val="en-US" w:eastAsia="zh-CN"/>
            </w:rPr>
            <w:instrText xml:space="preserve"> HYPERLINK \l _Toc1978009101_WPSOffice_Level2 </w:instrText>
          </w:r>
          <w:r>
            <w:rPr>
              <w:rFonts w:hint="eastAsia" w:ascii="楷体_GB2312" w:hAnsi="楷体_GB2312" w:eastAsia="楷体_GB2312" w:cs="楷体_GB2312"/>
              <w:lang w:val="en-US" w:eastAsia="zh-CN"/>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616909373"/>
              <w:placeholder>
                <w:docPart w:val="{b2bdcb92-a767-4cd4-82fa-1631864909e0}"/>
              </w:placeholder>
            </w:sdtPr>
            <w:sdtEndPr>
              <w:rPr>
                <w:rFonts w:hint="eastAsia" w:ascii="黑体" w:hAnsi="黑体" w:eastAsia="黑体" w:cs="黑体"/>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 二、因地制宜发展新质生产力，赋能现代化产业体系建设</w:t>
              </w:r>
            </w:sdtContent>
          </w:sdt>
          <w:r>
            <w:rPr>
              <w:rFonts w:hint="eastAsia" w:ascii="黑体" w:hAnsi="黑体" w:eastAsia="黑体" w:cs="黑体"/>
              <w:color w:val="000000" w:themeColor="text1"/>
              <w:kern w:val="2"/>
              <w:sz w:val="32"/>
              <w:szCs w:val="32"/>
              <w:lang w:val="en-US" w:eastAsia="zh-CN" w:bidi="ar-SA"/>
              <w14:textFill>
                <w14:solidFill>
                  <w14:schemeClr w14:val="tx1"/>
                </w14:solidFill>
              </w14:textFill>
            </w:rPr>
            <w:tab/>
          </w:r>
          <w:r>
            <w:rPr>
              <w:rFonts w:hint="eastAsia" w:ascii="楷体_GB2312" w:hAnsi="楷体_GB2312" w:eastAsia="楷体_GB2312" w:cs="楷体_GB2312"/>
              <w:lang w:val="en-US" w:eastAsia="zh-CN"/>
            </w:rPr>
            <w:t>1</w:t>
          </w:r>
          <w:r>
            <w:rPr>
              <w:rFonts w:hint="eastAsia" w:ascii="楷体_GB2312" w:hAnsi="楷体_GB2312" w:eastAsia="楷体_GB2312" w:cs="楷体_GB2312"/>
              <w:lang w:val="en-US" w:eastAsia="zh-CN"/>
            </w:rPr>
            <w:fldChar w:fldCharType="end"/>
          </w:r>
          <w:r>
            <w:rPr>
              <w:rFonts w:hint="eastAsia" w:ascii="楷体_GB2312" w:hAnsi="楷体_GB2312" w:eastAsia="楷体_GB2312" w:cs="楷体_GB2312"/>
              <w:lang w:val="en-US" w:eastAsia="zh-CN"/>
            </w:rPr>
            <w:t>3</w:t>
          </w:r>
        </w:p>
        <w:p w14:paraId="6314DFE6">
          <w:pPr>
            <w:pStyle w:val="14"/>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楷体_GB2312" w:hAnsi="楷体_GB2312" w:eastAsia="楷体_GB2312" w:cs="楷体_GB2312"/>
            </w:rPr>
          </w:pPr>
          <w:r>
            <w:rPr>
              <w:rFonts w:hint="eastAsia" w:ascii="楷体_GB2312" w:hAnsi="楷体_GB2312" w:eastAsia="楷体_GB2312" w:cs="楷体_GB2312"/>
              <w:lang w:val="en-US" w:eastAsia="zh-CN"/>
            </w:rPr>
            <w:fldChar w:fldCharType="begin"/>
          </w:r>
          <w:r>
            <w:rPr>
              <w:rFonts w:hint="eastAsia" w:ascii="楷体_GB2312" w:hAnsi="楷体_GB2312" w:eastAsia="楷体_GB2312" w:cs="楷体_GB2312"/>
              <w:lang w:val="en-US" w:eastAsia="zh-CN"/>
            </w:rPr>
            <w:instrText xml:space="preserve"> HYPERLINK \l _Toc433096310_WPSOffice_Level2 </w:instrText>
          </w:r>
          <w:r>
            <w:rPr>
              <w:rFonts w:hint="eastAsia" w:ascii="楷体_GB2312" w:hAnsi="楷体_GB2312" w:eastAsia="楷体_GB2312" w:cs="楷体_GB2312"/>
              <w:lang w:val="en-US" w:eastAsia="zh-CN"/>
            </w:rPr>
            <w:fldChar w:fldCharType="separate"/>
          </w:r>
          <w:sdt>
            <w:sdtPr>
              <w:rPr>
                <w:rFonts w:hint="eastAsia" w:ascii="楷体_GB2312" w:hAnsi="楷体_GB2312" w:eastAsia="楷体_GB2312" w:cs="楷体_GB2312"/>
                <w:lang w:val="en-US" w:eastAsia="zh-CN"/>
              </w:rPr>
              <w:id w:val="963054943"/>
              <w:placeholder>
                <w:docPart w:val="{fdb2f7d8-1f19-4ca4-90e8-3829b644a7a5}"/>
              </w:placeholder>
            </w:sdtPr>
            <w:sdtEndPr>
              <w:rPr>
                <w:rFonts w:hint="eastAsia" w:ascii="楷体_GB2312" w:hAnsi="楷体_GB2312" w:eastAsia="楷体_GB2312" w:cs="楷体_GB2312"/>
                <w:lang w:val="en-US" w:eastAsia="zh-CN"/>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三、助推平原新城建设发展，深化金融开放合作格局</w:t>
              </w:r>
            </w:sdtContent>
          </w:sdt>
          <w:r>
            <w:rPr>
              <w:rFonts w:hint="eastAsia" w:ascii="楷体_GB2312" w:hAnsi="楷体_GB2312" w:eastAsia="楷体_GB2312" w:cs="楷体_GB2312"/>
              <w:lang w:val="en-US" w:eastAsia="zh-CN"/>
            </w:rPr>
            <w:tab/>
          </w:r>
          <w:bookmarkStart w:id="13" w:name="_Toc433096310_WPSOffice_Level2Page"/>
          <w:r>
            <w:rPr>
              <w:rFonts w:hint="eastAsia" w:ascii="楷体_GB2312" w:hAnsi="楷体_GB2312" w:eastAsia="楷体_GB2312" w:cs="楷体_GB2312"/>
              <w:lang w:val="en-US" w:eastAsia="zh-CN"/>
            </w:rPr>
            <w:t>1</w:t>
          </w:r>
          <w:bookmarkEnd w:id="13"/>
          <w:r>
            <w:rPr>
              <w:rFonts w:hint="eastAsia" w:ascii="楷体_GB2312" w:hAnsi="楷体_GB2312" w:eastAsia="楷体_GB2312" w:cs="楷体_GB2312"/>
              <w:lang w:val="en-US" w:eastAsia="zh-CN"/>
            </w:rPr>
            <w:t>4</w:t>
          </w:r>
          <w:r>
            <w:rPr>
              <w:rFonts w:hint="eastAsia" w:ascii="楷体_GB2312" w:hAnsi="楷体_GB2312" w:eastAsia="楷体_GB2312" w:cs="楷体_GB2312"/>
              <w:lang w:val="en-US" w:eastAsia="zh-CN"/>
            </w:rPr>
            <w:fldChar w:fldCharType="end"/>
          </w:r>
        </w:p>
        <w:p w14:paraId="043C7782">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_Toc1554774066_WPSOffice_Level2 </w:instrText>
          </w:r>
          <w:r>
            <w:rPr>
              <w:rFonts w:hint="eastAsia" w:ascii="仿宋_GB2312" w:hAnsi="仿宋_GB2312" w:eastAsia="仿宋_GB2312" w:cs="仿宋_GB2312"/>
              <w:sz w:val="32"/>
              <w:szCs w:val="32"/>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57477414"/>
              <w:placeholder>
                <w:docPart w:val="{fb70dad3-52f6-4d4c-8d1a-1cd2947866c6}"/>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四、优化企业上市培育服务，增强资本市场对接效能</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6</w:t>
          </w:r>
        </w:p>
        <w:p w14:paraId="766526D5">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_Toc1712470974_WPSOffice_Level2 </w:instrText>
          </w:r>
          <w:r>
            <w:rPr>
              <w:rFonts w:hint="eastAsia" w:ascii="仿宋_GB2312" w:hAnsi="仿宋_GB2312" w:eastAsia="仿宋_GB2312" w:cs="仿宋_GB2312"/>
              <w:sz w:val="32"/>
              <w:szCs w:val="32"/>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837065748"/>
              <w:placeholder>
                <w:docPart w:val="{2e5e8edd-5a89-4500-b1cd-a5fbd7c2df4f}"/>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五、加强金融监管和风险防控，筑牢金融安全底线</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7</w:t>
          </w:r>
        </w:p>
        <w:p w14:paraId="6A2EFED9">
          <w:pPr>
            <w:pStyle w:val="45"/>
            <w:keepNext w:val="0"/>
            <w:keepLines w:val="0"/>
            <w:pageBreakBefore w:val="0"/>
            <w:tabs>
              <w:tab w:val="right" w:leader="dot" w:pos="8844"/>
            </w:tab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_Toc1789827644_WPSOffice_Level1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d w:val="34701079"/>
              <w:placeholder>
                <w:docPart w:val="{b89910a7-8e89-4442-8981-4d1353a15ed1}"/>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t>第五章 保障措施</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9</w:t>
          </w:r>
        </w:p>
        <w:p w14:paraId="6FCE18DB">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_Toc2050243075_WPSOffice_Level2 </w:instrText>
          </w:r>
          <w:r>
            <w:rPr>
              <w:rFonts w:hint="eastAsia" w:ascii="仿宋_GB2312" w:hAnsi="仿宋_GB2312" w:eastAsia="仿宋_GB2312" w:cs="仿宋_GB2312"/>
              <w:sz w:val="32"/>
              <w:szCs w:val="32"/>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548863757"/>
              <w:placeholder>
                <w:docPart w:val="{28cb1c09-781e-4b66-bf42-6394def7766c}"/>
              </w:placeholder>
            </w:sdtPr>
            <w:sdtEndPr>
              <w:rPr>
                <w:rFonts w:hint="eastAsia" w:ascii="黑体" w:hAnsi="黑体" w:eastAsia="黑体" w:cs="黑体"/>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一、强化组织领导，深化统筹协同</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9</w:t>
          </w:r>
        </w:p>
        <w:p w14:paraId="5465A8E6">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_Toc1172335704_WPSOffice_Level2 </w:instrText>
          </w:r>
          <w:r>
            <w:rPr>
              <w:rFonts w:hint="eastAsia" w:ascii="仿宋_GB2312" w:hAnsi="仿宋_GB2312" w:eastAsia="仿宋_GB2312" w:cs="仿宋_GB2312"/>
              <w:sz w:val="32"/>
              <w:szCs w:val="32"/>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489278922"/>
              <w:placeholder>
                <w:docPart w:val="{27293041-29b5-4395-93a0-457564284338}"/>
              </w:placeholder>
            </w:sdtPr>
            <w:sdtEndPr>
              <w:rPr>
                <w:rFonts w:hint="eastAsia" w:ascii="黑体" w:hAnsi="黑体" w:eastAsia="黑体" w:cs="黑体"/>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二、加强运行监测，紧抓规划落实</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9</w:t>
          </w:r>
        </w:p>
        <w:p w14:paraId="33CC93D1">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_Toc1240495237_WPSOffice_Level2 </w:instrText>
          </w:r>
          <w:r>
            <w:rPr>
              <w:rFonts w:hint="eastAsia" w:ascii="仿宋_GB2312" w:hAnsi="仿宋_GB2312" w:eastAsia="仿宋_GB2312" w:cs="仿宋_GB2312"/>
              <w:sz w:val="32"/>
              <w:szCs w:val="32"/>
            </w:rPr>
            <w:fldChar w:fldCharType="separate"/>
          </w:r>
          <w:sdt>
            <w:sdtPr>
              <w:rPr>
                <w:rFonts w:hint="eastAsia" w:ascii="黑体" w:hAnsi="黑体" w:eastAsia="黑体" w:cs="黑体"/>
                <w:color w:val="000000" w:themeColor="text1"/>
                <w:kern w:val="2"/>
                <w:sz w:val="32"/>
                <w:szCs w:val="32"/>
                <w:lang w:val="en-US" w:eastAsia="zh-CN" w:bidi="ar-SA"/>
                <w14:textFill>
                  <w14:solidFill>
                    <w14:schemeClr w14:val="tx1"/>
                  </w14:solidFill>
                </w14:textFill>
              </w:rPr>
              <w:id w:val="876878867"/>
              <w:placeholder>
                <w:docPart w:val="{061f1ede-8ba4-4818-947a-0c0e530f8560}"/>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黑体" w:hAnsi="黑体" w:eastAsia="黑体" w:cs="黑体"/>
                  <w:color w:val="000000" w:themeColor="text1"/>
                  <w:kern w:val="2"/>
                  <w:sz w:val="32"/>
                  <w:szCs w:val="32"/>
                  <w:lang w:val="en-US" w:eastAsia="zh-CN" w:bidi="ar-SA"/>
                  <w14:textFill>
                    <w14:solidFill>
                      <w14:schemeClr w14:val="tx1"/>
                    </w14:solidFill>
                  </w14:textFill>
                </w:rPr>
                <w:t>三、加大宣传推广，强化品牌推介</w:t>
              </w:r>
            </w:sdtContent>
          </w:sdt>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9</w:t>
          </w:r>
        </w:p>
        <w:p w14:paraId="71504636">
          <w:pPr>
            <w:pStyle w:val="45"/>
            <w:keepNext w:val="0"/>
            <w:keepLines w:val="0"/>
            <w:pageBreakBefore w:val="0"/>
            <w:tabs>
              <w:tab w:val="right" w:leader="dot" w:pos="8844"/>
            </w:tab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_Toc1692889955_WPSOffice_Level1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d w:val="136880188"/>
              <w:placeholder>
                <w:docPart w:val="{7c8e674c-dda6-466e-bc75-366e8332d479}"/>
              </w:placeholder>
            </w:sdtPr>
            <w:sdtEnd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sdtEndPr>
            <w:sdtContent>
              <w:r>
                <w:rPr>
                  <w:rFonts w:hint="eastAsia" w:ascii="方正小标宋简体" w:hAnsi="方正小标宋简体" w:eastAsia="方正小标宋简体" w:cs="方正小标宋简体"/>
                  <w:color w:val="000000" w:themeColor="text1"/>
                  <w:kern w:val="2"/>
                  <w:sz w:val="32"/>
                  <w:szCs w:val="32"/>
                  <w:lang w:val="en-US" w:eastAsia="zh-CN" w:bidi="ar-SA"/>
                  <w14:textFill>
                    <w14:solidFill>
                      <w14:schemeClr w14:val="tx1"/>
                    </w14:solidFill>
                  </w14:textFill>
                </w:rPr>
                <w:t>名词解释</w:t>
              </w:r>
            </w:sdtContent>
          </w:sdt>
          <w:r>
            <w:rPr>
              <w:rFonts w:hint="eastAsia" w:ascii="仿宋_GB2312" w:hAnsi="仿宋_GB2312" w:eastAsia="仿宋_GB2312" w:cs="仿宋_GB2312"/>
              <w:sz w:val="32"/>
              <w:szCs w:val="32"/>
            </w:rPr>
            <w:tab/>
          </w:r>
          <w:bookmarkStart w:id="14" w:name="_Toc1692889955_WPSOffice_Level1Page"/>
          <w:r>
            <w:rPr>
              <w:rFonts w:hint="eastAsia" w:ascii="仿宋_GB2312" w:hAnsi="仿宋_GB2312" w:eastAsia="仿宋_GB2312" w:cs="仿宋_GB2312"/>
              <w:sz w:val="32"/>
              <w:szCs w:val="32"/>
            </w:rPr>
            <w:t>2</w:t>
          </w:r>
          <w:bookmarkEnd w:id="14"/>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fldChar w:fldCharType="end"/>
          </w:r>
          <w:bookmarkEnd w:id="10"/>
        </w:p>
      </w:sdtContent>
    </w:sdt>
    <w:p w14:paraId="2160E20D">
      <w:pPr>
        <w:pStyle w:val="2"/>
        <w:ind w:left="0" w:leftChars="0" w:firstLine="0" w:firstLineChars="0"/>
        <w:jc w:val="center"/>
        <w:rPr>
          <w:rFonts w:hint="eastAsia" w:ascii="仿宋_GB2312" w:hAnsi="仿宋_GB2312" w:eastAsia="仿宋_GB2312" w:cs="仿宋_GB2312"/>
          <w:sz w:val="32"/>
          <w:szCs w:val="32"/>
        </w:rPr>
      </w:pPr>
    </w:p>
    <w:p w14:paraId="10A9C08A">
      <w:pPr>
        <w:ind w:firstLine="640"/>
        <w:rPr>
          <w:rFonts w:hint="eastAsia" w:ascii="仿宋_GB2312" w:hAnsi="仿宋_GB2312" w:eastAsia="仿宋_GB2312" w:cs="仿宋_GB2312"/>
          <w:sz w:val="32"/>
          <w:szCs w:val="32"/>
        </w:rPr>
      </w:pPr>
      <w:bookmarkStart w:id="15" w:name="_Toc2053301783"/>
      <w:r>
        <w:rPr>
          <w:rFonts w:hint="eastAsia" w:ascii="仿宋_GB2312" w:hAnsi="仿宋_GB2312" w:eastAsia="仿宋_GB2312" w:cs="仿宋_GB2312"/>
          <w:sz w:val="32"/>
          <w:szCs w:val="32"/>
        </w:rPr>
        <w:br w:type="page"/>
      </w:r>
    </w:p>
    <w:p w14:paraId="2C111E16">
      <w:pPr>
        <w:pStyle w:val="3"/>
        <w:keepNext/>
        <w:keepLines/>
        <w:pageBreakBefore w:val="0"/>
        <w:widowControl w:val="0"/>
        <w:kinsoku/>
        <w:wordWrap/>
        <w:overflowPunct/>
        <w:topLinePunct w:val="0"/>
        <w:autoSpaceDE/>
        <w:autoSpaceDN/>
        <w:bidi w:val="0"/>
        <w:adjustRightInd/>
        <w:snapToGrid/>
        <w:spacing w:before="156" w:after="156"/>
        <w:textAlignment w:val="auto"/>
        <w:rPr>
          <w:color w:val="auto"/>
        </w:rPr>
      </w:pPr>
      <w:bookmarkStart w:id="16" w:name="_Toc62237880"/>
      <w:bookmarkStart w:id="17" w:name="_Toc1852390998"/>
      <w:bookmarkStart w:id="18" w:name="_Toc1177571920_WPSOffice_Level1"/>
      <w:r>
        <w:rPr>
          <w:rFonts w:hint="eastAsia"/>
          <w:color w:val="auto"/>
        </w:rPr>
        <w:t>第一章 发展回顾</w:t>
      </w:r>
      <w:bookmarkEnd w:id="15"/>
      <w:bookmarkEnd w:id="16"/>
      <w:bookmarkEnd w:id="17"/>
      <w:bookmarkEnd w:id="18"/>
    </w:p>
    <w:p w14:paraId="24EB05DF">
      <w:pPr>
        <w:widowControl/>
        <w:numPr>
          <w:ilvl w:val="255"/>
          <w:numId w:val="0"/>
        </w:numPr>
        <w:ind w:firstLine="640" w:firstLineChars="200"/>
        <w:rPr>
          <w:color w:val="auto"/>
        </w:rPr>
      </w:pPr>
      <w:r>
        <w:rPr>
          <w:rFonts w:hint="eastAsia"/>
          <w:color w:val="auto"/>
        </w:rPr>
        <w:t>“十四五”期间，昌平区金融业紧扣服务实体经济主线，以实现高质量发展为目标，有效提升金融行业规模与综合实力，有力支撑区域经济社会发展。同时，聚焦科技创新领域，优化科技金融生态，以“金融活水”赋能产业发展。但是，目前仍存在金融资源集聚度亟需增强、金融与产业适配度还需提升、金融对</w:t>
      </w:r>
      <w:r>
        <w:rPr>
          <w:rFonts w:hint="eastAsia"/>
          <w:color w:val="auto"/>
          <w:lang w:eastAsia="zh-CN"/>
        </w:rPr>
        <w:t>科技创新</w:t>
      </w:r>
      <w:r>
        <w:rPr>
          <w:rFonts w:hint="eastAsia"/>
          <w:color w:val="auto"/>
        </w:rPr>
        <w:t>支持力度不够等问题。</w:t>
      </w:r>
    </w:p>
    <w:p w14:paraId="0E681060">
      <w:pPr>
        <w:pStyle w:val="4"/>
        <w:keepNext/>
        <w:keepLines/>
        <w:pageBreakBefore w:val="0"/>
        <w:widowControl w:val="0"/>
        <w:kinsoku/>
        <w:wordWrap/>
        <w:overflowPunct/>
        <w:topLinePunct w:val="0"/>
        <w:autoSpaceDE/>
        <w:autoSpaceDN/>
        <w:bidi w:val="0"/>
        <w:adjustRightInd/>
        <w:snapToGrid/>
        <w:ind w:firstLine="640"/>
        <w:textAlignment w:val="auto"/>
        <w:rPr>
          <w:color w:val="auto"/>
        </w:rPr>
      </w:pPr>
      <w:bookmarkStart w:id="19" w:name="_Toc1263567574_WPSOffice_Level2"/>
      <w:bookmarkStart w:id="20" w:name="_Toc204779829"/>
      <w:bookmarkStart w:id="21" w:name="_Toc1032822634"/>
      <w:bookmarkStart w:id="22" w:name="_Toc1719729331"/>
      <w:bookmarkStart w:id="23" w:name="_Toc1860027180"/>
      <w:bookmarkStart w:id="24" w:name="_Toc1771833943"/>
      <w:bookmarkStart w:id="25" w:name="_Toc707522046"/>
      <w:bookmarkStart w:id="26" w:name="_Toc1383647680"/>
      <w:r>
        <w:rPr>
          <w:color w:val="auto"/>
        </w:rPr>
        <w:t>一、</w:t>
      </w:r>
      <w:r>
        <w:rPr>
          <w:rFonts w:hint="eastAsia" w:ascii="黑体" w:hAnsi="黑体" w:cs="黑体"/>
          <w:color w:val="auto"/>
        </w:rPr>
        <w:t>“</w:t>
      </w:r>
      <w:r>
        <w:rPr>
          <w:color w:val="auto"/>
        </w:rPr>
        <w:t>十四五</w:t>
      </w:r>
      <w:r>
        <w:rPr>
          <w:rFonts w:hint="eastAsia" w:ascii="黑体" w:hAnsi="黑体" w:cs="黑体"/>
          <w:color w:val="auto"/>
        </w:rPr>
        <w:t>”</w:t>
      </w:r>
      <w:r>
        <w:rPr>
          <w:color w:val="auto"/>
        </w:rPr>
        <w:t>时期发展成效</w:t>
      </w:r>
      <w:bookmarkEnd w:id="19"/>
      <w:bookmarkEnd w:id="20"/>
      <w:bookmarkEnd w:id="21"/>
      <w:bookmarkEnd w:id="22"/>
      <w:bookmarkEnd w:id="23"/>
      <w:bookmarkEnd w:id="24"/>
      <w:bookmarkEnd w:id="25"/>
      <w:bookmarkEnd w:id="26"/>
    </w:p>
    <w:p w14:paraId="79EE33A7">
      <w:pPr>
        <w:pStyle w:val="5"/>
        <w:keepNext/>
        <w:keepLines/>
        <w:pageBreakBefore w:val="0"/>
        <w:widowControl w:val="0"/>
        <w:kinsoku/>
        <w:wordWrap/>
        <w:overflowPunct/>
        <w:topLinePunct w:val="0"/>
        <w:autoSpaceDE/>
        <w:autoSpaceDN/>
        <w:bidi w:val="0"/>
        <w:adjustRightInd/>
        <w:snapToGrid/>
        <w:ind w:firstLine="640"/>
        <w:textAlignment w:val="auto"/>
        <w:rPr>
          <w:color w:val="auto"/>
        </w:rPr>
      </w:pPr>
      <w:bookmarkStart w:id="27" w:name="_Toc491577396"/>
      <w:bookmarkStart w:id="28" w:name="_Toc962134885"/>
      <w:bookmarkStart w:id="29" w:name="_Toc808955701"/>
      <w:bookmarkStart w:id="30" w:name="_Toc203893601"/>
      <w:bookmarkStart w:id="31" w:name="_Toc1224465534"/>
      <w:bookmarkStart w:id="32" w:name="_Toc1263567574_WPSOffice_Level3"/>
      <w:bookmarkStart w:id="33" w:name="_Toc797152549"/>
      <w:bookmarkStart w:id="34" w:name="_Toc1331331319"/>
      <w:r>
        <w:rPr>
          <w:rFonts w:hint="eastAsia"/>
          <w:color w:val="auto"/>
        </w:rPr>
        <w:t>（一）金融业规模持续扩大</w:t>
      </w:r>
      <w:bookmarkEnd w:id="27"/>
      <w:bookmarkEnd w:id="28"/>
      <w:bookmarkEnd w:id="29"/>
      <w:bookmarkEnd w:id="30"/>
      <w:bookmarkEnd w:id="31"/>
      <w:bookmarkEnd w:id="32"/>
      <w:bookmarkEnd w:id="33"/>
      <w:bookmarkEnd w:id="34"/>
    </w:p>
    <w:p w14:paraId="22FB08AD">
      <w:pPr>
        <w:widowControl/>
        <w:ind w:firstLine="640"/>
        <w:rPr>
          <w:rFonts w:ascii="仿宋_GB2312" w:hAnsi="仿宋_GB2312" w:cs="仿宋_GB2312"/>
          <w:color w:val="auto"/>
          <w:szCs w:val="24"/>
        </w:rPr>
      </w:pPr>
      <w:r>
        <w:rPr>
          <w:rFonts w:hint="eastAsia" w:ascii="仿宋_GB2312" w:hAnsi="仿宋_GB2312" w:cs="仿宋_GB2312"/>
          <w:color w:val="auto"/>
          <w:szCs w:val="24"/>
        </w:rPr>
        <w:t>“十四五”时期末，</w:t>
      </w:r>
      <w:r>
        <w:rPr>
          <w:rFonts w:hint="eastAsia" w:ascii="仿宋_GB2312" w:hAnsi="仿宋_GB2312" w:cs="仿宋_GB2312"/>
          <w:b/>
          <w:bCs/>
          <w:color w:val="auto"/>
          <w:szCs w:val="24"/>
        </w:rPr>
        <w:t>金融业增加值</w:t>
      </w:r>
      <w:r>
        <w:rPr>
          <w:rFonts w:hint="eastAsia" w:ascii="仿宋_GB2312" w:hAnsi="仿宋_GB2312" w:cs="仿宋_GB2312"/>
          <w:color w:val="auto"/>
          <w:szCs w:val="24"/>
        </w:rPr>
        <w:t>实现125.8亿元，较“十三五”时期末（102.5亿元）增长22.8%，年均增速4.2%，金融业贡献度提升至9.6%，较“十三五”时期末（4.6%）提升5个百分点，占全区GDP比重为6.6%。</w:t>
      </w:r>
      <w:r>
        <w:rPr>
          <w:rFonts w:hint="eastAsia" w:ascii="仿宋_GB2312" w:hAnsi="仿宋_GB2312" w:cs="仿宋_GB2312"/>
          <w:b/>
          <w:bCs/>
          <w:color w:val="auto"/>
          <w:szCs w:val="24"/>
        </w:rPr>
        <w:t>银行两项净收入</w:t>
      </w:r>
      <w:r>
        <w:rPr>
          <w:rFonts w:hint="eastAsia" w:ascii="仿宋_GB2312" w:hAnsi="仿宋_GB2312" w:cs="仿宋_GB2312"/>
          <w:color w:val="auto"/>
          <w:szCs w:val="24"/>
        </w:rPr>
        <w:t>实现62.2亿元、同比增速4.8%。</w:t>
      </w:r>
      <w:r>
        <w:rPr>
          <w:rFonts w:hint="eastAsia" w:ascii="仿宋_GB2312" w:hAnsi="仿宋_GB2312" w:cs="仿宋_GB2312"/>
          <w:b/>
          <w:bCs/>
          <w:color w:val="auto"/>
          <w:szCs w:val="24"/>
        </w:rPr>
        <w:t>证券交易额</w:t>
      </w:r>
      <w:r>
        <w:rPr>
          <w:rFonts w:hint="eastAsia" w:ascii="仿宋_GB2312" w:hAnsi="仿宋_GB2312" w:cs="仿宋_GB2312"/>
          <w:color w:val="auto"/>
          <w:szCs w:val="24"/>
        </w:rPr>
        <w:t>实现41682亿元、同比增速72.9%。</w:t>
      </w:r>
      <w:r>
        <w:rPr>
          <w:rFonts w:hint="eastAsia" w:ascii="仿宋_GB2312" w:hAnsi="仿宋_GB2312" w:cs="仿宋_GB2312"/>
          <w:b/>
          <w:bCs/>
          <w:color w:val="auto"/>
          <w:szCs w:val="24"/>
        </w:rPr>
        <w:t>本外币存款余额</w:t>
      </w:r>
      <w:r>
        <w:rPr>
          <w:rFonts w:hint="eastAsia" w:ascii="仿宋_GB2312" w:hAnsi="仿宋_GB2312" w:cs="仿宋_GB2312"/>
          <w:color w:val="auto"/>
          <w:szCs w:val="24"/>
        </w:rPr>
        <w:t>4911.1亿元，较“十三五”时期末增长47.75%，年均增速8.1%；</w:t>
      </w:r>
      <w:r>
        <w:rPr>
          <w:rFonts w:hint="eastAsia" w:ascii="仿宋_GB2312" w:hAnsi="仿宋_GB2312" w:cs="仿宋_GB2312"/>
          <w:b/>
          <w:bCs/>
          <w:color w:val="auto"/>
          <w:szCs w:val="24"/>
        </w:rPr>
        <w:t>本外币贷款余额</w:t>
      </w:r>
      <w:r>
        <w:rPr>
          <w:rFonts w:hint="eastAsia" w:ascii="仿宋_GB2312" w:hAnsi="仿宋_GB2312" w:cs="仿宋_GB2312"/>
          <w:color w:val="auto"/>
          <w:szCs w:val="24"/>
        </w:rPr>
        <w:t>1689.1亿元，较“十三五”时期末增长61.61%，年均增速10.1%，形成“总量扩张+结构优化”的双轮驱动格局。</w:t>
      </w:r>
    </w:p>
    <w:p w14:paraId="0E321DB3">
      <w:pPr>
        <w:pStyle w:val="5"/>
        <w:ind w:firstLine="640"/>
        <w:rPr>
          <w:rFonts w:ascii="楷体_GB2312" w:hAnsi="楷体_GB2312" w:cs="楷体_GB2312"/>
          <w:color w:val="auto"/>
        </w:rPr>
      </w:pPr>
      <w:bookmarkStart w:id="35" w:name="_Toc204779831"/>
      <w:bookmarkStart w:id="36" w:name="_Toc1878099497"/>
      <w:bookmarkStart w:id="37" w:name="_Toc2026311948"/>
      <w:bookmarkStart w:id="38" w:name="_Toc1819579528"/>
      <w:bookmarkStart w:id="39" w:name="_Toc748888982"/>
      <w:bookmarkStart w:id="40" w:name="_Toc565601115_WPSOffice_Level3"/>
      <w:bookmarkStart w:id="41" w:name="_Toc306318295"/>
      <w:bookmarkStart w:id="42" w:name="_Toc419205006"/>
      <w:r>
        <w:rPr>
          <w:rFonts w:hint="eastAsia" w:ascii="楷体_GB2312" w:hAnsi="楷体_GB2312" w:cs="楷体_GB2312"/>
          <w:color w:val="auto"/>
        </w:rPr>
        <w:t>（二）政策支撑体系</w:t>
      </w:r>
      <w:bookmarkEnd w:id="35"/>
      <w:r>
        <w:rPr>
          <w:rFonts w:hint="eastAsia" w:ascii="楷体_GB2312" w:hAnsi="楷体_GB2312" w:cs="楷体_GB2312"/>
          <w:color w:val="auto"/>
        </w:rPr>
        <w:t>不断完善</w:t>
      </w:r>
      <w:bookmarkEnd w:id="36"/>
      <w:bookmarkEnd w:id="37"/>
      <w:bookmarkEnd w:id="38"/>
      <w:bookmarkEnd w:id="39"/>
      <w:bookmarkEnd w:id="40"/>
      <w:bookmarkEnd w:id="41"/>
      <w:bookmarkEnd w:id="42"/>
    </w:p>
    <w:p w14:paraId="42E65B6B">
      <w:pPr>
        <w:ind w:firstLine="640"/>
        <w:rPr>
          <w:rFonts w:ascii="仿宋_GB2312" w:hAnsi="仿宋_GB2312" w:cs="仿宋_GB2312"/>
          <w:color w:val="auto"/>
          <w:szCs w:val="24"/>
        </w:rPr>
      </w:pPr>
      <w:r>
        <w:rPr>
          <w:rFonts w:hint="eastAsia" w:ascii="仿宋_GB2312" w:hAnsi="仿宋_GB2312" w:cs="仿宋_GB2312"/>
          <w:color w:val="auto"/>
          <w:szCs w:val="24"/>
        </w:rPr>
        <w:t>“十四五”期间，昌平区围绕“3+2+1”现代化产业体系</w:t>
      </w:r>
      <w:r>
        <w:rPr>
          <w:rFonts w:ascii="仿宋_GB2312" w:hAnsi="仿宋_GB2312" w:cs="仿宋_GB2312"/>
          <w:color w:val="auto"/>
          <w:szCs w:val="24"/>
        </w:rPr>
        <w:t>和未来科学城建设</w:t>
      </w:r>
      <w:r>
        <w:rPr>
          <w:rFonts w:hint="eastAsia" w:ascii="仿宋_GB2312" w:hAnsi="仿宋_GB2312" w:cs="仿宋_GB2312"/>
          <w:color w:val="auto"/>
          <w:szCs w:val="24"/>
        </w:rPr>
        <w:t>，</w:t>
      </w:r>
      <w:r>
        <w:rPr>
          <w:rFonts w:hint="eastAsia" w:ascii="仿宋_GB2312"/>
          <w:color w:val="auto"/>
        </w:rPr>
        <w:t>集中力量建设</w:t>
      </w:r>
      <w:r>
        <w:rPr>
          <w:rFonts w:hint="eastAsia" w:ascii="仿宋_GB2312" w:hAnsi="仿宋_GB2312" w:cs="仿宋_GB2312"/>
          <w:color w:val="auto"/>
          <w:szCs w:val="24"/>
        </w:rPr>
        <w:t>“科创金融示范区”。</w:t>
      </w:r>
      <w:r>
        <w:rPr>
          <w:rFonts w:hint="eastAsia" w:ascii="仿宋_GB2312" w:hAnsi="仿宋_GB2312" w:cs="仿宋_GB2312"/>
          <w:b/>
          <w:bCs/>
          <w:color w:val="auto"/>
          <w:szCs w:val="24"/>
        </w:rPr>
        <w:t>高位统筹谋划，</w:t>
      </w:r>
      <w:r>
        <w:rPr>
          <w:rFonts w:hint="eastAsia" w:ascii="仿宋_GB2312" w:hAnsi="仿宋_GB2312" w:cs="仿宋_GB2312"/>
          <w:color w:val="auto"/>
          <w:szCs w:val="24"/>
        </w:rPr>
        <w:t>联合人民银行北京市分行等市级5部门制定发布《关于金融促进未来科学城创新发展的若干措施》，并出台配套细则；</w:t>
      </w:r>
      <w:r>
        <w:rPr>
          <w:rFonts w:hint="eastAsia" w:ascii="仿宋_GB2312" w:hAnsi="仿宋_GB2312" w:cs="仿宋_GB2312"/>
          <w:b/>
          <w:bCs/>
          <w:color w:val="auto"/>
          <w:szCs w:val="24"/>
        </w:rPr>
        <w:t>聚焦顶层设计，</w:t>
      </w:r>
      <w:r>
        <w:rPr>
          <w:rFonts w:hint="eastAsia" w:ascii="仿宋_GB2312" w:hAnsi="仿宋_GB2312" w:cs="仿宋_GB2312"/>
          <w:color w:val="auto"/>
          <w:szCs w:val="24"/>
        </w:rPr>
        <w:t>制定出台《昌平区科创金融高质量发展行动计划（2024—2026年）》，引领科创金融发展提质增效；</w:t>
      </w:r>
      <w:r>
        <w:rPr>
          <w:rFonts w:hint="eastAsia" w:ascii="仿宋_GB2312" w:hAnsi="仿宋_GB2312" w:cs="仿宋_GB2312"/>
          <w:b/>
          <w:bCs/>
          <w:color w:val="auto"/>
          <w:kern w:val="0"/>
          <w:lang w:bidi="ar"/>
        </w:rPr>
        <w:t>争取先行先试，</w:t>
      </w:r>
      <w:r>
        <w:rPr>
          <w:rFonts w:hint="eastAsia" w:ascii="仿宋_GB2312" w:hAnsi="仿宋_GB2312" w:cs="仿宋_GB2312"/>
          <w:color w:val="auto"/>
        </w:rPr>
        <w:t>联合人民银行北京市分行制定并印发全市首个跨境人民币结算试点奖励办法，推动金融市场双向开放；</w:t>
      </w:r>
      <w:r>
        <w:rPr>
          <w:rFonts w:hint="eastAsia" w:ascii="仿宋_GB2312" w:hAnsi="仿宋_GB2312" w:cs="仿宋_GB2312"/>
          <w:b/>
          <w:bCs/>
          <w:color w:val="auto"/>
          <w:szCs w:val="24"/>
        </w:rPr>
        <w:t>抢抓改革机遇，</w:t>
      </w:r>
      <w:r>
        <w:rPr>
          <w:rFonts w:hint="eastAsia" w:ascii="仿宋_GB2312" w:hAnsi="仿宋_GB2312" w:cs="仿宋_GB2312"/>
          <w:color w:val="auto"/>
          <w:szCs w:val="24"/>
        </w:rPr>
        <w:t>以北交所设立与全面注册制改革为契机，连续两年颁布实施支持企业上市挂牌政策，累计惠及</w:t>
      </w:r>
      <w:r>
        <w:rPr>
          <w:rFonts w:hint="eastAsia" w:ascii="仿宋_GB2312" w:hAnsi="仿宋_GB2312" w:cs="仿宋_GB2312"/>
          <w:color w:val="auto"/>
        </w:rPr>
        <w:t>22家上市企业和9家挂牌企业。</w:t>
      </w:r>
    </w:p>
    <w:p w14:paraId="5C6D8BD8">
      <w:pPr>
        <w:pStyle w:val="5"/>
        <w:ind w:firstLine="640"/>
        <w:rPr>
          <w:rFonts w:ascii="楷体_GB2312" w:hAnsi="楷体_GB2312" w:cs="楷体_GB2312"/>
          <w:color w:val="auto"/>
        </w:rPr>
      </w:pPr>
      <w:bookmarkStart w:id="43" w:name="_Toc1397046468"/>
      <w:bookmarkStart w:id="44" w:name="_Toc61814117_WPSOffice_Level3"/>
      <w:bookmarkStart w:id="45" w:name="_Toc1037189778"/>
      <w:bookmarkStart w:id="46" w:name="_Toc902065786"/>
      <w:bookmarkStart w:id="47" w:name="_Toc901364896"/>
      <w:bookmarkStart w:id="48" w:name="_Toc930795513"/>
      <w:bookmarkStart w:id="49" w:name="_Toc204779832"/>
      <w:bookmarkStart w:id="50" w:name="_Toc1690950746"/>
      <w:r>
        <w:rPr>
          <w:rFonts w:hint="eastAsia" w:ascii="楷体_GB2312" w:hAnsi="楷体_GB2312" w:cs="楷体_GB2312"/>
          <w:color w:val="auto"/>
        </w:rPr>
        <w:t>（三）金融服务效能全面提升</w:t>
      </w:r>
      <w:bookmarkEnd w:id="43"/>
      <w:bookmarkEnd w:id="44"/>
      <w:bookmarkEnd w:id="45"/>
      <w:bookmarkEnd w:id="46"/>
    </w:p>
    <w:bookmarkEnd w:id="47"/>
    <w:bookmarkEnd w:id="48"/>
    <w:bookmarkEnd w:id="49"/>
    <w:bookmarkEnd w:id="50"/>
    <w:p w14:paraId="50519C87">
      <w:pPr>
        <w:ind w:firstLine="640"/>
        <w:rPr>
          <w:rFonts w:ascii="仿宋_GB2312" w:hAnsi="仿宋_GB2312" w:cs="仿宋_GB2312"/>
          <w:color w:val="auto"/>
          <w:szCs w:val="24"/>
        </w:rPr>
      </w:pPr>
      <w:r>
        <w:rPr>
          <w:rFonts w:hint="eastAsia" w:ascii="仿宋_GB2312" w:hAnsi="仿宋_GB2312" w:cs="仿宋_GB2312"/>
          <w:color w:val="auto"/>
          <w:szCs w:val="24"/>
        </w:rPr>
        <w:t>昌平区政府对金融机构管理服务水平显著提升。</w:t>
      </w:r>
      <w:r>
        <w:rPr>
          <w:rFonts w:hint="eastAsia" w:ascii="仿宋_GB2312" w:hAnsi="仿宋_GB2312" w:cs="仿宋_GB2312"/>
          <w:b/>
          <w:bCs/>
          <w:color w:val="auto"/>
          <w:szCs w:val="24"/>
        </w:rPr>
        <w:t>政金合作进一步深化，</w:t>
      </w:r>
      <w:r>
        <w:rPr>
          <w:rFonts w:hint="eastAsia" w:ascii="仿宋_GB2312" w:hAnsi="仿宋_GB2312" w:cs="仿宋_GB2312"/>
          <w:color w:val="auto"/>
          <w:szCs w:val="24"/>
          <w:lang w:eastAsia="zh-CN"/>
        </w:rPr>
        <w:t>组建</w:t>
      </w:r>
      <w:r>
        <w:rPr>
          <w:rFonts w:hint="eastAsia" w:ascii="仿宋_GB2312" w:hAnsi="仿宋_GB2312" w:cs="仿宋_GB2312"/>
          <w:color w:val="auto"/>
          <w:szCs w:val="24"/>
        </w:rPr>
        <w:t>22家驻区银行联合工作组，区政府战略合作银行达到15家，签约银行覆盖率近70%。</w:t>
      </w:r>
      <w:r>
        <w:rPr>
          <w:rFonts w:hint="eastAsia" w:ascii="仿宋_GB2312" w:hAnsi="仿宋_GB2312" w:cs="仿宋_GB2312"/>
          <w:b/>
          <w:bCs/>
          <w:color w:val="auto"/>
          <w:szCs w:val="24"/>
        </w:rPr>
        <w:t>专营服务网络进一步完善，</w:t>
      </w:r>
      <w:r>
        <w:rPr>
          <w:rFonts w:hint="eastAsia" w:ascii="仿宋_GB2312" w:hAnsi="仿宋_GB2312" w:cs="仿宋_GB2312"/>
          <w:color w:val="auto"/>
          <w:szCs w:val="24"/>
        </w:rPr>
        <w:t>揭牌生命谷、能源谷2家“金融服务站”，科技特色支行达到2</w:t>
      </w:r>
      <w:r>
        <w:rPr>
          <w:rFonts w:hint="eastAsia" w:ascii="仿宋_GB2312" w:hAnsi="仿宋_GB2312" w:cs="仿宋_GB2312"/>
          <w:color w:val="auto"/>
          <w:szCs w:val="24"/>
          <w:lang w:val="en-US" w:eastAsia="zh-CN"/>
        </w:rPr>
        <w:t>5</w:t>
      </w:r>
      <w:r>
        <w:rPr>
          <w:rFonts w:hint="eastAsia" w:ascii="仿宋_GB2312" w:hAnsi="仿宋_GB2312" w:cs="仿宋_GB2312"/>
          <w:color w:val="auto"/>
          <w:szCs w:val="24"/>
        </w:rPr>
        <w:t>家。</w:t>
      </w:r>
      <w:r>
        <w:rPr>
          <w:rFonts w:hint="eastAsia" w:ascii="仿宋_GB2312" w:hAnsi="仿宋_GB2312" w:cs="仿宋_GB2312"/>
          <w:b/>
          <w:bCs/>
          <w:color w:val="auto"/>
          <w:shd w:val="clear" w:color="auto" w:fill="FFFFFF"/>
        </w:rPr>
        <w:t>服务模式进一步升级，</w:t>
      </w:r>
      <w:r>
        <w:rPr>
          <w:rFonts w:hint="eastAsia" w:ascii="仿宋_GB2312" w:hAnsi="仿宋_GB2312" w:cs="仿宋_GB2312"/>
          <w:color w:val="auto"/>
          <w:szCs w:val="24"/>
        </w:rPr>
        <w:t>落地全国首笔科创板医药类上市公司并购贷款、全市首笔科技“两重”贷款等。</w:t>
      </w:r>
      <w:r>
        <w:rPr>
          <w:rFonts w:hint="eastAsia" w:ascii="仿宋_GB2312" w:hAnsi="仿宋_GB2312" w:cs="仿宋_GB2312"/>
          <w:b/>
          <w:bCs/>
          <w:color w:val="auto"/>
          <w:szCs w:val="24"/>
        </w:rPr>
        <w:t>知识产权质押融资额进一步跃升，</w:t>
      </w:r>
      <w:r>
        <w:rPr>
          <w:rFonts w:hint="eastAsia" w:ascii="仿宋_GB2312" w:hAnsi="仿宋_GB2312" w:cs="仿宋_GB2312"/>
          <w:color w:val="auto"/>
          <w:szCs w:val="24"/>
        </w:rPr>
        <w:t>设立生命科学园、龙域中心</w:t>
      </w:r>
      <w:r>
        <w:rPr>
          <w:rFonts w:hint="eastAsia" w:ascii="仿宋_GB2312" w:hAnsi="仿宋_GB2312" w:cs="仿宋_GB2312"/>
          <w:color w:val="auto"/>
          <w:szCs w:val="24"/>
          <w:lang w:eastAsia="zh-CN"/>
        </w:rPr>
        <w:t>等</w:t>
      </w:r>
      <w:r>
        <w:rPr>
          <w:rFonts w:hint="eastAsia" w:ascii="仿宋_GB2312" w:hAnsi="仿宋_GB2312" w:cs="仿宋_GB2312"/>
          <w:color w:val="auto"/>
          <w:szCs w:val="24"/>
        </w:rPr>
        <w:t>5家知识产权公共服务工作站，知识产权质押融资规模年均7亿元以上。</w:t>
      </w:r>
      <w:r>
        <w:rPr>
          <w:rFonts w:hint="eastAsia" w:ascii="仿宋_GB2312" w:hAnsi="仿宋_GB2312" w:cs="仿宋_GB2312"/>
          <w:b/>
          <w:bCs/>
          <w:color w:val="auto"/>
          <w:szCs w:val="24"/>
        </w:rPr>
        <w:t>小微普惠服务进一步优化，</w:t>
      </w:r>
      <w:r>
        <w:rPr>
          <w:rFonts w:hint="eastAsia" w:ascii="仿宋_GB2312" w:hAnsi="仿宋_GB2312" w:cs="仿宋_GB2312"/>
          <w:color w:val="auto"/>
          <w:szCs w:val="24"/>
        </w:rPr>
        <w:t>入选中央财政支持普惠金融发展示范区，开展“千企万户大走访”活动</w:t>
      </w:r>
      <w:r>
        <w:rPr>
          <w:rFonts w:hint="eastAsia" w:ascii="仿宋_GB2312" w:hAnsi="仿宋_GB2312" w:cs="仿宋_GB2312"/>
          <w:color w:val="auto"/>
          <w:szCs w:val="24"/>
          <w:lang w:eastAsia="zh-CN"/>
        </w:rPr>
        <w:t>，进一步深化支持小微企业融资协调工作机制</w:t>
      </w:r>
      <w:r>
        <w:rPr>
          <w:rFonts w:hint="eastAsia" w:ascii="仿宋_GB2312" w:hAnsi="仿宋_GB2312" w:cs="仿宋_GB2312"/>
          <w:color w:val="auto"/>
          <w:szCs w:val="24"/>
        </w:rPr>
        <w:t>。</w:t>
      </w:r>
      <w:r>
        <w:rPr>
          <w:rFonts w:hint="eastAsia" w:ascii="仿宋_GB2312" w:hAnsi="仿宋_GB2312" w:cs="仿宋_GB2312"/>
          <w:b/>
          <w:bCs/>
          <w:color w:val="auto"/>
        </w:rPr>
        <w:t>“两区”建设进一步推广，</w:t>
      </w:r>
      <w:r>
        <w:rPr>
          <w:rFonts w:hint="eastAsia" w:ascii="仿宋_GB2312" w:hAnsi="仿宋_GB2312" w:cs="仿宋_GB2312"/>
          <w:color w:val="auto"/>
        </w:rPr>
        <w:t>推动康瑞星桥获批全市首批QFLP基金试点资格；推进爱美客办理境外投资备案手续;</w:t>
      </w:r>
      <w:r>
        <w:rPr>
          <w:rFonts w:hint="eastAsia" w:ascii="仿宋_GB2312" w:hAnsi="仿宋_GB2312" w:cs="仿宋_GB2312"/>
          <w:color w:val="auto"/>
          <w:lang w:eastAsia="zh-CN"/>
        </w:rPr>
        <w:t>协调</w:t>
      </w:r>
      <w:r>
        <w:rPr>
          <w:rFonts w:hint="eastAsia" w:ascii="仿宋_GB2312" w:hAnsi="仿宋_GB2312" w:cs="仿宋_GB2312"/>
          <w:color w:val="auto"/>
        </w:rPr>
        <w:t>三一重能</w:t>
      </w:r>
      <w:r>
        <w:rPr>
          <w:rFonts w:hint="eastAsia" w:ascii="仿宋_GB2312" w:hAnsi="仿宋_GB2312" w:cs="仿宋_GB2312"/>
          <w:color w:val="auto"/>
          <w:lang w:eastAsia="zh-CN"/>
        </w:rPr>
        <w:t>落地</w:t>
      </w:r>
      <w:r>
        <w:rPr>
          <w:rFonts w:hint="eastAsia" w:ascii="仿宋_GB2312" w:hAnsi="仿宋_GB2312" w:cs="仿宋_GB2312"/>
          <w:color w:val="auto"/>
        </w:rPr>
        <w:t>跨境本外币一体化资金池试点业务，获得集中外债额度319.77亿元人民币及集中境外放款额度53.29亿元人民币。</w:t>
      </w:r>
    </w:p>
    <w:p w14:paraId="42B15D63">
      <w:pPr>
        <w:pStyle w:val="5"/>
        <w:ind w:firstLine="640"/>
        <w:rPr>
          <w:rFonts w:ascii="楷体_GB2312" w:hAnsi="楷体_GB2312" w:cs="楷体_GB2312"/>
          <w:color w:val="auto"/>
        </w:rPr>
      </w:pPr>
      <w:bookmarkStart w:id="51" w:name="_Toc204779833"/>
      <w:bookmarkStart w:id="52" w:name="_Toc1789827644_WPSOffice_Level3"/>
      <w:bookmarkStart w:id="53" w:name="_Toc105910802"/>
      <w:bookmarkStart w:id="54" w:name="_Toc2040586677"/>
      <w:bookmarkStart w:id="55" w:name="_Toc1653211015"/>
      <w:bookmarkStart w:id="56" w:name="_Toc2116936084"/>
      <w:r>
        <w:rPr>
          <w:rFonts w:hint="eastAsia" w:ascii="楷体_GB2312" w:hAnsi="楷体_GB2312" w:cs="楷体_GB2312"/>
          <w:color w:val="auto"/>
        </w:rPr>
        <w:t>（四）</w:t>
      </w:r>
      <w:bookmarkEnd w:id="51"/>
      <w:r>
        <w:rPr>
          <w:rFonts w:hint="eastAsia" w:ascii="楷体_GB2312" w:hAnsi="楷体_GB2312" w:cs="楷体_GB2312"/>
          <w:color w:val="auto"/>
        </w:rPr>
        <w:t>政府性基金管理体系逐步健全</w:t>
      </w:r>
      <w:bookmarkEnd w:id="52"/>
      <w:bookmarkEnd w:id="53"/>
      <w:bookmarkEnd w:id="54"/>
      <w:bookmarkEnd w:id="55"/>
      <w:bookmarkEnd w:id="56"/>
    </w:p>
    <w:p w14:paraId="2CFDBA50">
      <w:pPr>
        <w:ind w:firstLine="640"/>
        <w:rPr>
          <w:rFonts w:ascii="仿宋_GB2312" w:hAnsi="仿宋_GB2312" w:cs="仿宋_GB2312"/>
          <w:color w:val="auto"/>
          <w:szCs w:val="24"/>
        </w:rPr>
      </w:pPr>
      <w:r>
        <w:rPr>
          <w:rFonts w:hint="eastAsia" w:ascii="仿宋_GB2312" w:hAnsi="仿宋_GB2312" w:cs="仿宋_GB2312"/>
          <w:b/>
          <w:bCs/>
          <w:color w:val="auto"/>
          <w:szCs w:val="24"/>
        </w:rPr>
        <w:t>政府性基金规模持续扩张。</w:t>
      </w:r>
      <w:r>
        <w:rPr>
          <w:rFonts w:hint="eastAsia" w:ascii="仿宋_GB2312" w:hAnsi="仿宋_GB2312" w:cs="仿宋_GB2312"/>
          <w:color w:val="auto"/>
          <w:szCs w:val="24"/>
        </w:rPr>
        <w:t>在全市率先建立政府性投资基金管理体系，政府投资基金累计达到</w:t>
      </w:r>
      <w:r>
        <w:rPr>
          <w:rFonts w:hint="eastAsia" w:ascii="仿宋_GB2312" w:hAnsi="仿宋_GB2312" w:cs="仿宋_GB2312"/>
          <w:color w:val="auto"/>
          <w:szCs w:val="24"/>
          <w:lang w:val="en-US" w:eastAsia="zh-CN"/>
        </w:rPr>
        <w:t>6</w:t>
      </w:r>
      <w:r>
        <w:rPr>
          <w:rFonts w:hint="eastAsia" w:ascii="仿宋_GB2312" w:hAnsi="仿宋_GB2312" w:cs="仿宋_GB2312"/>
          <w:color w:val="auto"/>
          <w:szCs w:val="24"/>
        </w:rPr>
        <w:t>支，政府性母基金群规模达到560亿元。</w:t>
      </w:r>
      <w:r>
        <w:rPr>
          <w:rFonts w:ascii="仿宋_GB2312" w:hAnsi="仿宋_GB2312" w:cs="仿宋_GB2312"/>
          <w:color w:val="auto"/>
          <w:szCs w:val="24"/>
        </w:rPr>
        <w:t>政府基金</w:t>
      </w:r>
      <w:r>
        <w:rPr>
          <w:rFonts w:hint="eastAsia" w:ascii="仿宋_GB2312" w:hAnsi="仿宋_GB2312" w:cs="仿宋_GB2312"/>
          <w:color w:val="auto"/>
          <w:szCs w:val="24"/>
        </w:rPr>
        <w:t>联合参股子基金直接或间接投资在昌企业170余家。</w:t>
      </w:r>
      <w:r>
        <w:rPr>
          <w:rFonts w:hint="eastAsia" w:ascii="仿宋_GB2312" w:hAnsi="仿宋_GB2312" w:cs="仿宋_GB2312"/>
          <w:b/>
          <w:bCs/>
          <w:color w:val="auto"/>
          <w:szCs w:val="24"/>
        </w:rPr>
        <w:t>科技产业母基金群迅猛增长。</w:t>
      </w:r>
      <w:r>
        <w:rPr>
          <w:rFonts w:hint="eastAsia" w:ascii="仿宋_GB2312" w:hAnsi="仿宋_GB2312" w:cs="仿宋_GB2312"/>
          <w:color w:val="auto"/>
          <w:szCs w:val="24"/>
        </w:rPr>
        <w:t>联合红杉中国、高瓴投资、康桥资本等30家行业优质创投机构成立“昌平未来创投联盟CFIA”，科技产业基金群规模超过1500亿元。全区企业获得股权融资案例</w:t>
      </w:r>
      <w:r>
        <w:rPr>
          <w:rFonts w:hint="eastAsia" w:ascii="仿宋_GB2312" w:hAnsi="仿宋_GB2312" w:cs="仿宋_GB2312"/>
          <w:color w:val="auto"/>
          <w:szCs w:val="24"/>
          <w:lang w:val="en-US" w:eastAsia="zh-CN"/>
        </w:rPr>
        <w:t>500余</w:t>
      </w:r>
      <w:r>
        <w:rPr>
          <w:rFonts w:hint="eastAsia" w:ascii="仿宋_GB2312" w:hAnsi="仿宋_GB2312" w:cs="仿宋_GB2312"/>
          <w:color w:val="auto"/>
          <w:szCs w:val="24"/>
        </w:rPr>
        <w:t>起，全市排名第四。</w:t>
      </w:r>
      <w:r>
        <w:rPr>
          <w:rFonts w:hint="eastAsia" w:ascii="仿宋_GB2312" w:hAnsi="仿宋_GB2312" w:cs="仿宋_GB2312"/>
          <w:b/>
          <w:bCs/>
          <w:color w:val="auto"/>
          <w:szCs w:val="24"/>
        </w:rPr>
        <w:t>服务机制创新突破。</w:t>
      </w:r>
      <w:r>
        <w:rPr>
          <w:rFonts w:hint="eastAsia" w:ascii="仿宋_GB2312" w:hAnsi="仿宋_GB2312" w:cs="仿宋_GB2312"/>
          <w:color w:val="auto"/>
          <w:szCs w:val="24"/>
        </w:rPr>
        <w:t>在全市率先建立“见投即贷”投后赋能服务机制，</w:t>
      </w:r>
      <w:r>
        <w:rPr>
          <w:rFonts w:hint="eastAsia" w:ascii="仿宋_GB2312" w:hAnsi="仿宋_GB2312" w:cs="仿宋_GB2312"/>
          <w:color w:val="auto"/>
          <w:szCs w:val="24"/>
          <w:highlight w:val="none"/>
        </w:rPr>
        <w:t>举办“基金-项目”对接路演，累计开展培训、路演及政策解读等活动近200场</w:t>
      </w:r>
      <w:r>
        <w:rPr>
          <w:rFonts w:hint="eastAsia" w:ascii="仿宋_GB2312" w:hAnsi="仿宋_GB2312" w:cs="仿宋_GB2312"/>
          <w:color w:val="auto"/>
          <w:szCs w:val="24"/>
        </w:rPr>
        <w:t>。</w:t>
      </w:r>
    </w:p>
    <w:p w14:paraId="152DB85B">
      <w:pPr>
        <w:pStyle w:val="5"/>
        <w:ind w:firstLine="640"/>
        <w:rPr>
          <w:rFonts w:ascii="楷体_GB2312" w:hAnsi="楷体_GB2312" w:cs="楷体_GB2312"/>
          <w:color w:val="auto"/>
        </w:rPr>
      </w:pPr>
      <w:bookmarkStart w:id="57" w:name="_Toc2020946528"/>
      <w:bookmarkStart w:id="58" w:name="_Toc204779834"/>
      <w:bookmarkStart w:id="59" w:name="_Toc740537111"/>
      <w:bookmarkStart w:id="60" w:name="_Toc87923291"/>
      <w:bookmarkStart w:id="61" w:name="_Toc2146569260"/>
      <w:bookmarkStart w:id="62" w:name="_Toc1672732976"/>
      <w:bookmarkStart w:id="63" w:name="_Toc1692889955_WPSOffice_Level3"/>
      <w:bookmarkStart w:id="64" w:name="_Toc2135533159"/>
      <w:r>
        <w:rPr>
          <w:rFonts w:hint="eastAsia" w:ascii="楷体_GB2312" w:hAnsi="楷体_GB2312" w:cs="楷体_GB2312"/>
          <w:color w:val="auto"/>
        </w:rPr>
        <w:t>（五）企业上市服务成效明显</w:t>
      </w:r>
      <w:bookmarkEnd w:id="57"/>
      <w:bookmarkEnd w:id="58"/>
      <w:bookmarkEnd w:id="59"/>
      <w:bookmarkEnd w:id="60"/>
      <w:bookmarkEnd w:id="61"/>
      <w:bookmarkEnd w:id="62"/>
      <w:bookmarkEnd w:id="63"/>
      <w:bookmarkEnd w:id="64"/>
    </w:p>
    <w:p w14:paraId="15D34B80">
      <w:pPr>
        <w:ind w:firstLine="640"/>
        <w:rPr>
          <w:rFonts w:ascii="仿宋_GB2312" w:hAnsi="仿宋_GB2312" w:cs="仿宋_GB2312"/>
          <w:color w:val="auto"/>
        </w:rPr>
      </w:pPr>
      <w:r>
        <w:rPr>
          <w:rFonts w:hint="eastAsia" w:ascii="仿宋_GB2312" w:hAnsi="仿宋_GB2312" w:cs="仿宋_GB2312"/>
          <w:color w:val="auto"/>
        </w:rPr>
        <w:t>昌平区企业上市工作成效显著。全区新增上市企业20家，其中百济神州、三一重工市值超过千亿元，</w:t>
      </w:r>
      <w:r>
        <w:rPr>
          <w:rFonts w:hint="eastAsia" w:ascii="仿宋_GB2312" w:hAnsi="仿宋_GB2312" w:cs="仿宋_GB2312"/>
          <w:color w:val="auto"/>
          <w:lang w:eastAsia="zh-CN"/>
        </w:rPr>
        <w:t>位列</w:t>
      </w:r>
      <w:r>
        <w:rPr>
          <w:rFonts w:hint="eastAsia" w:ascii="仿宋_GB2312" w:hAnsi="仿宋_GB2312" w:cs="仿宋_GB2312"/>
          <w:color w:val="auto"/>
        </w:rPr>
        <w:t>全市前30名。上市企业总数达到41家，全市排名第七、平原新城排名第一（不含亦庄）；境内上市企业29家，全市排名第六；科创板10家，全市排名第二。推动百济神州、诺诚健华、三一重工“A+H”多地上市。打造“平台式、环节式、清单式”服务体系，</w:t>
      </w:r>
      <w:r>
        <w:rPr>
          <w:rFonts w:ascii="仿宋_GB2312" w:hAnsi="仿宋_GB2312" w:cs="仿宋_GB2312"/>
          <w:color w:val="auto"/>
        </w:rPr>
        <w:t>依托北交所昌平服务基地，</w:t>
      </w:r>
      <w:r>
        <w:rPr>
          <w:rFonts w:hint="eastAsia" w:ascii="仿宋_GB2312" w:hAnsi="仿宋_GB2312" w:cs="仿宋_GB2312"/>
          <w:color w:val="auto"/>
        </w:rPr>
        <w:t>形成“培育—辅导—上市—做强”的全链条服务生态。</w:t>
      </w:r>
    </w:p>
    <w:p w14:paraId="0FCFADAD">
      <w:pPr>
        <w:pStyle w:val="4"/>
        <w:keepNext w:val="0"/>
        <w:keepLines/>
        <w:pageBreakBefore w:val="0"/>
        <w:widowControl w:val="0"/>
        <w:kinsoku/>
        <w:wordWrap/>
        <w:overflowPunct/>
        <w:topLinePunct w:val="0"/>
        <w:autoSpaceDE/>
        <w:autoSpaceDN/>
        <w:bidi w:val="0"/>
        <w:adjustRightInd/>
        <w:snapToGrid/>
        <w:ind w:firstLine="640"/>
        <w:textAlignment w:val="auto"/>
        <w:rPr>
          <w:color w:val="auto"/>
        </w:rPr>
      </w:pPr>
      <w:bookmarkStart w:id="65" w:name="_Toc205545924"/>
      <w:bookmarkStart w:id="66" w:name="_Toc1804351419"/>
      <w:bookmarkStart w:id="67" w:name="_Toc205561210"/>
      <w:bookmarkStart w:id="68" w:name="_Toc1607735740"/>
      <w:bookmarkStart w:id="69" w:name="_Toc498980568"/>
      <w:bookmarkStart w:id="70" w:name="_Toc842855127"/>
      <w:bookmarkStart w:id="71" w:name="_Toc565601115_WPSOffice_Level2"/>
      <w:bookmarkStart w:id="72" w:name="_Toc1472333447"/>
      <w:bookmarkStart w:id="73" w:name="_Toc1047220995"/>
      <w:r>
        <w:rPr>
          <w:rFonts w:hint="eastAsia"/>
          <w:color w:val="auto"/>
        </w:rPr>
        <w:t>二、</w:t>
      </w:r>
      <w:bookmarkEnd w:id="65"/>
      <w:bookmarkEnd w:id="66"/>
      <w:bookmarkEnd w:id="67"/>
      <w:r>
        <w:rPr>
          <w:rFonts w:hint="eastAsia"/>
          <w:color w:val="auto"/>
        </w:rPr>
        <w:t>存在问题</w:t>
      </w:r>
      <w:bookmarkEnd w:id="68"/>
      <w:bookmarkEnd w:id="69"/>
      <w:bookmarkEnd w:id="70"/>
      <w:bookmarkEnd w:id="71"/>
      <w:bookmarkEnd w:id="72"/>
      <w:bookmarkEnd w:id="73"/>
    </w:p>
    <w:p w14:paraId="022D93B2">
      <w:pPr>
        <w:pStyle w:val="5"/>
        <w:keepNext w:val="0"/>
        <w:keepLines/>
        <w:pageBreakBefore w:val="0"/>
        <w:widowControl w:val="0"/>
        <w:kinsoku/>
        <w:wordWrap/>
        <w:overflowPunct/>
        <w:topLinePunct w:val="0"/>
        <w:autoSpaceDE/>
        <w:autoSpaceDN/>
        <w:bidi w:val="0"/>
        <w:adjustRightInd/>
        <w:snapToGrid/>
        <w:ind w:firstLine="640"/>
        <w:textAlignment w:val="auto"/>
        <w:rPr>
          <w:rFonts w:ascii="楷体_GB2312" w:hAnsi="楷体_GB2312" w:cs="楷体_GB2312"/>
          <w:color w:val="auto"/>
        </w:rPr>
      </w:pPr>
      <w:bookmarkStart w:id="74" w:name="_Toc196333256"/>
      <w:bookmarkStart w:id="75" w:name="_Toc1791990350"/>
      <w:bookmarkStart w:id="76" w:name="_Toc1009544990"/>
      <w:bookmarkStart w:id="77" w:name="_Toc474140299"/>
      <w:bookmarkStart w:id="78" w:name="_Toc205545925"/>
      <w:bookmarkStart w:id="79" w:name="_Toc205561211"/>
      <w:bookmarkStart w:id="80" w:name="_Toc1713691110"/>
      <w:bookmarkStart w:id="81" w:name="_Toc1402245566"/>
      <w:bookmarkStart w:id="82" w:name="_Toc1622423109_WPSOffice_Level3"/>
      <w:r>
        <w:rPr>
          <w:rFonts w:hint="eastAsia" w:ascii="楷体_GB2312" w:hAnsi="楷体_GB2312" w:cs="楷体_GB2312"/>
          <w:color w:val="auto"/>
        </w:rPr>
        <w:t>（一）金融资源集聚度亟需增强</w:t>
      </w:r>
      <w:bookmarkEnd w:id="74"/>
      <w:bookmarkEnd w:id="75"/>
      <w:bookmarkEnd w:id="76"/>
      <w:bookmarkEnd w:id="77"/>
      <w:bookmarkEnd w:id="78"/>
      <w:bookmarkEnd w:id="79"/>
      <w:bookmarkEnd w:id="80"/>
      <w:bookmarkEnd w:id="81"/>
      <w:bookmarkEnd w:id="82"/>
    </w:p>
    <w:p w14:paraId="382D943C">
      <w:pPr>
        <w:ind w:firstLine="640"/>
        <w:rPr>
          <w:rFonts w:ascii="仿宋_GB2312" w:hAnsi="仿宋_GB2312" w:cs="仿宋_GB2312"/>
          <w:color w:val="auto"/>
        </w:rPr>
      </w:pPr>
      <w:r>
        <w:rPr>
          <w:rFonts w:hint="eastAsia" w:ascii="仿宋_GB2312" w:hAnsi="仿宋_GB2312" w:cs="仿宋_GB2312"/>
          <w:color w:val="auto"/>
        </w:rPr>
        <w:t>昌平区金融业增加值总量占地区生产总值的比重不足10%，尚未成长为支柱产业。目前昌平区仅有3家持牌金融机构（泰康人寿、中意资产、指南针），</w:t>
      </w:r>
      <w:r>
        <w:rPr>
          <w:rFonts w:ascii="仿宋_GB2312" w:hAnsi="仿宋_GB2312" w:cs="仿宋_GB2312"/>
          <w:color w:val="auto"/>
        </w:rPr>
        <w:t>银行、证券、公募基金、财务公司、融资担保等机构布局不足，会计审计、法律咨询等专业中介配套仍需完善。</w:t>
      </w:r>
      <w:r>
        <w:rPr>
          <w:rFonts w:hint="eastAsia" w:ascii="仿宋_GB2312" w:hAnsi="仿宋_GB2312" w:cs="仿宋_GB2312"/>
          <w:color w:val="auto"/>
        </w:rPr>
        <w:t xml:space="preserve"> </w:t>
      </w:r>
    </w:p>
    <w:p w14:paraId="52488A0B">
      <w:pPr>
        <w:pStyle w:val="5"/>
        <w:ind w:firstLine="640"/>
        <w:rPr>
          <w:rFonts w:ascii="楷体_GB2312" w:hAnsi="楷体_GB2312" w:cs="楷体_GB2312"/>
          <w:color w:val="auto"/>
        </w:rPr>
      </w:pPr>
      <w:bookmarkStart w:id="83" w:name="_Toc1869969889"/>
      <w:bookmarkStart w:id="84" w:name="_Toc1347512798"/>
      <w:bookmarkStart w:id="85" w:name="_Toc664225152"/>
      <w:bookmarkStart w:id="86" w:name="_Toc72543500_WPSOffice_Level3"/>
      <w:bookmarkStart w:id="87" w:name="_Toc2073365218"/>
      <w:bookmarkStart w:id="88" w:name="_Toc973428946"/>
      <w:bookmarkStart w:id="89" w:name="_Toc205561212"/>
      <w:bookmarkStart w:id="90" w:name="_Toc2129083675"/>
      <w:bookmarkStart w:id="91" w:name="_Toc205545926"/>
      <w:r>
        <w:rPr>
          <w:rFonts w:hint="eastAsia" w:ascii="楷体_GB2312" w:hAnsi="楷体_GB2312" w:cs="楷体_GB2312"/>
          <w:color w:val="auto"/>
        </w:rPr>
        <w:t>（二）金融与产业适配度还需提升</w:t>
      </w:r>
      <w:bookmarkEnd w:id="83"/>
      <w:bookmarkEnd w:id="84"/>
      <w:bookmarkEnd w:id="85"/>
      <w:bookmarkEnd w:id="86"/>
    </w:p>
    <w:p w14:paraId="11D643D6">
      <w:pPr>
        <w:ind w:firstLine="640"/>
        <w:rPr>
          <w:rFonts w:ascii="仿宋_GB2312" w:hAnsi="仿宋_GB2312" w:cs="仿宋_GB2312"/>
          <w:color w:val="auto"/>
        </w:rPr>
      </w:pPr>
      <w:r>
        <w:rPr>
          <w:rFonts w:ascii="仿宋_GB2312" w:hAnsi="仿宋_GB2312" w:cs="仿宋_GB2312"/>
          <w:color w:val="auto"/>
        </w:rPr>
        <w:t>金融服务对产业链、创新链的嵌入深度不够，供应链金融和科技成果转化金融服务尚未形成完整体系。耐心资本导入不够，科技信贷产品供给偏弱，金融机构在产品试点、审批权限、风险定价等方面仍需突破。</w:t>
      </w:r>
    </w:p>
    <w:p w14:paraId="533E05A5">
      <w:pPr>
        <w:pStyle w:val="5"/>
        <w:ind w:firstLine="640"/>
        <w:rPr>
          <w:rFonts w:ascii="仿宋_GB2312" w:hAnsi="仿宋_GB2312" w:eastAsia="仿宋_GB2312" w:cs="仿宋_GB2312"/>
          <w:color w:val="auto"/>
        </w:rPr>
      </w:pPr>
      <w:bookmarkStart w:id="92" w:name="_Toc1570037830"/>
      <w:bookmarkStart w:id="93" w:name="_Toc514344688_WPSOffice_Level3"/>
      <w:bookmarkStart w:id="94" w:name="_Toc1426978635"/>
      <w:bookmarkStart w:id="95" w:name="_Toc1189334053"/>
      <w:r>
        <w:rPr>
          <w:rFonts w:hint="eastAsia" w:ascii="楷体_GB2312" w:hAnsi="楷体_GB2312" w:cs="楷体_GB2312"/>
          <w:color w:val="auto"/>
        </w:rPr>
        <w:t>（三）金融对重点领域支持力度不够</w:t>
      </w:r>
      <w:bookmarkEnd w:id="87"/>
      <w:bookmarkEnd w:id="88"/>
      <w:bookmarkEnd w:id="89"/>
      <w:bookmarkEnd w:id="90"/>
      <w:bookmarkEnd w:id="91"/>
      <w:bookmarkEnd w:id="92"/>
      <w:bookmarkEnd w:id="93"/>
      <w:bookmarkEnd w:id="94"/>
      <w:bookmarkEnd w:id="95"/>
    </w:p>
    <w:p w14:paraId="3C49759F">
      <w:pPr>
        <w:ind w:firstLine="640"/>
        <w:rPr>
          <w:color w:val="auto"/>
        </w:rPr>
      </w:pPr>
      <w:r>
        <w:rPr>
          <w:rFonts w:hint="eastAsia" w:ascii="仿宋_GB2312" w:hAnsi="仿宋_GB2312" w:cs="仿宋_GB2312"/>
          <w:color w:val="auto"/>
        </w:rPr>
        <w:t>金融服务的覆盖面和普惠性有待提高，</w:t>
      </w:r>
      <w:r>
        <w:rPr>
          <w:rFonts w:ascii="仿宋_GB2312" w:hAnsi="仿宋_GB2312" w:cs="仿宋_GB2312"/>
          <w:color w:val="auto"/>
        </w:rPr>
        <w:t>普惠金融产品仍需丰富</w:t>
      </w:r>
      <w:r>
        <w:rPr>
          <w:rFonts w:hint="eastAsia" w:ascii="仿宋_GB2312" w:hAnsi="仿宋_GB2312" w:cs="仿宋_GB2312"/>
          <w:color w:val="auto"/>
        </w:rPr>
        <w:t>。</w:t>
      </w:r>
      <w:r>
        <w:rPr>
          <w:rFonts w:hint="eastAsia" w:ascii="仿宋_GB2312" w:hAnsi="仿宋_GB2312" w:cs="仿宋_GB2312"/>
          <w:color w:val="auto"/>
          <w:lang w:eastAsia="zh-CN"/>
        </w:rPr>
        <w:t>现有</w:t>
      </w:r>
      <w:r>
        <w:rPr>
          <w:rFonts w:hint="eastAsia" w:ascii="仿宋_GB2312" w:hAnsi="仿宋_GB2312" w:cs="仿宋_GB2312"/>
          <w:color w:val="auto"/>
        </w:rPr>
        <w:t>融资模式与城市</w:t>
      </w:r>
      <w:r>
        <w:rPr>
          <w:rFonts w:hint="eastAsia" w:ascii="仿宋_GB2312" w:hAnsi="仿宋_GB2312" w:cs="仿宋_GB2312"/>
          <w:color w:val="auto"/>
          <w:lang w:eastAsia="zh-CN"/>
        </w:rPr>
        <w:t>更新</w:t>
      </w:r>
      <w:r>
        <w:rPr>
          <w:rFonts w:hint="eastAsia" w:ascii="仿宋_GB2312" w:hAnsi="仿宋_GB2312" w:cs="仿宋_GB2312"/>
          <w:color w:val="auto"/>
        </w:rPr>
        <w:t>项目需求不匹配，资产证券化、基础设施公募基金REITs案例较少。</w:t>
      </w:r>
      <w:r>
        <w:rPr>
          <w:rFonts w:ascii="仿宋_GB2312" w:hAnsi="仿宋_GB2312" w:cs="仿宋_GB2312"/>
          <w:color w:val="auto"/>
        </w:rPr>
        <w:t>跨境金融、企业上市诉求响应和金融风险识别处置能力仍需提升。</w:t>
      </w:r>
      <w:bookmarkStart w:id="96" w:name="_Toc1368449480"/>
      <w:bookmarkStart w:id="97" w:name="_Toc205561214"/>
      <w:bookmarkStart w:id="98" w:name="_Toc205545928"/>
      <w:bookmarkStart w:id="99" w:name="_Toc1685172739"/>
      <w:bookmarkStart w:id="100" w:name="_Toc242790302"/>
      <w:r>
        <w:rPr>
          <w:rFonts w:hint="eastAsia"/>
          <w:color w:val="auto"/>
        </w:rPr>
        <w:br w:type="page"/>
      </w:r>
    </w:p>
    <w:p w14:paraId="65B66323">
      <w:pPr>
        <w:pStyle w:val="3"/>
        <w:spacing w:before="156" w:after="156"/>
        <w:rPr>
          <w:rFonts w:ascii="仿宋_GB2312" w:hAnsi="仿宋_GB2312" w:eastAsia="仿宋_GB2312" w:cs="仿宋_GB2312"/>
          <w:color w:val="auto"/>
        </w:rPr>
      </w:pPr>
      <w:bookmarkStart w:id="101" w:name="_Toc1263567574_WPSOffice_Level1"/>
      <w:bookmarkStart w:id="102" w:name="_Toc833625295"/>
      <w:bookmarkStart w:id="103" w:name="_Toc1290569896"/>
      <w:bookmarkStart w:id="104" w:name="_Toc2041297686"/>
      <w:r>
        <w:rPr>
          <w:rFonts w:hint="eastAsia"/>
          <w:color w:val="auto"/>
        </w:rPr>
        <w:t>第二章 发展形势</w:t>
      </w:r>
      <w:bookmarkEnd w:id="96"/>
      <w:bookmarkEnd w:id="97"/>
      <w:bookmarkEnd w:id="98"/>
      <w:bookmarkEnd w:id="99"/>
      <w:bookmarkEnd w:id="100"/>
      <w:bookmarkEnd w:id="101"/>
      <w:bookmarkEnd w:id="102"/>
      <w:bookmarkEnd w:id="103"/>
      <w:bookmarkEnd w:id="104"/>
    </w:p>
    <w:p w14:paraId="4D8C38D4">
      <w:pPr>
        <w:ind w:firstLine="640"/>
        <w:rPr>
          <w:rFonts w:ascii="仿宋_GB2312" w:hAnsi="仿宋_GB2312" w:cs="仿宋_GB2312"/>
          <w:color w:val="auto"/>
        </w:rPr>
      </w:pPr>
      <w:r>
        <w:rPr>
          <w:rFonts w:hint="eastAsia" w:ascii="仿宋_GB2312" w:hAnsi="仿宋_GB2312" w:cs="仿宋_GB2312"/>
          <w:color w:val="auto"/>
        </w:rPr>
        <w:t>“十五五”时期是我国基本实现社会主义现代化承前启后的关键时期。昌平区金融业发展必须深刻把握国家及北京市政策导向，积极融入国家战略，为区域发展提供强有力金融支撑。</w:t>
      </w:r>
    </w:p>
    <w:p w14:paraId="55E6FC25">
      <w:pPr>
        <w:pStyle w:val="4"/>
        <w:ind w:firstLine="640"/>
        <w:jc w:val="both"/>
        <w:rPr>
          <w:color w:val="auto"/>
        </w:rPr>
      </w:pPr>
      <w:bookmarkStart w:id="105" w:name="_Toc187960102"/>
      <w:bookmarkStart w:id="106" w:name="_Toc61814117_WPSOffice_Level2"/>
      <w:bookmarkStart w:id="107" w:name="_Toc1338296434"/>
      <w:r>
        <w:rPr>
          <w:rFonts w:hint="eastAsia"/>
          <w:color w:val="auto"/>
        </w:rPr>
        <w:t>一、发展环境</w:t>
      </w:r>
      <w:bookmarkEnd w:id="105"/>
      <w:bookmarkEnd w:id="106"/>
      <w:bookmarkEnd w:id="107"/>
    </w:p>
    <w:p w14:paraId="24B5F18F">
      <w:pPr>
        <w:pStyle w:val="5"/>
        <w:ind w:firstLine="640"/>
        <w:jc w:val="both"/>
        <w:rPr>
          <w:rFonts w:ascii="楷体_GB2312" w:hAnsi="楷体_GB2312" w:cs="楷体_GB2312"/>
          <w:color w:val="auto"/>
        </w:rPr>
      </w:pPr>
      <w:bookmarkStart w:id="108" w:name="_Toc1765755977"/>
      <w:bookmarkStart w:id="109" w:name="_Toc1978009101_WPSOffice_Level3"/>
      <w:bookmarkStart w:id="110" w:name="_Toc1524164942"/>
      <w:r>
        <w:rPr>
          <w:rFonts w:hint="eastAsia" w:ascii="楷体_GB2312" w:hAnsi="楷体_GB2312" w:cs="楷体_GB2312"/>
          <w:color w:val="auto"/>
        </w:rPr>
        <w:t>（一）国际发展环境</w:t>
      </w:r>
      <w:bookmarkEnd w:id="108"/>
      <w:bookmarkEnd w:id="109"/>
      <w:bookmarkEnd w:id="110"/>
    </w:p>
    <w:p w14:paraId="7EE081D1">
      <w:pPr>
        <w:ind w:firstLine="640"/>
        <w:rPr>
          <w:rFonts w:ascii="仿宋_GB2312" w:hAnsi="仿宋_GB2312" w:cs="仿宋_GB2312"/>
          <w:b w:val="0"/>
          <w:bCs w:val="0"/>
          <w:color w:val="auto"/>
        </w:rPr>
      </w:pPr>
      <w:r>
        <w:rPr>
          <w:rFonts w:hint="eastAsia" w:ascii="仿宋_GB2312" w:hAnsi="仿宋_GB2312" w:cs="仿宋_GB2312"/>
          <w:b w:val="0"/>
          <w:bCs w:val="0"/>
          <w:color w:val="auto"/>
        </w:rPr>
        <w:t>全球经济金融格局深度调整。地缘冲突与供应链重构带来的实体经济风险向金融领域传导。昌平区生物医药、先进制造等产业面临生产成本攀升与国际市场拓展放缓的双重压力，将对银行信贷资产质量与保险、担保等跨境金融业务的稳定开展构成潜在威胁。世界主要经济体货币政策急速调整，对前沿科技的投入</w:t>
      </w:r>
      <w:r>
        <w:rPr>
          <w:rFonts w:hint="eastAsia" w:ascii="仿宋_GB2312" w:hAnsi="仿宋_GB2312" w:cs="仿宋_GB2312"/>
          <w:b w:val="0"/>
          <w:bCs w:val="0"/>
          <w:color w:val="auto"/>
          <w:lang w:eastAsia="zh-CN"/>
        </w:rPr>
        <w:t>加大</w:t>
      </w:r>
      <w:r>
        <w:rPr>
          <w:rFonts w:hint="eastAsia" w:ascii="仿宋_GB2312" w:hAnsi="仿宋_GB2312" w:cs="仿宋_GB2312"/>
          <w:b w:val="0"/>
          <w:bCs w:val="0"/>
          <w:color w:val="auto"/>
        </w:rPr>
        <w:t>，其外溢效应与全球债务压力高企相互叠加，对风险防控能力提出更高要求。</w:t>
      </w:r>
    </w:p>
    <w:p w14:paraId="50019550">
      <w:pPr>
        <w:pStyle w:val="5"/>
        <w:ind w:firstLine="640"/>
        <w:jc w:val="both"/>
        <w:rPr>
          <w:rFonts w:ascii="楷体_GB2312" w:hAnsi="楷体_GB2312" w:cs="楷体_GB2312"/>
          <w:color w:val="auto"/>
        </w:rPr>
      </w:pPr>
      <w:bookmarkStart w:id="111" w:name="_Toc459294104"/>
      <w:bookmarkStart w:id="112" w:name="_Toc439753421"/>
      <w:bookmarkStart w:id="113" w:name="_Toc433096310_WPSOffice_Level3"/>
      <w:r>
        <w:rPr>
          <w:rFonts w:hint="eastAsia" w:ascii="楷体_GB2312" w:hAnsi="楷体_GB2312" w:cs="楷体_GB2312"/>
          <w:color w:val="auto"/>
        </w:rPr>
        <w:t>（二）国内发展环境</w:t>
      </w:r>
      <w:bookmarkEnd w:id="111"/>
      <w:bookmarkEnd w:id="112"/>
      <w:bookmarkEnd w:id="113"/>
    </w:p>
    <w:p w14:paraId="1A25DF88">
      <w:pPr>
        <w:ind w:firstLine="640"/>
        <w:rPr>
          <w:rFonts w:hint="eastAsia" w:ascii="仿宋_GB2312" w:hAnsi="仿宋_GB2312" w:cs="仿宋_GB2312"/>
          <w:color w:val="auto"/>
        </w:rPr>
      </w:pPr>
      <w:r>
        <w:rPr>
          <w:rFonts w:hint="eastAsia" w:ascii="仿宋_GB2312" w:hAnsi="仿宋_GB2312" w:cs="仿宋_GB2312"/>
          <w:b w:val="0"/>
          <w:bCs w:val="0"/>
          <w:color w:val="auto"/>
        </w:rPr>
        <w:t>我国迎来从金融大国迈向金融强国的关键跃升期。</w:t>
      </w:r>
      <w:r>
        <w:rPr>
          <w:rFonts w:hint="eastAsia" w:ascii="仿宋_GB2312" w:hAnsi="仿宋_GB2312" w:cs="仿宋_GB2312"/>
          <w:color w:val="auto"/>
        </w:rPr>
        <w:t>健全宏观治理体系，推动金融政策与财政、产业政策协同发力，严防系统性风险，为金融规划划定改革方向和安全边界。中国特色金融发展之路的“八个坚持”，明确以推进金融高质量发展为主题，做好</w:t>
      </w:r>
      <w:r>
        <w:rPr>
          <w:rFonts w:hint="eastAsia" w:ascii="仿宋_GB2312" w:hAnsi="仿宋_GB2312" w:cs="仿宋_GB2312"/>
          <w:color w:val="auto"/>
          <w:lang w:eastAsia="zh-CN"/>
        </w:rPr>
        <w:t>金融</w:t>
      </w:r>
      <w:r>
        <w:rPr>
          <w:rFonts w:hint="eastAsia" w:ascii="仿宋_GB2312" w:hAnsi="仿宋_GB2312" w:cs="仿宋_GB2312"/>
          <w:color w:val="auto"/>
        </w:rPr>
        <w:t>“五篇大文章”，为金融创新提供战略指引。</w:t>
      </w:r>
    </w:p>
    <w:p w14:paraId="6460D9F7">
      <w:pPr>
        <w:ind w:firstLine="640"/>
        <w:rPr>
          <w:rFonts w:ascii="仿宋_GB2312" w:hAnsi="仿宋_GB2312" w:cs="仿宋_GB2312"/>
          <w:color w:val="auto"/>
        </w:rPr>
      </w:pPr>
      <w:r>
        <w:rPr>
          <w:rFonts w:hint="eastAsia" w:ascii="仿宋_GB2312" w:hAnsi="仿宋_GB2312" w:cs="仿宋_GB2312"/>
          <w:b w:val="0"/>
          <w:bCs w:val="0"/>
          <w:color w:val="auto"/>
        </w:rPr>
        <w:t>北京市强化国家金融管理中心功能，打造科技金融发展、金融对外开放、资本市场改革开放的新高地</w:t>
      </w:r>
      <w:r>
        <w:rPr>
          <w:rFonts w:hint="eastAsia" w:ascii="仿宋_GB2312" w:hAnsi="仿宋_GB2312" w:cs="仿宋_GB2312"/>
          <w:b w:val="0"/>
          <w:bCs w:val="0"/>
          <w:color w:val="auto"/>
          <w:lang w:eastAsia="zh-CN"/>
        </w:rPr>
        <w:t>，</w:t>
      </w:r>
      <w:r>
        <w:rPr>
          <w:rFonts w:hint="eastAsia" w:ascii="仿宋_GB2312" w:hAnsi="仿宋_GB2312" w:cs="仿宋_GB2312"/>
          <w:color w:val="auto"/>
        </w:rPr>
        <w:t>构建“1+N”首都金融“五篇大文章”政策体系。在科技创新金融服务方面，积极培育耐心资本，深化中关村科创金融改革试验区建设，为昌平区科创金融发展提供指引。在实体经济融资服务方面，完善多层次金融市场体系，为昌平区金融营商环境优化制定路径。在金融惠民利民服务方面，加大对健康产业、银发经济的金融支持，持续优化外币支付服务，为昌平区金融重点领域创新突破提供支撑。</w:t>
      </w:r>
    </w:p>
    <w:p w14:paraId="3EA12ED9">
      <w:pPr>
        <w:pStyle w:val="4"/>
        <w:ind w:firstLine="640"/>
        <w:jc w:val="both"/>
        <w:rPr>
          <w:color w:val="auto"/>
        </w:rPr>
      </w:pPr>
      <w:bookmarkStart w:id="114" w:name="_Toc1789827644_WPSOffice_Level2"/>
      <w:bookmarkStart w:id="115" w:name="_Toc27928161"/>
      <w:bookmarkStart w:id="116" w:name="_Toc169562127"/>
      <w:r>
        <w:rPr>
          <w:rFonts w:hint="eastAsia"/>
          <w:color w:val="auto"/>
        </w:rPr>
        <w:t>二、机遇与挑战</w:t>
      </w:r>
      <w:bookmarkEnd w:id="114"/>
      <w:bookmarkEnd w:id="115"/>
      <w:bookmarkEnd w:id="116"/>
    </w:p>
    <w:p w14:paraId="635FF6AD">
      <w:pPr>
        <w:pStyle w:val="5"/>
        <w:ind w:firstLine="640"/>
        <w:jc w:val="both"/>
        <w:rPr>
          <w:rFonts w:hint="eastAsia" w:ascii="楷体_GB2312" w:hAnsi="楷体_GB2312" w:cs="楷体_GB2312"/>
          <w:color w:val="auto"/>
        </w:rPr>
      </w:pPr>
      <w:bookmarkStart w:id="117" w:name="_Toc747792039"/>
      <w:bookmarkStart w:id="118" w:name="_Toc1554774066_WPSOffice_Level3"/>
      <w:bookmarkStart w:id="119" w:name="_Toc2048872286"/>
      <w:r>
        <w:rPr>
          <w:rFonts w:hint="eastAsia" w:ascii="楷体_GB2312" w:hAnsi="楷体_GB2312" w:cs="楷体_GB2312"/>
          <w:color w:val="auto"/>
        </w:rPr>
        <w:t>（一）战略框架与产业基础为金融扩容提供坚实载体</w:t>
      </w:r>
      <w:bookmarkEnd w:id="117"/>
      <w:bookmarkEnd w:id="118"/>
      <w:bookmarkEnd w:id="119"/>
    </w:p>
    <w:p w14:paraId="74B0EFD2">
      <w:pPr>
        <w:widowControl/>
        <w:numPr>
          <w:ilvl w:val="255"/>
          <w:numId w:val="0"/>
        </w:numPr>
        <w:ind w:firstLine="640" w:firstLineChars="200"/>
        <w:rPr>
          <w:rFonts w:hint="eastAsia" w:ascii="仿宋_GB2312" w:hAnsi="仿宋_GB2312" w:cs="仿宋_GB2312"/>
          <w:color w:val="auto"/>
        </w:rPr>
      </w:pPr>
      <w:r>
        <w:rPr>
          <w:rFonts w:hint="eastAsia" w:ascii="仿宋_GB2312" w:hAnsi="仿宋_GB2312" w:cs="仿宋_GB2312"/>
          <w:color w:val="auto"/>
          <w:lang w:eastAsia="zh-CN"/>
        </w:rPr>
        <w:t>昌平区牢牢把握建设金融强国的关键核心要素和实践路径，扎实做好金融</w:t>
      </w:r>
      <w:r>
        <w:rPr>
          <w:rFonts w:hint="eastAsia" w:ascii="仿宋_GB2312" w:hAnsi="仿宋_GB2312" w:cs="仿宋_GB2312"/>
          <w:color w:val="auto"/>
        </w:rPr>
        <w:t>“五篇大文章”</w:t>
      </w:r>
      <w:r>
        <w:rPr>
          <w:rFonts w:hint="eastAsia" w:ascii="仿宋_GB2312" w:hAnsi="仿宋_GB2312" w:cs="仿宋_GB2312"/>
          <w:color w:val="auto"/>
          <w:lang w:eastAsia="zh-CN"/>
        </w:rPr>
        <w:t>。</w:t>
      </w:r>
      <w:r>
        <w:rPr>
          <w:rFonts w:hint="eastAsia" w:ascii="仿宋_GB2312" w:hAnsi="仿宋_GB2312" w:cs="仿宋_GB2312"/>
          <w:color w:val="auto"/>
        </w:rPr>
        <w:t>“未来新城”的城市定位与“两谷一园”的产业布局</w:t>
      </w:r>
      <w:r>
        <w:rPr>
          <w:rFonts w:hint="eastAsia" w:ascii="仿宋_GB2312" w:hAnsi="仿宋_GB2312" w:cs="仿宋_GB2312"/>
          <w:color w:val="auto"/>
          <w:lang w:eastAsia="zh-CN"/>
        </w:rPr>
        <w:t>，共筑</w:t>
      </w:r>
      <w:r>
        <w:rPr>
          <w:rFonts w:hint="eastAsia" w:ascii="仿宋_GB2312" w:hAnsi="仿宋_GB2312" w:cs="仿宋_GB2312"/>
          <w:color w:val="auto"/>
        </w:rPr>
        <w:t>金融要素集聚与业务创新的深厚土壤。未来科学城“生命谷”“能源谷”的千亿级产业集聚及沙河高教园的科教资源优势，形成</w:t>
      </w:r>
      <w:r>
        <w:rPr>
          <w:rFonts w:hint="eastAsia" w:ascii="仿宋_GB2312" w:hAnsi="仿宋_GB2312" w:cs="仿宋_GB2312"/>
          <w:color w:val="auto"/>
          <w:lang w:eastAsia="zh-CN"/>
        </w:rPr>
        <w:t>了</w:t>
      </w:r>
      <w:r>
        <w:rPr>
          <w:rFonts w:hint="eastAsia" w:ascii="仿宋_GB2312" w:hAnsi="仿宋_GB2312" w:cs="仿宋_GB2312"/>
          <w:color w:val="auto"/>
        </w:rPr>
        <w:t>庞大的创新主体集群与旺盛的产业金融需求。空间承载与产业内核紧密结合，为</w:t>
      </w:r>
      <w:r>
        <w:rPr>
          <w:rFonts w:hint="eastAsia" w:ascii="仿宋_GB2312" w:hAnsi="仿宋_GB2312" w:cs="仿宋_GB2312"/>
          <w:color w:val="auto"/>
          <w:lang w:eastAsia="zh-CN"/>
        </w:rPr>
        <w:t>金融</w:t>
      </w:r>
      <w:r>
        <w:rPr>
          <w:rFonts w:hint="eastAsia" w:ascii="仿宋_GB2312" w:hAnsi="仿宋_GB2312" w:cs="仿宋_GB2312"/>
          <w:color w:val="auto"/>
        </w:rPr>
        <w:t>发展提供了丰富的应用场景。</w:t>
      </w:r>
    </w:p>
    <w:p w14:paraId="5C9197A7">
      <w:pPr>
        <w:pStyle w:val="5"/>
        <w:keepNext w:val="0"/>
        <w:keepLines/>
        <w:pageBreakBefore w:val="0"/>
        <w:widowControl w:val="0"/>
        <w:kinsoku/>
        <w:wordWrap/>
        <w:overflowPunct/>
        <w:topLinePunct w:val="0"/>
        <w:autoSpaceDE/>
        <w:autoSpaceDN/>
        <w:bidi w:val="0"/>
        <w:adjustRightInd/>
        <w:snapToGrid/>
        <w:jc w:val="both"/>
        <w:textAlignment w:val="auto"/>
        <w:rPr>
          <w:rFonts w:ascii="楷体_GB2312" w:hAnsi="楷体_GB2312" w:cs="楷体_GB2312"/>
          <w:color w:val="auto"/>
        </w:rPr>
      </w:pPr>
      <w:bookmarkStart w:id="120" w:name="_Toc2123076488"/>
      <w:bookmarkStart w:id="121" w:name="_Toc1712470974_WPSOffice_Level3"/>
      <w:bookmarkStart w:id="122" w:name="_Toc994236830"/>
      <w:r>
        <w:rPr>
          <w:rFonts w:hint="eastAsia" w:ascii="楷体_GB2312" w:hAnsi="楷体_GB2312" w:cs="楷体_GB2312"/>
          <w:color w:val="auto"/>
        </w:rPr>
        <w:t>（</w:t>
      </w:r>
      <w:r>
        <w:rPr>
          <w:rFonts w:hint="eastAsia" w:ascii="楷体_GB2312" w:hAnsi="楷体_GB2312" w:cs="楷体_GB2312"/>
          <w:color w:val="auto"/>
          <w:lang w:eastAsia="zh-CN"/>
        </w:rPr>
        <w:t>二</w:t>
      </w:r>
      <w:r>
        <w:rPr>
          <w:rFonts w:hint="eastAsia" w:ascii="楷体_GB2312" w:hAnsi="楷体_GB2312" w:cs="楷体_GB2312"/>
          <w:color w:val="auto"/>
        </w:rPr>
        <w:t>）内外环境的复杂多变为金融稳定增添挑战</w:t>
      </w:r>
      <w:bookmarkEnd w:id="120"/>
      <w:bookmarkEnd w:id="121"/>
      <w:bookmarkEnd w:id="122"/>
    </w:p>
    <w:p w14:paraId="697BEDF0">
      <w:pPr>
        <w:ind w:firstLine="640"/>
        <w:rPr>
          <w:color w:val="auto"/>
        </w:rPr>
      </w:pPr>
      <w:r>
        <w:rPr>
          <w:rFonts w:ascii="仿宋_GB2312" w:hAnsi="仿宋_GB2312" w:cs="Times New Roman"/>
          <w:color w:val="auto"/>
        </w:rPr>
        <w:t>贸易保护主义抬头与全球供应链重构持续冲击国际金融稳定</w:t>
      </w:r>
      <w:r>
        <w:rPr>
          <w:rFonts w:hint="eastAsia" w:ascii="仿宋_GB2312" w:hAnsi="仿宋_GB2312" w:cs="Times New Roman"/>
          <w:color w:val="auto"/>
          <w:lang w:eastAsia="zh-CN"/>
        </w:rPr>
        <w:t>。</w:t>
      </w:r>
      <w:r>
        <w:rPr>
          <w:rFonts w:ascii="仿宋_GB2312" w:hAnsi="仿宋_GB2312" w:cs="Times New Roman"/>
          <w:color w:val="auto"/>
        </w:rPr>
        <w:t>经济转型进入攻坚期，重点领域风险仍存。科技革命带来数据安全、算法伦理等监管难题。加强对金融机构的监管，维护区域金融稳定依然是稳步发展金融业的重要任务。</w:t>
      </w:r>
      <w:bookmarkStart w:id="123" w:name="_Toc205561220"/>
      <w:bookmarkStart w:id="124" w:name="_Toc2018737447"/>
      <w:bookmarkStart w:id="125" w:name="_Toc205545934"/>
      <w:bookmarkStart w:id="126" w:name="_Toc1748654260"/>
      <w:bookmarkStart w:id="127" w:name="_Toc204779845"/>
      <w:bookmarkStart w:id="128" w:name="_Toc1460021581"/>
    </w:p>
    <w:p w14:paraId="0D77D956">
      <w:pPr>
        <w:pStyle w:val="3"/>
        <w:spacing w:before="156" w:after="156"/>
        <w:rPr>
          <w:color w:val="auto"/>
        </w:rPr>
        <w:sectPr>
          <w:headerReference r:id="rId11" w:type="default"/>
          <w:footerReference r:id="rId12" w:type="default"/>
          <w:pgSz w:w="11906" w:h="16838"/>
          <w:pgMar w:top="2098" w:right="1531" w:bottom="1984" w:left="1531" w:header="851" w:footer="992" w:gutter="0"/>
          <w:pgNumType w:start="1"/>
          <w:cols w:space="425" w:num="1"/>
          <w:docGrid w:type="lines" w:linePitch="312" w:charSpace="0"/>
        </w:sectPr>
      </w:pPr>
      <w:bookmarkStart w:id="129" w:name="_Toc439591808"/>
    </w:p>
    <w:p w14:paraId="020B7918">
      <w:pPr>
        <w:pStyle w:val="3"/>
        <w:spacing w:before="156" w:after="156"/>
        <w:rPr>
          <w:color w:val="auto"/>
        </w:rPr>
      </w:pPr>
      <w:bookmarkStart w:id="130" w:name="_Toc565601115_WPSOffice_Level1"/>
      <w:bookmarkStart w:id="131" w:name="_Toc3801612"/>
      <w:bookmarkStart w:id="132" w:name="_Toc914150340"/>
      <w:r>
        <w:rPr>
          <w:rFonts w:hint="eastAsia"/>
          <w:color w:val="auto"/>
        </w:rPr>
        <w:t>第三章 发展思路和目标</w:t>
      </w:r>
      <w:bookmarkEnd w:id="123"/>
      <w:bookmarkEnd w:id="124"/>
      <w:bookmarkEnd w:id="125"/>
      <w:bookmarkEnd w:id="126"/>
      <w:bookmarkEnd w:id="127"/>
      <w:bookmarkEnd w:id="128"/>
      <w:bookmarkEnd w:id="129"/>
      <w:bookmarkEnd w:id="130"/>
      <w:bookmarkEnd w:id="131"/>
      <w:bookmarkEnd w:id="132"/>
    </w:p>
    <w:p w14:paraId="04623856">
      <w:pPr>
        <w:pStyle w:val="4"/>
        <w:ind w:firstLine="640"/>
        <w:rPr>
          <w:color w:val="auto"/>
        </w:rPr>
      </w:pPr>
      <w:bookmarkStart w:id="133" w:name="_Toc205561221"/>
      <w:bookmarkStart w:id="134" w:name="_Toc534714411"/>
      <w:bookmarkStart w:id="135" w:name="_Toc204779846"/>
      <w:bookmarkStart w:id="136" w:name="_Toc1692889955_WPSOffice_Level2"/>
      <w:bookmarkStart w:id="137" w:name="_Toc489027851"/>
      <w:bookmarkStart w:id="138" w:name="_Toc1154315091"/>
      <w:bookmarkStart w:id="139" w:name="_Toc1167026684"/>
      <w:bookmarkStart w:id="140" w:name="_Toc831056153"/>
      <w:bookmarkStart w:id="141" w:name="_Toc205545935"/>
      <w:bookmarkStart w:id="142" w:name="_Toc1395594811"/>
      <w:r>
        <w:rPr>
          <w:rFonts w:hint="eastAsia"/>
          <w:color w:val="auto"/>
        </w:rPr>
        <w:t>一、指导思想</w:t>
      </w:r>
      <w:bookmarkEnd w:id="133"/>
      <w:bookmarkEnd w:id="134"/>
      <w:bookmarkEnd w:id="135"/>
      <w:bookmarkEnd w:id="136"/>
      <w:bookmarkEnd w:id="137"/>
      <w:bookmarkEnd w:id="138"/>
      <w:bookmarkEnd w:id="139"/>
      <w:bookmarkEnd w:id="140"/>
      <w:bookmarkEnd w:id="141"/>
      <w:bookmarkEnd w:id="142"/>
    </w:p>
    <w:p w14:paraId="5695696A">
      <w:pPr>
        <w:adjustRightInd w:val="0"/>
        <w:ind w:firstLine="640"/>
        <w:rPr>
          <w:rFonts w:ascii="仿宋_GB2312" w:hAnsi="仿宋_GB2312" w:cs="Times New Roman"/>
          <w:color w:val="auto"/>
        </w:rPr>
      </w:pPr>
      <w:bookmarkStart w:id="143" w:name="_Toc205545936"/>
      <w:bookmarkStart w:id="144" w:name="_Toc204779847"/>
      <w:bookmarkStart w:id="145" w:name="_Toc1993738379"/>
      <w:bookmarkStart w:id="146" w:name="_Toc205561222"/>
      <w:r>
        <w:rPr>
          <w:rFonts w:ascii="仿宋_GB2312" w:hAnsi="仿宋_GB2312" w:cs="Times New Roman"/>
          <w:color w:val="auto"/>
        </w:rPr>
        <w:t>以习近平新时代中国特色社会主义思想为指导，深入贯彻落实党的二十大、二十届</w:t>
      </w:r>
      <w:r>
        <w:rPr>
          <w:rFonts w:hint="eastAsia" w:ascii="仿宋_GB2312" w:hAnsi="仿宋_GB2312" w:cs="Times New Roman"/>
          <w:color w:val="auto"/>
        </w:rPr>
        <w:t>历次</w:t>
      </w:r>
      <w:r>
        <w:rPr>
          <w:rFonts w:ascii="仿宋_GB2312" w:hAnsi="仿宋_GB2312" w:cs="Times New Roman"/>
          <w:color w:val="auto"/>
        </w:rPr>
        <w:t>全会</w:t>
      </w:r>
      <w:r>
        <w:rPr>
          <w:rFonts w:hint="eastAsia" w:ascii="仿宋_GB2312" w:hAnsi="仿宋_GB2312" w:cs="Times New Roman"/>
          <w:color w:val="auto"/>
        </w:rPr>
        <w:t>、</w:t>
      </w:r>
      <w:r>
        <w:rPr>
          <w:rFonts w:ascii="仿宋_GB2312" w:hAnsi="仿宋_GB2312" w:cs="Times New Roman"/>
          <w:color w:val="auto"/>
        </w:rPr>
        <w:t>中央经济工作会议和中央金融工作会议精神，</w:t>
      </w:r>
      <w:r>
        <w:rPr>
          <w:rFonts w:hint="eastAsia" w:ascii="仿宋_GB2312" w:hAnsi="仿宋_GB2312" w:cs="Times New Roman"/>
          <w:color w:val="auto"/>
          <w:lang w:eastAsia="zh-CN"/>
        </w:rPr>
        <w:t>完整准确全面贯彻新发展理念，</w:t>
      </w:r>
      <w:r>
        <w:rPr>
          <w:rFonts w:ascii="仿宋_GB2312" w:hAnsi="仿宋_GB2312" w:cs="Times New Roman"/>
          <w:color w:val="auto"/>
        </w:rPr>
        <w:t>牢牢把握建设金融强国的关键核心要素和实践路径，坚持把金融服务实体经济作为根本宗旨，扎实做好“科技金融、绿色金融、普惠金融、养老金融、数字金融”五篇文章。紧扣“五子”联动融入新发展格局，</w:t>
      </w:r>
      <w:r>
        <w:rPr>
          <w:rFonts w:hint="eastAsia" w:ascii="仿宋_GB2312" w:hAnsi="仿宋_GB2312" w:cs="Times New Roman"/>
          <w:color w:val="auto"/>
        </w:rPr>
        <w:t>将</w:t>
      </w:r>
      <w:r>
        <w:rPr>
          <w:rFonts w:ascii="仿宋_GB2312" w:hAnsi="仿宋_GB2312" w:cs="Times New Roman"/>
          <w:color w:val="auto"/>
        </w:rPr>
        <w:t>平原新城高质量发展实施方案</w:t>
      </w:r>
      <w:r>
        <w:rPr>
          <w:rFonts w:hint="eastAsia" w:ascii="仿宋_GB2312" w:hAnsi="仿宋_GB2312" w:cs="Times New Roman"/>
          <w:color w:val="auto"/>
        </w:rPr>
        <w:t>作</w:t>
      </w:r>
      <w:r>
        <w:rPr>
          <w:rFonts w:ascii="仿宋_GB2312" w:hAnsi="仿宋_GB2312" w:cs="Times New Roman"/>
          <w:color w:val="auto"/>
        </w:rPr>
        <w:t>为</w:t>
      </w:r>
      <w:r>
        <w:rPr>
          <w:rFonts w:hint="eastAsia" w:ascii="仿宋_GB2312" w:hAnsi="仿宋_GB2312" w:cs="Times New Roman"/>
          <w:color w:val="auto"/>
        </w:rPr>
        <w:t>重要指引</w:t>
      </w:r>
      <w:r>
        <w:rPr>
          <w:rFonts w:ascii="仿宋_GB2312" w:hAnsi="仿宋_GB2312" w:cs="Times New Roman"/>
          <w:color w:val="auto"/>
        </w:rPr>
        <w:t>，全面加快“四区”建设，</w:t>
      </w:r>
      <w:r>
        <w:rPr>
          <w:rFonts w:hint="eastAsia" w:ascii="仿宋_GB2312" w:hAnsi="仿宋_GB2312" w:cs="Times New Roman"/>
          <w:color w:val="auto"/>
        </w:rPr>
        <w:t>主动融入中关村科创金融改革试验区建设全局，推动金融要素聚集、金融服务创新、金融市场繁荣、金融扩大开放，构建功能齐全、服务高效、支撑有力、风险可控的金融体系。</w:t>
      </w:r>
    </w:p>
    <w:bookmarkEnd w:id="143"/>
    <w:bookmarkEnd w:id="144"/>
    <w:bookmarkEnd w:id="145"/>
    <w:bookmarkEnd w:id="146"/>
    <w:p w14:paraId="41853FB5">
      <w:pPr>
        <w:pStyle w:val="4"/>
        <w:ind w:firstLine="640"/>
        <w:rPr>
          <w:rFonts w:ascii="黑体" w:hAnsi="黑体" w:cs="黑体"/>
          <w:color w:val="auto"/>
        </w:rPr>
      </w:pPr>
      <w:bookmarkStart w:id="147" w:name="_Toc46752190"/>
      <w:bookmarkStart w:id="148" w:name="_Toc1535752356"/>
      <w:bookmarkStart w:id="149" w:name="_Toc2035889569"/>
      <w:bookmarkStart w:id="150" w:name="_Toc779304947"/>
      <w:bookmarkStart w:id="151" w:name="_Toc205561229"/>
      <w:bookmarkStart w:id="152" w:name="_Toc1536916588"/>
      <w:bookmarkStart w:id="153" w:name="_Toc1865911098"/>
      <w:bookmarkStart w:id="154" w:name="_Toc204779854"/>
      <w:bookmarkStart w:id="155" w:name="_Toc205545943"/>
      <w:bookmarkStart w:id="156" w:name="_Toc1622423109_WPSOffice_Level2"/>
      <w:r>
        <w:rPr>
          <w:rFonts w:hint="eastAsia" w:ascii="黑体" w:hAnsi="黑体" w:cs="黑体"/>
          <w:color w:val="auto"/>
        </w:rPr>
        <w:t>二、发展目标</w:t>
      </w:r>
      <w:bookmarkEnd w:id="147"/>
      <w:bookmarkEnd w:id="148"/>
      <w:bookmarkEnd w:id="149"/>
      <w:bookmarkEnd w:id="150"/>
      <w:bookmarkEnd w:id="151"/>
      <w:bookmarkEnd w:id="152"/>
      <w:bookmarkEnd w:id="153"/>
      <w:bookmarkEnd w:id="154"/>
      <w:bookmarkEnd w:id="155"/>
      <w:bookmarkEnd w:id="156"/>
      <w:r>
        <w:rPr>
          <w:rFonts w:hint="eastAsia" w:ascii="黑体" w:hAnsi="黑体" w:cs="黑体"/>
          <w:color w:val="auto"/>
        </w:rPr>
        <w:t xml:space="preserve"> </w:t>
      </w:r>
    </w:p>
    <w:p w14:paraId="6B884E8D">
      <w:pPr>
        <w:ind w:firstLine="640"/>
        <w:rPr>
          <w:color w:val="auto"/>
        </w:rPr>
      </w:pPr>
      <w:bookmarkStart w:id="157" w:name="_Toc2146730499"/>
      <w:bookmarkStart w:id="158" w:name="_Toc1815869999"/>
      <w:bookmarkStart w:id="159" w:name="_Toc1043271076"/>
      <w:bookmarkStart w:id="160" w:name="_Toc204779855"/>
      <w:bookmarkStart w:id="161" w:name="_Toc205545944"/>
      <w:bookmarkStart w:id="162" w:name="_Toc205561230"/>
      <w:r>
        <w:rPr>
          <w:color w:val="auto"/>
        </w:rPr>
        <w:t>贯彻落实党中央、北京市市委关于金融工作的总体战略，把握推动金融高质量发展、建设金融强国的历史机遇，下好中关村科创金融改革试验区发展的</w:t>
      </w:r>
      <w:r>
        <w:rPr>
          <w:rFonts w:hint="eastAsia"/>
          <w:color w:val="auto"/>
        </w:rPr>
        <w:t>“</w:t>
      </w:r>
      <w:r>
        <w:rPr>
          <w:color w:val="auto"/>
        </w:rPr>
        <w:t>先手棋</w:t>
      </w:r>
      <w:r>
        <w:rPr>
          <w:rFonts w:hint="eastAsia"/>
          <w:color w:val="auto"/>
        </w:rPr>
        <w:t>”</w:t>
      </w:r>
      <w:r>
        <w:rPr>
          <w:color w:val="auto"/>
        </w:rPr>
        <w:t>。聚焦新质生产力培育需求，健全</w:t>
      </w:r>
      <w:r>
        <w:rPr>
          <w:rFonts w:hint="eastAsia"/>
          <w:color w:val="auto"/>
        </w:rPr>
        <w:t>“股</w:t>
      </w:r>
      <w:r>
        <w:rPr>
          <w:color w:val="auto"/>
        </w:rPr>
        <w:t>贷债保</w:t>
      </w:r>
      <w:r>
        <w:rPr>
          <w:rFonts w:hint="eastAsia"/>
          <w:color w:val="auto"/>
        </w:rPr>
        <w:t>投”</w:t>
      </w:r>
      <w:r>
        <w:rPr>
          <w:color w:val="auto"/>
        </w:rPr>
        <w:t>联动服务机制，</w:t>
      </w:r>
      <w:r>
        <w:rPr>
          <w:rFonts w:hint="eastAsia"/>
          <w:color w:val="auto"/>
          <w:lang w:eastAsia="zh-CN"/>
        </w:rPr>
        <w:t>打造“</w:t>
      </w:r>
      <w:r>
        <w:rPr>
          <w:rFonts w:hint="eastAsia" w:ascii="Times New Roman" w:hAnsi="Times New Roman" w:eastAsia="仿宋_GB2312" w:cs="Times New Roman"/>
          <w:sz w:val="32"/>
          <w:szCs w:val="32"/>
        </w:rPr>
        <w:t>昌平·金立方</w:t>
      </w:r>
      <w:r>
        <w:rPr>
          <w:rFonts w:hint="eastAsia"/>
          <w:color w:val="auto"/>
          <w:lang w:eastAsia="zh-CN"/>
        </w:rPr>
        <w:t>”</w:t>
      </w:r>
      <w:r>
        <w:rPr>
          <w:rFonts w:hint="eastAsia" w:ascii="仿宋_GB2312" w:hAnsi="仿宋_GB2312" w:cs="仿宋_GB2312"/>
          <w:b w:val="0"/>
          <w:bCs w:val="0"/>
          <w:color w:val="auto"/>
        </w:rPr>
        <w:t>金融营商环境品牌</w:t>
      </w:r>
      <w:r>
        <w:rPr>
          <w:color w:val="auto"/>
        </w:rPr>
        <w:t>，加快建设科创金融示范区和耐心资本集聚区</w:t>
      </w:r>
      <w:r>
        <w:rPr>
          <w:rFonts w:hint="eastAsia"/>
          <w:color w:val="auto"/>
        </w:rPr>
        <w:t>。</w:t>
      </w:r>
      <w:r>
        <w:rPr>
          <w:color w:val="auto"/>
        </w:rPr>
        <w:t>共制定</w:t>
      </w:r>
      <w:r>
        <w:rPr>
          <w:rFonts w:hint="eastAsia" w:ascii="仿宋_GB2312" w:hAnsi="仿宋_GB2312" w:cs="仿宋_GB2312"/>
          <w:color w:val="auto"/>
        </w:rPr>
        <w:t>5</w:t>
      </w:r>
      <w:r>
        <w:rPr>
          <w:color w:val="auto"/>
        </w:rPr>
        <w:t>个方面</w:t>
      </w:r>
      <w:r>
        <w:rPr>
          <w:rFonts w:hint="eastAsia"/>
          <w:color w:val="auto"/>
        </w:rPr>
        <w:t>的</w:t>
      </w:r>
      <w:r>
        <w:rPr>
          <w:color w:val="auto"/>
        </w:rPr>
        <w:t>任务：</w:t>
      </w:r>
      <w:bookmarkEnd w:id="157"/>
      <w:bookmarkEnd w:id="158"/>
    </w:p>
    <w:bookmarkEnd w:id="159"/>
    <w:bookmarkEnd w:id="160"/>
    <w:bookmarkEnd w:id="161"/>
    <w:bookmarkEnd w:id="162"/>
    <w:p w14:paraId="0C5BE0DE">
      <w:pPr>
        <w:ind w:firstLine="643"/>
        <w:rPr>
          <w:color w:val="auto"/>
          <w:highlight w:val="none"/>
        </w:rPr>
      </w:pPr>
      <w:r>
        <w:rPr>
          <w:rFonts w:hint="eastAsia" w:ascii="仿宋_GB2312" w:hAnsi="仿宋_GB2312" w:cs="仿宋_GB2312"/>
          <w:b/>
          <w:bCs/>
          <w:color w:val="auto"/>
        </w:rPr>
        <w:t>1.金融行</w:t>
      </w:r>
      <w:r>
        <w:rPr>
          <w:rFonts w:hint="eastAsia"/>
          <w:b/>
          <w:bCs/>
          <w:color w:val="auto"/>
        </w:rPr>
        <w:t>业综合贡献稳步提升。</w:t>
      </w:r>
      <w:r>
        <w:rPr>
          <w:rFonts w:hint="eastAsia"/>
          <w:color w:val="auto"/>
        </w:rPr>
        <w:t>基于昌平区金融业当前发展态势及未来增长潜力，金融业增加值力争在“十五五”时期末全年总量达到</w:t>
      </w:r>
      <w:r>
        <w:rPr>
          <w:rFonts w:hint="eastAsia" w:ascii="仿宋_GB2312" w:hAnsi="仿宋_GB2312" w:cs="仿宋_GB2312"/>
          <w:color w:val="auto"/>
        </w:rPr>
        <w:t>150</w:t>
      </w:r>
      <w:r>
        <w:rPr>
          <w:rFonts w:hint="eastAsia"/>
          <w:color w:val="auto"/>
        </w:rPr>
        <w:t>亿元，</w:t>
      </w:r>
      <w:r>
        <w:rPr>
          <w:rFonts w:hint="eastAsia"/>
          <w:color w:val="auto"/>
          <w:highlight w:val="none"/>
        </w:rPr>
        <w:t>金融业在区域经济发展的贡献度达到</w:t>
      </w:r>
      <w:r>
        <w:rPr>
          <w:rFonts w:hint="eastAsia" w:ascii="仿宋_GB2312" w:hAnsi="仿宋_GB2312" w:cs="仿宋_GB2312"/>
          <w:color w:val="auto"/>
          <w:highlight w:val="none"/>
        </w:rPr>
        <w:t>10%</w:t>
      </w:r>
      <w:r>
        <w:rPr>
          <w:rFonts w:hint="eastAsia"/>
          <w:color w:val="auto"/>
          <w:highlight w:val="none"/>
        </w:rPr>
        <w:t>。加大持牌金融机构引进，争取实现央企资本公司等专业化机构零的突破。</w:t>
      </w:r>
    </w:p>
    <w:p w14:paraId="25014420">
      <w:pPr>
        <w:ind w:firstLine="643"/>
        <w:rPr>
          <w:rFonts w:ascii="仿宋_GB2312" w:hAnsi="仿宋_GB2312" w:cs="仿宋_GB2312"/>
          <w:color w:val="auto"/>
          <w:highlight w:val="none"/>
        </w:rPr>
      </w:pPr>
      <w:r>
        <w:rPr>
          <w:rFonts w:hint="eastAsia" w:ascii="仿宋_GB2312" w:hAnsi="仿宋_GB2312" w:cs="仿宋_GB2312"/>
          <w:b/>
          <w:bCs/>
          <w:color w:val="auto"/>
          <w:highlight w:val="none"/>
        </w:rPr>
        <w:t>2.金融资源供给能力持续扩大。</w:t>
      </w:r>
      <w:r>
        <w:rPr>
          <w:rFonts w:hint="eastAsia" w:ascii="仿宋_GB2312" w:hAnsi="仿宋_GB2312" w:cs="仿宋_GB2312"/>
          <w:color w:val="auto"/>
          <w:highlight w:val="none"/>
        </w:rPr>
        <w:t>本外币存贷款余额突破9000亿元，持续优化信贷结构，重点保障主导产业和重点项目的中长期资金需求。银行货币信贷从外延式扩张转向内涵式发展，促进银行利息净收入和手续费及佣金净收入稳定增长，到“十五五”时期末力争全年总量达到75亿元。</w:t>
      </w:r>
    </w:p>
    <w:p w14:paraId="5D2ADC2C">
      <w:pPr>
        <w:ind w:firstLine="643"/>
        <w:rPr>
          <w:rFonts w:ascii="仿宋_GB2312" w:hAnsi="仿宋_GB2312" w:cs="仿宋_GB2312"/>
          <w:color w:val="auto"/>
        </w:rPr>
      </w:pPr>
      <w:r>
        <w:rPr>
          <w:rFonts w:hint="eastAsia" w:ascii="仿宋_GB2312" w:hAnsi="仿宋_GB2312" w:cs="仿宋_GB2312"/>
          <w:b/>
          <w:bCs/>
          <w:color w:val="auto"/>
          <w:highlight w:val="none"/>
        </w:rPr>
        <w:t>3.政府资金引导效应更加明显。</w:t>
      </w:r>
      <w:r>
        <w:rPr>
          <w:rFonts w:hint="eastAsia" w:ascii="仿宋_GB2312" w:hAnsi="仿宋_GB2312" w:cs="仿宋_GB2312"/>
          <w:color w:val="auto"/>
          <w:highlight w:val="none"/>
        </w:rPr>
        <w:t>政府性投资基金群规模达到700亿元以上，社会化基金群规模突破2</w:t>
      </w:r>
      <w:r>
        <w:rPr>
          <w:rFonts w:hint="eastAsia" w:ascii="仿宋_GB2312" w:hAnsi="仿宋_GB2312" w:cs="仿宋_GB2312"/>
          <w:color w:val="auto"/>
          <w:highlight w:val="none"/>
          <w:lang w:eastAsia="zh-CN"/>
        </w:rPr>
        <w:t>0</w:t>
      </w:r>
      <w:r>
        <w:rPr>
          <w:rFonts w:hint="eastAsia" w:ascii="仿宋_GB2312" w:hAnsi="仿宋_GB2312" w:cs="仿宋_GB2312"/>
          <w:color w:val="auto"/>
          <w:highlight w:val="none"/>
        </w:rPr>
        <w:t>00亿元</w:t>
      </w:r>
      <w:r>
        <w:rPr>
          <w:rFonts w:hint="eastAsia" w:ascii="仿宋_GB2312" w:hAnsi="仿宋_GB2312" w:cs="仿宋_GB2312"/>
          <w:color w:val="auto"/>
        </w:rPr>
        <w:t>，通过发挥政府投资引导带动作用，激发民间投资活力，形成资金合力，重点支持科技创新和产业发展。</w:t>
      </w:r>
    </w:p>
    <w:p w14:paraId="7E291F9A">
      <w:pPr>
        <w:ind w:firstLine="643"/>
        <w:rPr>
          <w:rFonts w:ascii="仿宋_GB2312" w:hAnsi="仿宋_GB2312" w:cs="仿宋_GB2312"/>
          <w:color w:val="auto"/>
        </w:rPr>
      </w:pPr>
      <w:r>
        <w:rPr>
          <w:rFonts w:hint="eastAsia" w:ascii="仿宋_GB2312" w:hAnsi="仿宋_GB2312" w:cs="仿宋_GB2312"/>
          <w:b/>
          <w:bCs/>
          <w:color w:val="auto"/>
        </w:rPr>
        <w:t>4.企业直接融资渠道不断拓宽。</w:t>
      </w:r>
      <w:r>
        <w:rPr>
          <w:rFonts w:hint="eastAsia" w:ascii="仿宋_GB2312" w:hAnsi="仿宋_GB2312" w:cs="仿宋_GB2312"/>
          <w:color w:val="auto"/>
        </w:rPr>
        <w:t>境内外上市企业数量达到45家，新三板及区域性股权市场总值显著增加，形成多层次资本市场协同发展的良好格局。通过培育和引进优质企业，推动企业上市挂牌，拓宽融资渠道，提升企业直接融资比重。</w:t>
      </w:r>
    </w:p>
    <w:p w14:paraId="14D0A2F1">
      <w:pPr>
        <w:ind w:firstLine="643"/>
        <w:rPr>
          <w:rFonts w:ascii="仿宋_GB2312" w:hAnsi="仿宋_GB2312" w:cs="仿宋_GB2312"/>
          <w:color w:val="auto"/>
        </w:rPr>
      </w:pPr>
      <w:r>
        <w:rPr>
          <w:rFonts w:hint="eastAsia" w:ascii="仿宋_GB2312" w:hAnsi="仿宋_GB2312" w:cs="仿宋_GB2312"/>
          <w:b/>
          <w:bCs/>
          <w:color w:val="auto"/>
        </w:rPr>
        <w:t>5.金融风险防控能力全面增强。</w:t>
      </w:r>
      <w:r>
        <w:rPr>
          <w:rFonts w:hint="eastAsia" w:ascii="仿宋_GB2312" w:hAnsi="仿宋_GB2312" w:cs="仿宋_GB2312"/>
          <w:color w:val="auto"/>
        </w:rPr>
        <w:t>建立健全金融风险预警和处置机制，确保金融风险</w:t>
      </w:r>
      <w:r>
        <w:rPr>
          <w:rFonts w:hint="eastAsia" w:ascii="仿宋_GB2312" w:hAnsi="仿宋_GB2312" w:cs="仿宋_GB2312"/>
          <w:color w:val="auto"/>
          <w:lang w:eastAsia="zh-CN"/>
        </w:rPr>
        <w:t>苗头及时发现、快速响应</w:t>
      </w:r>
      <w:r>
        <w:rPr>
          <w:rFonts w:hint="eastAsia" w:ascii="仿宋_GB2312" w:hAnsi="仿宋_GB2312" w:cs="仿宋_GB2312"/>
          <w:color w:val="auto"/>
        </w:rPr>
        <w:t>，有效维护区域金融稳定。通过强化金融监管协调机制，提升金融风险防控能力，守住不发生系统性金融风险的底线。</w:t>
      </w:r>
    </w:p>
    <w:p w14:paraId="13ED87E6">
      <w:pPr>
        <w:widowControl/>
        <w:spacing w:line="240" w:lineRule="auto"/>
        <w:ind w:firstLine="0" w:firstLineChars="0"/>
        <w:jc w:val="center"/>
        <w:outlineLvl w:val="1"/>
        <w:rPr>
          <w:rFonts w:hint="eastAsia" w:ascii="仿宋_GB2312" w:hAnsi="仿宋_GB2312" w:cs="仿宋_GB2312"/>
          <w:b/>
          <w:bCs/>
          <w:color w:val="auto"/>
          <w:szCs w:val="36"/>
          <w:lang w:bidi="ar"/>
        </w:rPr>
      </w:pPr>
      <w:bookmarkStart w:id="163" w:name="_Toc1170406133"/>
      <w:bookmarkStart w:id="164" w:name="_Toc125115617"/>
      <w:bookmarkStart w:id="165" w:name="_Toc1249885670"/>
      <w:bookmarkStart w:id="166" w:name="_Toc72543500_WPSOffice_Level2"/>
      <w:bookmarkStart w:id="167" w:name="_Toc908626288"/>
      <w:bookmarkStart w:id="168" w:name="_Toc132367953_WPSOffice_Level2"/>
    </w:p>
    <w:p w14:paraId="5D7FB668">
      <w:pPr>
        <w:widowControl/>
        <w:spacing w:line="240" w:lineRule="auto"/>
        <w:ind w:firstLine="0" w:firstLineChars="0"/>
        <w:jc w:val="center"/>
        <w:outlineLvl w:val="1"/>
        <w:rPr>
          <w:rFonts w:hint="eastAsia" w:ascii="仿宋_GB2312" w:hAnsi="仿宋_GB2312" w:cs="仿宋_GB2312"/>
          <w:b/>
          <w:bCs/>
          <w:color w:val="auto"/>
          <w:szCs w:val="36"/>
          <w:lang w:bidi="ar"/>
        </w:rPr>
      </w:pPr>
    </w:p>
    <w:p w14:paraId="007052B1">
      <w:pPr>
        <w:widowControl/>
        <w:spacing w:line="240" w:lineRule="auto"/>
        <w:ind w:firstLine="0" w:firstLineChars="0"/>
        <w:jc w:val="center"/>
        <w:outlineLvl w:val="1"/>
        <w:rPr>
          <w:rFonts w:hint="eastAsia" w:ascii="仿宋_GB2312" w:hAnsi="仿宋_GB2312" w:cs="仿宋_GB2312"/>
          <w:b/>
          <w:bCs/>
          <w:color w:val="auto"/>
          <w:szCs w:val="36"/>
          <w:lang w:bidi="ar"/>
        </w:rPr>
      </w:pPr>
    </w:p>
    <w:p w14:paraId="6986876E">
      <w:pPr>
        <w:widowControl/>
        <w:spacing w:line="240" w:lineRule="auto"/>
        <w:ind w:firstLine="0" w:firstLineChars="0"/>
        <w:jc w:val="center"/>
        <w:outlineLvl w:val="1"/>
        <w:rPr>
          <w:rFonts w:ascii="仿宋_GB2312" w:hAnsi="仿宋_GB2312" w:cs="仿宋_GB2312"/>
          <w:b/>
          <w:bCs/>
          <w:color w:val="auto"/>
          <w:szCs w:val="36"/>
          <w:lang w:bidi="ar"/>
        </w:rPr>
      </w:pPr>
      <w:r>
        <w:rPr>
          <w:rFonts w:hint="eastAsia" w:ascii="仿宋_GB2312" w:hAnsi="仿宋_GB2312" w:cs="仿宋_GB2312"/>
          <w:b/>
          <w:bCs/>
          <w:color w:val="auto"/>
          <w:szCs w:val="36"/>
          <w:lang w:bidi="ar"/>
        </w:rPr>
        <w:t>昌平区“十五五”金融建设主要预期指标</w:t>
      </w:r>
      <w:bookmarkEnd w:id="163"/>
      <w:bookmarkEnd w:id="164"/>
      <w:bookmarkEnd w:id="165"/>
      <w:bookmarkEnd w:id="166"/>
      <w:bookmarkEnd w:id="167"/>
      <w:bookmarkEnd w:id="168"/>
    </w:p>
    <w:tbl>
      <w:tblPr>
        <w:tblStyle w:val="22"/>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662"/>
        <w:gridCol w:w="1895"/>
        <w:gridCol w:w="1761"/>
        <w:gridCol w:w="2007"/>
      </w:tblGrid>
      <w:tr w14:paraId="3EEC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30" w:type="dxa"/>
            <w:vAlign w:val="center"/>
          </w:tcPr>
          <w:p w14:paraId="4D04D347">
            <w:pPr>
              <w:spacing w:line="560" w:lineRule="atLeast"/>
              <w:ind w:firstLine="0" w:firstLineChars="0"/>
              <w:jc w:val="center"/>
              <w:rPr>
                <w:rFonts w:ascii="楷体_GB2312" w:hAnsi="楷体_GB2312" w:eastAsia="楷体_GB2312" w:cs="楷体_GB2312"/>
                <w:b/>
                <w:bCs/>
                <w:color w:val="auto"/>
                <w:sz w:val="24"/>
              </w:rPr>
            </w:pPr>
            <w:r>
              <w:rPr>
                <w:rFonts w:hint="eastAsia" w:ascii="楷体_GB2312" w:hAnsi="楷体_GB2312" w:eastAsia="楷体_GB2312" w:cs="楷体_GB2312"/>
                <w:b/>
                <w:bCs/>
                <w:color w:val="auto"/>
                <w:sz w:val="24"/>
              </w:rPr>
              <w:t>序号</w:t>
            </w:r>
          </w:p>
        </w:tc>
        <w:tc>
          <w:tcPr>
            <w:tcW w:w="2662" w:type="dxa"/>
            <w:vAlign w:val="center"/>
          </w:tcPr>
          <w:p w14:paraId="7A3E7E35">
            <w:pPr>
              <w:spacing w:line="560" w:lineRule="atLeast"/>
              <w:ind w:firstLine="0" w:firstLineChars="0"/>
              <w:jc w:val="center"/>
              <w:rPr>
                <w:rFonts w:ascii="楷体_GB2312" w:hAnsi="楷体_GB2312" w:eastAsia="楷体_GB2312" w:cs="楷体_GB2312"/>
                <w:b/>
                <w:bCs/>
                <w:color w:val="auto"/>
                <w:sz w:val="24"/>
              </w:rPr>
            </w:pPr>
            <w:r>
              <w:rPr>
                <w:rFonts w:hint="eastAsia" w:ascii="楷体_GB2312" w:hAnsi="楷体_GB2312" w:eastAsia="楷体_GB2312" w:cs="楷体_GB2312"/>
                <w:b/>
                <w:bCs/>
                <w:color w:val="auto"/>
                <w:sz w:val="24"/>
              </w:rPr>
              <w:t>指标名称</w:t>
            </w:r>
          </w:p>
        </w:tc>
        <w:tc>
          <w:tcPr>
            <w:tcW w:w="1895" w:type="dxa"/>
            <w:vAlign w:val="center"/>
          </w:tcPr>
          <w:p w14:paraId="709808ED">
            <w:pPr>
              <w:spacing w:line="560" w:lineRule="atLeast"/>
              <w:ind w:firstLine="0" w:firstLineChars="0"/>
              <w:jc w:val="center"/>
              <w:rPr>
                <w:rFonts w:ascii="楷体_GB2312" w:hAnsi="楷体_GB2312" w:eastAsia="楷体_GB2312" w:cs="楷体_GB2312"/>
                <w:b/>
                <w:bCs/>
                <w:color w:val="auto"/>
                <w:sz w:val="24"/>
              </w:rPr>
            </w:pPr>
            <w:r>
              <w:rPr>
                <w:rFonts w:hint="eastAsia" w:ascii="楷体_GB2312" w:hAnsi="楷体_GB2312" w:eastAsia="楷体_GB2312" w:cs="楷体_GB2312"/>
                <w:b/>
                <w:bCs/>
                <w:color w:val="auto"/>
                <w:sz w:val="24"/>
              </w:rPr>
              <w:t>2024年实际值</w:t>
            </w:r>
          </w:p>
        </w:tc>
        <w:tc>
          <w:tcPr>
            <w:tcW w:w="1761" w:type="dxa"/>
            <w:vAlign w:val="center"/>
          </w:tcPr>
          <w:p w14:paraId="21132E5D">
            <w:pPr>
              <w:spacing w:line="560" w:lineRule="atLeast"/>
              <w:ind w:firstLine="0" w:firstLineChars="0"/>
              <w:jc w:val="center"/>
              <w:rPr>
                <w:rFonts w:ascii="楷体_GB2312" w:hAnsi="楷体_GB2312" w:eastAsia="楷体_GB2312" w:cs="楷体_GB2312"/>
                <w:b/>
                <w:bCs/>
                <w:color w:val="auto"/>
                <w:sz w:val="24"/>
              </w:rPr>
            </w:pPr>
            <w:r>
              <w:rPr>
                <w:rFonts w:hint="eastAsia" w:ascii="楷体_GB2312" w:hAnsi="楷体_GB2312" w:eastAsia="楷体_GB2312" w:cs="楷体_GB2312"/>
                <w:b/>
                <w:bCs/>
                <w:color w:val="auto"/>
                <w:sz w:val="24"/>
              </w:rPr>
              <w:t>2025年实际值</w:t>
            </w:r>
          </w:p>
        </w:tc>
        <w:tc>
          <w:tcPr>
            <w:tcW w:w="2007" w:type="dxa"/>
            <w:vAlign w:val="center"/>
          </w:tcPr>
          <w:p w14:paraId="0B267F8E">
            <w:pPr>
              <w:spacing w:line="560" w:lineRule="atLeast"/>
              <w:ind w:firstLine="0" w:firstLineChars="0"/>
              <w:rPr>
                <w:rFonts w:ascii="楷体_GB2312" w:hAnsi="楷体_GB2312" w:eastAsia="楷体_GB2312" w:cs="楷体_GB2312"/>
                <w:b/>
                <w:bCs/>
                <w:color w:val="auto"/>
                <w:sz w:val="24"/>
              </w:rPr>
            </w:pPr>
            <w:r>
              <w:rPr>
                <w:rFonts w:hint="eastAsia" w:ascii="楷体_GB2312" w:hAnsi="楷体_GB2312" w:eastAsia="楷体_GB2312" w:cs="楷体_GB2312"/>
                <w:b/>
                <w:bCs/>
                <w:color w:val="auto"/>
                <w:sz w:val="24"/>
              </w:rPr>
              <w:t>2030年建设目标</w:t>
            </w:r>
          </w:p>
        </w:tc>
      </w:tr>
      <w:tr w14:paraId="34F8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30" w:type="dxa"/>
            <w:vAlign w:val="center"/>
          </w:tcPr>
          <w:p w14:paraId="5A3B6A61">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1</w:t>
            </w:r>
          </w:p>
        </w:tc>
        <w:tc>
          <w:tcPr>
            <w:tcW w:w="2662" w:type="dxa"/>
            <w:vAlign w:val="center"/>
          </w:tcPr>
          <w:p w14:paraId="4B576550">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金融业增加值</w:t>
            </w:r>
          </w:p>
        </w:tc>
        <w:tc>
          <w:tcPr>
            <w:tcW w:w="1895" w:type="dxa"/>
            <w:vAlign w:val="center"/>
          </w:tcPr>
          <w:p w14:paraId="7CC2CDEC">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113.9亿元</w:t>
            </w:r>
          </w:p>
        </w:tc>
        <w:tc>
          <w:tcPr>
            <w:tcW w:w="1761" w:type="dxa"/>
            <w:vAlign w:val="center"/>
          </w:tcPr>
          <w:p w14:paraId="154EC628">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125.8亿元</w:t>
            </w:r>
          </w:p>
        </w:tc>
        <w:tc>
          <w:tcPr>
            <w:tcW w:w="2007" w:type="dxa"/>
            <w:vAlign w:val="center"/>
          </w:tcPr>
          <w:p w14:paraId="3DACF041">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150亿元</w:t>
            </w:r>
          </w:p>
        </w:tc>
      </w:tr>
      <w:tr w14:paraId="2008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30" w:type="dxa"/>
            <w:vAlign w:val="center"/>
          </w:tcPr>
          <w:p w14:paraId="33C0EFA1">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2</w:t>
            </w:r>
          </w:p>
        </w:tc>
        <w:tc>
          <w:tcPr>
            <w:tcW w:w="2662" w:type="dxa"/>
            <w:vAlign w:val="center"/>
          </w:tcPr>
          <w:p w14:paraId="254BD937">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金融业对GDP贡献度</w:t>
            </w:r>
          </w:p>
        </w:tc>
        <w:tc>
          <w:tcPr>
            <w:tcW w:w="1895" w:type="dxa"/>
            <w:vAlign w:val="center"/>
          </w:tcPr>
          <w:p w14:paraId="7BE46F04">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4.4%</w:t>
            </w:r>
          </w:p>
        </w:tc>
        <w:tc>
          <w:tcPr>
            <w:tcW w:w="1761" w:type="dxa"/>
            <w:vAlign w:val="center"/>
          </w:tcPr>
          <w:p w14:paraId="0A144B33">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9.6%</w:t>
            </w:r>
          </w:p>
        </w:tc>
        <w:tc>
          <w:tcPr>
            <w:tcW w:w="2007" w:type="dxa"/>
            <w:vAlign w:val="center"/>
          </w:tcPr>
          <w:p w14:paraId="7D10795D">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10%</w:t>
            </w:r>
          </w:p>
        </w:tc>
      </w:tr>
      <w:tr w14:paraId="5923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30" w:type="dxa"/>
            <w:vAlign w:val="center"/>
          </w:tcPr>
          <w:p w14:paraId="6DA54369">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3</w:t>
            </w:r>
          </w:p>
        </w:tc>
        <w:tc>
          <w:tcPr>
            <w:tcW w:w="2662" w:type="dxa"/>
            <w:vAlign w:val="center"/>
          </w:tcPr>
          <w:p w14:paraId="6E0EC3DD">
            <w:pPr>
              <w:spacing w:line="400" w:lineRule="exac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银行利息净收入和</w:t>
            </w:r>
          </w:p>
          <w:p w14:paraId="7EF28024">
            <w:pPr>
              <w:spacing w:line="400" w:lineRule="exac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手续费及佣金净收入</w:t>
            </w:r>
          </w:p>
        </w:tc>
        <w:tc>
          <w:tcPr>
            <w:tcW w:w="1895" w:type="dxa"/>
            <w:vAlign w:val="center"/>
          </w:tcPr>
          <w:p w14:paraId="2270149B">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46亿元</w:t>
            </w:r>
          </w:p>
        </w:tc>
        <w:tc>
          <w:tcPr>
            <w:tcW w:w="1761" w:type="dxa"/>
            <w:vAlign w:val="center"/>
          </w:tcPr>
          <w:p w14:paraId="7F539EFA">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62.2亿元</w:t>
            </w:r>
          </w:p>
        </w:tc>
        <w:tc>
          <w:tcPr>
            <w:tcW w:w="2007" w:type="dxa"/>
            <w:vAlign w:val="center"/>
          </w:tcPr>
          <w:p w14:paraId="45E859A0">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75亿元</w:t>
            </w:r>
          </w:p>
        </w:tc>
      </w:tr>
      <w:tr w14:paraId="6969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0" w:type="dxa"/>
            <w:vAlign w:val="center"/>
          </w:tcPr>
          <w:p w14:paraId="5D400E5F">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4</w:t>
            </w:r>
          </w:p>
        </w:tc>
        <w:tc>
          <w:tcPr>
            <w:tcW w:w="2662" w:type="dxa"/>
            <w:vAlign w:val="center"/>
          </w:tcPr>
          <w:p w14:paraId="39D7AB91">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本外币存贷款余额</w:t>
            </w:r>
          </w:p>
        </w:tc>
        <w:tc>
          <w:tcPr>
            <w:tcW w:w="1895" w:type="dxa"/>
            <w:vAlign w:val="center"/>
          </w:tcPr>
          <w:p w14:paraId="3904A2E6">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6223亿元</w:t>
            </w:r>
          </w:p>
        </w:tc>
        <w:tc>
          <w:tcPr>
            <w:tcW w:w="1761" w:type="dxa"/>
            <w:vAlign w:val="center"/>
          </w:tcPr>
          <w:p w14:paraId="130C8098">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6600亿元</w:t>
            </w:r>
          </w:p>
        </w:tc>
        <w:tc>
          <w:tcPr>
            <w:tcW w:w="2007" w:type="dxa"/>
            <w:vAlign w:val="center"/>
          </w:tcPr>
          <w:p w14:paraId="158A880F">
            <w:pPr>
              <w:pStyle w:val="2"/>
              <w:ind w:firstLine="0" w:firstLineChars="0"/>
              <w:jc w:val="center"/>
            </w:pPr>
            <w:r>
              <w:rPr>
                <w:rFonts w:hint="eastAsia" w:ascii="楷体_GB2312" w:hAnsi="楷体_GB2312" w:eastAsia="楷体_GB2312" w:cs="楷体_GB2312"/>
                <w:color w:val="auto"/>
                <w:sz w:val="24"/>
              </w:rPr>
              <w:t>9000亿元</w:t>
            </w:r>
          </w:p>
        </w:tc>
      </w:tr>
      <w:tr w14:paraId="0A04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30" w:type="dxa"/>
            <w:vAlign w:val="center"/>
          </w:tcPr>
          <w:p w14:paraId="626FC87F">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5</w:t>
            </w:r>
          </w:p>
        </w:tc>
        <w:tc>
          <w:tcPr>
            <w:tcW w:w="2662" w:type="dxa"/>
            <w:vAlign w:val="center"/>
          </w:tcPr>
          <w:p w14:paraId="51554C7D">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政府投资基金规模</w:t>
            </w:r>
          </w:p>
        </w:tc>
        <w:tc>
          <w:tcPr>
            <w:tcW w:w="1895" w:type="dxa"/>
            <w:vAlign w:val="center"/>
          </w:tcPr>
          <w:p w14:paraId="4A68D4A8">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490亿元</w:t>
            </w:r>
          </w:p>
        </w:tc>
        <w:tc>
          <w:tcPr>
            <w:tcW w:w="1761" w:type="dxa"/>
            <w:vAlign w:val="center"/>
          </w:tcPr>
          <w:p w14:paraId="6D04EAD8">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560亿元</w:t>
            </w:r>
          </w:p>
        </w:tc>
        <w:tc>
          <w:tcPr>
            <w:tcW w:w="2007" w:type="dxa"/>
            <w:vAlign w:val="center"/>
          </w:tcPr>
          <w:p w14:paraId="35E8EB43">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700亿元</w:t>
            </w:r>
          </w:p>
        </w:tc>
      </w:tr>
      <w:tr w14:paraId="7F66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30" w:type="dxa"/>
            <w:vAlign w:val="center"/>
          </w:tcPr>
          <w:p w14:paraId="12074047">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6</w:t>
            </w:r>
          </w:p>
        </w:tc>
        <w:tc>
          <w:tcPr>
            <w:tcW w:w="2662" w:type="dxa"/>
            <w:vAlign w:val="center"/>
          </w:tcPr>
          <w:p w14:paraId="248AC85D">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社会化基金规模</w:t>
            </w:r>
          </w:p>
        </w:tc>
        <w:tc>
          <w:tcPr>
            <w:tcW w:w="1895" w:type="dxa"/>
            <w:vAlign w:val="center"/>
          </w:tcPr>
          <w:p w14:paraId="5D9A4DDE">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1400亿元</w:t>
            </w:r>
          </w:p>
        </w:tc>
        <w:tc>
          <w:tcPr>
            <w:tcW w:w="1761" w:type="dxa"/>
            <w:vAlign w:val="center"/>
          </w:tcPr>
          <w:p w14:paraId="723052EA">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1500亿元</w:t>
            </w:r>
          </w:p>
        </w:tc>
        <w:tc>
          <w:tcPr>
            <w:tcW w:w="2007" w:type="dxa"/>
            <w:vAlign w:val="center"/>
          </w:tcPr>
          <w:p w14:paraId="53301E1F">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2</w:t>
            </w:r>
            <w:r>
              <w:rPr>
                <w:rFonts w:hint="eastAsia" w:ascii="楷体_GB2312" w:hAnsi="楷体_GB2312" w:eastAsia="楷体_GB2312" w:cs="楷体_GB2312"/>
                <w:color w:val="auto"/>
                <w:sz w:val="24"/>
                <w:lang w:val="en-US" w:eastAsia="zh-CN"/>
              </w:rPr>
              <w:t>0</w:t>
            </w:r>
            <w:r>
              <w:rPr>
                <w:rFonts w:hint="eastAsia" w:ascii="楷体_GB2312" w:hAnsi="楷体_GB2312" w:eastAsia="楷体_GB2312" w:cs="楷体_GB2312"/>
                <w:color w:val="auto"/>
                <w:sz w:val="24"/>
              </w:rPr>
              <w:t>00亿元</w:t>
            </w:r>
          </w:p>
        </w:tc>
      </w:tr>
      <w:tr w14:paraId="1267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730" w:type="dxa"/>
            <w:vAlign w:val="center"/>
          </w:tcPr>
          <w:p w14:paraId="418BEEC2">
            <w:pPr>
              <w:spacing w:line="560" w:lineRule="atLeast"/>
              <w:ind w:firstLine="0" w:firstLineChars="0"/>
              <w:jc w:val="center"/>
              <w:rPr>
                <w:rFonts w:ascii="楷体_GB2312" w:hAnsi="楷体_GB2312" w:eastAsia="楷体_GB2312" w:cs="楷体_GB2312"/>
                <w:color w:val="auto"/>
                <w:sz w:val="24"/>
              </w:rPr>
            </w:pPr>
            <w:r>
              <w:rPr>
                <w:rFonts w:hint="eastAsia" w:ascii="楷体_GB2312" w:hAnsi="楷体_GB2312" w:eastAsia="楷体_GB2312" w:cs="楷体_GB2312"/>
                <w:color w:val="auto"/>
                <w:sz w:val="24"/>
              </w:rPr>
              <w:t>7</w:t>
            </w:r>
          </w:p>
        </w:tc>
        <w:tc>
          <w:tcPr>
            <w:tcW w:w="2662" w:type="dxa"/>
            <w:vAlign w:val="center"/>
          </w:tcPr>
          <w:p w14:paraId="3E99DCFD">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上市企业数量</w:t>
            </w:r>
          </w:p>
        </w:tc>
        <w:tc>
          <w:tcPr>
            <w:tcW w:w="1895" w:type="dxa"/>
            <w:vAlign w:val="center"/>
          </w:tcPr>
          <w:p w14:paraId="22A9FC2E">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37家</w:t>
            </w:r>
          </w:p>
        </w:tc>
        <w:tc>
          <w:tcPr>
            <w:tcW w:w="1761" w:type="dxa"/>
            <w:vAlign w:val="center"/>
          </w:tcPr>
          <w:p w14:paraId="5672D59F">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lang w:val="en-US" w:eastAsia="zh-CN"/>
              </w:rPr>
              <w:t>41</w:t>
            </w:r>
            <w:r>
              <w:rPr>
                <w:rFonts w:hint="eastAsia" w:ascii="楷体_GB2312" w:hAnsi="楷体_GB2312" w:eastAsia="楷体_GB2312" w:cs="楷体_GB2312"/>
                <w:color w:val="auto"/>
                <w:sz w:val="24"/>
              </w:rPr>
              <w:t>家</w:t>
            </w:r>
          </w:p>
        </w:tc>
        <w:tc>
          <w:tcPr>
            <w:tcW w:w="2007" w:type="dxa"/>
            <w:vAlign w:val="center"/>
          </w:tcPr>
          <w:p w14:paraId="5A9DB7A3">
            <w:pPr>
              <w:spacing w:line="560" w:lineRule="atLeast"/>
              <w:ind w:firstLine="0" w:firstLineChars="0"/>
              <w:jc w:val="center"/>
              <w:rPr>
                <w:rFonts w:ascii="楷体_GB2312" w:hAnsi="楷体_GB2312" w:eastAsia="楷体_GB2312" w:cs="楷体_GB2312"/>
                <w:color w:val="auto"/>
                <w:sz w:val="24"/>
                <w:szCs w:val="24"/>
              </w:rPr>
            </w:pPr>
            <w:r>
              <w:rPr>
                <w:rFonts w:hint="eastAsia" w:ascii="楷体_GB2312" w:hAnsi="楷体_GB2312" w:eastAsia="楷体_GB2312" w:cs="楷体_GB2312"/>
                <w:color w:val="auto"/>
                <w:sz w:val="24"/>
              </w:rPr>
              <w:t>45家</w:t>
            </w:r>
          </w:p>
        </w:tc>
      </w:tr>
    </w:tbl>
    <w:p w14:paraId="5B086288">
      <w:pPr>
        <w:ind w:firstLine="640"/>
        <w:rPr>
          <w:color w:val="auto"/>
        </w:rPr>
      </w:pPr>
      <w:bookmarkStart w:id="169" w:name="_Toc203893632"/>
      <w:bookmarkStart w:id="170" w:name="_Toc205561232"/>
      <w:bookmarkStart w:id="171" w:name="_Toc70978055"/>
      <w:bookmarkStart w:id="172" w:name="_Toc205545946"/>
      <w:bookmarkStart w:id="173" w:name="_Toc338707645"/>
      <w:bookmarkStart w:id="174" w:name="_Toc1792734452"/>
      <w:bookmarkStart w:id="175" w:name="_Toc203893621"/>
      <w:r>
        <w:rPr>
          <w:rFonts w:hint="eastAsia"/>
          <w:color w:val="auto"/>
        </w:rPr>
        <w:br w:type="page"/>
      </w:r>
    </w:p>
    <w:p w14:paraId="696A9B13">
      <w:pPr>
        <w:pStyle w:val="3"/>
        <w:spacing w:before="156" w:after="156"/>
        <w:rPr>
          <w:color w:val="auto"/>
        </w:rPr>
      </w:pPr>
      <w:bookmarkStart w:id="176" w:name="_Toc2063324629"/>
      <w:bookmarkStart w:id="177" w:name="_Toc894369538"/>
      <w:bookmarkStart w:id="178" w:name="_Toc1910439160"/>
      <w:bookmarkStart w:id="179" w:name="_Toc61814117_WPSOffice_Level1"/>
      <w:r>
        <w:rPr>
          <w:rFonts w:hint="eastAsia"/>
          <w:color w:val="auto"/>
        </w:rPr>
        <w:t>第四章 重点任务</w:t>
      </w:r>
      <w:bookmarkEnd w:id="169"/>
      <w:bookmarkEnd w:id="170"/>
      <w:bookmarkEnd w:id="171"/>
      <w:bookmarkEnd w:id="172"/>
      <w:bookmarkEnd w:id="173"/>
      <w:bookmarkEnd w:id="174"/>
      <w:bookmarkEnd w:id="176"/>
      <w:bookmarkEnd w:id="177"/>
      <w:bookmarkEnd w:id="178"/>
      <w:bookmarkEnd w:id="179"/>
    </w:p>
    <w:bookmarkEnd w:id="175"/>
    <w:p w14:paraId="74499ED7">
      <w:pPr>
        <w:pStyle w:val="4"/>
        <w:ind w:firstLine="640"/>
        <w:rPr>
          <w:color w:val="auto"/>
        </w:rPr>
      </w:pPr>
      <w:bookmarkStart w:id="180" w:name="_Toc726723025"/>
      <w:bookmarkStart w:id="181" w:name="_Toc1508586582"/>
      <w:bookmarkStart w:id="182" w:name="_Toc1026480206"/>
      <w:bookmarkStart w:id="183" w:name="_Toc514344688_WPSOffice_Level2"/>
      <w:bookmarkStart w:id="184" w:name="_Toc757763888"/>
      <w:bookmarkStart w:id="185" w:name="_Toc203893634"/>
      <w:bookmarkStart w:id="186" w:name="_Toc205561234"/>
      <w:bookmarkStart w:id="187" w:name="_Toc1426882526"/>
      <w:bookmarkStart w:id="188" w:name="OLE_LINK4"/>
      <w:bookmarkStart w:id="189" w:name="_Toc205545948"/>
      <w:bookmarkStart w:id="190" w:name="_Toc300057939"/>
      <w:bookmarkStart w:id="191" w:name="_Toc205561243"/>
      <w:bookmarkStart w:id="192" w:name="_Toc571865307"/>
      <w:bookmarkStart w:id="193" w:name="_Toc658257207"/>
      <w:bookmarkStart w:id="194" w:name="_Toc205545956"/>
      <w:r>
        <w:rPr>
          <w:rFonts w:hint="eastAsia"/>
          <w:color w:val="auto"/>
        </w:rPr>
        <w:t>一、</w:t>
      </w:r>
      <w:bookmarkEnd w:id="180"/>
      <w:bookmarkEnd w:id="181"/>
      <w:bookmarkStart w:id="195" w:name="OLE_LINK3"/>
      <w:r>
        <w:rPr>
          <w:rFonts w:hint="eastAsia"/>
          <w:color w:val="auto"/>
        </w:rPr>
        <w:t>构筑金融要素聚集新高地，打造高质量发展核心引擎</w:t>
      </w:r>
      <w:bookmarkEnd w:id="182"/>
      <w:bookmarkEnd w:id="183"/>
      <w:bookmarkEnd w:id="184"/>
    </w:p>
    <w:bookmarkEnd w:id="195"/>
    <w:p w14:paraId="3280CC7A">
      <w:pPr>
        <w:pStyle w:val="5"/>
        <w:keepNext w:val="0"/>
        <w:keepLines w:val="0"/>
        <w:ind w:firstLine="640"/>
        <w:jc w:val="both"/>
        <w:rPr>
          <w:rFonts w:ascii="楷体_GB2312" w:hAnsi="楷体_GB2312" w:cs="楷体_GB2312"/>
          <w:color w:val="auto"/>
        </w:rPr>
      </w:pPr>
      <w:bookmarkStart w:id="196" w:name="_Toc1925602736"/>
      <w:bookmarkStart w:id="197" w:name="_Toc2050243075_WPSOffice_Level3"/>
      <w:bookmarkStart w:id="198" w:name="_Toc1140345153"/>
      <w:bookmarkStart w:id="199" w:name="_Toc882399189"/>
      <w:r>
        <w:rPr>
          <w:rFonts w:hint="eastAsia" w:ascii="楷体_GB2312" w:hAnsi="楷体_GB2312" w:cs="楷体_GB2312"/>
          <w:color w:val="auto"/>
        </w:rPr>
        <w:t>（一）健全行业组织体系，</w:t>
      </w:r>
      <w:bookmarkEnd w:id="196"/>
      <w:r>
        <w:rPr>
          <w:rFonts w:hint="eastAsia" w:ascii="楷体_GB2312" w:hAnsi="楷体_GB2312" w:cs="楷体_GB2312"/>
          <w:color w:val="auto"/>
        </w:rPr>
        <w:t>推动区域金融能级跃升</w:t>
      </w:r>
      <w:bookmarkEnd w:id="197"/>
      <w:bookmarkEnd w:id="198"/>
      <w:bookmarkEnd w:id="199"/>
    </w:p>
    <w:p w14:paraId="312E64AA">
      <w:pPr>
        <w:ind w:firstLine="643"/>
        <w:rPr>
          <w:color w:val="auto"/>
        </w:rPr>
      </w:pPr>
      <w:r>
        <w:rPr>
          <w:rFonts w:hint="eastAsia" w:ascii="仿宋_GB2312" w:hAnsi="仿宋_GB2312" w:cs="仿宋_GB2312"/>
          <w:b/>
          <w:bCs/>
          <w:color w:val="auto"/>
        </w:rPr>
        <w:t>构建“3+N”机构集聚格局。</w:t>
      </w:r>
      <w:r>
        <w:rPr>
          <w:rFonts w:hint="eastAsia" w:ascii="仿宋_GB2312" w:hAnsi="仿宋_GB2312" w:cs="仿宋_GB2312"/>
          <w:color w:val="auto"/>
        </w:rPr>
        <w:t>争创科创金融示范区、耐心资本集聚区、产业金融发展区三大核心区。用好未来科学城空间优势，重点吸引银行、证券、保险等持牌金融机构在昌平设立区域总部或功能性总部，力争“十五五”期间持牌金融机构数量实现</w:t>
      </w:r>
      <w:r>
        <w:rPr>
          <w:rFonts w:hint="eastAsia" w:ascii="仿宋_GB2312" w:hAnsi="仿宋_GB2312" w:cs="仿宋_GB2312"/>
          <w:color w:val="auto"/>
          <w:lang w:eastAsia="zh-CN"/>
        </w:rPr>
        <w:t>突破</w:t>
      </w:r>
      <w:r>
        <w:rPr>
          <w:rFonts w:hint="eastAsia" w:ascii="仿宋_GB2312" w:hAnsi="仿宋_GB2312" w:cs="仿宋_GB2312"/>
          <w:color w:val="auto"/>
        </w:rPr>
        <w:t>。</w:t>
      </w:r>
    </w:p>
    <w:p w14:paraId="269AAD92">
      <w:pPr>
        <w:pStyle w:val="12"/>
        <w:ind w:firstLine="643"/>
        <w:jc w:val="both"/>
        <w:rPr>
          <w:rFonts w:ascii="仿宋_GB2312" w:hAnsi="仿宋_GB2312" w:cs="仿宋_GB2312"/>
          <w:color w:val="auto"/>
          <w:sz w:val="32"/>
          <w:lang w:bidi="ar"/>
        </w:rPr>
      </w:pPr>
      <w:r>
        <w:rPr>
          <w:rFonts w:hint="eastAsia" w:ascii="仿宋_GB2312" w:hAnsi="仿宋_GB2312" w:cs="仿宋_GB2312"/>
          <w:b/>
          <w:bCs/>
          <w:color w:val="auto"/>
          <w:sz w:val="32"/>
          <w:lang w:bidi="ar"/>
        </w:rPr>
        <w:t>优化金融机构体系和布局。</w:t>
      </w:r>
      <w:r>
        <w:rPr>
          <w:rFonts w:hint="eastAsia" w:ascii="仿宋_GB2312" w:hAnsi="仿宋_GB2312" w:cs="仿宋_GB2312"/>
          <w:color w:val="auto"/>
          <w:sz w:val="32"/>
          <w:lang w:bidi="ar"/>
        </w:rPr>
        <w:t>在“能源谷”重点布局能源金融、绿色金融特色机构；在“生命谷”集聚生物医药金融、健康保险专营机构；在沙河高教园打造科创金融、知识产权金融服务集群。</w:t>
      </w:r>
      <w:r>
        <w:rPr>
          <w:rFonts w:hint="eastAsia" w:ascii="仿宋_GB2312" w:hAnsi="仿宋_GB2312" w:cs="仿宋_GB2312"/>
          <w:color w:val="auto"/>
          <w:sz w:val="32"/>
          <w:lang w:eastAsia="zh-CN" w:bidi="ar"/>
        </w:rPr>
        <w:t>积极</w:t>
      </w:r>
      <w:r>
        <w:rPr>
          <w:rFonts w:hint="eastAsia" w:ascii="仿宋_GB2312" w:hAnsi="仿宋_GB2312" w:cs="仿宋_GB2312"/>
          <w:color w:val="auto"/>
          <w:sz w:val="32"/>
        </w:rPr>
        <w:t>培育科技金融领军机构</w:t>
      </w:r>
      <w:r>
        <w:rPr>
          <w:rFonts w:hint="eastAsia" w:ascii="仿宋_GB2312" w:hAnsi="仿宋_GB2312" w:cs="仿宋_GB2312"/>
          <w:color w:val="auto"/>
          <w:sz w:val="32"/>
          <w:lang w:bidi="ar"/>
        </w:rPr>
        <w:t>；支持保险机构设立科技保险专营机构；引导证券公司设立互联网营业部、财富管理中心等新型网点，向数字化、智能化转型。</w:t>
      </w:r>
    </w:p>
    <w:p w14:paraId="231D741F">
      <w:pPr>
        <w:pStyle w:val="5"/>
        <w:keepNext w:val="0"/>
        <w:keepLines w:val="0"/>
        <w:ind w:firstLine="640"/>
        <w:jc w:val="both"/>
        <w:rPr>
          <w:rFonts w:ascii="楷体_GB2312" w:hAnsi="楷体_GB2312" w:cs="楷体_GB2312"/>
          <w:color w:val="auto"/>
        </w:rPr>
      </w:pPr>
      <w:bookmarkStart w:id="200" w:name="_Toc146279277"/>
      <w:bookmarkStart w:id="201" w:name="_Toc529466471"/>
      <w:bookmarkStart w:id="202" w:name="_Toc1294465955"/>
      <w:bookmarkStart w:id="203" w:name="_Toc1172335704_WPSOffice_Level3"/>
      <w:r>
        <w:rPr>
          <w:rFonts w:hint="eastAsia" w:ascii="楷体_GB2312" w:hAnsi="楷体_GB2312" w:cs="楷体_GB2312"/>
          <w:color w:val="auto"/>
        </w:rPr>
        <w:t>（二）争创耐心资本集聚区，</w:t>
      </w:r>
      <w:bookmarkEnd w:id="200"/>
      <w:r>
        <w:rPr>
          <w:rFonts w:hint="eastAsia" w:ascii="楷体_GB2312" w:hAnsi="楷体_GB2312" w:cs="楷体_GB2312"/>
          <w:color w:val="auto"/>
        </w:rPr>
        <w:t>提升服务实体经济质效</w:t>
      </w:r>
      <w:bookmarkEnd w:id="201"/>
      <w:bookmarkEnd w:id="202"/>
      <w:bookmarkEnd w:id="203"/>
    </w:p>
    <w:p w14:paraId="3F434F87">
      <w:pPr>
        <w:pStyle w:val="12"/>
        <w:ind w:firstLine="643"/>
        <w:jc w:val="both"/>
        <w:rPr>
          <w:rFonts w:hint="default" w:ascii="仿宋_GB2312" w:hAnsi="仿宋_GB2312" w:eastAsia="仿宋_GB2312" w:cs="仿宋_GB2312"/>
          <w:color w:val="auto"/>
          <w:sz w:val="32"/>
          <w:lang w:val="en-US" w:eastAsia="zh-CN"/>
        </w:rPr>
      </w:pPr>
      <w:bookmarkStart w:id="204" w:name="_Toc1097781599"/>
      <w:r>
        <w:rPr>
          <w:rFonts w:hint="eastAsia" w:ascii="仿宋_GB2312" w:hAnsi="仿宋_GB2312" w:cs="仿宋_GB2312"/>
          <w:b/>
          <w:bCs/>
          <w:color w:val="auto"/>
          <w:sz w:val="32"/>
        </w:rPr>
        <w:t>强化政府引导基金作用。</w:t>
      </w:r>
      <w:r>
        <w:rPr>
          <w:rFonts w:hint="eastAsia" w:ascii="仿宋_GB2312" w:hAnsi="仿宋_GB2312" w:cs="仿宋_GB2312"/>
          <w:color w:val="auto"/>
          <w:sz w:val="32"/>
        </w:rPr>
        <w:t>推动政府引导基金群从“直投”模式升级为“母基金+子基金”复合架构，</w:t>
      </w:r>
      <w:r>
        <w:rPr>
          <w:rFonts w:ascii="仿宋_GB2312" w:hAnsi="仿宋_GB2312" w:cs="仿宋_GB2312"/>
          <w:color w:val="auto"/>
          <w:sz w:val="32"/>
        </w:rPr>
        <w:t>完善项目遴选、投后管理和市场化退出机制</w:t>
      </w:r>
      <w:r>
        <w:rPr>
          <w:rFonts w:hint="eastAsia" w:ascii="仿宋_GB2312" w:hAnsi="仿宋_GB2312" w:cs="仿宋_GB2312"/>
          <w:color w:val="auto"/>
          <w:sz w:val="32"/>
        </w:rPr>
        <w:t>。</w:t>
      </w:r>
      <w:bookmarkStart w:id="205" w:name="_Toc491778218"/>
      <w:r>
        <w:rPr>
          <w:rFonts w:hint="eastAsia" w:ascii="仿宋_GB2312" w:hAnsi="仿宋_GB2312" w:cs="仿宋_GB2312"/>
          <w:color w:val="auto"/>
          <w:sz w:val="32"/>
          <w:lang w:eastAsia="zh-CN"/>
        </w:rPr>
        <w:t>逐步构建包括政府性投资基金、市场化直投基金、</w:t>
      </w:r>
      <w:r>
        <w:rPr>
          <w:rFonts w:hint="eastAsia" w:ascii="仿宋_GB2312" w:hAnsi="仿宋_GB2312" w:cs="仿宋_GB2312"/>
          <w:color w:val="auto"/>
          <w:sz w:val="32"/>
          <w:lang w:val="en-US" w:eastAsia="zh-CN"/>
        </w:rPr>
        <w:t>CVC产业基金及落地子基金在内的昌平科技产业母基金群。打造全周期、多功能、可持续的基金产品矩阵，深耕医药健康、先进能源、先进制造三大主导产业，聚焦脑机接口、合成生物、人工智造等未来产业，持续为昌平区产业高质量发展注入资本动能。</w:t>
      </w:r>
    </w:p>
    <w:p w14:paraId="2799BC29">
      <w:pPr>
        <w:pStyle w:val="12"/>
        <w:ind w:firstLine="643"/>
        <w:jc w:val="both"/>
        <w:rPr>
          <w:rFonts w:hint="eastAsia" w:ascii="仿宋_GB2312" w:hAnsi="仿宋_GB2312" w:cs="仿宋_GB2312"/>
          <w:color w:val="auto"/>
          <w:sz w:val="32"/>
          <w:highlight w:val="none"/>
        </w:rPr>
      </w:pPr>
      <w:r>
        <w:rPr>
          <w:rFonts w:hint="eastAsia" w:ascii="仿宋_GB2312" w:hAnsi="仿宋_GB2312" w:cs="仿宋_GB2312"/>
          <w:b/>
          <w:bCs/>
          <w:color w:val="auto"/>
          <w:sz w:val="32"/>
        </w:rPr>
        <w:t>积极培育壮大耐心资本。</w:t>
      </w:r>
      <w:bookmarkEnd w:id="205"/>
      <w:r>
        <w:rPr>
          <w:rFonts w:ascii="仿宋_GB2312" w:hAnsi="仿宋_GB2312" w:cs="仿宋_GB2312"/>
          <w:color w:val="auto"/>
          <w:sz w:val="32"/>
          <w:highlight w:val="none"/>
        </w:rPr>
        <w:t>积极引入</w:t>
      </w:r>
      <w:r>
        <w:rPr>
          <w:rFonts w:hint="eastAsia" w:ascii="仿宋_GB2312" w:hAnsi="仿宋_GB2312" w:cs="仿宋_GB2312"/>
          <w:color w:val="auto"/>
          <w:sz w:val="32"/>
          <w:highlight w:val="none"/>
          <w:lang w:eastAsia="zh-CN"/>
        </w:rPr>
        <w:t>国家创投基金、</w:t>
      </w:r>
      <w:r>
        <w:rPr>
          <w:rFonts w:ascii="仿宋_GB2312" w:hAnsi="仿宋_GB2312" w:cs="仿宋_GB2312"/>
          <w:color w:val="auto"/>
          <w:sz w:val="32"/>
          <w:highlight w:val="none"/>
        </w:rPr>
        <w:t>全国</w:t>
      </w:r>
      <w:r>
        <w:rPr>
          <w:rFonts w:hint="eastAsia" w:ascii="仿宋_GB2312" w:hAnsi="仿宋_GB2312" w:cs="仿宋_GB2312"/>
          <w:color w:val="auto"/>
          <w:sz w:val="32"/>
          <w:highlight w:val="none"/>
        </w:rPr>
        <w:t>社会保障</w:t>
      </w:r>
      <w:r>
        <w:rPr>
          <w:rFonts w:ascii="仿宋_GB2312" w:hAnsi="仿宋_GB2312" w:cs="仿宋_GB2312"/>
          <w:color w:val="auto"/>
          <w:sz w:val="32"/>
          <w:highlight w:val="none"/>
        </w:rPr>
        <w:t>基金、保险资金、</w:t>
      </w:r>
      <w:r>
        <w:rPr>
          <w:rFonts w:hint="eastAsia" w:ascii="仿宋_GB2312" w:hAnsi="仿宋_GB2312" w:cs="仿宋_GB2312"/>
          <w:color w:val="auto"/>
          <w:sz w:val="32"/>
          <w:highlight w:val="none"/>
          <w:lang w:eastAsia="zh-CN"/>
        </w:rPr>
        <w:t>央企</w:t>
      </w:r>
      <w:r>
        <w:rPr>
          <w:rFonts w:ascii="仿宋_GB2312" w:hAnsi="仿宋_GB2312" w:cs="仿宋_GB2312"/>
          <w:color w:val="auto"/>
          <w:sz w:val="32"/>
          <w:highlight w:val="none"/>
        </w:rPr>
        <w:t>战新基金等长期资金</w:t>
      </w:r>
      <w:r>
        <w:rPr>
          <w:rFonts w:hint="eastAsia" w:ascii="仿宋_GB2312" w:hAnsi="仿宋_GB2312" w:cs="仿宋_GB2312"/>
          <w:color w:val="auto"/>
          <w:sz w:val="32"/>
          <w:highlight w:val="none"/>
        </w:rPr>
        <w:t>，探索与在京央企、市属国企联合设立昌平区战略新兴领域创投基金，塑造耐心资本“投早、投小、投长期、投硬科技”示范效应。优化升级科创基金矩阵，发挥“昌平未来创投联盟</w:t>
      </w:r>
      <w:r>
        <w:rPr>
          <w:rFonts w:ascii="仿宋_GB2312" w:hAnsi="仿宋_GB2312" w:cs="仿宋_GB2312"/>
          <w:color w:val="auto"/>
          <w:sz w:val="32"/>
          <w:highlight w:val="none"/>
        </w:rPr>
        <w:t>CFIA</w:t>
      </w:r>
      <w:r>
        <w:rPr>
          <w:rFonts w:hint="eastAsia" w:ascii="仿宋_GB2312" w:hAnsi="仿宋_GB2312" w:cs="仿宋_GB2312"/>
          <w:color w:val="auto"/>
          <w:sz w:val="32"/>
          <w:highlight w:val="none"/>
        </w:rPr>
        <w:t>”优势</w:t>
      </w:r>
      <w:r>
        <w:rPr>
          <w:rFonts w:hint="eastAsia" w:ascii="仿宋_GB2312" w:hAnsi="仿宋_GB2312" w:cs="仿宋_GB2312"/>
          <w:color w:val="auto"/>
          <w:sz w:val="32"/>
          <w:highlight w:val="none"/>
          <w:lang w:eastAsia="zh-CN"/>
        </w:rPr>
        <w:t>，</w:t>
      </w:r>
      <w:r>
        <w:rPr>
          <w:rFonts w:ascii="仿宋_GB2312" w:hAnsi="仿宋_GB2312" w:cs="仿宋_GB2312"/>
          <w:color w:val="auto"/>
          <w:sz w:val="32"/>
          <w:highlight w:val="none"/>
        </w:rPr>
        <w:t>发展</w:t>
      </w:r>
      <w:r>
        <w:rPr>
          <w:rFonts w:hint="eastAsia" w:ascii="仿宋_GB2312" w:hAnsi="仿宋_GB2312" w:cs="仿宋_GB2312"/>
          <w:color w:val="auto"/>
          <w:sz w:val="32"/>
          <w:highlight w:val="none"/>
          <w:lang w:val="en-US" w:eastAsia="zh-CN"/>
        </w:rPr>
        <w:t>CVC、</w:t>
      </w:r>
      <w:r>
        <w:rPr>
          <w:rFonts w:ascii="仿宋_GB2312" w:hAnsi="仿宋_GB2312" w:cs="仿宋_GB2312"/>
          <w:color w:val="auto"/>
          <w:sz w:val="32"/>
          <w:highlight w:val="none"/>
        </w:rPr>
        <w:t>并购基金、S基金和产业子基金，推动“基金—项目—产业”良性循环</w:t>
      </w:r>
      <w:r>
        <w:rPr>
          <w:rFonts w:hint="eastAsia" w:ascii="仿宋_GB2312" w:hAnsi="仿宋_GB2312" w:cs="仿宋_GB2312"/>
          <w:color w:val="auto"/>
          <w:sz w:val="32"/>
          <w:highlight w:val="none"/>
        </w:rPr>
        <w:t>。</w:t>
      </w:r>
    </w:p>
    <w:p w14:paraId="6508C43E">
      <w:pPr>
        <w:keepNext w:val="0"/>
        <w:keepLines w:val="0"/>
        <w:ind w:firstLine="640"/>
        <w:jc w:val="both"/>
        <w:rPr>
          <w:rFonts w:hint="eastAsia" w:ascii="仿宋_GB2312" w:hAnsi="仿宋_GB2312" w:cs="仿宋_GB2312"/>
          <w:color w:val="auto"/>
          <w:sz w:val="32"/>
          <w:highlight w:val="none"/>
        </w:rPr>
      </w:pPr>
      <w:r>
        <w:rPr>
          <w:rFonts w:hint="eastAsia"/>
          <w:b/>
          <w:bCs/>
        </w:rPr>
        <w:t>抢抓国家创投引导基金在京落地机遇</w:t>
      </w:r>
      <w:r>
        <w:rPr>
          <w:rFonts w:hint="eastAsia"/>
          <w:b/>
          <w:bCs/>
          <w:lang w:eastAsia="zh-CN"/>
        </w:rPr>
        <w:t>。</w:t>
      </w:r>
      <w:r>
        <w:rPr>
          <w:rFonts w:hint="eastAsia"/>
        </w:rPr>
        <w:t>依托政府投资母基金群，高效运作北京市医药健康、先进能源、先进制造等主导产业基金。</w:t>
      </w:r>
      <w:r>
        <w:rPr>
          <w:rFonts w:hint="eastAsia" w:ascii="仿宋_GB2312" w:hAnsi="仿宋_GB2312" w:eastAsia="仿宋_GB2312" w:cs="仿宋_GB2312"/>
        </w:rPr>
        <w:t>以G6科创走廊串联中关村生命科学园、沙河高教园等组团，聚焦生物医药、高端制造、电子信息、机器人及未来通信；以G45</w:t>
      </w:r>
      <w:r>
        <w:rPr>
          <w:rFonts w:hint="eastAsia"/>
        </w:rPr>
        <w:t>产业走廊依托未来科学城能源谷、合成生物制造集聚区，培育合成生物、氢能、新型储能等产业，全力构筑科技创新高地与发展增长极。</w:t>
      </w:r>
    </w:p>
    <w:bookmarkEnd w:id="204"/>
    <w:p w14:paraId="5A9ABE6E">
      <w:pPr>
        <w:pStyle w:val="5"/>
        <w:keepNext w:val="0"/>
        <w:keepLines w:val="0"/>
        <w:ind w:firstLine="640"/>
        <w:jc w:val="both"/>
        <w:rPr>
          <w:rFonts w:hint="eastAsia" w:ascii="仿宋_GB2312" w:hAnsi="仿宋_GB2312" w:cs="仿宋_GB2312"/>
          <w:b/>
          <w:bCs/>
          <w:color w:val="auto"/>
        </w:rPr>
      </w:pPr>
      <w:bookmarkStart w:id="206" w:name="_Toc1782666008"/>
      <w:bookmarkStart w:id="207" w:name="_Toc1494416405"/>
      <w:bookmarkStart w:id="208" w:name="_Toc1240495237_WPSOffice_Level3"/>
      <w:r>
        <w:rPr>
          <w:rFonts w:hint="eastAsia" w:ascii="楷体_GB2312" w:hAnsi="楷体_GB2312" w:cs="楷体_GB2312"/>
          <w:color w:val="auto"/>
        </w:rPr>
        <w:t>（三）打造科创金融示范区，助力金融生态高效循环</w:t>
      </w:r>
      <w:bookmarkEnd w:id="206"/>
      <w:bookmarkEnd w:id="207"/>
      <w:bookmarkEnd w:id="208"/>
    </w:p>
    <w:p w14:paraId="3E6AC54A">
      <w:pPr>
        <w:ind w:firstLine="643"/>
        <w:rPr>
          <w:color w:val="auto"/>
        </w:rPr>
      </w:pPr>
      <w:r>
        <w:rPr>
          <w:rFonts w:hint="eastAsia" w:ascii="仿宋_GB2312" w:hAnsi="仿宋_GB2312" w:cs="仿宋_GB2312"/>
          <w:b/>
          <w:bCs/>
          <w:color w:val="auto"/>
        </w:rPr>
        <w:t>持续打造“昌平·金立方”金融营商环境品牌。</w:t>
      </w:r>
      <w:r>
        <w:rPr>
          <w:rFonts w:hint="eastAsia" w:ascii="仿宋_GB2312" w:hAnsi="仿宋_GB2312" w:cs="仿宋_GB2312"/>
          <w:color w:val="auto"/>
        </w:rPr>
        <w:t>发挥“股、贷、债、保、投”金融协同优势，提供一揽子综合金融产品服务。</w:t>
      </w:r>
      <w:r>
        <w:rPr>
          <w:rFonts w:hint="eastAsia"/>
          <w:color w:val="auto"/>
        </w:rPr>
        <w:t>强化“专班联动”，为金融机构及科创企业提供全周期综合服务。建立“科创企业白名单”，</w:t>
      </w:r>
      <w:r>
        <w:rPr>
          <w:color w:val="auto"/>
        </w:rPr>
        <w:t>提升金融机构风险识别和授信效率</w:t>
      </w:r>
      <w:r>
        <w:rPr>
          <w:rFonts w:hint="eastAsia"/>
          <w:color w:val="auto"/>
        </w:rPr>
        <w:t>。</w:t>
      </w:r>
    </w:p>
    <w:p w14:paraId="1395A606">
      <w:pPr>
        <w:ind w:firstLine="643"/>
        <w:rPr>
          <w:rFonts w:hint="eastAsia" w:ascii="仿宋_GB2312" w:hAnsi="仿宋_GB2312" w:cs="仿宋_GB2312"/>
          <w:color w:val="auto"/>
        </w:rPr>
      </w:pPr>
      <w:r>
        <w:rPr>
          <w:rFonts w:hint="eastAsia" w:ascii="仿宋_GB2312" w:hAnsi="仿宋_GB2312" w:cs="仿宋_GB2312"/>
          <w:b/>
          <w:bCs/>
          <w:color w:val="auto"/>
        </w:rPr>
        <w:t>加快构建多层次金融政策体系。</w:t>
      </w:r>
      <w:r>
        <w:rPr>
          <w:rFonts w:hint="eastAsia" w:ascii="仿宋_GB2312" w:hAnsi="仿宋_GB2312" w:cs="仿宋_GB2312"/>
          <w:color w:val="auto"/>
        </w:rPr>
        <w:t>强化金融和科技、产业、财税等政策衔接配合。</w:t>
      </w:r>
      <w:r>
        <w:rPr>
          <w:rFonts w:hint="eastAsia" w:ascii="仿宋_GB2312" w:hAnsi="仿宋_GB2312" w:cs="仿宋_GB2312"/>
          <w:color w:val="auto"/>
          <w:lang w:eastAsia="zh-CN"/>
        </w:rPr>
        <w:t>落实</w:t>
      </w:r>
      <w:r>
        <w:rPr>
          <w:rFonts w:hint="eastAsia" w:ascii="仿宋_GB2312" w:hAnsi="仿宋_GB2312" w:cs="仿宋_GB2312"/>
          <w:color w:val="auto"/>
        </w:rPr>
        <w:t>科创金融政策，健全政策跟踪兑现、反馈评估、迭代升级等机制。以金融政策为抓手，通过降低运营成本、发挥空间优势等举措，提升金融机构聚集效能；通过融资贴息、风险补偿等各类奖补资金，引导金融资本向科技前沿延伸服务。</w:t>
      </w:r>
    </w:p>
    <w:bookmarkEnd w:id="185"/>
    <w:bookmarkEnd w:id="186"/>
    <w:bookmarkEnd w:id="187"/>
    <w:bookmarkEnd w:id="188"/>
    <w:bookmarkEnd w:id="189"/>
    <w:p w14:paraId="028317C4">
      <w:pPr>
        <w:pStyle w:val="4"/>
        <w:keepNext w:val="0"/>
        <w:keepLines w:val="0"/>
        <w:ind w:firstLine="640"/>
        <w:jc w:val="both"/>
        <w:rPr>
          <w:color w:val="auto"/>
        </w:rPr>
      </w:pPr>
      <w:bookmarkStart w:id="209" w:name="_Toc1717552926"/>
      <w:bookmarkStart w:id="210" w:name="_Toc1978009101_WPSOffice_Level2"/>
      <w:bookmarkStart w:id="211" w:name="_Toc1885273529"/>
      <w:r>
        <w:rPr>
          <w:rFonts w:hint="eastAsia"/>
          <w:color w:val="auto"/>
        </w:rPr>
        <w:t>二、因地制宜发展新质生产力，赋能现代化产业体系建设</w:t>
      </w:r>
      <w:bookmarkEnd w:id="209"/>
      <w:bookmarkEnd w:id="210"/>
      <w:bookmarkEnd w:id="211"/>
    </w:p>
    <w:p w14:paraId="6E5EF7F6">
      <w:pPr>
        <w:keepNext w:val="0"/>
        <w:keepLines w:val="0"/>
        <w:widowControl/>
        <w:ind w:firstLine="640" w:firstLineChars="200"/>
        <w:jc w:val="left"/>
        <w:rPr>
          <w:rFonts w:hint="eastAsia" w:ascii="楷体_GB2312" w:hAnsi="楷体_GB2312" w:eastAsia="楷体_GB2312" w:cs="楷体_GB2312"/>
          <w:color w:val="auto"/>
          <w14:ligatures w14:val="standardContextual"/>
        </w:rPr>
      </w:pPr>
      <w:bookmarkStart w:id="212" w:name="_Toc1431010849_WPSOffice_Level3"/>
      <w:r>
        <w:rPr>
          <w:rFonts w:hint="eastAsia" w:ascii="楷体_GB2312" w:hAnsi="楷体_GB2312" w:eastAsia="楷体_GB2312" w:cs="楷体_GB2312"/>
          <w:color w:val="auto"/>
          <w:kern w:val="2"/>
          <w:sz w:val="32"/>
          <w:szCs w:val="32"/>
          <w:lang w:val="en-US" w:eastAsia="zh-CN" w:bidi="ar-SA"/>
          <w14:ligatures w14:val="standardContextual"/>
        </w:rPr>
        <w:t>（一）</w:t>
      </w:r>
      <w:r>
        <w:rPr>
          <w:rFonts w:hint="eastAsia" w:ascii="楷体_GB2312" w:hAnsi="楷体_GB2312" w:eastAsia="楷体_GB2312" w:cs="楷体_GB2312"/>
          <w:lang w:val="en-US" w:eastAsia="zh-CN"/>
        </w:rPr>
        <w:t>集聚多元金融工具合力 精准赋能三大主导产业</w:t>
      </w:r>
      <w:bookmarkEnd w:id="212"/>
    </w:p>
    <w:p w14:paraId="562ACACE">
      <w:pPr>
        <w:pStyle w:val="5"/>
        <w:keepNext w:val="0"/>
        <w:keepLines w:val="0"/>
        <w:ind w:firstLine="640"/>
        <w:jc w:val="both"/>
        <w:rPr>
          <w:rFonts w:hint="eastAsia" w:ascii="仿宋_GB2312" w:hAnsi="仿宋_GB2312" w:eastAsia="仿宋_GB2312" w:cs="仿宋_GB2312"/>
          <w:b w:val="0"/>
          <w:bCs w:val="0"/>
          <w:color w:val="auto"/>
          <w:lang w:eastAsia="zh-CN"/>
        </w:rPr>
      </w:pPr>
      <w:bookmarkStart w:id="213" w:name="_Toc1966396070"/>
      <w:bookmarkStart w:id="214" w:name="_Toc886568473"/>
      <w:r>
        <w:rPr>
          <w:rFonts w:hint="eastAsia" w:ascii="仿宋_GB2312" w:hAnsi="仿宋_GB2312" w:eastAsia="仿宋_GB2312" w:cs="仿宋_GB2312"/>
          <w:b/>
          <w:bCs/>
          <w:color w:val="000000" w:themeColor="text1"/>
          <w:kern w:val="2"/>
          <w:sz w:val="32"/>
          <w:szCs w:val="32"/>
          <w:lang w:val="en-US" w:eastAsia="zh-CN" w:bidi="ar"/>
          <w14:textFill>
            <w14:solidFill>
              <w14:schemeClr w14:val="tx1"/>
            </w14:solidFill>
          </w14:textFill>
        </w:rPr>
        <w:t>引导银行机构围绕医药健康、先进能源、先进制造三大主导产业优化金融服务。</w:t>
      </w:r>
      <w:r>
        <w:rPr>
          <w:rFonts w:hint="eastAsia" w:ascii="仿宋_GB2312" w:hAnsi="仿宋_GB2312" w:eastAsia="仿宋_GB2312" w:cs="仿宋_GB2312"/>
          <w:b w:val="0"/>
          <w:bCs w:val="0"/>
          <w:color w:val="auto"/>
          <w:kern w:val="2"/>
          <w:sz w:val="32"/>
          <w:szCs w:val="32"/>
          <w:lang w:val="en-US" w:eastAsia="zh-CN" w:bidi="ar"/>
        </w:rPr>
        <w:t>推动</w:t>
      </w:r>
      <w:r>
        <w:rPr>
          <w:rFonts w:hint="eastAsia" w:ascii="仿宋_GB2312" w:hAnsi="仿宋_GB2312" w:eastAsia="仿宋_GB2312" w:cs="仿宋_GB2312"/>
          <w:b w:val="0"/>
          <w:bCs w:val="0"/>
          <w:color w:val="auto"/>
        </w:rPr>
        <w:t>银行机构以产业逻辑重构风险评估框架，打造“技术估值+场景风控”立体化评价框架；丰富特色信贷产品，</w:t>
      </w:r>
      <w:r>
        <w:rPr>
          <w:rFonts w:hint="eastAsia" w:ascii="仿宋_GB2312" w:hAnsi="仿宋_GB2312" w:eastAsia="仿宋_GB2312" w:cs="仿宋_GB2312"/>
          <w:b w:val="0"/>
          <w:bCs w:val="0"/>
          <w:color w:val="auto"/>
          <w:lang w:eastAsia="zh-CN"/>
        </w:rPr>
        <w:t>完</w:t>
      </w:r>
      <w:r>
        <w:rPr>
          <w:rFonts w:hint="eastAsia" w:ascii="仿宋_GB2312" w:hAnsi="仿宋_GB2312" w:eastAsia="仿宋_GB2312" w:cs="仿宋_GB2312"/>
          <w:b w:val="0"/>
          <w:bCs w:val="0"/>
          <w:color w:val="000000" w:themeColor="text1"/>
          <w:lang w:eastAsia="zh-CN" w:bidi="ar"/>
          <w14:textFill>
            <w14:solidFill>
              <w14:schemeClr w14:val="tx1"/>
            </w14:solidFill>
          </w14:textFill>
        </w:rPr>
        <w:t>善</w:t>
      </w:r>
      <w:r>
        <w:rPr>
          <w:rFonts w:hint="eastAsia" w:ascii="仿宋_GB2312" w:hAnsi="仿宋_GB2312" w:eastAsia="仿宋_GB2312" w:cs="仿宋_GB2312"/>
          <w:b w:val="0"/>
          <w:bCs w:val="0"/>
          <w:color w:val="000000" w:themeColor="text1"/>
          <w:lang w:bidi="ar"/>
          <w14:textFill>
            <w14:solidFill>
              <w14:schemeClr w14:val="tx1"/>
            </w14:solidFill>
          </w14:textFill>
        </w:rPr>
        <w:t>“见投即贷”投后赋能服务。依</w:t>
      </w:r>
      <w:r>
        <w:rPr>
          <w:rFonts w:hint="eastAsia" w:ascii="仿宋_GB2312" w:hAnsi="仿宋_GB2312" w:eastAsia="仿宋_GB2312" w:cs="仿宋_GB2312"/>
          <w:b w:val="0"/>
          <w:bCs w:val="0"/>
          <w:color w:val="auto"/>
        </w:rPr>
        <w:t>托科创金融服务站匹配企业融资需求，</w:t>
      </w:r>
      <w:r>
        <w:rPr>
          <w:rFonts w:hint="eastAsia" w:ascii="仿宋_GB2312" w:hAnsi="仿宋_GB2312" w:eastAsia="仿宋_GB2312" w:cs="仿宋_GB2312"/>
          <w:b w:val="0"/>
          <w:bCs w:val="0"/>
          <w:color w:val="auto"/>
          <w:lang w:eastAsia="zh-CN"/>
        </w:rPr>
        <w:t>通过</w:t>
      </w:r>
      <w:r>
        <w:rPr>
          <w:rFonts w:hint="eastAsia" w:ascii="仿宋_GB2312" w:hAnsi="仿宋_GB2312" w:eastAsia="仿宋_GB2312" w:cs="仿宋_GB2312"/>
          <w:b w:val="0"/>
          <w:bCs w:val="0"/>
          <w:color w:val="auto"/>
        </w:rPr>
        <w:t>低碳转型目录为达标绿色项目提供融资优惠</w:t>
      </w:r>
      <w:r>
        <w:rPr>
          <w:rFonts w:hint="eastAsia" w:ascii="仿宋_GB2312" w:hAnsi="仿宋_GB2312" w:eastAsia="仿宋_GB2312" w:cs="仿宋_GB2312"/>
          <w:b w:val="0"/>
          <w:bCs w:val="0"/>
          <w:color w:val="auto"/>
          <w:lang w:eastAsia="zh-CN"/>
        </w:rPr>
        <w:t>。</w:t>
      </w:r>
      <w:bookmarkEnd w:id="213"/>
      <w:bookmarkEnd w:id="214"/>
    </w:p>
    <w:p w14:paraId="5D3B3734">
      <w:pPr>
        <w:keepNext w:val="0"/>
        <w:keepLines w:val="0"/>
        <w:ind w:firstLine="640"/>
        <w:jc w:val="both"/>
        <w:rPr>
          <w:rFonts w:hint="eastAsia"/>
        </w:rPr>
      </w:pPr>
      <w:r>
        <w:rPr>
          <w:rFonts w:hint="eastAsia"/>
          <w:b/>
          <w:bCs/>
        </w:rPr>
        <w:t>聚焦三大主导产业风险特征，以科技保险构建覆盖研发、转化、落地全链条的风险保障体系。</w:t>
      </w:r>
      <w:r>
        <w:rPr>
          <w:rFonts w:hint="eastAsia"/>
        </w:rPr>
        <w:t>针对医药健康产业成果转化风险高的特点，推广知识产权保险、研发中断保险；针对先进能源产业投资体量大的特性，依托科技共保体定制全周期产品矩阵；针对先进制造产业技术迭代快、设备投入大的特点，推广首台（套）重大技术装备保险。推动银保协同，探索“科保贷”综合金融服务方案。</w:t>
      </w:r>
    </w:p>
    <w:p w14:paraId="2401AFB7">
      <w:pPr>
        <w:pStyle w:val="2"/>
        <w:keepNext w:val="0"/>
        <w:keepLines w:val="0"/>
        <w:ind w:firstLine="643"/>
        <w:jc w:val="both"/>
        <w:rPr>
          <w:rFonts w:hint="eastAsia"/>
        </w:rPr>
      </w:pPr>
      <w:r>
        <w:rPr>
          <w:rFonts w:hint="eastAsia" w:ascii="仿宋_GB2312" w:hAnsi="仿宋_GB2312" w:cs="仿宋_GB2312"/>
          <w:b/>
          <w:bCs/>
          <w:color w:val="auto"/>
        </w:rPr>
        <w:t>拓展科技创新债券等直接融资渠道</w:t>
      </w:r>
      <w:r>
        <w:rPr>
          <w:rFonts w:hint="eastAsia" w:ascii="仿宋_GB2312" w:hAnsi="仿宋_GB2312" w:cs="仿宋_GB2312"/>
          <w:b/>
          <w:bCs/>
          <w:color w:val="auto"/>
          <w:lang w:eastAsia="zh-CN"/>
        </w:rPr>
        <w:t>。</w:t>
      </w:r>
      <w:r>
        <w:rPr>
          <w:rFonts w:hint="eastAsia" w:ascii="仿宋_GB2312" w:hAnsi="仿宋_GB2312" w:cs="仿宋_GB2312"/>
          <w:color w:val="auto"/>
        </w:rPr>
        <w:t>鼓励和引导符合条件的企业发行双创孵化专项债券、创业投资基金类债券、创新创业公司债券</w:t>
      </w:r>
      <w:r>
        <w:rPr>
          <w:rFonts w:hint="eastAsia" w:ascii="仿宋_GB2312" w:hAnsi="仿宋_GB2312" w:cs="仿宋_GB2312"/>
          <w:color w:val="auto"/>
          <w:lang w:eastAsia="zh-CN"/>
        </w:rPr>
        <w:t>、商业</w:t>
      </w:r>
      <w:r>
        <w:rPr>
          <w:rFonts w:hint="eastAsia" w:ascii="仿宋_GB2312" w:hAnsi="仿宋_GB2312" w:cs="仿宋_GB2312"/>
          <w:color w:val="auto"/>
          <w:lang w:val="en-US" w:eastAsia="zh-CN"/>
        </w:rPr>
        <w:t>REITs</w:t>
      </w:r>
      <w:r>
        <w:rPr>
          <w:rFonts w:hint="eastAsia" w:ascii="仿宋_GB2312" w:hAnsi="仿宋_GB2312" w:cs="仿宋_GB2312"/>
          <w:color w:val="auto"/>
        </w:rPr>
        <w:t>等</w:t>
      </w:r>
      <w:r>
        <w:rPr>
          <w:rFonts w:hint="eastAsia" w:ascii="仿宋_GB2312" w:hAnsi="仿宋_GB2312" w:cs="仿宋_GB2312"/>
          <w:color w:val="auto"/>
          <w:lang w:eastAsia="zh-CN"/>
        </w:rPr>
        <w:t>科技创新产品</w:t>
      </w:r>
      <w:r>
        <w:rPr>
          <w:rFonts w:hint="eastAsia" w:ascii="仿宋_GB2312" w:hAnsi="仿宋_GB2312" w:cs="仿宋_GB2312"/>
          <w:color w:val="auto"/>
        </w:rPr>
        <w:t>。鼓励重点发行人、创投机构、证券公司发行科技创新债券。</w:t>
      </w:r>
      <w:r>
        <w:rPr>
          <w:rFonts w:hint="eastAsia" w:ascii="仿宋_GB2312" w:hAnsi="仿宋_GB2312" w:cs="仿宋_GB2312"/>
          <w:color w:val="auto"/>
          <w:lang w:eastAsia="zh-CN"/>
        </w:rPr>
        <w:t>协同</w:t>
      </w:r>
      <w:r>
        <w:rPr>
          <w:rFonts w:hint="eastAsia" w:ascii="仿宋_GB2312" w:hAnsi="仿宋_GB2312" w:cs="仿宋_GB2312"/>
          <w:color w:val="auto"/>
        </w:rPr>
        <w:t>监管部门及头部券商构建“服务生态圈”，</w:t>
      </w:r>
      <w:r>
        <w:rPr>
          <w:rFonts w:ascii="仿宋_GB2312" w:hAnsi="仿宋_GB2312" w:cs="仿宋_GB2312"/>
          <w:color w:val="auto"/>
        </w:rPr>
        <w:t>推动</w:t>
      </w:r>
      <w:r>
        <w:rPr>
          <w:rFonts w:hint="eastAsia" w:ascii="仿宋_GB2312" w:hAnsi="仿宋_GB2312" w:cs="仿宋_GB2312"/>
          <w:color w:val="auto"/>
          <w:lang w:eastAsia="zh-CN"/>
        </w:rPr>
        <w:t>科技创新融资</w:t>
      </w:r>
      <w:r>
        <w:rPr>
          <w:rFonts w:ascii="仿宋_GB2312" w:hAnsi="仿宋_GB2312" w:cs="仿宋_GB2312"/>
          <w:color w:val="auto"/>
        </w:rPr>
        <w:t>产品和发行通道更加便利</w:t>
      </w:r>
      <w:r>
        <w:rPr>
          <w:rFonts w:hint="eastAsia" w:ascii="仿宋_GB2312" w:hAnsi="仿宋_GB2312" w:cs="仿宋_GB2312"/>
          <w:color w:val="auto"/>
        </w:rPr>
        <w:t>。</w:t>
      </w:r>
    </w:p>
    <w:p w14:paraId="0BB6D454">
      <w:pPr>
        <w:pStyle w:val="5"/>
        <w:keepNext w:val="0"/>
        <w:keepLines w:val="0"/>
        <w:ind w:firstLine="640"/>
        <w:jc w:val="both"/>
        <w:rPr>
          <w:rFonts w:ascii="楷体_GB2312" w:hAnsi="楷体_GB2312" w:cs="楷体_GB2312"/>
          <w:color w:val="auto"/>
        </w:rPr>
      </w:pPr>
      <w:bookmarkStart w:id="215" w:name="_Toc305841655_WPSOffice_Level3"/>
      <w:bookmarkStart w:id="216" w:name="_Toc42461071"/>
      <w:bookmarkStart w:id="217" w:name="_Toc1309764187"/>
      <w:bookmarkStart w:id="218" w:name="_Toc1153870095"/>
      <w:r>
        <w:rPr>
          <w:rFonts w:hint="eastAsia" w:ascii="楷体_GB2312" w:hAnsi="楷体_GB2312" w:cs="楷体_GB2312"/>
          <w:color w:val="auto"/>
        </w:rPr>
        <w:t>（</w:t>
      </w:r>
      <w:r>
        <w:rPr>
          <w:rFonts w:hint="eastAsia" w:ascii="楷体_GB2312" w:hAnsi="楷体_GB2312" w:cs="楷体_GB2312"/>
          <w:color w:val="auto"/>
          <w:lang w:eastAsia="zh-CN"/>
        </w:rPr>
        <w:t>二</w:t>
      </w:r>
      <w:r>
        <w:rPr>
          <w:rFonts w:hint="eastAsia" w:ascii="楷体_GB2312" w:hAnsi="楷体_GB2312" w:cs="楷体_GB2312"/>
          <w:color w:val="auto"/>
        </w:rPr>
        <w:t>）聚焦新兴未来产业前瞻布局，探索运营早期服务模式</w:t>
      </w:r>
      <w:bookmarkEnd w:id="215"/>
      <w:bookmarkEnd w:id="216"/>
      <w:bookmarkEnd w:id="217"/>
    </w:p>
    <w:p w14:paraId="13826FF4">
      <w:pPr>
        <w:pStyle w:val="48"/>
        <w:spacing w:after="0" w:line="560" w:lineRule="exact"/>
        <w:ind w:firstLine="643"/>
        <w:rPr>
          <w:color w:val="auto"/>
        </w:rPr>
      </w:pPr>
      <w:r>
        <w:rPr>
          <w:rFonts w:hint="eastAsia" w:ascii="仿宋_GB2312" w:hAnsi="仿宋_GB2312" w:eastAsia="仿宋_GB2312" w:cs="仿宋_GB2312"/>
          <w:b/>
          <w:bCs/>
          <w:color w:val="auto"/>
        </w:rPr>
        <w:t>设立科技成果概念验证基金。</w:t>
      </w:r>
      <w:r>
        <w:rPr>
          <w:rFonts w:hint="eastAsia" w:ascii="仿宋_GB2312" w:hAnsi="仿宋_GB2312" w:eastAsia="仿宋_GB2312" w:cs="仿宋_GB2312"/>
          <w:b w:val="0"/>
          <w:bCs w:val="0"/>
          <w:color w:val="auto"/>
        </w:rPr>
        <w:t>先行先试</w:t>
      </w:r>
      <w:r>
        <w:rPr>
          <w:rFonts w:hint="eastAsia" w:ascii="仿宋_GB2312" w:hAnsi="仿宋_GB2312" w:eastAsia="仿宋_GB2312" w:cs="仿宋_GB2312"/>
          <w:b w:val="0"/>
          <w:bCs w:val="0"/>
          <w:color w:val="auto"/>
          <w:lang w:eastAsia="zh-CN"/>
        </w:rPr>
        <w:t>合成生物制造、氢能等</w:t>
      </w:r>
      <w:r>
        <w:rPr>
          <w:rFonts w:hint="eastAsia" w:ascii="仿宋_GB2312" w:hAnsi="仿宋_GB2312" w:eastAsia="仿宋_GB2312" w:cs="仿宋_GB2312"/>
          <w:b w:val="0"/>
          <w:bCs w:val="0"/>
          <w:color w:val="auto"/>
        </w:rPr>
        <w:t>重点细分方向，支持</w:t>
      </w:r>
      <w:r>
        <w:rPr>
          <w:rFonts w:hint="eastAsia" w:ascii="仿宋_GB2312" w:hAnsi="仿宋_GB2312" w:eastAsia="仿宋_GB2312" w:cs="仿宋_GB2312"/>
          <w:b w:val="0"/>
          <w:bCs w:val="0"/>
          <w:color w:val="auto"/>
          <w:lang w:eastAsia="zh-CN"/>
        </w:rPr>
        <w:t>重点实验室</w:t>
      </w:r>
      <w:r>
        <w:rPr>
          <w:rFonts w:hint="eastAsia" w:ascii="仿宋_GB2312" w:hAnsi="仿宋_GB2312" w:eastAsia="仿宋_GB2312" w:cs="仿宋_GB2312"/>
          <w:b w:val="0"/>
          <w:bCs w:val="0"/>
          <w:color w:val="auto"/>
        </w:rPr>
        <w:t>强化源头创新，实现基金与项目风险共担、共同发展。</w:t>
      </w:r>
      <w:r>
        <w:rPr>
          <w:rFonts w:ascii="仿宋_GB2312" w:hAnsi="仿宋_GB2312" w:eastAsia="仿宋_GB2312" w:cs="仿宋_GB2312"/>
          <w:b w:val="0"/>
          <w:bCs w:val="0"/>
          <w:color w:val="auto"/>
        </w:rPr>
        <w:t>建立“股权+债权+后续转化”梯度投入机制，早期解决小试资金缺口，中期支持中试放大，后期</w:t>
      </w:r>
      <w:r>
        <w:rPr>
          <w:rFonts w:hint="eastAsia" w:ascii="仿宋_GB2312" w:hAnsi="仿宋_GB2312" w:eastAsia="仿宋_GB2312" w:cs="仿宋_GB2312"/>
          <w:b w:val="0"/>
          <w:bCs w:val="0"/>
          <w:color w:val="auto"/>
          <w:lang w:eastAsia="zh-CN"/>
        </w:rPr>
        <w:t>对接</w:t>
      </w:r>
      <w:r>
        <w:rPr>
          <w:rFonts w:ascii="仿宋_GB2312" w:hAnsi="仿宋_GB2312" w:eastAsia="仿宋_GB2312" w:cs="仿宋_GB2312"/>
          <w:b w:val="0"/>
          <w:bCs w:val="0"/>
          <w:color w:val="auto"/>
        </w:rPr>
        <w:t>投资机构、产业园区和适配企业，推动成果产业化</w:t>
      </w:r>
      <w:r>
        <w:rPr>
          <w:rFonts w:hint="eastAsia" w:ascii="仿宋_GB2312" w:hAnsi="仿宋_GB2312" w:eastAsia="仿宋_GB2312" w:cs="仿宋_GB2312"/>
          <w:b w:val="0"/>
          <w:bCs w:val="0"/>
          <w:color w:val="auto"/>
        </w:rPr>
        <w:t>。</w:t>
      </w:r>
    </w:p>
    <w:p w14:paraId="0401F6E1">
      <w:pPr>
        <w:widowControl/>
        <w:ind w:firstLine="0"/>
        <w:jc w:val="left"/>
        <w:rPr>
          <w:color w:val="auto"/>
        </w:rPr>
      </w:pPr>
      <w:r>
        <w:rPr>
          <w:rFonts w:hint="eastAsia"/>
          <w:b/>
          <w:bCs/>
          <w:color w:val="auto"/>
        </w:rPr>
        <w:t>引入“三长联席”专业决策支撑体系。</w:t>
      </w:r>
      <w:r>
        <w:rPr>
          <w:rFonts w:hint="eastAsia"/>
          <w:color w:val="auto"/>
        </w:rPr>
        <w:t>依托“未来科创金融智库”，定期举办“走进昌平”调研等主题活动。组织科学家、企业家、金融家对区域金融发展建言献策，围绕前沿创新领域，</w:t>
      </w:r>
      <w:r>
        <w:rPr>
          <w:color w:val="auto"/>
        </w:rPr>
        <w:t>开展技术</w:t>
      </w:r>
      <w:r>
        <w:rPr>
          <w:rFonts w:hint="eastAsia"/>
          <w:color w:val="auto"/>
          <w:lang w:eastAsia="zh-CN"/>
        </w:rPr>
        <w:t>、</w:t>
      </w:r>
      <w:r>
        <w:rPr>
          <w:color w:val="auto"/>
        </w:rPr>
        <w:t>市场</w:t>
      </w:r>
      <w:r>
        <w:rPr>
          <w:rFonts w:hint="eastAsia"/>
          <w:color w:val="auto"/>
          <w:lang w:eastAsia="zh-CN"/>
        </w:rPr>
        <w:t>、投</w:t>
      </w:r>
      <w:r>
        <w:rPr>
          <w:color w:val="auto"/>
        </w:rPr>
        <w:t>融资评估</w:t>
      </w:r>
      <w:r>
        <w:rPr>
          <w:rFonts w:hint="eastAsia"/>
          <w:color w:val="auto"/>
        </w:rPr>
        <w:t>。</w:t>
      </w:r>
      <w:r>
        <w:rPr>
          <w:rFonts w:hint="eastAsia" w:eastAsia="仿宋_GB2312" w:asciiTheme="minorHAnsi" w:hAnsiTheme="minorHAnsi" w:cstheme="minorBidi"/>
          <w:b w:val="0"/>
          <w:i w:val="0"/>
          <w:caps w:val="0"/>
          <w:color w:val="000000" w:themeColor="text1"/>
          <w:spacing w:val="0"/>
          <w:kern w:val="2"/>
          <w:sz w:val="32"/>
          <w:szCs w:val="32"/>
          <w:shd w:val="clear" w:fill="auto"/>
          <w:lang w:val="en-US" w:eastAsia="zh-CN" w:bidi="ar"/>
          <w14:textFill>
            <w14:solidFill>
              <w14:schemeClr w14:val="tx1"/>
            </w14:solidFill>
          </w14:textFill>
        </w:rPr>
        <w:t>织密科创金融信息网络</w:t>
      </w:r>
      <w:r>
        <w:rPr>
          <w:rFonts w:hint="eastAsia" w:cstheme="minorBidi"/>
          <w:b w:val="0"/>
          <w:i w:val="0"/>
          <w:caps w:val="0"/>
          <w:color w:val="000000" w:themeColor="text1"/>
          <w:spacing w:val="0"/>
          <w:kern w:val="2"/>
          <w:sz w:val="32"/>
          <w:szCs w:val="32"/>
          <w:shd w:val="clear" w:fill="auto"/>
          <w:lang w:val="en-US" w:eastAsia="zh-CN" w:bidi="ar"/>
          <w14:textFill>
            <w14:solidFill>
              <w14:schemeClr w14:val="tx1"/>
            </w14:solidFill>
          </w14:textFill>
        </w:rPr>
        <w:t>，</w:t>
      </w:r>
      <w:r>
        <w:rPr>
          <w:rFonts w:hint="eastAsia"/>
          <w:color w:val="auto"/>
        </w:rPr>
        <w:t>为政金企对接提供数据支撑。</w:t>
      </w:r>
    </w:p>
    <w:p w14:paraId="188DFF30">
      <w:pPr>
        <w:pStyle w:val="4"/>
        <w:keepNext w:val="0"/>
        <w:keepLines w:val="0"/>
        <w:ind w:firstLine="640"/>
        <w:jc w:val="both"/>
        <w:rPr>
          <w:color w:val="auto"/>
        </w:rPr>
      </w:pPr>
      <w:bookmarkStart w:id="219" w:name="_Toc930817215"/>
      <w:bookmarkStart w:id="220" w:name="_Toc619503447"/>
      <w:bookmarkStart w:id="221" w:name="_Toc433096310_WPSOffice_Level2"/>
      <w:r>
        <w:rPr>
          <w:rFonts w:hint="eastAsia"/>
          <w:color w:val="auto"/>
        </w:rPr>
        <w:t>三、助推平原新城建设发展，深化金融开放合作格局</w:t>
      </w:r>
      <w:bookmarkEnd w:id="218"/>
      <w:bookmarkEnd w:id="219"/>
      <w:bookmarkEnd w:id="220"/>
      <w:bookmarkEnd w:id="221"/>
    </w:p>
    <w:p w14:paraId="396D3057">
      <w:pPr>
        <w:pStyle w:val="5"/>
        <w:ind w:firstLine="640"/>
        <w:rPr>
          <w:rFonts w:ascii="楷体_GB2312" w:hAnsi="楷体_GB2312" w:cs="楷体_GB2312"/>
          <w:color w:val="auto"/>
        </w:rPr>
      </w:pPr>
      <w:bookmarkStart w:id="222" w:name="_Toc2028633951"/>
      <w:bookmarkStart w:id="223" w:name="_Toc1389796204"/>
      <w:bookmarkStart w:id="224" w:name="_Toc291867217_WPSOffice_Level3"/>
      <w:bookmarkStart w:id="225" w:name="_Toc591475823"/>
      <w:r>
        <w:rPr>
          <w:rFonts w:hint="eastAsia" w:ascii="楷体_GB2312" w:hAnsi="楷体_GB2312" w:cs="楷体_GB2312"/>
          <w:color w:val="auto"/>
        </w:rPr>
        <w:t>（一）打造差异化金融服务策略，促进城乡融合发展</w:t>
      </w:r>
      <w:bookmarkEnd w:id="222"/>
      <w:bookmarkEnd w:id="223"/>
      <w:bookmarkEnd w:id="224"/>
      <w:bookmarkEnd w:id="225"/>
    </w:p>
    <w:p w14:paraId="2F16C8A6">
      <w:pPr>
        <w:ind w:firstLine="643"/>
        <w:rPr>
          <w:rFonts w:ascii="仿宋_GB2312" w:hAnsi="仿宋_GB2312" w:cs="仿宋_GB2312"/>
          <w:b/>
          <w:bCs/>
          <w:color w:val="auto"/>
        </w:rPr>
      </w:pPr>
      <w:r>
        <w:rPr>
          <w:rFonts w:hint="eastAsia" w:ascii="仿宋_GB2312" w:hAnsi="仿宋_GB2312" w:cs="仿宋_GB2312"/>
          <w:b/>
          <w:bCs/>
          <w:color w:val="auto"/>
        </w:rPr>
        <w:t>聚焦城市更新项目，拓宽多元化融资渠道。</w:t>
      </w:r>
      <w:r>
        <w:rPr>
          <w:rFonts w:ascii="仿宋_GB2312" w:hAnsi="仿宋_GB2312" w:cs="仿宋_GB2312"/>
          <w:color w:val="auto"/>
        </w:rPr>
        <w:t>围绕老旧小区改造、城中村改造等领域，鼓励金融机构创新专项贷款、专项基金、专项债券、REITs和资产证券化等工具，提供全周期融资服务。强化财政金融协同，在风险合规前提下支持专项债、特别国债项目配套融资，鼓励以银团贷款等方式增强中长期资金供给。</w:t>
      </w:r>
    </w:p>
    <w:p w14:paraId="5E58AD6E">
      <w:pPr>
        <w:ind w:firstLine="643"/>
        <w:rPr>
          <w:rFonts w:ascii="仿宋_GB2312" w:hAnsi="仿宋_GB2312" w:cs="仿宋_GB2312"/>
          <w:b/>
          <w:bCs/>
          <w:color w:val="auto"/>
        </w:rPr>
      </w:pPr>
      <w:r>
        <w:rPr>
          <w:rFonts w:hint="eastAsia" w:ascii="仿宋_GB2312" w:hAnsi="仿宋_GB2312" w:cs="仿宋_GB2312"/>
          <w:b/>
          <w:bCs/>
          <w:color w:val="auto"/>
        </w:rPr>
        <w:t>服务新型城镇化建设，提升金融服务数字化能力</w:t>
      </w:r>
      <w:r>
        <w:rPr>
          <w:rFonts w:hint="eastAsia" w:ascii="仿宋_GB2312" w:hAnsi="仿宋_GB2312" w:cs="仿宋_GB2312"/>
          <w:b/>
          <w:bCs/>
          <w:color w:val="auto"/>
          <w:lang w:eastAsia="zh-CN"/>
        </w:rPr>
        <w:t>。</w:t>
      </w:r>
      <w:r>
        <w:rPr>
          <w:rFonts w:hint="eastAsia" w:ascii="仿宋_GB2312" w:hAnsi="仿宋_GB2312" w:cs="仿宋_GB2312"/>
          <w:color w:val="auto"/>
          <w:lang w:eastAsia="zh-CN"/>
        </w:rPr>
        <w:t>用好</w:t>
      </w:r>
      <w:r>
        <w:rPr>
          <w:rFonts w:hint="eastAsia" w:ascii="仿宋_GB2312" w:hAnsi="仿宋_GB2312" w:cs="仿宋_GB2312"/>
          <w:color w:val="auto"/>
        </w:rPr>
        <w:t>数字金融平台</w:t>
      </w:r>
      <w:r>
        <w:rPr>
          <w:rFonts w:hint="eastAsia" w:ascii="仿宋_GB2312" w:hAnsi="仿宋_GB2312" w:cs="仿宋_GB2312"/>
          <w:color w:val="auto"/>
          <w:lang w:eastAsia="zh-CN"/>
        </w:rPr>
        <w:t>，</w:t>
      </w:r>
      <w:r>
        <w:rPr>
          <w:rFonts w:hint="eastAsia" w:ascii="仿宋_GB2312" w:hAnsi="仿宋_GB2312" w:cs="仿宋_GB2312"/>
          <w:color w:val="auto"/>
        </w:rPr>
        <w:t>与政务服务、公共服务等平台互联互通，引导区内企业完成北京</w:t>
      </w:r>
      <w:r>
        <w:rPr>
          <w:rFonts w:hint="eastAsia" w:ascii="仿宋_GB2312" w:hAnsi="仿宋_GB2312" w:cs="仿宋_GB2312"/>
          <w:color w:val="auto"/>
          <w:lang w:eastAsia="zh-CN"/>
        </w:rPr>
        <w:t>市</w:t>
      </w:r>
      <w:r>
        <w:rPr>
          <w:rFonts w:hint="eastAsia" w:ascii="仿宋_GB2312" w:hAnsi="仿宋_GB2312" w:cs="仿宋_GB2312"/>
          <w:color w:val="auto"/>
        </w:rPr>
        <w:t>融信平台实名认证和授信。推动金融机构数字化转型，在合规前提下</w:t>
      </w:r>
      <w:r>
        <w:rPr>
          <w:rFonts w:ascii="仿宋_GB2312" w:hAnsi="仿宋_GB2312" w:cs="仿宋_GB2312"/>
          <w:color w:val="auto"/>
        </w:rPr>
        <w:t>运用人工智能等技术优化用户画像</w:t>
      </w:r>
      <w:r>
        <w:rPr>
          <w:rFonts w:hint="eastAsia" w:ascii="仿宋_GB2312" w:hAnsi="仿宋_GB2312" w:cs="仿宋_GB2312"/>
          <w:color w:val="auto"/>
        </w:rPr>
        <w:t>。支持乡村全面振兴，完善农业金融资源配置，实现农村基础金融服务覆盖率达90%以上。</w:t>
      </w:r>
      <w:r>
        <w:rPr>
          <w:rFonts w:ascii="仿宋_GB2312" w:hAnsi="仿宋_GB2312" w:cs="仿宋_GB2312"/>
          <w:color w:val="auto"/>
        </w:rPr>
        <w:t>增加涉农信贷，拓宽农村资产抵质押范围，强化涉农保险保障</w:t>
      </w:r>
      <w:r>
        <w:rPr>
          <w:rFonts w:hint="eastAsia" w:ascii="仿宋_GB2312" w:hAnsi="仿宋_GB2312" w:cs="仿宋_GB2312"/>
          <w:color w:val="auto"/>
        </w:rPr>
        <w:t>。</w:t>
      </w:r>
    </w:p>
    <w:p w14:paraId="3C47281A">
      <w:pPr>
        <w:pStyle w:val="5"/>
        <w:keepNext w:val="0"/>
        <w:keepLines w:val="0"/>
        <w:ind w:firstLine="640"/>
        <w:rPr>
          <w:rFonts w:ascii="楷体_GB2312" w:hAnsi="楷体_GB2312" w:cs="楷体_GB2312"/>
          <w:color w:val="auto"/>
        </w:rPr>
      </w:pPr>
      <w:bookmarkStart w:id="226" w:name="_Toc1800972507"/>
      <w:bookmarkStart w:id="227" w:name="_Toc1307742336_WPSOffice_Level3"/>
      <w:bookmarkStart w:id="228" w:name="_Toc195103173"/>
      <w:bookmarkStart w:id="229" w:name="_Toc749983117"/>
      <w:r>
        <w:rPr>
          <w:rFonts w:hint="eastAsia" w:ascii="楷体_GB2312" w:hAnsi="楷体_GB2312" w:cs="楷体_GB2312"/>
          <w:color w:val="auto"/>
        </w:rPr>
        <w:t>（二）推动普惠金融提质扩面，增进社会民生福祉</w:t>
      </w:r>
      <w:bookmarkEnd w:id="226"/>
      <w:bookmarkEnd w:id="227"/>
      <w:bookmarkEnd w:id="228"/>
      <w:bookmarkEnd w:id="229"/>
    </w:p>
    <w:p w14:paraId="06888158">
      <w:pPr>
        <w:widowControl/>
        <w:ind w:firstLine="0"/>
        <w:jc w:val="left"/>
        <w:rPr>
          <w:rFonts w:hint="eastAsia" w:ascii="仿宋_GB2312" w:hAnsi="仿宋_GB2312" w:cs="仿宋_GB2312"/>
          <w:color w:val="auto"/>
        </w:rPr>
      </w:pPr>
      <w:r>
        <w:rPr>
          <w:rFonts w:hint="eastAsia" w:ascii="仿宋_GB2312" w:hAnsi="仿宋_GB2312" w:cs="仿宋_GB2312"/>
          <w:b/>
          <w:bCs/>
          <w:color w:val="auto"/>
        </w:rPr>
        <w:t>适应人口发展新常态，满足重点领域金融需求。</w:t>
      </w:r>
      <w:r>
        <w:rPr>
          <w:rFonts w:hint="eastAsia" w:ascii="仿宋_GB2312" w:hAnsi="仿宋_GB2312" w:cs="仿宋_GB2312"/>
          <w:color w:val="auto"/>
        </w:rPr>
        <w:t>优化新市民、</w:t>
      </w:r>
      <w:r>
        <w:rPr>
          <w:rFonts w:hint="eastAsia" w:ascii="仿宋_GB2312" w:hAnsi="仿宋_GB2312" w:cs="仿宋_GB2312"/>
          <w:color w:val="auto"/>
          <w:lang w:eastAsia="zh-CN"/>
        </w:rPr>
        <w:t>青年人才</w:t>
      </w:r>
      <w:r>
        <w:rPr>
          <w:rFonts w:hint="eastAsia" w:ascii="仿宋_GB2312" w:hAnsi="仿宋_GB2312" w:cs="仿宋_GB2312"/>
          <w:color w:val="auto"/>
        </w:rPr>
        <w:t>等群体就业创业领域金融服务，适当放宽创业担保贷款申请条件。</w:t>
      </w:r>
      <w:r>
        <w:rPr>
          <w:rFonts w:hint="eastAsia" w:ascii="仿宋_GB2312" w:hAnsi="仿宋_GB2312" w:eastAsia="仿宋_GB2312" w:cs="仿宋_GB2312"/>
          <w:i w:val="0"/>
          <w:caps w:val="0"/>
          <w:color w:val="000000" w:themeColor="text1"/>
          <w:spacing w:val="0"/>
          <w:kern w:val="2"/>
          <w:sz w:val="32"/>
          <w:szCs w:val="32"/>
          <w:shd w:val="clear" w:fill="auto"/>
          <w:lang w:val="en-US" w:eastAsia="zh-CN" w:bidi="ar"/>
          <w14:textFill>
            <w14:solidFill>
              <w14:schemeClr w14:val="tx1"/>
            </w14:solidFill>
          </w14:textFill>
        </w:rPr>
        <w:t>引导金融机构创新家庭财富管理产品，拓宽居民收入渠道，加大对托育、教育、健康、养老和银发经济的融资支持与保险保障，服务回天地区等人口密集区域民生需求。</w:t>
      </w:r>
    </w:p>
    <w:p w14:paraId="56DFCCD6">
      <w:pPr>
        <w:ind w:firstLine="643"/>
        <w:rPr>
          <w:rFonts w:ascii="仿宋_GB2312" w:hAnsi="仿宋_GB2312" w:cs="仿宋_GB2312"/>
          <w:color w:val="auto"/>
        </w:rPr>
      </w:pPr>
      <w:r>
        <w:rPr>
          <w:rFonts w:hint="eastAsia" w:ascii="仿宋_GB2312" w:hAnsi="仿宋_GB2312" w:cs="仿宋_GB2312"/>
          <w:b/>
          <w:bCs/>
          <w:color w:val="auto"/>
        </w:rPr>
        <w:t>助力释放消费潜力，强化金融促消费与惠民生作用。</w:t>
      </w:r>
      <w:r>
        <w:rPr>
          <w:rFonts w:hint="eastAsia" w:ascii="仿宋_GB2312" w:hAnsi="仿宋_GB2312" w:cs="仿宋_GB2312"/>
          <w:color w:val="auto"/>
        </w:rPr>
        <w:t>鼓励金融机构增加对批发零售、餐饮住宿、家政服务</w:t>
      </w:r>
      <w:r>
        <w:rPr>
          <w:rFonts w:ascii="仿宋_GB2312" w:hAnsi="仿宋_GB2312" w:cs="仿宋_GB2312"/>
          <w:color w:val="auto"/>
        </w:rPr>
        <w:t>、消费品以旧换新等领域支持</w:t>
      </w:r>
      <w:r>
        <w:rPr>
          <w:rFonts w:hint="eastAsia" w:ascii="仿宋_GB2312" w:hAnsi="仿宋_GB2312" w:cs="仿宋_GB2312"/>
          <w:color w:val="auto"/>
        </w:rPr>
        <w:t>。</w:t>
      </w:r>
      <w:r>
        <w:rPr>
          <w:rFonts w:ascii="仿宋_GB2312" w:hAnsi="仿宋_GB2312" w:cs="仿宋_GB2312"/>
          <w:color w:val="auto"/>
        </w:rPr>
        <w:t>丰富适合小微企业、个体工商户的信用贷款、应收账款质押等产品</w:t>
      </w:r>
      <w:r>
        <w:rPr>
          <w:rFonts w:hint="eastAsia" w:ascii="仿宋_GB2312" w:hAnsi="仿宋_GB2312" w:cs="仿宋_GB2312"/>
          <w:color w:val="auto"/>
        </w:rPr>
        <w:t>。探索金融支持数字消费、绿色消费、健康消费等新型消费的有效渠道和方式。</w:t>
      </w:r>
    </w:p>
    <w:p w14:paraId="5C9E5161">
      <w:pPr>
        <w:ind w:firstLine="643"/>
        <w:rPr>
          <w:rFonts w:ascii="等线 Light" w:hAnsi="等线 Light" w:eastAsia="楷体_GB2312" w:cs="Times New Roman"/>
          <w:color w:val="auto"/>
          <w14:ligatures w14:val="standardContextual"/>
        </w:rPr>
      </w:pPr>
      <w:r>
        <w:rPr>
          <w:rFonts w:hint="eastAsia" w:ascii="仿宋_GB2312" w:hAnsi="仿宋_GB2312" w:cs="仿宋_GB2312"/>
          <w:b/>
          <w:bCs/>
          <w:color w:val="auto"/>
        </w:rPr>
        <w:t>优化支付服务环境，积极稳妥推行数字人民币应用。</w:t>
      </w:r>
      <w:r>
        <w:rPr>
          <w:rFonts w:hint="eastAsia" w:ascii="仿宋_GB2312" w:hAnsi="仿宋_GB2312" w:cs="仿宋_GB2312"/>
          <w:color w:val="auto"/>
        </w:rPr>
        <w:t>支持金融机构聚焦“食、住、行、游、购、娱、医”等重点消费场景，推进支付便利化建设，优化重点领域外卡受理环境，提升适老化支付服务水平。</w:t>
      </w:r>
      <w:r>
        <w:rPr>
          <w:rFonts w:ascii="仿宋_GB2312" w:hAnsi="仿宋_GB2312" w:cs="仿宋_GB2312"/>
          <w:color w:val="auto"/>
        </w:rPr>
        <w:t>推广数字人民币在财政拨付、补贴发放、税费缴纳、园区租金、商圈零售和医院缴费等场景中的应用</w:t>
      </w:r>
      <w:r>
        <w:rPr>
          <w:rFonts w:hint="eastAsia" w:ascii="仿宋_GB2312" w:hAnsi="仿宋_GB2312" w:cs="仿宋_GB2312"/>
          <w:color w:val="auto"/>
        </w:rPr>
        <w:t>。</w:t>
      </w:r>
    </w:p>
    <w:p w14:paraId="01C1D063">
      <w:pPr>
        <w:pStyle w:val="5"/>
        <w:keepNext w:val="0"/>
        <w:keepLines/>
        <w:pageBreakBefore w:val="0"/>
        <w:widowControl w:val="0"/>
        <w:kinsoku/>
        <w:wordWrap/>
        <w:overflowPunct/>
        <w:topLinePunct w:val="0"/>
        <w:autoSpaceDE/>
        <w:autoSpaceDN/>
        <w:bidi w:val="0"/>
        <w:adjustRightInd/>
        <w:snapToGrid/>
        <w:ind w:firstLine="640"/>
        <w:textAlignment w:val="auto"/>
        <w:rPr>
          <w:rFonts w:ascii="楷体_GB2312" w:hAnsi="楷体_GB2312" w:cs="楷体_GB2312"/>
          <w:color w:val="auto"/>
        </w:rPr>
      </w:pPr>
      <w:bookmarkStart w:id="230" w:name="_Toc785515546"/>
      <w:bookmarkStart w:id="231" w:name="_Toc322049559_WPSOffice_Level3"/>
      <w:bookmarkStart w:id="232" w:name="_Toc1428459148"/>
      <w:bookmarkStart w:id="233" w:name="_Toc114664887"/>
      <w:r>
        <w:rPr>
          <w:rFonts w:hint="eastAsia" w:ascii="楷体_GB2312" w:hAnsi="楷体_GB2312" w:cs="楷体_GB2312"/>
          <w:color w:val="auto"/>
        </w:rPr>
        <w:t>（三）深化“两区”试点推广，</w:t>
      </w:r>
      <w:bookmarkEnd w:id="230"/>
      <w:r>
        <w:rPr>
          <w:rFonts w:hint="eastAsia" w:ascii="楷体_GB2312" w:hAnsi="楷体_GB2312" w:cs="楷体_GB2312"/>
          <w:color w:val="auto"/>
        </w:rPr>
        <w:t>推动跨境金融发展</w:t>
      </w:r>
      <w:bookmarkEnd w:id="231"/>
      <w:bookmarkEnd w:id="232"/>
      <w:bookmarkEnd w:id="233"/>
    </w:p>
    <w:p w14:paraId="7C578214">
      <w:pPr>
        <w:widowControl/>
        <w:ind w:firstLine="643"/>
        <w:rPr>
          <w:color w:val="auto"/>
        </w:rPr>
      </w:pPr>
      <w:r>
        <w:rPr>
          <w:rFonts w:hint="eastAsia" w:ascii="仿宋_GB2312" w:hAnsi="仿宋_GB2312" w:cs="仿宋_GB2312"/>
          <w:b/>
          <w:bCs/>
          <w:color w:val="auto"/>
          <w:szCs w:val="40"/>
          <w:lang w:eastAsia="zh-CN"/>
        </w:rPr>
        <w:t>构建</w:t>
      </w:r>
      <w:r>
        <w:rPr>
          <w:rFonts w:hint="eastAsia" w:ascii="仿宋_GB2312" w:hAnsi="仿宋_GB2312" w:cs="仿宋_GB2312"/>
          <w:b/>
          <w:bCs/>
          <w:color w:val="auto"/>
          <w:szCs w:val="40"/>
        </w:rPr>
        <w:t>双向开放的跨境</w:t>
      </w:r>
      <w:r>
        <w:rPr>
          <w:rFonts w:hint="eastAsia" w:ascii="仿宋_GB2312" w:hAnsi="仿宋_GB2312" w:cs="仿宋_GB2312"/>
          <w:b/>
          <w:bCs/>
          <w:color w:val="auto"/>
          <w:szCs w:val="40"/>
          <w:lang w:eastAsia="zh-CN"/>
        </w:rPr>
        <w:t>金融服务体系。</w:t>
      </w:r>
      <w:r>
        <w:rPr>
          <w:rFonts w:hint="eastAsia" w:ascii="仿宋_GB2312" w:hAnsi="仿宋_GB2312" w:cs="仿宋_GB2312"/>
          <w:color w:val="auto"/>
          <w:szCs w:val="40"/>
        </w:rPr>
        <w:t>持续推进合格境外有限合伙人（QFLP）和合格境内有限合伙人(QDLP)试点创新，推动双向开放</w:t>
      </w:r>
      <w:r>
        <w:rPr>
          <w:rFonts w:hint="eastAsia" w:ascii="仿宋_GB2312" w:hAnsi="仿宋_GB2312" w:cs="仿宋_GB2312"/>
          <w:color w:val="auto"/>
          <w:szCs w:val="40"/>
          <w:lang w:eastAsia="zh-CN"/>
        </w:rPr>
        <w:t>。</w:t>
      </w:r>
      <w:r>
        <w:rPr>
          <w:rFonts w:hint="eastAsia" w:ascii="仿宋_GB2312" w:hAnsi="仿宋_GB2312" w:cs="仿宋_GB2312"/>
          <w:color w:val="auto"/>
          <w:szCs w:val="40"/>
        </w:rPr>
        <w:t>扩大跨境贸易便利化政策供给，支持符合条件的跨国公司搭建本外币一体化资金池，</w:t>
      </w:r>
      <w:r>
        <w:rPr>
          <w:rFonts w:ascii="仿宋_GB2312" w:hAnsi="仿宋_GB2312" w:cs="仿宋_GB2312"/>
          <w:color w:val="auto"/>
          <w:szCs w:val="40"/>
        </w:rPr>
        <w:t>推广本外币合一银行结算账户和人民币跨境结算</w:t>
      </w:r>
      <w:r>
        <w:rPr>
          <w:rFonts w:hint="eastAsia" w:ascii="仿宋_GB2312" w:hAnsi="仿宋_GB2312" w:cs="仿宋_GB2312"/>
          <w:color w:val="auto"/>
          <w:szCs w:val="40"/>
        </w:rPr>
        <w:t>，降低企业汇兑成本</w:t>
      </w:r>
      <w:r>
        <w:rPr>
          <w:rFonts w:hint="eastAsia" w:ascii="仿宋_GB2312" w:hAnsi="仿宋_GB2312" w:cs="仿宋_GB2312"/>
          <w:color w:val="auto"/>
          <w:szCs w:val="40"/>
          <w:lang w:eastAsia="zh-CN"/>
        </w:rPr>
        <w:t>。</w:t>
      </w:r>
      <w:r>
        <w:rPr>
          <w:rFonts w:hint="eastAsia" w:ascii="仿宋_GB2312" w:hAnsi="仿宋_GB2312" w:cs="仿宋_GB2312"/>
          <w:color w:val="auto"/>
          <w:szCs w:val="40"/>
        </w:rPr>
        <w:t>强化股权投资跨境协同</w:t>
      </w:r>
      <w:r>
        <w:rPr>
          <w:rFonts w:hint="eastAsia" w:ascii="仿宋_GB2312" w:hAnsi="仿宋_GB2312" w:cs="仿宋_GB2312"/>
          <w:color w:val="auto"/>
          <w:szCs w:val="40"/>
          <w:lang w:eastAsia="zh-CN"/>
        </w:rPr>
        <w:t>，</w:t>
      </w:r>
      <w:r>
        <w:rPr>
          <w:rFonts w:hint="eastAsia" w:ascii="仿宋_GB2312" w:hAnsi="仿宋_GB2312" w:cs="仿宋_GB2312"/>
          <w:color w:val="auto"/>
          <w:szCs w:val="40"/>
        </w:rPr>
        <w:t>引导资本精准服务海外优质项目布局。鼓励保险机构推广涉外知识产权保险产品，降低企业获取知识产权海外险成本。</w:t>
      </w:r>
      <w:bookmarkEnd w:id="190"/>
      <w:bookmarkEnd w:id="191"/>
      <w:bookmarkEnd w:id="192"/>
      <w:bookmarkEnd w:id="193"/>
      <w:bookmarkEnd w:id="194"/>
      <w:bookmarkStart w:id="234" w:name="_Toc1748002583"/>
      <w:bookmarkStart w:id="235" w:name="_Toc203893653"/>
      <w:bookmarkStart w:id="236" w:name="_Toc205561252"/>
      <w:bookmarkStart w:id="237" w:name="_Toc205545965"/>
      <w:bookmarkStart w:id="238" w:name="_Toc957410192"/>
      <w:bookmarkStart w:id="239" w:name="_Toc755982512"/>
      <w:bookmarkStart w:id="240" w:name="OLE_LINK1"/>
    </w:p>
    <w:p w14:paraId="52B02E01">
      <w:pPr>
        <w:pStyle w:val="4"/>
        <w:ind w:firstLine="640"/>
        <w:rPr>
          <w:color w:val="auto"/>
        </w:rPr>
      </w:pPr>
      <w:bookmarkStart w:id="241" w:name="_Toc470304123"/>
      <w:bookmarkStart w:id="242" w:name="_Toc1552008266"/>
      <w:bookmarkStart w:id="243" w:name="_Toc1554774066_WPSOffice_Level2"/>
      <w:bookmarkStart w:id="244" w:name="_Toc1700729831"/>
      <w:r>
        <w:rPr>
          <w:rFonts w:hint="eastAsia"/>
          <w:color w:val="auto"/>
        </w:rPr>
        <w:t>四、优化企业上市培育服务，增强资本市场对接效能</w:t>
      </w:r>
      <w:bookmarkEnd w:id="234"/>
      <w:bookmarkEnd w:id="235"/>
      <w:bookmarkEnd w:id="236"/>
      <w:bookmarkEnd w:id="237"/>
      <w:bookmarkEnd w:id="238"/>
      <w:bookmarkEnd w:id="239"/>
      <w:bookmarkEnd w:id="241"/>
      <w:bookmarkEnd w:id="242"/>
      <w:bookmarkEnd w:id="243"/>
      <w:bookmarkEnd w:id="244"/>
    </w:p>
    <w:p w14:paraId="1A6E9126">
      <w:pPr>
        <w:pStyle w:val="5"/>
        <w:keepNext w:val="0"/>
        <w:keepLines/>
        <w:pageBreakBefore w:val="0"/>
        <w:widowControl w:val="0"/>
        <w:kinsoku/>
        <w:wordWrap/>
        <w:overflowPunct/>
        <w:topLinePunct w:val="0"/>
        <w:autoSpaceDE/>
        <w:autoSpaceDN/>
        <w:bidi w:val="0"/>
        <w:adjustRightInd/>
        <w:snapToGrid/>
        <w:ind w:firstLine="640"/>
        <w:textAlignment w:val="auto"/>
        <w:rPr>
          <w:rFonts w:ascii="楷体_GB2312" w:hAnsi="楷体_GB2312" w:cs="楷体_GB2312"/>
          <w:color w:val="auto"/>
        </w:rPr>
      </w:pPr>
      <w:bookmarkStart w:id="245" w:name="_Toc1592149641"/>
      <w:bookmarkStart w:id="246" w:name="_Toc1003054528_WPSOffice_Level3"/>
      <w:bookmarkStart w:id="247" w:name="_Toc1787172895"/>
      <w:bookmarkStart w:id="248" w:name="_Toc205561253"/>
      <w:bookmarkStart w:id="249" w:name="_Toc203893654"/>
      <w:bookmarkStart w:id="250" w:name="_Toc1365833217"/>
      <w:bookmarkStart w:id="251" w:name="_Toc1837748918"/>
      <w:bookmarkStart w:id="252" w:name="_Toc269924310"/>
      <w:bookmarkStart w:id="253" w:name="_Toc1965799174"/>
      <w:bookmarkStart w:id="254" w:name="_Toc205545966"/>
      <w:r>
        <w:rPr>
          <w:rFonts w:hint="eastAsia" w:ascii="楷体_GB2312" w:hAnsi="楷体_GB2312" w:cs="楷体_GB2312"/>
          <w:color w:val="auto"/>
        </w:rPr>
        <w:t>（一）强化分层培育机制，提升精准服务质效</w:t>
      </w:r>
      <w:bookmarkEnd w:id="245"/>
      <w:bookmarkEnd w:id="246"/>
      <w:bookmarkEnd w:id="247"/>
    </w:p>
    <w:p w14:paraId="4F190A9F">
      <w:pPr>
        <w:widowControl/>
        <w:ind w:firstLine="643"/>
        <w:rPr>
          <w:rFonts w:ascii="仿宋_GB2312" w:hAnsi="仿宋_GB2312" w:cs="仿宋_GB2312"/>
          <w:color w:val="auto"/>
        </w:rPr>
      </w:pPr>
      <w:r>
        <w:rPr>
          <w:rFonts w:hint="eastAsia" w:ascii="仿宋_GB2312" w:hAnsi="仿宋_GB2312" w:cs="仿宋_GB2312"/>
          <w:b/>
          <w:bCs/>
          <w:color w:val="auto"/>
        </w:rPr>
        <w:t>支持重点领域拟上市企业孵化。</w:t>
      </w:r>
      <w:r>
        <w:rPr>
          <w:rFonts w:hint="eastAsia" w:ascii="仿宋_GB2312" w:hAnsi="仿宋_GB2312" w:cs="仿宋_GB2312"/>
          <w:color w:val="auto"/>
        </w:rPr>
        <w:t>聚焦国家高新技术企业、“专精特新”企业、“独角兽”和“潜在独角兽”企业等</w:t>
      </w:r>
      <w:r>
        <w:rPr>
          <w:rFonts w:hint="eastAsia" w:ascii="仿宋_GB2312" w:hAnsi="仿宋_GB2312" w:cs="仿宋_GB2312"/>
          <w:color w:val="auto"/>
          <w:lang w:eastAsia="zh-CN"/>
        </w:rPr>
        <w:t>高成长潜力企业，按企业成长阶段建立</w:t>
      </w:r>
      <w:r>
        <w:rPr>
          <w:rFonts w:hint="eastAsia" w:ascii="仿宋_GB2312" w:hAnsi="仿宋_GB2312" w:cs="仿宋_GB2312"/>
          <w:color w:val="auto"/>
        </w:rPr>
        <w:t>拟上市企业分层分类</w:t>
      </w:r>
      <w:r>
        <w:rPr>
          <w:rFonts w:hint="eastAsia" w:ascii="仿宋_GB2312" w:hAnsi="仿宋_GB2312" w:cs="仿宋_GB2312"/>
          <w:color w:val="auto"/>
          <w:lang w:eastAsia="zh-CN"/>
        </w:rPr>
        <w:t>服务清单</w:t>
      </w:r>
      <w:r>
        <w:rPr>
          <w:rFonts w:hint="eastAsia" w:ascii="仿宋_GB2312" w:hAnsi="仿宋_GB2312" w:cs="仿宋_GB2312"/>
          <w:color w:val="auto"/>
        </w:rPr>
        <w:t>。</w:t>
      </w:r>
      <w:r>
        <w:rPr>
          <w:rFonts w:hint="eastAsia" w:ascii="仿宋_GB2312" w:hAnsi="仿宋_GB2312" w:cs="仿宋_GB2312"/>
          <w:color w:val="auto"/>
          <w:lang w:eastAsia="zh-CN"/>
        </w:rPr>
        <w:t>深化</w:t>
      </w:r>
      <w:r>
        <w:rPr>
          <w:rFonts w:hint="eastAsia" w:ascii="仿宋_GB2312" w:hAnsi="仿宋_GB2312" w:cs="仿宋_GB2312"/>
          <w:color w:val="auto"/>
        </w:rPr>
        <w:t>企业上市全周期</w:t>
      </w:r>
      <w:r>
        <w:rPr>
          <w:rFonts w:hint="eastAsia" w:ascii="仿宋_GB2312" w:hAnsi="仿宋_GB2312" w:cs="仿宋_GB2312"/>
          <w:color w:val="auto"/>
          <w:lang w:eastAsia="zh-CN"/>
        </w:rPr>
        <w:t>服务</w:t>
      </w:r>
      <w:r>
        <w:rPr>
          <w:rFonts w:hint="eastAsia" w:ascii="仿宋_GB2312" w:hAnsi="仿宋_GB2312" w:cs="仿宋_GB2312"/>
          <w:color w:val="auto"/>
        </w:rPr>
        <w:t>机制，</w:t>
      </w:r>
      <w:r>
        <w:rPr>
          <w:rFonts w:hint="eastAsia" w:ascii="仿宋_GB2312" w:hAnsi="仿宋_GB2312" w:cs="仿宋_GB2312"/>
          <w:color w:val="auto"/>
          <w:lang w:eastAsia="zh-CN"/>
        </w:rPr>
        <w:t>积极沟通对接各大</w:t>
      </w:r>
      <w:r>
        <w:rPr>
          <w:rFonts w:hint="eastAsia" w:ascii="仿宋_GB2312" w:hAnsi="仿宋_GB2312" w:cs="仿宋_GB2312"/>
          <w:color w:val="auto"/>
        </w:rPr>
        <w:t>交易所，</w:t>
      </w:r>
      <w:r>
        <w:rPr>
          <w:rFonts w:hint="eastAsia" w:ascii="仿宋_GB2312" w:hAnsi="仿宋_GB2312" w:cs="仿宋_GB2312"/>
          <w:color w:val="auto"/>
          <w:lang w:eastAsia="zh-CN"/>
        </w:rPr>
        <w:t>为培育企业提供一对一定制化、专业化</w:t>
      </w:r>
      <w:r>
        <w:rPr>
          <w:rFonts w:hint="eastAsia" w:ascii="仿宋_GB2312" w:hAnsi="仿宋_GB2312" w:cs="仿宋_GB2312"/>
          <w:color w:val="auto"/>
        </w:rPr>
        <w:t>辅导。</w:t>
      </w:r>
    </w:p>
    <w:p w14:paraId="34CAFBD2">
      <w:pPr>
        <w:pStyle w:val="5"/>
        <w:ind w:firstLine="640"/>
        <w:rPr>
          <w:rFonts w:ascii="楷体_GB2312" w:hAnsi="楷体_GB2312" w:cs="楷体_GB2312"/>
          <w:color w:val="auto"/>
        </w:rPr>
      </w:pPr>
      <w:bookmarkStart w:id="255" w:name="_Toc1534369950"/>
      <w:bookmarkStart w:id="256" w:name="_Toc7767916"/>
      <w:bookmarkStart w:id="257" w:name="_Toc1717983736_WPSOffice_Level3"/>
      <w:r>
        <w:rPr>
          <w:rFonts w:hint="eastAsia" w:ascii="楷体_GB2312" w:hAnsi="楷体_GB2312" w:cs="楷体_GB2312"/>
          <w:color w:val="auto"/>
        </w:rPr>
        <w:t>（二）健全全周期支持体系，护航上市稳健发展</w:t>
      </w:r>
      <w:bookmarkEnd w:id="255"/>
      <w:bookmarkEnd w:id="256"/>
      <w:bookmarkEnd w:id="257"/>
    </w:p>
    <w:p w14:paraId="50DB672D">
      <w:pPr>
        <w:widowControl/>
        <w:ind w:firstLine="643"/>
        <w:rPr>
          <w:rFonts w:ascii="楷体_GB2312" w:hAnsi="楷体_GB2312" w:cs="楷体_GB2312"/>
          <w:color w:val="auto"/>
        </w:rPr>
      </w:pPr>
      <w:r>
        <w:rPr>
          <w:rFonts w:hint="eastAsia" w:ascii="仿宋_GB2312" w:hAnsi="仿宋_GB2312" w:cs="仿宋_GB2312"/>
          <w:b/>
          <w:bCs/>
          <w:color w:val="auto"/>
        </w:rPr>
        <w:t>推动上市公司全链条布局。</w:t>
      </w:r>
      <w:r>
        <w:rPr>
          <w:rFonts w:hint="eastAsia" w:ascii="仿宋_GB2312" w:hAnsi="仿宋_GB2312" w:cs="仿宋_GB2312"/>
          <w:color w:val="auto"/>
        </w:rPr>
        <w:t>支持上市企业合理运用再融资、并购重组等</w:t>
      </w:r>
      <w:r>
        <w:rPr>
          <w:rFonts w:hint="eastAsia" w:ascii="仿宋_GB2312" w:hAnsi="仿宋_GB2312" w:cs="仿宋_GB2312"/>
          <w:color w:val="auto"/>
          <w:lang w:eastAsia="zh-CN"/>
        </w:rPr>
        <w:t>方式</w:t>
      </w:r>
      <w:r>
        <w:rPr>
          <w:rFonts w:hint="eastAsia" w:ascii="仿宋_GB2312" w:hAnsi="仿宋_GB2312" w:cs="仿宋_GB2312"/>
          <w:color w:val="auto"/>
        </w:rPr>
        <w:t>，以链主</w:t>
      </w:r>
      <w:r>
        <w:rPr>
          <w:rFonts w:hint="eastAsia" w:ascii="仿宋_GB2312" w:hAnsi="仿宋_GB2312" w:cs="仿宋_GB2312"/>
          <w:color w:val="auto"/>
          <w:lang w:eastAsia="zh-CN"/>
        </w:rPr>
        <w:t>企业为核心</w:t>
      </w:r>
      <w:r>
        <w:rPr>
          <w:rFonts w:hint="eastAsia" w:ascii="仿宋_GB2312" w:hAnsi="仿宋_GB2312" w:cs="仿宋_GB2312"/>
          <w:color w:val="auto"/>
        </w:rPr>
        <w:t>围绕其上下游供应链、创新链需求精选并购标的，</w:t>
      </w:r>
      <w:r>
        <w:rPr>
          <w:rFonts w:hint="eastAsia" w:ascii="仿宋_GB2312" w:hAnsi="仿宋_GB2312" w:cs="仿宋_GB2312"/>
          <w:color w:val="auto"/>
          <w:lang w:eastAsia="zh-CN"/>
        </w:rPr>
        <w:t>发挥</w:t>
      </w:r>
      <w:r>
        <w:rPr>
          <w:rFonts w:hint="eastAsia" w:ascii="仿宋_GB2312" w:hAnsi="仿宋_GB2312" w:cs="仿宋_GB2312"/>
          <w:color w:val="auto"/>
        </w:rPr>
        <w:t>带</w:t>
      </w:r>
      <w:r>
        <w:rPr>
          <w:rFonts w:hint="eastAsia" w:ascii="仿宋_GB2312" w:hAnsi="仿宋_GB2312" w:cs="仿宋_GB2312"/>
          <w:color w:val="auto"/>
          <w:lang w:eastAsia="zh-CN"/>
        </w:rPr>
        <w:t>头</w:t>
      </w:r>
      <w:r>
        <w:rPr>
          <w:rFonts w:hint="eastAsia" w:ascii="仿宋_GB2312" w:hAnsi="仿宋_GB2312" w:cs="仿宋_GB2312"/>
          <w:color w:val="auto"/>
        </w:rPr>
        <w:t>作用，促进</w:t>
      </w:r>
      <w:r>
        <w:rPr>
          <w:rFonts w:hint="eastAsia" w:ascii="仿宋_GB2312" w:hAnsi="仿宋_GB2312" w:cs="仿宋_GB2312"/>
          <w:color w:val="auto"/>
          <w:lang w:eastAsia="zh-CN"/>
        </w:rPr>
        <w:t>全</w:t>
      </w:r>
      <w:r>
        <w:rPr>
          <w:rFonts w:hint="eastAsia" w:ascii="仿宋_GB2312" w:hAnsi="仿宋_GB2312" w:cs="仿宋_GB2312"/>
          <w:color w:val="auto"/>
        </w:rPr>
        <w:t>产业链协同发展。鼓励上市公司</w:t>
      </w:r>
      <w:r>
        <w:rPr>
          <w:rFonts w:hint="eastAsia" w:ascii="仿宋_GB2312" w:hAnsi="仿宋_GB2312" w:cs="仿宋_GB2312"/>
          <w:color w:val="auto"/>
          <w:lang w:eastAsia="zh-CN"/>
        </w:rPr>
        <w:t>通过</w:t>
      </w:r>
      <w:r>
        <w:rPr>
          <w:rFonts w:hint="eastAsia" w:ascii="仿宋_GB2312" w:hAnsi="仿宋_GB2312" w:cs="仿宋_GB2312"/>
          <w:color w:val="auto"/>
        </w:rPr>
        <w:t>增发、配股、发债等方式再融资。支持上市企业开展境外并购重组，协助对接并购</w:t>
      </w:r>
      <w:r>
        <w:rPr>
          <w:rFonts w:hint="eastAsia" w:ascii="仿宋_GB2312" w:hAnsi="仿宋_GB2312" w:cs="仿宋_GB2312"/>
          <w:color w:val="auto"/>
          <w:lang w:eastAsia="zh-CN"/>
        </w:rPr>
        <w:t>类</w:t>
      </w:r>
      <w:r>
        <w:rPr>
          <w:rFonts w:hint="eastAsia" w:ascii="仿宋_GB2312" w:hAnsi="仿宋_GB2312" w:cs="仿宋_GB2312"/>
          <w:color w:val="auto"/>
        </w:rPr>
        <w:t>投资基金、贷款等。拓展A+H上市模式，支持符合条件的企业多地上市。</w:t>
      </w:r>
    </w:p>
    <w:p w14:paraId="393E14E1">
      <w:pPr>
        <w:pStyle w:val="5"/>
        <w:keepNext w:val="0"/>
        <w:keepLines/>
        <w:pageBreakBefore w:val="0"/>
        <w:widowControl w:val="0"/>
        <w:kinsoku/>
        <w:wordWrap/>
        <w:overflowPunct/>
        <w:topLinePunct w:val="0"/>
        <w:autoSpaceDE/>
        <w:autoSpaceDN/>
        <w:bidi w:val="0"/>
        <w:adjustRightInd/>
        <w:snapToGrid/>
        <w:ind w:firstLine="640"/>
        <w:textAlignment w:val="auto"/>
        <w:rPr>
          <w:rFonts w:ascii="楷体_GB2312" w:hAnsi="楷体_GB2312" w:cs="楷体_GB2312"/>
          <w:color w:val="auto"/>
        </w:rPr>
      </w:pPr>
      <w:bookmarkStart w:id="258" w:name="_Toc469389735"/>
      <w:bookmarkStart w:id="259" w:name="_Toc1574192712"/>
      <w:bookmarkStart w:id="260" w:name="_Toc1054488055_WPSOffice_Level3"/>
      <w:r>
        <w:rPr>
          <w:rFonts w:hint="eastAsia" w:ascii="楷体_GB2312" w:hAnsi="楷体_GB2312" w:cs="楷体_GB2312"/>
          <w:color w:val="auto"/>
        </w:rPr>
        <w:t>（三）搭建多维生态平台，贯通上市关键节点</w:t>
      </w:r>
      <w:bookmarkEnd w:id="258"/>
      <w:bookmarkEnd w:id="259"/>
      <w:bookmarkEnd w:id="260"/>
    </w:p>
    <w:p w14:paraId="0E7D367C">
      <w:pPr>
        <w:ind w:firstLine="643"/>
        <w:rPr>
          <w:rFonts w:hint="eastAsia" w:ascii="仿宋_GB2312" w:hAnsi="仿宋_GB2312" w:cs="仿宋_GB2312"/>
          <w:color w:val="auto"/>
        </w:rPr>
      </w:pPr>
      <w:r>
        <w:rPr>
          <w:rFonts w:hint="eastAsia" w:ascii="仿宋_GB2312" w:hAnsi="仿宋_GB2312" w:cs="仿宋_GB2312"/>
          <w:b/>
          <w:bCs/>
          <w:color w:val="auto"/>
        </w:rPr>
        <w:t>打造一体化服务枢纽。</w:t>
      </w:r>
      <w:r>
        <w:rPr>
          <w:rFonts w:hint="eastAsia" w:ascii="仿宋_GB2312" w:hAnsi="仿宋_GB2312" w:cs="仿宋_GB2312"/>
          <w:color w:val="auto"/>
        </w:rPr>
        <w:t>高标准运行北交所昌平服务基地，深化与京沪深</w:t>
      </w:r>
      <w:r>
        <w:rPr>
          <w:rFonts w:hint="eastAsia" w:ascii="仿宋_GB2312" w:hAnsi="仿宋_GB2312" w:cs="仿宋_GB2312"/>
          <w:color w:val="auto"/>
          <w:lang w:eastAsia="zh-CN"/>
        </w:rPr>
        <w:t>港</w:t>
      </w:r>
      <w:r>
        <w:rPr>
          <w:rFonts w:hint="eastAsia" w:ascii="仿宋_GB2312" w:hAnsi="仿宋_GB2312" w:cs="仿宋_GB2312"/>
          <w:color w:val="auto"/>
        </w:rPr>
        <w:t>交易所的战略合作，打造区域性上市路演中心、信息发布中心和专业培训基地。深化与</w:t>
      </w:r>
      <w:r>
        <w:rPr>
          <w:rFonts w:hint="eastAsia" w:ascii="仿宋_GB2312" w:hAnsi="仿宋_GB2312" w:cs="仿宋_GB2312"/>
          <w:color w:val="auto"/>
          <w:lang w:eastAsia="zh-CN"/>
        </w:rPr>
        <w:t>北交所</w:t>
      </w:r>
      <w:r>
        <w:rPr>
          <w:rFonts w:hint="eastAsia" w:ascii="仿宋_GB2312" w:hAnsi="仿宋_GB2312" w:cs="仿宋_GB2312"/>
          <w:color w:val="auto"/>
        </w:rPr>
        <w:t>的合作，</w:t>
      </w:r>
      <w:r>
        <w:rPr>
          <w:rFonts w:hint="eastAsia" w:ascii="仿宋_GB2312" w:hAnsi="仿宋_GB2312" w:cs="仿宋_GB2312"/>
          <w:color w:val="auto"/>
          <w:lang w:eastAsia="zh-CN"/>
        </w:rPr>
        <w:t>充分</w:t>
      </w:r>
      <w:r>
        <w:rPr>
          <w:rFonts w:hint="eastAsia" w:ascii="仿宋_GB2312" w:hAnsi="仿宋_GB2312" w:cs="仿宋_GB2312"/>
          <w:color w:val="auto"/>
        </w:rPr>
        <w:t>利用其“</w:t>
      </w:r>
      <w:r>
        <w:rPr>
          <w:rFonts w:hint="eastAsia" w:ascii="仿宋_GB2312" w:hAnsi="仿宋_GB2312" w:cs="仿宋_GB2312"/>
          <w:color w:val="auto"/>
          <w:lang w:eastAsia="zh-CN"/>
        </w:rPr>
        <w:t>直联</w:t>
      </w:r>
      <w:r>
        <w:rPr>
          <w:rFonts w:hint="eastAsia" w:ascii="仿宋_GB2312" w:hAnsi="仿宋_GB2312" w:cs="仿宋_GB2312"/>
          <w:color w:val="auto"/>
        </w:rPr>
        <w:t>机制”助力企业高效</w:t>
      </w:r>
      <w:r>
        <w:rPr>
          <w:rFonts w:hint="eastAsia" w:ascii="仿宋_GB2312" w:hAnsi="仿宋_GB2312" w:cs="仿宋_GB2312"/>
          <w:color w:val="auto"/>
          <w:lang w:eastAsia="zh-CN"/>
        </w:rPr>
        <w:t>登陆资本市场</w:t>
      </w:r>
      <w:r>
        <w:rPr>
          <w:rFonts w:hint="eastAsia" w:ascii="仿宋_GB2312" w:hAnsi="仿宋_GB2312" w:cs="仿宋_GB2312"/>
          <w:color w:val="auto"/>
        </w:rPr>
        <w:t>。建立动态跟踪机制，为企业进入更高层次资本市场提供</w:t>
      </w:r>
      <w:r>
        <w:rPr>
          <w:rFonts w:hint="eastAsia" w:ascii="仿宋_GB2312" w:hAnsi="仿宋_GB2312" w:cs="仿宋_GB2312"/>
          <w:color w:val="auto"/>
          <w:lang w:eastAsia="zh-CN"/>
        </w:rPr>
        <w:t>全程</w:t>
      </w:r>
      <w:r>
        <w:rPr>
          <w:rFonts w:hint="eastAsia" w:ascii="仿宋_GB2312" w:hAnsi="仿宋_GB2312" w:cs="仿宋_GB2312"/>
          <w:color w:val="auto"/>
        </w:rPr>
        <w:t>辅导与支持。组织“上市赋能行”系列活动，邀请证券、律所、资本市场专家团队深入产业园区</w:t>
      </w:r>
      <w:r>
        <w:rPr>
          <w:rFonts w:hint="eastAsia" w:ascii="仿宋_GB2312" w:hAnsi="仿宋_GB2312" w:cs="仿宋_GB2312"/>
          <w:color w:val="auto"/>
          <w:lang w:eastAsia="zh-CN"/>
        </w:rPr>
        <w:t>；</w:t>
      </w:r>
      <w:r>
        <w:rPr>
          <w:rFonts w:hint="eastAsia" w:ascii="仿宋_GB2312" w:hAnsi="仿宋_GB2312" w:cs="仿宋_GB2312"/>
          <w:color w:val="auto"/>
        </w:rPr>
        <w:t>举办沙龙及项目路演活动，提升企业的资本运作能力与战略视野。</w:t>
      </w:r>
      <w:bookmarkEnd w:id="248"/>
      <w:bookmarkEnd w:id="249"/>
      <w:bookmarkEnd w:id="250"/>
      <w:bookmarkEnd w:id="251"/>
      <w:bookmarkEnd w:id="252"/>
      <w:bookmarkEnd w:id="253"/>
      <w:bookmarkEnd w:id="254"/>
      <w:bookmarkStart w:id="261" w:name="_Toc221935753"/>
      <w:bookmarkStart w:id="262" w:name="_Toc613944380"/>
      <w:bookmarkStart w:id="263" w:name="_Toc205561256"/>
      <w:bookmarkStart w:id="264" w:name="_Toc2030300966"/>
      <w:bookmarkStart w:id="265" w:name="_Toc203893659"/>
      <w:bookmarkStart w:id="266" w:name="_Toc1743567054"/>
    </w:p>
    <w:p w14:paraId="681D4EC6">
      <w:pPr>
        <w:pStyle w:val="4"/>
        <w:ind w:firstLine="640"/>
        <w:rPr>
          <w:color w:val="auto"/>
        </w:rPr>
      </w:pPr>
      <w:bookmarkStart w:id="267" w:name="_Toc1712470974_WPSOffice_Level2"/>
      <w:bookmarkStart w:id="268" w:name="_Toc138669815"/>
      <w:bookmarkStart w:id="269" w:name="_Toc491886988"/>
      <w:r>
        <w:rPr>
          <w:rFonts w:hint="eastAsia"/>
          <w:color w:val="auto"/>
        </w:rPr>
        <w:t>五、加强金融监管和风险防控，筑牢金融安全底线</w:t>
      </w:r>
      <w:bookmarkEnd w:id="261"/>
      <w:bookmarkEnd w:id="262"/>
      <w:bookmarkEnd w:id="263"/>
      <w:bookmarkEnd w:id="264"/>
      <w:bookmarkEnd w:id="265"/>
      <w:bookmarkEnd w:id="266"/>
      <w:bookmarkEnd w:id="267"/>
      <w:bookmarkEnd w:id="268"/>
      <w:bookmarkEnd w:id="269"/>
    </w:p>
    <w:p w14:paraId="7DD08072">
      <w:pPr>
        <w:pStyle w:val="5"/>
        <w:ind w:firstLine="640"/>
        <w:rPr>
          <w:color w:val="auto"/>
        </w:rPr>
      </w:pPr>
      <w:bookmarkStart w:id="270" w:name="_Toc579362659_WPSOffice_Level3"/>
      <w:bookmarkStart w:id="271" w:name="_Toc203893660"/>
      <w:bookmarkStart w:id="272" w:name="_Toc1410013483"/>
      <w:bookmarkStart w:id="273" w:name="_Toc1353343785"/>
      <w:bookmarkStart w:id="274" w:name="_Toc1413559803"/>
      <w:bookmarkStart w:id="275" w:name="_Toc204779882"/>
      <w:bookmarkStart w:id="276" w:name="_Toc2008510249"/>
      <w:bookmarkStart w:id="277" w:name="_Toc205561257"/>
      <w:bookmarkStart w:id="278" w:name="_Toc225802459"/>
      <w:bookmarkStart w:id="279" w:name="_Toc1751228484"/>
      <w:r>
        <w:rPr>
          <w:rFonts w:hint="eastAsia"/>
          <w:color w:val="auto"/>
        </w:rPr>
        <w:t>（一）强化金融风险防控，全面落实综合监管举措</w:t>
      </w:r>
      <w:bookmarkEnd w:id="270"/>
      <w:bookmarkEnd w:id="271"/>
      <w:bookmarkEnd w:id="272"/>
      <w:bookmarkEnd w:id="273"/>
      <w:bookmarkEnd w:id="274"/>
      <w:bookmarkEnd w:id="275"/>
      <w:bookmarkEnd w:id="276"/>
      <w:bookmarkEnd w:id="277"/>
      <w:bookmarkEnd w:id="278"/>
      <w:bookmarkEnd w:id="279"/>
    </w:p>
    <w:p w14:paraId="4BD32129">
      <w:pPr>
        <w:ind w:firstLine="643"/>
        <w:rPr>
          <w:rFonts w:ascii="仿宋_GB2312" w:hAnsi="仿宋_GB2312" w:cs="仿宋_GB2312"/>
          <w:color w:val="auto"/>
        </w:rPr>
      </w:pPr>
      <w:r>
        <w:rPr>
          <w:rFonts w:hint="eastAsia" w:ascii="仿宋_GB2312" w:hAnsi="仿宋_GB2312" w:cs="仿宋_GB2312"/>
          <w:b/>
          <w:bCs/>
          <w:color w:val="auto"/>
        </w:rPr>
        <w:t>完善“监测预警—分类处置—长效防控”全流程管理机制，坚决防范系统性金融风险。</w:t>
      </w:r>
      <w:r>
        <w:rPr>
          <w:rFonts w:hint="eastAsia" w:ascii="仿宋_GB2312" w:hAnsi="仿宋_GB2312" w:cs="仿宋_GB2312"/>
          <w:color w:val="auto"/>
        </w:rPr>
        <w:t>数字化监测预警方面，升级金融风险监测预警平台，借助大数据分析技术对涉金融行业进行全方位监控。专班化风险处置方面，依托昌平区防范和打击非法金融活动工作专班，深入开展监测预警、举报线索收集、风险处置等工作，</w:t>
      </w:r>
      <w:r>
        <w:rPr>
          <w:rFonts w:hint="eastAsia" w:ascii="仿宋_GB2312" w:hAnsi="仿宋_GB2312" w:cs="仿宋_GB2312"/>
          <w:color w:val="auto"/>
          <w:lang w:eastAsia="zh-CN"/>
        </w:rPr>
        <w:t>推进“失联”、“空壳”地方金融组织清退工作</w:t>
      </w:r>
      <w:r>
        <w:rPr>
          <w:rFonts w:hint="eastAsia" w:ascii="仿宋_GB2312" w:hAnsi="仿宋_GB2312" w:cs="仿宋_GB2312"/>
          <w:color w:val="auto"/>
        </w:rPr>
        <w:t>。制度化长效防控方面，在市级“五位一体”金融风险防范和应急处置工作框架下，构建“区-镇（街）-社区（村）”三级联防联控机制等多项工作制度，</w:t>
      </w:r>
      <w:r>
        <w:rPr>
          <w:rFonts w:ascii="仿宋_GB2312" w:hAnsi="仿宋_GB2312" w:cs="仿宋_GB2312"/>
          <w:color w:val="auto"/>
        </w:rPr>
        <w:t>形成风险防控闭环</w:t>
      </w:r>
      <w:r>
        <w:rPr>
          <w:rFonts w:hint="eastAsia" w:ascii="仿宋_GB2312" w:hAnsi="仿宋_GB2312" w:cs="仿宋_GB2312"/>
          <w:color w:val="auto"/>
        </w:rPr>
        <w:t>。</w:t>
      </w:r>
    </w:p>
    <w:p w14:paraId="337F9CBE">
      <w:pPr>
        <w:pStyle w:val="5"/>
        <w:ind w:firstLine="640"/>
        <w:rPr>
          <w:color w:val="auto"/>
        </w:rPr>
      </w:pPr>
      <w:bookmarkStart w:id="280" w:name="_Toc203893661"/>
      <w:bookmarkStart w:id="281" w:name="_Toc1017559546"/>
      <w:bookmarkStart w:id="282" w:name="_Toc205561258"/>
      <w:bookmarkStart w:id="283" w:name="_Toc1296678953"/>
      <w:bookmarkStart w:id="284" w:name="_Toc991315147"/>
      <w:bookmarkStart w:id="285" w:name="_Toc204779883"/>
      <w:bookmarkStart w:id="286" w:name="_Toc1954626099"/>
      <w:bookmarkStart w:id="287" w:name="_Toc1133614887"/>
      <w:bookmarkStart w:id="288" w:name="_Toc1783264317_WPSOffice_Level3"/>
      <w:bookmarkStart w:id="289" w:name="_Toc2143347164"/>
      <w:r>
        <w:rPr>
          <w:rFonts w:hint="eastAsia"/>
          <w:color w:val="auto"/>
        </w:rPr>
        <w:t>（二）精准施策行业监管，实现风险管理多线协同</w:t>
      </w:r>
      <w:bookmarkEnd w:id="280"/>
      <w:bookmarkEnd w:id="281"/>
      <w:bookmarkEnd w:id="282"/>
      <w:bookmarkEnd w:id="283"/>
      <w:bookmarkEnd w:id="284"/>
      <w:bookmarkEnd w:id="285"/>
      <w:bookmarkEnd w:id="286"/>
      <w:bookmarkEnd w:id="287"/>
      <w:bookmarkEnd w:id="288"/>
      <w:bookmarkEnd w:id="289"/>
    </w:p>
    <w:p w14:paraId="49ACCE40">
      <w:pPr>
        <w:ind w:firstLine="643"/>
        <w:rPr>
          <w:rFonts w:ascii="仿宋_GB2312" w:hAnsi="仿宋_GB2312" w:cs="仿宋_GB2312"/>
          <w:color w:val="auto"/>
          <w:kern w:val="0"/>
        </w:rPr>
      </w:pPr>
      <w:r>
        <w:rPr>
          <w:rFonts w:hint="eastAsia" w:ascii="仿宋_GB2312" w:hAnsi="仿宋_GB2312" w:cs="仿宋_GB2312"/>
          <w:b/>
          <w:bCs/>
          <w:color w:val="auto"/>
          <w:kern w:val="0"/>
        </w:rPr>
        <w:t>优化“分级监管”金融行业监管体系。</w:t>
      </w:r>
      <w:r>
        <w:rPr>
          <w:rFonts w:hint="eastAsia" w:ascii="仿宋_GB2312" w:hAnsi="仿宋_GB2312" w:cs="仿宋_GB2312"/>
          <w:color w:val="auto"/>
          <w:kern w:val="0"/>
        </w:rPr>
        <w:t>对持牌金融机构深化“央地协同”监管模式，落实属地监管责任，</w:t>
      </w:r>
      <w:r>
        <w:rPr>
          <w:rFonts w:ascii="仿宋_GB2312" w:hAnsi="仿宋_GB2312" w:cs="仿宋_GB2312"/>
          <w:color w:val="auto"/>
          <w:kern w:val="0"/>
        </w:rPr>
        <w:t>加强与监管部门信息共享和合规管理</w:t>
      </w:r>
      <w:r>
        <w:rPr>
          <w:rFonts w:hint="eastAsia" w:ascii="仿宋_GB2312" w:hAnsi="仿宋_GB2312" w:cs="仿宋_GB2312"/>
          <w:color w:val="auto"/>
          <w:kern w:val="0"/>
        </w:rPr>
        <w:t>。对于典当、小贷、融资担保等“7+4”地方金融组织，实施“现场检查+非现场监管”模式强化监管。对于私募基金、第三方财富公司、伪金交所等类金融机构，</w:t>
      </w:r>
      <w:r>
        <w:rPr>
          <w:rFonts w:ascii="仿宋_GB2312" w:hAnsi="仿宋_GB2312" w:cs="仿宋_GB2312"/>
          <w:color w:val="auto"/>
          <w:kern w:val="0"/>
        </w:rPr>
        <w:t>配合市级部门开展</w:t>
      </w:r>
      <w:r>
        <w:rPr>
          <w:rFonts w:hint="eastAsia" w:ascii="仿宋_GB2312" w:hAnsi="仿宋_GB2312" w:cs="仿宋_GB2312"/>
          <w:color w:val="auto"/>
          <w:kern w:val="0"/>
        </w:rPr>
        <w:t>“</w:t>
      </w:r>
      <w:r>
        <w:rPr>
          <w:rFonts w:ascii="仿宋_GB2312" w:hAnsi="仿宋_GB2312" w:cs="仿宋_GB2312"/>
          <w:color w:val="auto"/>
          <w:kern w:val="0"/>
        </w:rPr>
        <w:t>穿透式</w:t>
      </w:r>
      <w:r>
        <w:rPr>
          <w:rFonts w:hint="eastAsia" w:ascii="仿宋_GB2312" w:hAnsi="仿宋_GB2312" w:cs="仿宋_GB2312"/>
          <w:color w:val="auto"/>
          <w:kern w:val="0"/>
        </w:rPr>
        <w:t>”</w:t>
      </w:r>
      <w:r>
        <w:rPr>
          <w:rFonts w:ascii="仿宋_GB2312" w:hAnsi="仿宋_GB2312" w:cs="仿宋_GB2312"/>
          <w:color w:val="auto"/>
          <w:kern w:val="0"/>
        </w:rPr>
        <w:t>摸排和分类处置，清退违规机构</w:t>
      </w:r>
      <w:r>
        <w:rPr>
          <w:rFonts w:hint="eastAsia" w:ascii="仿宋_GB2312" w:hAnsi="仿宋_GB2312" w:cs="仿宋_GB2312"/>
          <w:color w:val="auto"/>
          <w:kern w:val="0"/>
        </w:rPr>
        <w:t>。</w:t>
      </w:r>
    </w:p>
    <w:p w14:paraId="1FA55D8E">
      <w:pPr>
        <w:pStyle w:val="5"/>
        <w:ind w:firstLine="640"/>
        <w:rPr>
          <w:rFonts w:hint="eastAsia" w:eastAsia="楷体_GB2312"/>
          <w:color w:val="auto"/>
          <w:lang w:eastAsia="zh-CN"/>
        </w:rPr>
      </w:pPr>
      <w:bookmarkStart w:id="290" w:name="_Toc205561259"/>
      <w:bookmarkStart w:id="291" w:name="_Toc2077053156"/>
      <w:bookmarkStart w:id="292" w:name="_Toc110341674"/>
      <w:bookmarkStart w:id="293" w:name="_Toc689363773"/>
      <w:bookmarkStart w:id="294" w:name="_Toc15288412"/>
      <w:bookmarkStart w:id="295" w:name="_Toc2061924818"/>
      <w:bookmarkStart w:id="296" w:name="_Toc235059156_WPSOffice_Level3"/>
      <w:bookmarkStart w:id="297" w:name="_Toc1565648451"/>
      <w:r>
        <w:rPr>
          <w:rFonts w:hint="eastAsia"/>
          <w:color w:val="auto"/>
        </w:rPr>
        <w:t>（三）系统推进风险化解，</w:t>
      </w:r>
      <w:bookmarkEnd w:id="290"/>
      <w:bookmarkEnd w:id="291"/>
      <w:bookmarkEnd w:id="292"/>
      <w:bookmarkEnd w:id="293"/>
      <w:bookmarkEnd w:id="294"/>
      <w:r>
        <w:rPr>
          <w:rFonts w:hint="eastAsia"/>
          <w:color w:val="auto"/>
          <w:lang w:eastAsia="zh-CN"/>
        </w:rPr>
        <w:t>强化司法行政协同处置</w:t>
      </w:r>
      <w:bookmarkEnd w:id="295"/>
      <w:bookmarkEnd w:id="296"/>
      <w:bookmarkEnd w:id="297"/>
    </w:p>
    <w:p w14:paraId="4786976E">
      <w:pPr>
        <w:pStyle w:val="2"/>
        <w:ind w:firstLine="643"/>
        <w:rPr>
          <w:rFonts w:ascii="仿宋_GB2312" w:hAnsi="仿宋_GB2312" w:cs="仿宋_GB2312"/>
          <w:color w:val="auto"/>
          <w:kern w:val="0"/>
        </w:rPr>
      </w:pPr>
      <w:r>
        <w:rPr>
          <w:rFonts w:hint="eastAsia" w:ascii="仿宋_GB2312" w:hAnsi="仿宋_GB2312" w:cs="仿宋_GB2312"/>
          <w:b/>
          <w:bCs/>
          <w:color w:val="auto"/>
        </w:rPr>
        <w:t>建立政府与司法协同的金融风险处置机制。</w:t>
      </w:r>
      <w:r>
        <w:rPr>
          <w:rFonts w:hint="eastAsia" w:ascii="仿宋_GB2312" w:hAnsi="仿宋_GB2312" w:cs="仿宋_GB2312"/>
          <w:color w:val="auto"/>
          <w:kern w:val="0"/>
          <w:lang w:eastAsia="zh-CN"/>
        </w:rPr>
        <w:t>健全</w:t>
      </w:r>
      <w:r>
        <w:rPr>
          <w:rFonts w:hint="eastAsia" w:ascii="仿宋_GB2312" w:hAnsi="仿宋_GB2312" w:cs="仿宋_GB2312"/>
          <w:color w:val="auto"/>
          <w:kern w:val="0"/>
        </w:rPr>
        <w:t>行政</w:t>
      </w:r>
      <w:r>
        <w:rPr>
          <w:rFonts w:hint="eastAsia" w:ascii="仿宋_GB2312" w:hAnsi="仿宋_GB2312" w:cs="仿宋_GB2312"/>
          <w:color w:val="auto"/>
          <w:kern w:val="0"/>
          <w:lang w:eastAsia="zh-CN"/>
        </w:rPr>
        <w:t>执法和</w:t>
      </w:r>
      <w:r>
        <w:rPr>
          <w:rFonts w:hint="eastAsia" w:ascii="仿宋_GB2312" w:hAnsi="仿宋_GB2312" w:cs="仿宋_GB2312"/>
          <w:color w:val="auto"/>
          <w:kern w:val="0"/>
        </w:rPr>
        <w:t>刑事司法</w:t>
      </w:r>
      <w:r>
        <w:rPr>
          <w:rFonts w:hint="eastAsia" w:ascii="仿宋_GB2312" w:hAnsi="仿宋_GB2312" w:cs="仿宋_GB2312"/>
          <w:color w:val="auto"/>
          <w:kern w:val="0"/>
          <w:lang w:eastAsia="zh-CN"/>
        </w:rPr>
        <w:t>双向</w:t>
      </w:r>
      <w:r>
        <w:rPr>
          <w:rFonts w:hint="eastAsia" w:ascii="仿宋_GB2312" w:hAnsi="仿宋_GB2312" w:cs="仿宋_GB2312"/>
          <w:color w:val="auto"/>
          <w:kern w:val="0"/>
        </w:rPr>
        <w:t>衔接</w:t>
      </w:r>
      <w:r>
        <w:rPr>
          <w:rFonts w:hint="eastAsia" w:ascii="仿宋_GB2312" w:hAnsi="仿宋_GB2312" w:cs="仿宋_GB2312"/>
          <w:color w:val="auto"/>
          <w:kern w:val="0"/>
          <w:lang w:eastAsia="zh-CN"/>
        </w:rPr>
        <w:t>机制</w:t>
      </w:r>
      <w:r>
        <w:rPr>
          <w:rFonts w:hint="eastAsia" w:ascii="仿宋_GB2312" w:hAnsi="仿宋_GB2312" w:cs="仿宋_GB2312"/>
          <w:color w:val="auto"/>
          <w:kern w:val="0"/>
        </w:rPr>
        <w:t>，</w:t>
      </w:r>
      <w:r>
        <w:rPr>
          <w:rFonts w:hint="eastAsia" w:ascii="仿宋_GB2312" w:hAnsi="仿宋_GB2312" w:cs="仿宋_GB2312"/>
          <w:color w:val="auto"/>
          <w:kern w:val="0"/>
          <w:lang w:eastAsia="zh-CN"/>
        </w:rPr>
        <w:t>发挥</w:t>
      </w:r>
      <w:r>
        <w:rPr>
          <w:rFonts w:hint="eastAsia" w:ascii="仿宋_GB2312" w:hAnsi="仿宋_GB2312" w:cs="仿宋_GB2312"/>
          <w:color w:val="auto"/>
          <w:kern w:val="0"/>
        </w:rPr>
        <w:t>司法机关与公安</w:t>
      </w:r>
      <w:r>
        <w:rPr>
          <w:rFonts w:hint="eastAsia" w:ascii="仿宋_GB2312" w:hAnsi="仿宋_GB2312" w:cs="仿宋_GB2312"/>
          <w:color w:val="auto"/>
          <w:kern w:val="0"/>
          <w:lang w:eastAsia="zh-CN"/>
        </w:rPr>
        <w:t>部门主力军作用和专业优势，对各类</w:t>
      </w:r>
      <w:r>
        <w:rPr>
          <w:rFonts w:ascii="仿宋_GB2312" w:hAnsi="仿宋_GB2312" w:cs="仿宋_GB2312"/>
          <w:color w:val="auto"/>
          <w:kern w:val="0"/>
        </w:rPr>
        <w:t>非法金融活动</w:t>
      </w:r>
      <w:r>
        <w:rPr>
          <w:rFonts w:hint="eastAsia" w:ascii="仿宋_GB2312" w:hAnsi="仿宋_GB2312" w:cs="仿宋_GB2312"/>
          <w:color w:val="auto"/>
          <w:kern w:val="0"/>
          <w:lang w:eastAsia="zh-CN"/>
        </w:rPr>
        <w:t>打早打小打狠，严防风险扩散蔓延。</w:t>
      </w:r>
      <w:r>
        <w:rPr>
          <w:rFonts w:hint="eastAsia" w:ascii="仿宋_GB2312" w:hAnsi="仿宋_GB2312" w:cs="仿宋_GB2312"/>
          <w:color w:val="auto"/>
          <w:kern w:val="0"/>
        </w:rPr>
        <w:t>健全风险处置</w:t>
      </w:r>
      <w:r>
        <w:rPr>
          <w:rFonts w:hint="eastAsia" w:ascii="仿宋_GB2312" w:hAnsi="仿宋_GB2312" w:cs="仿宋_GB2312"/>
          <w:color w:val="auto"/>
          <w:kern w:val="0"/>
          <w:lang w:eastAsia="zh-CN"/>
        </w:rPr>
        <w:t>工作</w:t>
      </w:r>
      <w:r>
        <w:rPr>
          <w:rFonts w:hint="eastAsia" w:ascii="仿宋_GB2312" w:hAnsi="仿宋_GB2312" w:cs="仿宋_GB2312"/>
          <w:color w:val="auto"/>
          <w:kern w:val="0"/>
        </w:rPr>
        <w:t>体系，对重大金融风险事件实行联合研判、分类</w:t>
      </w:r>
      <w:r>
        <w:rPr>
          <w:rFonts w:hint="eastAsia" w:ascii="仿宋_GB2312" w:hAnsi="仿宋_GB2312" w:cs="仿宋_GB2312"/>
          <w:color w:val="auto"/>
          <w:kern w:val="0"/>
          <w:lang w:eastAsia="zh-CN"/>
        </w:rPr>
        <w:t>处置</w:t>
      </w:r>
      <w:r>
        <w:rPr>
          <w:rFonts w:hint="eastAsia" w:ascii="仿宋_GB2312" w:hAnsi="仿宋_GB2312" w:cs="仿宋_GB2312"/>
          <w:color w:val="auto"/>
          <w:kern w:val="0"/>
        </w:rPr>
        <w:t>；深化破产审判“府院联动”，</w:t>
      </w:r>
      <w:r>
        <w:rPr>
          <w:rFonts w:ascii="仿宋_GB2312" w:hAnsi="仿宋_GB2312" w:cs="仿宋_GB2312"/>
          <w:color w:val="auto"/>
          <w:kern w:val="0"/>
        </w:rPr>
        <w:t>引导</w:t>
      </w:r>
      <w:r>
        <w:rPr>
          <w:rFonts w:hint="eastAsia" w:ascii="仿宋_GB2312" w:hAnsi="仿宋_GB2312" w:cs="仿宋_GB2312"/>
          <w:color w:val="auto"/>
          <w:kern w:val="0"/>
        </w:rPr>
        <w:t>多方参</w:t>
      </w:r>
      <w:r>
        <w:rPr>
          <w:rFonts w:ascii="仿宋_GB2312" w:hAnsi="仿宋_GB2312" w:cs="仿宋_GB2312"/>
          <w:color w:val="auto"/>
          <w:kern w:val="0"/>
        </w:rPr>
        <w:t>与企业纾困</w:t>
      </w:r>
      <w:r>
        <w:rPr>
          <w:rFonts w:hint="eastAsia" w:ascii="仿宋_GB2312" w:hAnsi="仿宋_GB2312" w:cs="仿宋_GB2312"/>
          <w:color w:val="auto"/>
          <w:kern w:val="0"/>
        </w:rPr>
        <w:t>。创新金融纠纷诉源治理，构建“行政调解先行、司法及时跟进”化解路径。定期</w:t>
      </w:r>
      <w:r>
        <w:rPr>
          <w:rFonts w:hint="eastAsia" w:ascii="仿宋_GB2312" w:hAnsi="仿宋_GB2312" w:cs="仿宋_GB2312"/>
          <w:color w:val="auto"/>
          <w:kern w:val="0"/>
          <w:lang w:eastAsia="zh-CN"/>
        </w:rPr>
        <w:t>会商研判</w:t>
      </w:r>
      <w:r>
        <w:rPr>
          <w:rFonts w:hint="eastAsia" w:ascii="仿宋_GB2312" w:hAnsi="仿宋_GB2312" w:cs="仿宋_GB2312"/>
          <w:color w:val="auto"/>
          <w:kern w:val="0"/>
        </w:rPr>
        <w:t>，共筑金融安全防线</w:t>
      </w:r>
      <w:bookmarkStart w:id="298" w:name="_Toc204779884"/>
      <w:bookmarkStart w:id="299" w:name="_Toc203893662"/>
      <w:r>
        <w:rPr>
          <w:rFonts w:hint="eastAsia" w:ascii="仿宋_GB2312" w:hAnsi="仿宋_GB2312" w:cs="仿宋_GB2312"/>
          <w:color w:val="auto"/>
          <w:kern w:val="0"/>
        </w:rPr>
        <w:t>。</w:t>
      </w:r>
    </w:p>
    <w:p w14:paraId="5AE724CD">
      <w:pPr>
        <w:pStyle w:val="5"/>
        <w:ind w:firstLine="640"/>
        <w:rPr>
          <w:color w:val="auto"/>
        </w:rPr>
      </w:pPr>
      <w:bookmarkStart w:id="300" w:name="_Toc1352590636"/>
      <w:bookmarkStart w:id="301" w:name="_Toc1269073536"/>
      <w:bookmarkStart w:id="302" w:name="_Toc505810623"/>
      <w:bookmarkStart w:id="303" w:name="_Toc1745528455_WPSOffice_Level3"/>
      <w:bookmarkStart w:id="304" w:name="_Toc205561260"/>
      <w:bookmarkStart w:id="305" w:name="_Toc1303827521"/>
      <w:bookmarkStart w:id="306" w:name="_Toc694651897"/>
      <w:bookmarkStart w:id="307" w:name="_Toc436482288"/>
      <w:r>
        <w:rPr>
          <w:rFonts w:hint="eastAsia"/>
          <w:color w:val="auto"/>
        </w:rPr>
        <w:t>（四）</w:t>
      </w:r>
      <w:bookmarkEnd w:id="298"/>
      <w:bookmarkEnd w:id="299"/>
      <w:r>
        <w:rPr>
          <w:rFonts w:hint="eastAsia"/>
          <w:color w:val="auto"/>
        </w:rPr>
        <w:t>加强金融宣传教育，筑牢风险防控社会基础</w:t>
      </w:r>
      <w:bookmarkEnd w:id="300"/>
      <w:bookmarkEnd w:id="301"/>
      <w:bookmarkEnd w:id="302"/>
      <w:bookmarkEnd w:id="303"/>
      <w:bookmarkEnd w:id="304"/>
      <w:bookmarkEnd w:id="305"/>
      <w:bookmarkEnd w:id="306"/>
      <w:bookmarkEnd w:id="307"/>
    </w:p>
    <w:p w14:paraId="3A2EA588">
      <w:pPr>
        <w:ind w:firstLine="643"/>
        <w:rPr>
          <w:color w:val="auto"/>
        </w:rPr>
      </w:pPr>
      <w:r>
        <w:rPr>
          <w:rFonts w:hint="eastAsia" w:ascii="仿宋_GB2312" w:hAnsi="仿宋_GB2312" w:cs="仿宋_GB2312"/>
          <w:b/>
          <w:bCs/>
          <w:color w:val="auto"/>
        </w:rPr>
        <w:t>聚焦重点领域，发挥宣传教育预防作用。</w:t>
      </w:r>
      <w:r>
        <w:rPr>
          <w:rFonts w:hint="eastAsia" w:ascii="仿宋_GB2312" w:hAnsi="仿宋_GB2312" w:cs="仿宋_GB2312"/>
          <w:color w:val="auto"/>
        </w:rPr>
        <w:t>针对养老、涉农、文旅等风险高发领域，联合行业主管部门</w:t>
      </w:r>
      <w:r>
        <w:rPr>
          <w:rFonts w:ascii="仿宋_GB2312" w:hAnsi="仿宋_GB2312" w:cs="仿宋_GB2312"/>
          <w:color w:val="auto"/>
        </w:rPr>
        <w:t>开展重点宣教</w:t>
      </w:r>
      <w:r>
        <w:rPr>
          <w:rFonts w:hint="eastAsia" w:ascii="仿宋_GB2312" w:hAnsi="仿宋_GB2312" w:cs="仿宋_GB2312"/>
          <w:color w:val="auto"/>
        </w:rPr>
        <w:t>。</w:t>
      </w:r>
      <w:r>
        <w:rPr>
          <w:rFonts w:ascii="仿宋_GB2312" w:hAnsi="仿宋_GB2312" w:cs="仿宋_GB2312"/>
          <w:color w:val="auto"/>
        </w:rPr>
        <w:t>积极拓展“两微一端”、视频平台、社区宣传栏等渠道，</w:t>
      </w:r>
      <w:r>
        <w:rPr>
          <w:rFonts w:hint="eastAsia" w:ascii="仿宋_GB2312" w:hAnsi="仿宋_GB2312" w:cs="仿宋_GB2312"/>
          <w:color w:val="auto"/>
          <w:lang w:eastAsia="zh-CN"/>
        </w:rPr>
        <w:t>持续深化“防非宣传月”主题活动，推进宣传教育常态化、长效化，实现防非宣传广泛覆盖和精准渗透。</w:t>
      </w:r>
      <w:bookmarkStart w:id="308" w:name="_Toc2081052029"/>
      <w:bookmarkStart w:id="309" w:name="_Toc204779886"/>
      <w:bookmarkStart w:id="310" w:name="_Toc662810350"/>
      <w:bookmarkStart w:id="311" w:name="_Toc627305946"/>
      <w:bookmarkStart w:id="312" w:name="_Toc205561261"/>
      <w:bookmarkStart w:id="313" w:name="_Toc203893664"/>
      <w:bookmarkStart w:id="314" w:name="_Toc205545974"/>
    </w:p>
    <w:p w14:paraId="52ED864B">
      <w:pPr>
        <w:pStyle w:val="3"/>
        <w:spacing w:before="156" w:after="156"/>
        <w:rPr>
          <w:color w:val="auto"/>
        </w:rPr>
        <w:sectPr>
          <w:pgSz w:w="11906" w:h="16838"/>
          <w:pgMar w:top="2098" w:right="1531" w:bottom="1984" w:left="1531" w:header="851" w:footer="992" w:gutter="0"/>
          <w:cols w:space="425" w:num="1"/>
          <w:docGrid w:type="lines" w:linePitch="312" w:charSpace="0"/>
        </w:sectPr>
      </w:pPr>
      <w:bookmarkStart w:id="315" w:name="_Toc1649074531"/>
    </w:p>
    <w:p w14:paraId="3F3FED50">
      <w:pPr>
        <w:pStyle w:val="3"/>
        <w:spacing w:before="156" w:after="156"/>
        <w:rPr>
          <w:color w:val="auto"/>
        </w:rPr>
      </w:pPr>
      <w:bookmarkStart w:id="316" w:name="_Toc324427674"/>
      <w:bookmarkStart w:id="317" w:name="_Toc1789827644_WPSOffice_Level1"/>
      <w:bookmarkStart w:id="318" w:name="_Toc1484639055"/>
      <w:r>
        <w:rPr>
          <w:rFonts w:hint="eastAsia"/>
          <w:color w:val="auto"/>
        </w:rPr>
        <w:t>第五章 保障措施</w:t>
      </w:r>
      <w:bookmarkEnd w:id="308"/>
      <w:bookmarkEnd w:id="309"/>
      <w:bookmarkEnd w:id="310"/>
      <w:bookmarkEnd w:id="311"/>
      <w:bookmarkEnd w:id="312"/>
      <w:bookmarkEnd w:id="313"/>
      <w:bookmarkEnd w:id="314"/>
      <w:bookmarkEnd w:id="315"/>
      <w:bookmarkEnd w:id="316"/>
      <w:bookmarkEnd w:id="317"/>
      <w:bookmarkEnd w:id="318"/>
    </w:p>
    <w:p w14:paraId="7DB222C3">
      <w:pPr>
        <w:pStyle w:val="4"/>
        <w:ind w:firstLine="640"/>
        <w:rPr>
          <w:color w:val="auto"/>
        </w:rPr>
      </w:pPr>
      <w:bookmarkStart w:id="319" w:name="_Toc217080853"/>
      <w:bookmarkStart w:id="320" w:name="_Toc3337923"/>
      <w:bookmarkStart w:id="321" w:name="_Toc1183920780"/>
      <w:bookmarkStart w:id="322" w:name="_Toc2050243075_WPSOffice_Level2"/>
      <w:bookmarkStart w:id="323" w:name="_Toc1438606112"/>
      <w:bookmarkStart w:id="324" w:name="_Toc204779888"/>
      <w:bookmarkStart w:id="325" w:name="_Toc205561263"/>
      <w:bookmarkStart w:id="326" w:name="_Toc205545976"/>
      <w:bookmarkStart w:id="327" w:name="_Toc203893666"/>
      <w:bookmarkStart w:id="328" w:name="_Toc527621777"/>
      <w:r>
        <w:rPr>
          <w:rFonts w:hint="eastAsia"/>
          <w:color w:val="auto"/>
        </w:rPr>
        <w:t>一、</w:t>
      </w:r>
      <w:r>
        <w:rPr>
          <w:color w:val="auto"/>
        </w:rPr>
        <w:t>强化组织领导，深化统筹协同</w:t>
      </w:r>
      <w:bookmarkEnd w:id="319"/>
      <w:bookmarkEnd w:id="320"/>
      <w:bookmarkEnd w:id="321"/>
      <w:bookmarkEnd w:id="322"/>
      <w:bookmarkEnd w:id="323"/>
    </w:p>
    <w:p w14:paraId="7F7CA0A5">
      <w:pPr>
        <w:ind w:firstLine="640"/>
        <w:rPr>
          <w:color w:val="auto"/>
        </w:rPr>
      </w:pPr>
      <w:bookmarkStart w:id="329" w:name="_Toc2123728670"/>
      <w:r>
        <w:rPr>
          <w:color w:val="auto"/>
        </w:rPr>
        <w:t>坚持</w:t>
      </w:r>
      <w:r>
        <w:rPr>
          <w:rFonts w:hint="eastAsia"/>
          <w:color w:val="auto"/>
          <w:lang w:eastAsia="zh-CN"/>
        </w:rPr>
        <w:t>党建引领</w:t>
      </w:r>
      <w:r>
        <w:rPr>
          <w:color w:val="auto"/>
        </w:rPr>
        <w:t>，建立区级统筹、属地协同、部门联动的工作推进机制，抓好专班工作联动衔接，推动市、区两级金融支持政策叠加形成合力。加强专题调度，明确责任单位的具体任务，提升整体执行效率。</w:t>
      </w:r>
      <w:bookmarkEnd w:id="329"/>
    </w:p>
    <w:p w14:paraId="0118312C">
      <w:pPr>
        <w:pStyle w:val="4"/>
        <w:ind w:firstLine="640"/>
        <w:rPr>
          <w:color w:val="auto"/>
        </w:rPr>
      </w:pPr>
      <w:bookmarkStart w:id="330" w:name="_Toc367688280"/>
      <w:bookmarkStart w:id="331" w:name="_Toc1153946001"/>
      <w:bookmarkStart w:id="332" w:name="_Toc1172335704_WPSOffice_Level2"/>
      <w:bookmarkStart w:id="333" w:name="_Toc1743580942"/>
      <w:bookmarkStart w:id="334" w:name="_Toc1978144070"/>
      <w:r>
        <w:rPr>
          <w:rFonts w:hint="eastAsia"/>
          <w:color w:val="auto"/>
        </w:rPr>
        <w:t>二、</w:t>
      </w:r>
      <w:r>
        <w:rPr>
          <w:color w:val="auto"/>
        </w:rPr>
        <w:t>加强运行监测，紧抓规划落实</w:t>
      </w:r>
      <w:bookmarkEnd w:id="330"/>
      <w:bookmarkEnd w:id="331"/>
      <w:bookmarkEnd w:id="332"/>
      <w:bookmarkEnd w:id="333"/>
      <w:bookmarkEnd w:id="334"/>
    </w:p>
    <w:p w14:paraId="26CA0B4E">
      <w:pPr>
        <w:ind w:firstLine="640"/>
        <w:rPr>
          <w:rFonts w:ascii="仿宋_GB2312" w:hAnsi="仿宋_GB2312" w:cs="仿宋_GB2312"/>
          <w:color w:val="auto"/>
        </w:rPr>
      </w:pPr>
      <w:r>
        <w:rPr>
          <w:rFonts w:ascii="仿宋_GB2312" w:hAnsi="仿宋_GB2312" w:cs="仿宋_GB2312"/>
          <w:color w:val="auto"/>
        </w:rPr>
        <w:t>建立规划实施监测评估机制，依法开展中期评估和总结评估，自觉接受监督。完善金融运行监测制度，</w:t>
      </w:r>
      <w:r>
        <w:rPr>
          <w:rFonts w:hint="eastAsia" w:ascii="仿宋_GB2312" w:hAnsi="仿宋_GB2312" w:cs="仿宋_GB2312"/>
          <w:color w:val="auto"/>
        </w:rPr>
        <w:t>优化统计方法，开展金融奖励政策信息统计和跟踪反馈。加强智库建设与外部交流合作，深化高等院校、金融机构和科创企业之间的人才培养合作。</w:t>
      </w:r>
    </w:p>
    <w:p w14:paraId="5BDB043B">
      <w:pPr>
        <w:pStyle w:val="4"/>
        <w:ind w:firstLine="640"/>
        <w:rPr>
          <w:color w:val="auto"/>
        </w:rPr>
      </w:pPr>
      <w:bookmarkStart w:id="335" w:name="_Toc233800351"/>
      <w:bookmarkStart w:id="336" w:name="_Toc1654201183"/>
      <w:bookmarkStart w:id="337" w:name="_Toc1240495237_WPSOffice_Level2"/>
      <w:bookmarkStart w:id="338" w:name="_Toc1293581233"/>
      <w:bookmarkStart w:id="339" w:name="_Toc352355835"/>
      <w:r>
        <w:rPr>
          <w:rFonts w:hint="eastAsia"/>
          <w:color w:val="auto"/>
        </w:rPr>
        <w:t>三、</w:t>
      </w:r>
      <w:r>
        <w:rPr>
          <w:color w:val="auto"/>
        </w:rPr>
        <w:t>加大宣传推广，强化品牌推介</w:t>
      </w:r>
      <w:bookmarkEnd w:id="335"/>
      <w:bookmarkEnd w:id="336"/>
      <w:bookmarkEnd w:id="337"/>
      <w:bookmarkEnd w:id="338"/>
      <w:bookmarkEnd w:id="339"/>
    </w:p>
    <w:p w14:paraId="72EB9DF1">
      <w:pPr>
        <w:ind w:firstLine="640"/>
        <w:rPr>
          <w:rFonts w:hint="eastAsia"/>
        </w:rPr>
      </w:pPr>
      <w:r>
        <w:rPr>
          <w:rFonts w:hint="eastAsia" w:ascii="仿宋_GB2312" w:hAnsi="仿宋_GB2312" w:cs="仿宋_GB2312"/>
          <w:color w:val="auto"/>
        </w:rPr>
        <w:t>发挥媒体宣传引领作用，</w:t>
      </w:r>
      <w:r>
        <w:rPr>
          <w:rFonts w:ascii="仿宋_GB2312" w:hAnsi="仿宋_GB2312" w:cs="仿宋_GB2312"/>
          <w:color w:val="auto"/>
        </w:rPr>
        <w:t>围绕金融政策、重大活动、亮点成效开展宣传</w:t>
      </w:r>
      <w:r>
        <w:rPr>
          <w:rFonts w:hint="eastAsia" w:ascii="仿宋_GB2312" w:hAnsi="仿宋_GB2312" w:cs="仿宋_GB2312"/>
          <w:color w:val="auto"/>
        </w:rPr>
        <w:t>。开展金融“进园、进校、进企”实地活动，</w:t>
      </w:r>
      <w:r>
        <w:rPr>
          <w:rFonts w:ascii="仿宋_GB2312" w:hAnsi="仿宋_GB2312" w:cs="仿宋_GB2312"/>
          <w:color w:val="auto"/>
        </w:rPr>
        <w:t>普及金融知识、宣传风险防范</w:t>
      </w:r>
      <w:r>
        <w:rPr>
          <w:rFonts w:hint="eastAsia" w:ascii="仿宋_GB2312" w:hAnsi="仿宋_GB2312" w:cs="仿宋_GB2312"/>
          <w:color w:val="auto"/>
        </w:rPr>
        <w:t>。总结金融营商环境提升经验，挖掘可复制推广的创新案例，打造</w:t>
      </w:r>
      <w:r>
        <w:rPr>
          <w:rFonts w:hint="eastAsia" w:ascii="仿宋_GB2312" w:hAnsi="仿宋_GB2312" w:cs="仿宋_GB2312"/>
        </w:rPr>
        <w:t>“昌平・金立方”金融营商环境品牌</w:t>
      </w:r>
      <w:r>
        <w:rPr>
          <w:rFonts w:hint="eastAsia" w:ascii="仿宋_GB2312" w:hAnsi="仿宋_GB2312" w:cs="仿宋_GB2312"/>
          <w:color w:val="auto"/>
        </w:rPr>
        <w:t>。</w:t>
      </w:r>
      <w:bookmarkEnd w:id="240"/>
      <w:bookmarkEnd w:id="324"/>
      <w:bookmarkEnd w:id="325"/>
      <w:bookmarkEnd w:id="326"/>
      <w:bookmarkEnd w:id="327"/>
      <w:bookmarkEnd w:id="328"/>
      <w:bookmarkStart w:id="340" w:name="_Toc1931712819"/>
      <w:bookmarkStart w:id="341" w:name="_Toc1339994750"/>
      <w:bookmarkStart w:id="342" w:name="_Toc1692889955_WPSOffice_Level1"/>
    </w:p>
    <w:p w14:paraId="5E35FE8C">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p w14:paraId="50901168">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p w14:paraId="5F0BF2F0">
      <w:pPr>
        <w:pStyle w:val="4"/>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rPr>
      </w:pPr>
    </w:p>
    <w:p w14:paraId="7360AC67">
      <w:pPr>
        <w:pStyle w:val="4"/>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rPr>
      </w:pPr>
    </w:p>
    <w:p w14:paraId="486E0F86">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p w14:paraId="42CAEAE0">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p w14:paraId="791786C6">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名词解释</w:t>
      </w:r>
      <w:bookmarkEnd w:id="340"/>
      <w:bookmarkEnd w:id="341"/>
      <w:bookmarkEnd w:id="342"/>
    </w:p>
    <w:p w14:paraId="641F8D27">
      <w:pPr>
        <w:pStyle w:val="2"/>
        <w:ind w:firstLine="0" w:firstLineChars="0"/>
      </w:pPr>
    </w:p>
    <w:p w14:paraId="5A89BE5F">
      <w:pPr>
        <w:pStyle w:val="2"/>
        <w:ind w:firstLine="640"/>
        <w:rPr>
          <w:rFonts w:hint="eastAsia" w:ascii="仿宋_GB2312" w:hAnsi="仿宋_GB2312" w:cs="仿宋_GB2312"/>
        </w:rPr>
      </w:pPr>
      <w:r>
        <w:rPr>
          <w:rFonts w:hint="eastAsia" w:ascii="仿宋_GB2312" w:hAnsi="仿宋_GB2312" w:cs="仿宋_GB2312"/>
        </w:rPr>
        <w:t>1.</w:t>
      </w:r>
      <w:r>
        <w:rPr>
          <w:rFonts w:hint="eastAsia" w:ascii="仿宋_GB2312" w:hAnsi="仿宋_GB2312" w:eastAsia="仿宋_GB2312" w:cs="仿宋_GB2312"/>
        </w:rPr>
        <w:t>两项净收入</w:t>
      </w:r>
      <w:r>
        <w:rPr>
          <w:rFonts w:hint="eastAsia" w:ascii="仿宋_GB2312" w:hAnsi="仿宋_GB2312" w:cs="仿宋_GB2312"/>
        </w:rPr>
        <w:t>：银行机构利息净收入和手续费及佣金净收入的简称。</w:t>
      </w:r>
    </w:p>
    <w:p w14:paraId="35178D03">
      <w:pPr>
        <w:pStyle w:val="2"/>
        <w:ind w:firstLine="640"/>
        <w:rPr>
          <w:rFonts w:hint="eastAsia" w:ascii="仿宋_GB2312" w:hAnsi="仿宋_GB2312" w:cs="仿宋_GB2312"/>
        </w:rPr>
      </w:pPr>
      <w:r>
        <w:rPr>
          <w:rFonts w:hint="eastAsia" w:ascii="仿宋_GB2312" w:hAnsi="仿宋_GB2312" w:cs="仿宋_GB2312"/>
        </w:rPr>
        <w:t>2.</w:t>
      </w:r>
      <w:r>
        <w:rPr>
          <w:rFonts w:hint="eastAsia" w:ascii="仿宋_GB2312" w:hAnsi="仿宋_GB2312" w:eastAsia="仿宋_GB2312" w:cs="仿宋_GB2312"/>
        </w:rPr>
        <w:t>“3+2+1”现代化产业体系</w:t>
      </w:r>
      <w:r>
        <w:rPr>
          <w:rFonts w:hint="eastAsia" w:ascii="仿宋_GB2312" w:hAnsi="仿宋_GB2312" w:cs="仿宋_GB2312"/>
        </w:rPr>
        <w:t>：昌平区“3+2+1”现代化产业体系，是立足未来科学城（能源谷、生命谷）、沙河高教园等科创平台，聚焦新质生产力、构建“主导做强、服务支撑、融合赋能”的产业格局。其中，“3”是做大做强医药健康、先进能源、先进制造三个千亿级主导产业，“2”是培育科创金融、科技服务两个现代服务业，“1”是推进文旅农融合产业发展。</w:t>
      </w:r>
    </w:p>
    <w:p w14:paraId="716EB805">
      <w:pPr>
        <w:pStyle w:val="2"/>
        <w:ind w:firstLine="640"/>
        <w:rPr>
          <w:rFonts w:hint="eastAsia" w:ascii="仿宋_GB2312" w:hAnsi="仿宋_GB2312" w:cs="仿宋_GB2312"/>
        </w:rPr>
      </w:pPr>
      <w:r>
        <w:rPr>
          <w:rFonts w:hint="eastAsia" w:ascii="仿宋_GB2312" w:hAnsi="仿宋_GB2312" w:cs="仿宋_GB2312"/>
          <w:lang w:eastAsia="zh-CN"/>
        </w:rPr>
        <w:t>3</w:t>
      </w:r>
      <w:r>
        <w:rPr>
          <w:rFonts w:hint="eastAsia" w:ascii="仿宋_GB2312" w:hAnsi="仿宋_GB2312" w:cs="仿宋_GB2312"/>
        </w:rPr>
        <w:t>.</w:t>
      </w:r>
      <w:r>
        <w:rPr>
          <w:rFonts w:hint="eastAsia" w:ascii="仿宋_GB2312" w:hAnsi="仿宋_GB2312" w:eastAsia="仿宋_GB2312" w:cs="仿宋_GB2312"/>
        </w:rPr>
        <w:t>“A+H”多地上市</w:t>
      </w:r>
      <w:r>
        <w:rPr>
          <w:rFonts w:hint="eastAsia" w:ascii="仿宋_GB2312" w:hAnsi="仿宋_GB2312" w:cs="仿宋_GB2312"/>
        </w:rPr>
        <w:t>：是指一家企业同时在内地A股市场和香港H股市场发行股票并挂牌交易，实现两地同步上市、多地融资的资本市场模式。</w:t>
      </w:r>
    </w:p>
    <w:p w14:paraId="0B0CAF3B">
      <w:pPr>
        <w:pStyle w:val="2"/>
        <w:ind w:firstLine="640"/>
        <w:rPr>
          <w:rFonts w:hint="eastAsia" w:ascii="仿宋_GB2312" w:hAnsi="仿宋_GB2312" w:cs="仿宋_GB2312"/>
        </w:rPr>
      </w:pPr>
      <w:r>
        <w:rPr>
          <w:rFonts w:hint="eastAsia" w:ascii="仿宋_GB2312" w:hAnsi="仿宋_GB2312" w:cs="仿宋_GB2312"/>
          <w:lang w:eastAsia="zh-CN"/>
        </w:rPr>
        <w:t>4</w:t>
      </w:r>
      <w:r>
        <w:rPr>
          <w:rFonts w:hint="eastAsia" w:ascii="仿宋_GB2312" w:hAnsi="仿宋_GB2312" w:cs="仿宋_GB2312"/>
        </w:rPr>
        <w:t>.</w:t>
      </w:r>
      <w:r>
        <w:rPr>
          <w:rFonts w:hint="eastAsia" w:ascii="仿宋_GB2312" w:hAnsi="仿宋_GB2312" w:eastAsia="仿宋_GB2312" w:cs="仿宋_GB2312"/>
        </w:rPr>
        <w:t>“八个坚持”</w:t>
      </w:r>
      <w:r>
        <w:rPr>
          <w:rFonts w:hint="eastAsia" w:ascii="仿宋_GB2312" w:hAnsi="仿宋_GB2312" w:cs="仿宋_GB2312"/>
        </w:rPr>
        <w:t>：是2023年中央金融工作会议确立的中国特色金融发展之路的核心原则与行动纲领，系统回答了新时代金融工作“怎么看、怎么干”，明确根本保障、价值取向、宗旨、主题、路径、主线、安全与基调，构成有机统一的顶层框架。“八个坚持”分别为：坚持党中央对金融工作的集中统一领导；坚持以人民为中心的价值取向；坚持把金融服务实体经济作为根本宗旨；坚持把防控风险作为金融工作的永恒主题；坚持在市场化法治化轨道上推进金融创新发展；坚持深化金融供给侧结构性改革；坚持统筹金融开放和安全；坚持稳中求进工作总基调。</w:t>
      </w:r>
    </w:p>
    <w:p w14:paraId="17F985C7">
      <w:pPr>
        <w:pStyle w:val="2"/>
        <w:ind w:firstLine="640"/>
        <w:rPr>
          <w:rFonts w:hint="eastAsia" w:ascii="仿宋_GB2312" w:hAnsi="仿宋_GB2312" w:cs="仿宋_GB2312"/>
        </w:rPr>
      </w:pPr>
      <w:r>
        <w:rPr>
          <w:rFonts w:hint="eastAsia" w:ascii="仿宋_GB2312" w:hAnsi="仿宋_GB2312" w:cs="仿宋_GB2312"/>
          <w:lang w:eastAsia="zh-CN"/>
        </w:rPr>
        <w:t>5</w:t>
      </w:r>
      <w:r>
        <w:rPr>
          <w:rFonts w:hint="eastAsia" w:ascii="仿宋_GB2312" w:hAnsi="仿宋_GB2312" w:cs="仿宋_GB2312"/>
        </w:rPr>
        <w:t>.</w:t>
      </w:r>
      <w:r>
        <w:rPr>
          <w:rFonts w:hint="eastAsia" w:ascii="仿宋_GB2312" w:hAnsi="仿宋_GB2312" w:eastAsia="仿宋_GB2312" w:cs="仿宋_GB2312"/>
        </w:rPr>
        <w:t>“1+N”首都金融“五篇大文章”政策体系</w:t>
      </w:r>
      <w:r>
        <w:rPr>
          <w:rFonts w:hint="eastAsia" w:ascii="仿宋_GB2312" w:hAnsi="仿宋_GB2312" w:cs="仿宋_GB2312"/>
        </w:rPr>
        <w:t>：是北京市围绕中央金融工作会议“五篇大文章”（科技金融、绿色金融、普惠金融、养老金融、数字金融）构建的顶层设计与专项配套政策框架。其中，“1”是指1个总体方案，作为统领性文件，统筹首都金融发展总体目标、重点任务和工作机制。“N”是指N个专项政策，围绕科技金融、绿色金融、普惠金融、养老金融、数字金融等重点领域，分别制定专项实施意见、配套措施和落地工具，形成“1个总纲+N个支撑”的完整政策体系。</w:t>
      </w:r>
    </w:p>
    <w:p w14:paraId="146A91F5">
      <w:pPr>
        <w:pStyle w:val="2"/>
        <w:ind w:firstLine="640"/>
        <w:rPr>
          <w:rFonts w:hint="eastAsia" w:ascii="仿宋_GB2312" w:hAnsi="仿宋_GB2312" w:cs="仿宋_GB2312"/>
        </w:rPr>
      </w:pPr>
      <w:r>
        <w:rPr>
          <w:rFonts w:hint="eastAsia" w:ascii="仿宋_GB2312" w:hAnsi="仿宋_GB2312" w:cs="仿宋_GB2312"/>
          <w:lang w:val="en-US" w:eastAsia="zh-CN"/>
        </w:rPr>
        <w:t>6</w:t>
      </w:r>
      <w:r>
        <w:rPr>
          <w:rFonts w:hint="eastAsia" w:ascii="仿宋_GB2312" w:hAnsi="仿宋_GB2312" w:cs="仿宋_GB2312"/>
        </w:rPr>
        <w:t>.</w:t>
      </w:r>
      <w:r>
        <w:rPr>
          <w:rFonts w:hint="eastAsia" w:ascii="仿宋_GB2312" w:hAnsi="仿宋_GB2312" w:eastAsia="仿宋_GB2312" w:cs="仿宋_GB2312"/>
        </w:rPr>
        <w:t>“</w:t>
      </w:r>
      <w:r>
        <w:rPr>
          <w:rFonts w:hint="eastAsia" w:ascii="Times New Roman" w:hAnsi="Times New Roman" w:eastAsia="仿宋_GB2312" w:cs="Times New Roman"/>
          <w:sz w:val="32"/>
          <w:szCs w:val="32"/>
        </w:rPr>
        <w:t>昌平·</w:t>
      </w:r>
      <w:r>
        <w:rPr>
          <w:rFonts w:hint="eastAsia" w:ascii="仿宋_GB2312" w:hAnsi="仿宋_GB2312" w:eastAsia="仿宋_GB2312" w:cs="仿宋_GB2312"/>
        </w:rPr>
        <w:t>金立方”</w:t>
      </w:r>
      <w:r>
        <w:rPr>
          <w:rFonts w:hint="eastAsia" w:ascii="仿宋_GB2312" w:hAnsi="仿宋_GB2312" w:cs="仿宋_GB2312"/>
        </w:rPr>
        <w:t>金融营商环境品牌：搭建“1+1+5+N”的综合金融服务框架，“金”强调金融要素本身的金字招牌；“立方”强调立方体系、立方倍增；“金立方”将“政-金-学-研-产-介”多元化创新主体要素系统整合，形成“群落多元、结构稳定、互惠互利”的三维立方服务系统。</w:t>
      </w:r>
    </w:p>
    <w:p w14:paraId="1B0BDB43">
      <w:pPr>
        <w:pStyle w:val="2"/>
        <w:ind w:firstLine="640"/>
        <w:rPr>
          <w:rFonts w:hint="eastAsia" w:ascii="仿宋_GB2312" w:hAnsi="仿宋_GB2312" w:eastAsia="仿宋_GB2312" w:cs="仿宋_GB2312"/>
        </w:rPr>
      </w:pPr>
      <w:r>
        <w:rPr>
          <w:rFonts w:hint="eastAsia" w:ascii="仿宋_GB2312" w:hAnsi="仿宋_GB2312" w:cs="仿宋_GB2312"/>
          <w:lang w:val="en-US" w:eastAsia="zh-CN"/>
        </w:rPr>
        <w:t>7</w:t>
      </w:r>
      <w:r>
        <w:rPr>
          <w:rFonts w:hint="eastAsia" w:ascii="仿宋_GB2312" w:hAnsi="仿宋_GB2312" w:cs="仿宋_GB2312"/>
        </w:rPr>
        <w:t>.</w:t>
      </w:r>
      <w:r>
        <w:rPr>
          <w:rFonts w:hint="eastAsia" w:ascii="仿宋_GB2312" w:hAnsi="仿宋_GB2312" w:eastAsia="仿宋_GB2312" w:cs="仿宋_GB2312"/>
        </w:rPr>
        <w:t>“三长联席”</w:t>
      </w:r>
      <w:r>
        <w:rPr>
          <w:rFonts w:hint="eastAsia" w:ascii="仿宋_GB2312" w:hAnsi="仿宋_GB2312" w:cs="仿宋_GB2312"/>
        </w:rPr>
        <w:t>：是昌平区构建的科创金融专业决策支撑体系，以科学家、企业家、金融家为核心主体，依托未来科创金融智库，围绕前沿创新领域开展技术、市场、投融资全维度评估，配套风险监测与数据支撑，为区域金融发展和科创企业投融资提供专业决策，打通“科技-产业-金融”良性循环。</w:t>
      </w:r>
    </w:p>
    <w:sectPr>
      <w:pgSz w:w="11906" w:h="16838"/>
      <w:pgMar w:top="2098" w:right="1531" w:bottom="1984"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等线 Light">
    <w:altName w:val="仿宋_GB2312"/>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19686">
    <w:pPr>
      <w:pStyle w:val="1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11862">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B1850">
    <w:pPr>
      <w:pStyle w:val="1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99DB8">
    <w:pPr>
      <w:pStyle w:val="15"/>
      <w:ind w:firstLine="360"/>
    </w:pPr>
    <w:r>
      <mc:AlternateContent>
        <mc:Choice Requires="wps">
          <w:drawing>
            <wp:anchor distT="0" distB="0" distL="114300" distR="114300" simplePos="0" relativeHeight="251659264" behindDoc="0" locked="0" layoutInCell="1" allowOverlap="1">
              <wp:simplePos x="0" y="0"/>
              <wp:positionH relativeFrom="margin">
                <wp:posOffset>2508250</wp:posOffset>
              </wp:positionH>
              <wp:positionV relativeFrom="paragraph">
                <wp:posOffset>-275590</wp:posOffset>
              </wp:positionV>
              <wp:extent cx="61595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6159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4"/>
                            </w:rPr>
                            <w:id w:val="-1"/>
                          </w:sdtPr>
                          <w:sdtEndPr>
                            <w:rPr>
                              <w:rStyle w:val="24"/>
                              <w:sz w:val="36"/>
                              <w:szCs w:val="36"/>
                            </w:rPr>
                          </w:sdtEndPr>
                          <w:sdtContent>
                            <w:p w14:paraId="37070327">
                              <w:pPr>
                                <w:pStyle w:val="15"/>
                                <w:ind w:firstLine="360"/>
                                <w:rPr>
                                  <w:rStyle w:val="24"/>
                                  <w:sz w:val="36"/>
                                  <w:szCs w:val="36"/>
                                </w:rPr>
                              </w:pPr>
                              <w:r>
                                <w:rPr>
                                  <w:rStyle w:val="24"/>
                                  <w:sz w:val="32"/>
                                  <w:szCs w:val="32"/>
                                </w:rPr>
                                <w:fldChar w:fldCharType="begin"/>
                              </w:r>
                              <w:r>
                                <w:rPr>
                                  <w:rStyle w:val="24"/>
                                  <w:sz w:val="32"/>
                                  <w:szCs w:val="32"/>
                                </w:rPr>
                                <w:instrText xml:space="preserve"> PAGE </w:instrText>
                              </w:r>
                              <w:r>
                                <w:rPr>
                                  <w:rStyle w:val="24"/>
                                  <w:sz w:val="32"/>
                                  <w:szCs w:val="32"/>
                                </w:rPr>
                                <w:fldChar w:fldCharType="separate"/>
                              </w:r>
                              <w:r>
                                <w:rPr>
                                  <w:rStyle w:val="24"/>
                                  <w:sz w:val="32"/>
                                  <w:szCs w:val="32"/>
                                </w:rPr>
                                <w:t>5</w:t>
                              </w:r>
                              <w:r>
                                <w:rPr>
                                  <w:rStyle w:val="24"/>
                                  <w:sz w:val="32"/>
                                  <w:szCs w:val="32"/>
                                </w:rPr>
                                <w:fldChar w:fldCharType="end"/>
                              </w:r>
                            </w:p>
                          </w:sdtContent>
                        </w:sdt>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7.5pt;margin-top:-21.7pt;height:144pt;width:48.5pt;mso-position-horizontal-relative:margin;z-index:251659264;mso-width-relative:page;mso-height-relative:page;" filled="f" stroked="f" coordsize="21600,21600" o:gfxdata="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buvCbaAAAACwEAAA8AAAAAAAAAAQAgAAAAIgAAAGRycy9kb3ducmV2Lnht&#10;bFBLAQIUABQAAAAIAIdO4kCMtn0oMAIAAFYEAAAOAAAAAAAAAAEAIAAAACkBAABkcnMvZTJvRG9j&#10;LnhtbFBLBQYAAAAABgAGAFkBAADLBQAAAAA=&#10;">
              <v:fill on="f" focussize="0,0"/>
              <v:stroke on="f" weight="0.5pt"/>
              <v:imagedata o:title=""/>
              <o:lock v:ext="edit" aspectratio="f"/>
              <v:textbox inset="0mm,0mm,0mm,0mm" style="mso-fit-shape-to-text:t;">
                <w:txbxContent>
                  <w:sdt>
                    <w:sdtPr>
                      <w:rPr>
                        <w:rStyle w:val="24"/>
                      </w:rPr>
                      <w:id w:val="-1"/>
                    </w:sdtPr>
                    <w:sdtEndPr>
                      <w:rPr>
                        <w:rStyle w:val="24"/>
                        <w:sz w:val="36"/>
                        <w:szCs w:val="36"/>
                      </w:rPr>
                    </w:sdtEndPr>
                    <w:sdtContent>
                      <w:p w14:paraId="37070327">
                        <w:pPr>
                          <w:pStyle w:val="15"/>
                          <w:ind w:firstLine="360"/>
                          <w:rPr>
                            <w:rStyle w:val="24"/>
                            <w:sz w:val="36"/>
                            <w:szCs w:val="36"/>
                          </w:rPr>
                        </w:pPr>
                        <w:r>
                          <w:rPr>
                            <w:rStyle w:val="24"/>
                            <w:sz w:val="32"/>
                            <w:szCs w:val="32"/>
                          </w:rPr>
                          <w:fldChar w:fldCharType="begin"/>
                        </w:r>
                        <w:r>
                          <w:rPr>
                            <w:rStyle w:val="24"/>
                            <w:sz w:val="32"/>
                            <w:szCs w:val="32"/>
                          </w:rPr>
                          <w:instrText xml:space="preserve"> PAGE </w:instrText>
                        </w:r>
                        <w:r>
                          <w:rPr>
                            <w:rStyle w:val="24"/>
                            <w:sz w:val="32"/>
                            <w:szCs w:val="32"/>
                          </w:rPr>
                          <w:fldChar w:fldCharType="separate"/>
                        </w:r>
                        <w:r>
                          <w:rPr>
                            <w:rStyle w:val="24"/>
                            <w:sz w:val="32"/>
                            <w:szCs w:val="32"/>
                          </w:rPr>
                          <w:t>5</w:t>
                        </w:r>
                        <w:r>
                          <w:rPr>
                            <w:rStyle w:val="24"/>
                            <w:sz w:val="32"/>
                            <w:szCs w:val="32"/>
                          </w:rPr>
                          <w:fldChar w:fldCharType="end"/>
                        </w:r>
                      </w:p>
                    </w:sdtContent>
                  </w:sdt>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9FB00">
    <w:pPr>
      <w:pStyle w:val="16"/>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7B445">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1499">
    <w:pPr>
      <w:pStyle w:val="1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535F6">
    <w:pPr>
      <w:pStyle w:val="16"/>
      <w:ind w:firstLine="0" w:firstLineChars="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32"/>
    <w:rsid w:val="00036D73"/>
    <w:rsid w:val="000C6B02"/>
    <w:rsid w:val="001119FE"/>
    <w:rsid w:val="00121921"/>
    <w:rsid w:val="001B459B"/>
    <w:rsid w:val="001D1253"/>
    <w:rsid w:val="001D70BF"/>
    <w:rsid w:val="001E02D5"/>
    <w:rsid w:val="001E53A7"/>
    <w:rsid w:val="00265F05"/>
    <w:rsid w:val="002936B8"/>
    <w:rsid w:val="002E3944"/>
    <w:rsid w:val="002E4699"/>
    <w:rsid w:val="003015C4"/>
    <w:rsid w:val="003200C9"/>
    <w:rsid w:val="0032086A"/>
    <w:rsid w:val="00332D0F"/>
    <w:rsid w:val="003C41EA"/>
    <w:rsid w:val="00434D2B"/>
    <w:rsid w:val="00440D78"/>
    <w:rsid w:val="00446D9B"/>
    <w:rsid w:val="004C1438"/>
    <w:rsid w:val="004F18FD"/>
    <w:rsid w:val="004F556C"/>
    <w:rsid w:val="004F73B1"/>
    <w:rsid w:val="00562CB5"/>
    <w:rsid w:val="005B0CC6"/>
    <w:rsid w:val="005F517B"/>
    <w:rsid w:val="006501F9"/>
    <w:rsid w:val="00691FCF"/>
    <w:rsid w:val="006F500B"/>
    <w:rsid w:val="007251C9"/>
    <w:rsid w:val="00757100"/>
    <w:rsid w:val="007E1CCD"/>
    <w:rsid w:val="00841CF1"/>
    <w:rsid w:val="00846D25"/>
    <w:rsid w:val="008636EF"/>
    <w:rsid w:val="00867187"/>
    <w:rsid w:val="00883C7F"/>
    <w:rsid w:val="008B65FC"/>
    <w:rsid w:val="008E7909"/>
    <w:rsid w:val="00911483"/>
    <w:rsid w:val="009A1163"/>
    <w:rsid w:val="009B32FD"/>
    <w:rsid w:val="009E50E4"/>
    <w:rsid w:val="00A256CD"/>
    <w:rsid w:val="00A61842"/>
    <w:rsid w:val="00AE0879"/>
    <w:rsid w:val="00AF4924"/>
    <w:rsid w:val="00B513C1"/>
    <w:rsid w:val="00B5431E"/>
    <w:rsid w:val="00B56969"/>
    <w:rsid w:val="00B717A5"/>
    <w:rsid w:val="00B87206"/>
    <w:rsid w:val="00C607D8"/>
    <w:rsid w:val="00C60E36"/>
    <w:rsid w:val="00CE0932"/>
    <w:rsid w:val="00CF31E4"/>
    <w:rsid w:val="00D031C5"/>
    <w:rsid w:val="00D050E9"/>
    <w:rsid w:val="00D214CC"/>
    <w:rsid w:val="00D247FC"/>
    <w:rsid w:val="00D31995"/>
    <w:rsid w:val="00D473FA"/>
    <w:rsid w:val="00D5314B"/>
    <w:rsid w:val="00D6737C"/>
    <w:rsid w:val="00D7467B"/>
    <w:rsid w:val="00D8101A"/>
    <w:rsid w:val="00E33EDA"/>
    <w:rsid w:val="00E44F9E"/>
    <w:rsid w:val="00EA05A8"/>
    <w:rsid w:val="00EB318D"/>
    <w:rsid w:val="00EC1F90"/>
    <w:rsid w:val="00EE626D"/>
    <w:rsid w:val="00EF03A2"/>
    <w:rsid w:val="00F0785B"/>
    <w:rsid w:val="00F44D1A"/>
    <w:rsid w:val="00F729C9"/>
    <w:rsid w:val="00F72EEC"/>
    <w:rsid w:val="00FC3C61"/>
    <w:rsid w:val="06A52CDD"/>
    <w:rsid w:val="07B85F6E"/>
    <w:rsid w:val="07BE0670"/>
    <w:rsid w:val="07DF12FE"/>
    <w:rsid w:val="088D2482"/>
    <w:rsid w:val="0D6F2BD8"/>
    <w:rsid w:val="0DB95AB7"/>
    <w:rsid w:val="0F2B8CEF"/>
    <w:rsid w:val="0FDF5287"/>
    <w:rsid w:val="0FFC2FEF"/>
    <w:rsid w:val="0FFF4734"/>
    <w:rsid w:val="109C6648"/>
    <w:rsid w:val="10C4645D"/>
    <w:rsid w:val="1632031C"/>
    <w:rsid w:val="1753BDF7"/>
    <w:rsid w:val="17672CDD"/>
    <w:rsid w:val="17C32639"/>
    <w:rsid w:val="17DF6BC9"/>
    <w:rsid w:val="17DF94A4"/>
    <w:rsid w:val="17E55E9B"/>
    <w:rsid w:val="17F15594"/>
    <w:rsid w:val="17FFBF38"/>
    <w:rsid w:val="1822501B"/>
    <w:rsid w:val="1A6B0CA1"/>
    <w:rsid w:val="1ABBF1DE"/>
    <w:rsid w:val="1ADF0E0D"/>
    <w:rsid w:val="1AE7C417"/>
    <w:rsid w:val="1BE71FAD"/>
    <w:rsid w:val="1BF5BADA"/>
    <w:rsid w:val="1BFA7950"/>
    <w:rsid w:val="1D3FBAAA"/>
    <w:rsid w:val="1D817F33"/>
    <w:rsid w:val="1DBFCB77"/>
    <w:rsid w:val="1EF33DEC"/>
    <w:rsid w:val="1EF594B5"/>
    <w:rsid w:val="1EFA9B7F"/>
    <w:rsid w:val="1F17B12C"/>
    <w:rsid w:val="1F3FEEF0"/>
    <w:rsid w:val="1F4F8FDE"/>
    <w:rsid w:val="1F6F22BD"/>
    <w:rsid w:val="1F78FAC9"/>
    <w:rsid w:val="1FAFC80C"/>
    <w:rsid w:val="1FF6E95D"/>
    <w:rsid w:val="1FF71B1C"/>
    <w:rsid w:val="1FFDE5F0"/>
    <w:rsid w:val="1FFF070C"/>
    <w:rsid w:val="21901AE4"/>
    <w:rsid w:val="23FF5F63"/>
    <w:rsid w:val="26EF41AF"/>
    <w:rsid w:val="27DFE7BA"/>
    <w:rsid w:val="27EF401C"/>
    <w:rsid w:val="27FD5951"/>
    <w:rsid w:val="29FF6E6B"/>
    <w:rsid w:val="2A0647E9"/>
    <w:rsid w:val="2A9348DD"/>
    <w:rsid w:val="2B2A228D"/>
    <w:rsid w:val="2BBF8F58"/>
    <w:rsid w:val="2BD23491"/>
    <w:rsid w:val="2BF71DC8"/>
    <w:rsid w:val="2CA76F48"/>
    <w:rsid w:val="2CBA0E72"/>
    <w:rsid w:val="2D5F3F82"/>
    <w:rsid w:val="2DDCDB64"/>
    <w:rsid w:val="2DFDA972"/>
    <w:rsid w:val="2DFEE28E"/>
    <w:rsid w:val="2DFF8E7B"/>
    <w:rsid w:val="2E9DC730"/>
    <w:rsid w:val="2EE7B2FD"/>
    <w:rsid w:val="2EFB4833"/>
    <w:rsid w:val="2FFB1B85"/>
    <w:rsid w:val="2FFF0974"/>
    <w:rsid w:val="2FFF97EB"/>
    <w:rsid w:val="31EF94AB"/>
    <w:rsid w:val="325DAE73"/>
    <w:rsid w:val="32C5E543"/>
    <w:rsid w:val="32F521E9"/>
    <w:rsid w:val="33C39939"/>
    <w:rsid w:val="33D3F864"/>
    <w:rsid w:val="33DDEAF7"/>
    <w:rsid w:val="357BA172"/>
    <w:rsid w:val="35FDA4CD"/>
    <w:rsid w:val="370E7B5E"/>
    <w:rsid w:val="371464BB"/>
    <w:rsid w:val="376FA492"/>
    <w:rsid w:val="37776B78"/>
    <w:rsid w:val="3786C188"/>
    <w:rsid w:val="37BE27A1"/>
    <w:rsid w:val="37BF5C77"/>
    <w:rsid w:val="37BFA0BB"/>
    <w:rsid w:val="37BFCC48"/>
    <w:rsid w:val="37BFD019"/>
    <w:rsid w:val="37DB396D"/>
    <w:rsid w:val="37DE3B26"/>
    <w:rsid w:val="37E746AF"/>
    <w:rsid w:val="37EAEA15"/>
    <w:rsid w:val="37EC5348"/>
    <w:rsid w:val="37F36F05"/>
    <w:rsid w:val="37FB849D"/>
    <w:rsid w:val="37FE71B7"/>
    <w:rsid w:val="3857F1DD"/>
    <w:rsid w:val="38BD0CFD"/>
    <w:rsid w:val="399FBF04"/>
    <w:rsid w:val="3A46BCA5"/>
    <w:rsid w:val="3A73C722"/>
    <w:rsid w:val="3A9EBFD9"/>
    <w:rsid w:val="3A9F7C97"/>
    <w:rsid w:val="3ABBA64A"/>
    <w:rsid w:val="3AEF57CB"/>
    <w:rsid w:val="3B36F612"/>
    <w:rsid w:val="3B39B0DE"/>
    <w:rsid w:val="3B59CEF8"/>
    <w:rsid w:val="3B6E0CB5"/>
    <w:rsid w:val="3BFE26B3"/>
    <w:rsid w:val="3BFE393A"/>
    <w:rsid w:val="3BFFA7D0"/>
    <w:rsid w:val="3C7BDB8E"/>
    <w:rsid w:val="3C7D2730"/>
    <w:rsid w:val="3CF780F4"/>
    <w:rsid w:val="3CFD1A6D"/>
    <w:rsid w:val="3D7F6449"/>
    <w:rsid w:val="3DA7FC6E"/>
    <w:rsid w:val="3DB69AD1"/>
    <w:rsid w:val="3DBE05FD"/>
    <w:rsid w:val="3DBE5170"/>
    <w:rsid w:val="3DD51B08"/>
    <w:rsid w:val="3DD7278A"/>
    <w:rsid w:val="3DEB6984"/>
    <w:rsid w:val="3DEC2F71"/>
    <w:rsid w:val="3DEF2861"/>
    <w:rsid w:val="3DF9A880"/>
    <w:rsid w:val="3DFD92C2"/>
    <w:rsid w:val="3DFD9AC4"/>
    <w:rsid w:val="3E6F8CD3"/>
    <w:rsid w:val="3E74552F"/>
    <w:rsid w:val="3E964986"/>
    <w:rsid w:val="3EC79A47"/>
    <w:rsid w:val="3EDC9529"/>
    <w:rsid w:val="3EDF949A"/>
    <w:rsid w:val="3F1F0832"/>
    <w:rsid w:val="3F3B490F"/>
    <w:rsid w:val="3F3F52B3"/>
    <w:rsid w:val="3F4E69FC"/>
    <w:rsid w:val="3F5F4E34"/>
    <w:rsid w:val="3F7FD108"/>
    <w:rsid w:val="3F956287"/>
    <w:rsid w:val="3FA7F02E"/>
    <w:rsid w:val="3FAB6616"/>
    <w:rsid w:val="3FAF854F"/>
    <w:rsid w:val="3FB60417"/>
    <w:rsid w:val="3FBB85EF"/>
    <w:rsid w:val="3FBFB24E"/>
    <w:rsid w:val="3FD14221"/>
    <w:rsid w:val="3FDE6AA2"/>
    <w:rsid w:val="3FF7765E"/>
    <w:rsid w:val="3FFDEFCF"/>
    <w:rsid w:val="3FFFDC3F"/>
    <w:rsid w:val="3FFFEBCE"/>
    <w:rsid w:val="40296C36"/>
    <w:rsid w:val="419F6D70"/>
    <w:rsid w:val="431E0E20"/>
    <w:rsid w:val="457D1363"/>
    <w:rsid w:val="45FFA281"/>
    <w:rsid w:val="467DA6BF"/>
    <w:rsid w:val="47DB34BC"/>
    <w:rsid w:val="482241AF"/>
    <w:rsid w:val="48EFEC3C"/>
    <w:rsid w:val="4A431C75"/>
    <w:rsid w:val="4ABA19D1"/>
    <w:rsid w:val="4AC7693B"/>
    <w:rsid w:val="4BB252BD"/>
    <w:rsid w:val="4BDF1552"/>
    <w:rsid w:val="4BEA96B5"/>
    <w:rsid w:val="4C2F49FB"/>
    <w:rsid w:val="4DA53377"/>
    <w:rsid w:val="4DEEF509"/>
    <w:rsid w:val="4E76B3AA"/>
    <w:rsid w:val="4EF856E4"/>
    <w:rsid w:val="4EF889A2"/>
    <w:rsid w:val="4F3F3855"/>
    <w:rsid w:val="4F4FAB54"/>
    <w:rsid w:val="4FD20CC9"/>
    <w:rsid w:val="4FE7BC4F"/>
    <w:rsid w:val="521E471E"/>
    <w:rsid w:val="53974669"/>
    <w:rsid w:val="53D57DCB"/>
    <w:rsid w:val="53F8A937"/>
    <w:rsid w:val="53FE02E7"/>
    <w:rsid w:val="54446715"/>
    <w:rsid w:val="54CBA021"/>
    <w:rsid w:val="55198F0A"/>
    <w:rsid w:val="552050EE"/>
    <w:rsid w:val="557F9DE6"/>
    <w:rsid w:val="55D66915"/>
    <w:rsid w:val="561825A4"/>
    <w:rsid w:val="56FED240"/>
    <w:rsid w:val="5763E285"/>
    <w:rsid w:val="579BC704"/>
    <w:rsid w:val="57B723C5"/>
    <w:rsid w:val="57E70277"/>
    <w:rsid w:val="57EEC431"/>
    <w:rsid w:val="57EFD722"/>
    <w:rsid w:val="57FBCF8F"/>
    <w:rsid w:val="57FD0DF4"/>
    <w:rsid w:val="57FF4CB9"/>
    <w:rsid w:val="57FF754A"/>
    <w:rsid w:val="58A715BC"/>
    <w:rsid w:val="58DF3A57"/>
    <w:rsid w:val="595C44FB"/>
    <w:rsid w:val="597F5021"/>
    <w:rsid w:val="59FF8F5E"/>
    <w:rsid w:val="5A210721"/>
    <w:rsid w:val="5AA6531A"/>
    <w:rsid w:val="5ADD8FD8"/>
    <w:rsid w:val="5B7F9E0B"/>
    <w:rsid w:val="5BB9168C"/>
    <w:rsid w:val="5BBF9D99"/>
    <w:rsid w:val="5BFF4566"/>
    <w:rsid w:val="5C1A0D2E"/>
    <w:rsid w:val="5CEF882B"/>
    <w:rsid w:val="5CFDB38F"/>
    <w:rsid w:val="5D1D2A72"/>
    <w:rsid w:val="5D6DA053"/>
    <w:rsid w:val="5D7E2586"/>
    <w:rsid w:val="5D7F694E"/>
    <w:rsid w:val="5DEF3D9F"/>
    <w:rsid w:val="5DFDB851"/>
    <w:rsid w:val="5E8B372C"/>
    <w:rsid w:val="5EAC86DE"/>
    <w:rsid w:val="5EB7BF40"/>
    <w:rsid w:val="5EDDFF65"/>
    <w:rsid w:val="5EED0375"/>
    <w:rsid w:val="5EF71BB8"/>
    <w:rsid w:val="5EFFCAEF"/>
    <w:rsid w:val="5F2B99A8"/>
    <w:rsid w:val="5F5FB7EF"/>
    <w:rsid w:val="5F5FFE14"/>
    <w:rsid w:val="5F76AE1A"/>
    <w:rsid w:val="5F877EE7"/>
    <w:rsid w:val="5FB3CE03"/>
    <w:rsid w:val="5FD5AD9E"/>
    <w:rsid w:val="5FD9C570"/>
    <w:rsid w:val="5FDBDF63"/>
    <w:rsid w:val="5FDF6B6B"/>
    <w:rsid w:val="5FF142E4"/>
    <w:rsid w:val="5FFFBCAB"/>
    <w:rsid w:val="60C60B06"/>
    <w:rsid w:val="61CE270F"/>
    <w:rsid w:val="62CB07F9"/>
    <w:rsid w:val="634630B7"/>
    <w:rsid w:val="637F6254"/>
    <w:rsid w:val="63F34ED8"/>
    <w:rsid w:val="64EFAE5D"/>
    <w:rsid w:val="656FB14A"/>
    <w:rsid w:val="65BFBE5D"/>
    <w:rsid w:val="65ED34C7"/>
    <w:rsid w:val="6698B069"/>
    <w:rsid w:val="66FFB553"/>
    <w:rsid w:val="67070901"/>
    <w:rsid w:val="676F5C5A"/>
    <w:rsid w:val="679B0273"/>
    <w:rsid w:val="67BAB1C6"/>
    <w:rsid w:val="67BF8818"/>
    <w:rsid w:val="67FCE818"/>
    <w:rsid w:val="67FF80C3"/>
    <w:rsid w:val="684E1FC3"/>
    <w:rsid w:val="69B53BE4"/>
    <w:rsid w:val="6AE3E7A0"/>
    <w:rsid w:val="6B3BF5A3"/>
    <w:rsid w:val="6B64288B"/>
    <w:rsid w:val="6B71296D"/>
    <w:rsid w:val="6B9DE884"/>
    <w:rsid w:val="6BB92E31"/>
    <w:rsid w:val="6BDD61B2"/>
    <w:rsid w:val="6BF7F43F"/>
    <w:rsid w:val="6BFF7A49"/>
    <w:rsid w:val="6C6F8F9B"/>
    <w:rsid w:val="6CB829CD"/>
    <w:rsid w:val="6CCF021F"/>
    <w:rsid w:val="6D9CCEC3"/>
    <w:rsid w:val="6DB7A48E"/>
    <w:rsid w:val="6DED9C2C"/>
    <w:rsid w:val="6DF66025"/>
    <w:rsid w:val="6DF7F72F"/>
    <w:rsid w:val="6DFD7C0F"/>
    <w:rsid w:val="6DFFAE97"/>
    <w:rsid w:val="6E7D6C6C"/>
    <w:rsid w:val="6E8E1794"/>
    <w:rsid w:val="6EBF62C6"/>
    <w:rsid w:val="6EDDD8F4"/>
    <w:rsid w:val="6EDFC305"/>
    <w:rsid w:val="6EDFD0A4"/>
    <w:rsid w:val="6EF6BC6C"/>
    <w:rsid w:val="6EFEA05F"/>
    <w:rsid w:val="6F5B67D9"/>
    <w:rsid w:val="6F7CD97A"/>
    <w:rsid w:val="6F7D1BB0"/>
    <w:rsid w:val="6F7ECC72"/>
    <w:rsid w:val="6F7F6F43"/>
    <w:rsid w:val="6F9587CE"/>
    <w:rsid w:val="6FB7F3A1"/>
    <w:rsid w:val="6FB991C9"/>
    <w:rsid w:val="6FBF3C94"/>
    <w:rsid w:val="6FDBAFDF"/>
    <w:rsid w:val="6FE93E43"/>
    <w:rsid w:val="6FEB0B4F"/>
    <w:rsid w:val="6FED82EF"/>
    <w:rsid w:val="6FEF26CF"/>
    <w:rsid w:val="6FEF3F02"/>
    <w:rsid w:val="6FEF92AB"/>
    <w:rsid w:val="6FF186CD"/>
    <w:rsid w:val="6FFAD3A5"/>
    <w:rsid w:val="6FFEC68C"/>
    <w:rsid w:val="6FFF4D7E"/>
    <w:rsid w:val="6FFF523A"/>
    <w:rsid w:val="6FFFE838"/>
    <w:rsid w:val="719F4999"/>
    <w:rsid w:val="71C22435"/>
    <w:rsid w:val="71DEFD8B"/>
    <w:rsid w:val="72D7305A"/>
    <w:rsid w:val="72F6E82B"/>
    <w:rsid w:val="731B1CF0"/>
    <w:rsid w:val="733F2DCF"/>
    <w:rsid w:val="734A7F96"/>
    <w:rsid w:val="737645A0"/>
    <w:rsid w:val="738F73E0"/>
    <w:rsid w:val="73B3D43E"/>
    <w:rsid w:val="73B7CB00"/>
    <w:rsid w:val="73C325AB"/>
    <w:rsid w:val="73EE7993"/>
    <w:rsid w:val="73F36401"/>
    <w:rsid w:val="73F7575D"/>
    <w:rsid w:val="73FF5A27"/>
    <w:rsid w:val="747F05F4"/>
    <w:rsid w:val="74CCF551"/>
    <w:rsid w:val="74F3E3AF"/>
    <w:rsid w:val="75A2D0D0"/>
    <w:rsid w:val="75DBA663"/>
    <w:rsid w:val="75FDC65C"/>
    <w:rsid w:val="75FF26F0"/>
    <w:rsid w:val="762D3D6A"/>
    <w:rsid w:val="76578ACB"/>
    <w:rsid w:val="767BAF7C"/>
    <w:rsid w:val="768DA022"/>
    <w:rsid w:val="76B7C0B2"/>
    <w:rsid w:val="76BFE395"/>
    <w:rsid w:val="76D5DDFC"/>
    <w:rsid w:val="76D7A38A"/>
    <w:rsid w:val="76DF3DAE"/>
    <w:rsid w:val="76EF478D"/>
    <w:rsid w:val="76F9EC31"/>
    <w:rsid w:val="76FFCFAE"/>
    <w:rsid w:val="76FFD3C5"/>
    <w:rsid w:val="773D840A"/>
    <w:rsid w:val="77516684"/>
    <w:rsid w:val="7765B350"/>
    <w:rsid w:val="776AACE8"/>
    <w:rsid w:val="77969FDA"/>
    <w:rsid w:val="77A86FC8"/>
    <w:rsid w:val="77BA3AFC"/>
    <w:rsid w:val="77D75418"/>
    <w:rsid w:val="77DD4E03"/>
    <w:rsid w:val="77DFE1DE"/>
    <w:rsid w:val="79BAA391"/>
    <w:rsid w:val="79CFC5A5"/>
    <w:rsid w:val="79DFBD54"/>
    <w:rsid w:val="79E72599"/>
    <w:rsid w:val="79E75CBF"/>
    <w:rsid w:val="79EB3324"/>
    <w:rsid w:val="79EE2948"/>
    <w:rsid w:val="79F546DF"/>
    <w:rsid w:val="79FDC7B1"/>
    <w:rsid w:val="79FEBDC5"/>
    <w:rsid w:val="7A3BBE3A"/>
    <w:rsid w:val="7AB78374"/>
    <w:rsid w:val="7ABBBFA2"/>
    <w:rsid w:val="7ABF995E"/>
    <w:rsid w:val="7ADC6C1B"/>
    <w:rsid w:val="7ADF1E52"/>
    <w:rsid w:val="7AF7C1F9"/>
    <w:rsid w:val="7AFB6699"/>
    <w:rsid w:val="7AFD08AD"/>
    <w:rsid w:val="7AFD58D4"/>
    <w:rsid w:val="7B5FC273"/>
    <w:rsid w:val="7B7F82B5"/>
    <w:rsid w:val="7B7F93F3"/>
    <w:rsid w:val="7B813C3B"/>
    <w:rsid w:val="7B9BB146"/>
    <w:rsid w:val="7BBEEE5A"/>
    <w:rsid w:val="7BBF2C0F"/>
    <w:rsid w:val="7BCEBCCB"/>
    <w:rsid w:val="7BD8EA8D"/>
    <w:rsid w:val="7BDF7DB8"/>
    <w:rsid w:val="7BE57DCD"/>
    <w:rsid w:val="7BE740F8"/>
    <w:rsid w:val="7BEF280A"/>
    <w:rsid w:val="7BEF4CEA"/>
    <w:rsid w:val="7BEF7DD7"/>
    <w:rsid w:val="7BF2DAA0"/>
    <w:rsid w:val="7BF69C19"/>
    <w:rsid w:val="7BF75238"/>
    <w:rsid w:val="7BF7A67E"/>
    <w:rsid w:val="7BFB0465"/>
    <w:rsid w:val="7BFCB572"/>
    <w:rsid w:val="7BFD5248"/>
    <w:rsid w:val="7BFDE969"/>
    <w:rsid w:val="7BFF2EEC"/>
    <w:rsid w:val="7BFFD1A4"/>
    <w:rsid w:val="7C2FB89F"/>
    <w:rsid w:val="7C5D1D03"/>
    <w:rsid w:val="7C6F9ABE"/>
    <w:rsid w:val="7CB27C10"/>
    <w:rsid w:val="7CB7626A"/>
    <w:rsid w:val="7CE4D236"/>
    <w:rsid w:val="7CE7BF34"/>
    <w:rsid w:val="7CEF2715"/>
    <w:rsid w:val="7CF3A252"/>
    <w:rsid w:val="7CFCAECA"/>
    <w:rsid w:val="7CFF81DF"/>
    <w:rsid w:val="7CFFA9D3"/>
    <w:rsid w:val="7D3E310F"/>
    <w:rsid w:val="7D58A109"/>
    <w:rsid w:val="7D776ADE"/>
    <w:rsid w:val="7D7F3108"/>
    <w:rsid w:val="7D7F703D"/>
    <w:rsid w:val="7D868174"/>
    <w:rsid w:val="7D93AC3F"/>
    <w:rsid w:val="7D9E36B4"/>
    <w:rsid w:val="7DAF8A25"/>
    <w:rsid w:val="7DB75474"/>
    <w:rsid w:val="7DB860DF"/>
    <w:rsid w:val="7DCD35DB"/>
    <w:rsid w:val="7DD7E2B3"/>
    <w:rsid w:val="7DDA5527"/>
    <w:rsid w:val="7DDF9B29"/>
    <w:rsid w:val="7DE719CD"/>
    <w:rsid w:val="7DE80623"/>
    <w:rsid w:val="7DEBACB4"/>
    <w:rsid w:val="7DEFEDB3"/>
    <w:rsid w:val="7DF39C4F"/>
    <w:rsid w:val="7DFA6070"/>
    <w:rsid w:val="7DFB7F8C"/>
    <w:rsid w:val="7DFF91A6"/>
    <w:rsid w:val="7DFFC4DD"/>
    <w:rsid w:val="7DFFDF3C"/>
    <w:rsid w:val="7E2FC1A4"/>
    <w:rsid w:val="7E3F3F56"/>
    <w:rsid w:val="7E5AF30B"/>
    <w:rsid w:val="7E5FC7FA"/>
    <w:rsid w:val="7E673E3F"/>
    <w:rsid w:val="7E7B9F73"/>
    <w:rsid w:val="7E7DB0C2"/>
    <w:rsid w:val="7E7FFA3C"/>
    <w:rsid w:val="7E8D7197"/>
    <w:rsid w:val="7E965A18"/>
    <w:rsid w:val="7EBAE26D"/>
    <w:rsid w:val="7ECF63A7"/>
    <w:rsid w:val="7ED94B9E"/>
    <w:rsid w:val="7EDF258A"/>
    <w:rsid w:val="7EDF735B"/>
    <w:rsid w:val="7EF7F2E8"/>
    <w:rsid w:val="7EFB247E"/>
    <w:rsid w:val="7EFB2E7A"/>
    <w:rsid w:val="7EFBFE3F"/>
    <w:rsid w:val="7EFC3B90"/>
    <w:rsid w:val="7EFDE7FC"/>
    <w:rsid w:val="7F1F5A9A"/>
    <w:rsid w:val="7F3DD869"/>
    <w:rsid w:val="7F3F01D0"/>
    <w:rsid w:val="7F4F795D"/>
    <w:rsid w:val="7F4FA682"/>
    <w:rsid w:val="7F53A00C"/>
    <w:rsid w:val="7F6ABA2E"/>
    <w:rsid w:val="7F6E09AE"/>
    <w:rsid w:val="7F6F2520"/>
    <w:rsid w:val="7F73DE73"/>
    <w:rsid w:val="7F771E03"/>
    <w:rsid w:val="7F77E9CC"/>
    <w:rsid w:val="7F77F809"/>
    <w:rsid w:val="7F7F1829"/>
    <w:rsid w:val="7F7FC007"/>
    <w:rsid w:val="7F86CAD2"/>
    <w:rsid w:val="7F87E4B3"/>
    <w:rsid w:val="7F93A6DE"/>
    <w:rsid w:val="7F976D35"/>
    <w:rsid w:val="7F9B25E5"/>
    <w:rsid w:val="7F9D1BC8"/>
    <w:rsid w:val="7F9F2775"/>
    <w:rsid w:val="7F9FDD16"/>
    <w:rsid w:val="7FAB2F00"/>
    <w:rsid w:val="7FB30FD7"/>
    <w:rsid w:val="7FB429E2"/>
    <w:rsid w:val="7FB6D507"/>
    <w:rsid w:val="7FB7115E"/>
    <w:rsid w:val="7FBD2B2B"/>
    <w:rsid w:val="7FBD8222"/>
    <w:rsid w:val="7FBE2955"/>
    <w:rsid w:val="7FBE501F"/>
    <w:rsid w:val="7FBE75CC"/>
    <w:rsid w:val="7FC6E220"/>
    <w:rsid w:val="7FC70FDA"/>
    <w:rsid w:val="7FCDD103"/>
    <w:rsid w:val="7FCF49D6"/>
    <w:rsid w:val="7FD47D5B"/>
    <w:rsid w:val="7FD6F7E7"/>
    <w:rsid w:val="7FDB7307"/>
    <w:rsid w:val="7FDBBF5D"/>
    <w:rsid w:val="7FDF2C25"/>
    <w:rsid w:val="7FDF47C6"/>
    <w:rsid w:val="7FDFBC99"/>
    <w:rsid w:val="7FDFD8D4"/>
    <w:rsid w:val="7FE3B113"/>
    <w:rsid w:val="7FEFD6FA"/>
    <w:rsid w:val="7FF794CA"/>
    <w:rsid w:val="7FF8AA5C"/>
    <w:rsid w:val="7FF96FA5"/>
    <w:rsid w:val="7FF99B81"/>
    <w:rsid w:val="7FFB3C26"/>
    <w:rsid w:val="7FFB9199"/>
    <w:rsid w:val="7FFD1FDB"/>
    <w:rsid w:val="7FFDF047"/>
    <w:rsid w:val="7FFE079F"/>
    <w:rsid w:val="7FFEFC0C"/>
    <w:rsid w:val="7FFF2629"/>
    <w:rsid w:val="7FFF38D0"/>
    <w:rsid w:val="7FFF55D5"/>
    <w:rsid w:val="7FFF567E"/>
    <w:rsid w:val="7FFFDD60"/>
    <w:rsid w:val="7FFFEC30"/>
    <w:rsid w:val="85BF0603"/>
    <w:rsid w:val="867F1B77"/>
    <w:rsid w:val="877FCE60"/>
    <w:rsid w:val="8BFB8A6B"/>
    <w:rsid w:val="8BFFBE2F"/>
    <w:rsid w:val="8D1FCD19"/>
    <w:rsid w:val="8DFF0840"/>
    <w:rsid w:val="8EE437EB"/>
    <w:rsid w:val="8EFF624B"/>
    <w:rsid w:val="8F3BC8F1"/>
    <w:rsid w:val="907742C2"/>
    <w:rsid w:val="92574544"/>
    <w:rsid w:val="94F859D4"/>
    <w:rsid w:val="97F55909"/>
    <w:rsid w:val="98F7BF19"/>
    <w:rsid w:val="997EC0AD"/>
    <w:rsid w:val="9BDFDE82"/>
    <w:rsid w:val="9BFFB1A5"/>
    <w:rsid w:val="9CFF24F8"/>
    <w:rsid w:val="9DBFD3EC"/>
    <w:rsid w:val="9EDF7F16"/>
    <w:rsid w:val="9EF73303"/>
    <w:rsid w:val="9EFB3784"/>
    <w:rsid w:val="9EFF63F4"/>
    <w:rsid w:val="9F3FC403"/>
    <w:rsid w:val="9F5F54A6"/>
    <w:rsid w:val="9FBE2629"/>
    <w:rsid w:val="9FCFC5A9"/>
    <w:rsid w:val="9FD63416"/>
    <w:rsid w:val="9FDFD840"/>
    <w:rsid w:val="9FF3F569"/>
    <w:rsid w:val="A3E924D8"/>
    <w:rsid w:val="A4715085"/>
    <w:rsid w:val="A587401F"/>
    <w:rsid w:val="A76D4375"/>
    <w:rsid w:val="A93B14AC"/>
    <w:rsid w:val="ABD7D7B0"/>
    <w:rsid w:val="ABFB0173"/>
    <w:rsid w:val="AC837A8F"/>
    <w:rsid w:val="AD5C8678"/>
    <w:rsid w:val="ADB77B5F"/>
    <w:rsid w:val="AE3B8CFE"/>
    <w:rsid w:val="AE77FE5C"/>
    <w:rsid w:val="AE8F0859"/>
    <w:rsid w:val="AEB3DB06"/>
    <w:rsid w:val="AEC7935A"/>
    <w:rsid w:val="AEDF1FD7"/>
    <w:rsid w:val="AF9F1B9A"/>
    <w:rsid w:val="AFDE4DA2"/>
    <w:rsid w:val="AFEF3A82"/>
    <w:rsid w:val="AFEF8474"/>
    <w:rsid w:val="AFF3FB19"/>
    <w:rsid w:val="B35F34AC"/>
    <w:rsid w:val="B37BB8F8"/>
    <w:rsid w:val="B3BFB8AE"/>
    <w:rsid w:val="B3EF17F3"/>
    <w:rsid w:val="B55DEF84"/>
    <w:rsid w:val="B57E1A9B"/>
    <w:rsid w:val="B5EA6CD6"/>
    <w:rsid w:val="B5EF1CC5"/>
    <w:rsid w:val="B6C687FD"/>
    <w:rsid w:val="B72F9F43"/>
    <w:rsid w:val="B735BB24"/>
    <w:rsid w:val="B76B4521"/>
    <w:rsid w:val="B77F6027"/>
    <w:rsid w:val="B7BC7EAC"/>
    <w:rsid w:val="B7BFEBC8"/>
    <w:rsid w:val="B7CCCA2A"/>
    <w:rsid w:val="B7DC19DE"/>
    <w:rsid w:val="B7ED669D"/>
    <w:rsid w:val="B7F9D7AA"/>
    <w:rsid w:val="B7FB5E73"/>
    <w:rsid w:val="B7FEC0B6"/>
    <w:rsid w:val="B9E7036A"/>
    <w:rsid w:val="B9EC93DF"/>
    <w:rsid w:val="B9F93AEF"/>
    <w:rsid w:val="B9FF8643"/>
    <w:rsid w:val="BAC68CE9"/>
    <w:rsid w:val="BAF930C9"/>
    <w:rsid w:val="BB1BE056"/>
    <w:rsid w:val="BB4F33C3"/>
    <w:rsid w:val="BB77DAE9"/>
    <w:rsid w:val="BB9B7125"/>
    <w:rsid w:val="BBAEF0A5"/>
    <w:rsid w:val="BBB70081"/>
    <w:rsid w:val="BBBFDD75"/>
    <w:rsid w:val="BBC74401"/>
    <w:rsid w:val="BBD7FD46"/>
    <w:rsid w:val="BBDC3160"/>
    <w:rsid w:val="BBF78540"/>
    <w:rsid w:val="BBF989C8"/>
    <w:rsid w:val="BBFFF7A4"/>
    <w:rsid w:val="BC3938BD"/>
    <w:rsid w:val="BC9F1BE9"/>
    <w:rsid w:val="BCFFE67E"/>
    <w:rsid w:val="BD776F9E"/>
    <w:rsid w:val="BD7D0556"/>
    <w:rsid w:val="BD9D78BD"/>
    <w:rsid w:val="BDFE30EF"/>
    <w:rsid w:val="BDFF4CF7"/>
    <w:rsid w:val="BE59C88C"/>
    <w:rsid w:val="BEBF4747"/>
    <w:rsid w:val="BED70C97"/>
    <w:rsid w:val="BED764ED"/>
    <w:rsid w:val="BEDFA9B0"/>
    <w:rsid w:val="BEEDC301"/>
    <w:rsid w:val="BEFD5E60"/>
    <w:rsid w:val="BEFE92FB"/>
    <w:rsid w:val="BF4D642F"/>
    <w:rsid w:val="BF5B77E2"/>
    <w:rsid w:val="BF6E0230"/>
    <w:rsid w:val="BF7397FA"/>
    <w:rsid w:val="BF7F8914"/>
    <w:rsid w:val="BF7FC6F0"/>
    <w:rsid w:val="BF7FE1F0"/>
    <w:rsid w:val="BF9ED1A8"/>
    <w:rsid w:val="BFCFFB44"/>
    <w:rsid w:val="BFDB41BC"/>
    <w:rsid w:val="BFDB92FA"/>
    <w:rsid w:val="BFDE3394"/>
    <w:rsid w:val="BFDF237C"/>
    <w:rsid w:val="BFE99965"/>
    <w:rsid w:val="BFEBA9E3"/>
    <w:rsid w:val="BFEE7EC0"/>
    <w:rsid w:val="BFF5AE3E"/>
    <w:rsid w:val="BFFF7EFC"/>
    <w:rsid w:val="C0FCC864"/>
    <w:rsid w:val="C3B71E67"/>
    <w:rsid w:val="C4DE1D5C"/>
    <w:rsid w:val="C5FFE83E"/>
    <w:rsid w:val="C77B1EAC"/>
    <w:rsid w:val="C77FDE15"/>
    <w:rsid w:val="C7E8D170"/>
    <w:rsid w:val="C7FA6589"/>
    <w:rsid w:val="C7FF8CC7"/>
    <w:rsid w:val="CA1CE78A"/>
    <w:rsid w:val="CADB90AC"/>
    <w:rsid w:val="CBBF8ACE"/>
    <w:rsid w:val="CDF25D1C"/>
    <w:rsid w:val="CDF7D458"/>
    <w:rsid w:val="CDFF7C4F"/>
    <w:rsid w:val="CE4A6F8A"/>
    <w:rsid w:val="CE8FEEC7"/>
    <w:rsid w:val="CEBB0B53"/>
    <w:rsid w:val="CEDF0D4D"/>
    <w:rsid w:val="CEDF8CD2"/>
    <w:rsid w:val="CEED46BA"/>
    <w:rsid w:val="CEFFF151"/>
    <w:rsid w:val="CF1D1D1D"/>
    <w:rsid w:val="CF4D6D6A"/>
    <w:rsid w:val="CF6EC9B9"/>
    <w:rsid w:val="CF9E7CAE"/>
    <w:rsid w:val="CFBED45E"/>
    <w:rsid w:val="CFCAA609"/>
    <w:rsid w:val="CFE7AA8B"/>
    <w:rsid w:val="CFEF226D"/>
    <w:rsid w:val="CFF1635B"/>
    <w:rsid w:val="CFF701B3"/>
    <w:rsid w:val="D23F6EFA"/>
    <w:rsid w:val="D2F514E1"/>
    <w:rsid w:val="D2FF7CBC"/>
    <w:rsid w:val="D36B5173"/>
    <w:rsid w:val="D36E08DC"/>
    <w:rsid w:val="D36F30E6"/>
    <w:rsid w:val="D3D04615"/>
    <w:rsid w:val="D3DBE6B0"/>
    <w:rsid w:val="D3E35E77"/>
    <w:rsid w:val="D3FF84B4"/>
    <w:rsid w:val="D43758C7"/>
    <w:rsid w:val="D46D1017"/>
    <w:rsid w:val="D46FF12C"/>
    <w:rsid w:val="D4AF9B09"/>
    <w:rsid w:val="D57A6895"/>
    <w:rsid w:val="D5FEC203"/>
    <w:rsid w:val="D6FA941C"/>
    <w:rsid w:val="D75E9157"/>
    <w:rsid w:val="D75F1315"/>
    <w:rsid w:val="D77E3C40"/>
    <w:rsid w:val="D7A725B3"/>
    <w:rsid w:val="D979BB54"/>
    <w:rsid w:val="D97B29BC"/>
    <w:rsid w:val="D9BFDEFF"/>
    <w:rsid w:val="D9EDFD26"/>
    <w:rsid w:val="D9FBF8ED"/>
    <w:rsid w:val="DA7ED553"/>
    <w:rsid w:val="DA9701C5"/>
    <w:rsid w:val="DAFDEFA6"/>
    <w:rsid w:val="DAFE61CC"/>
    <w:rsid w:val="DB5F23F6"/>
    <w:rsid w:val="DB8FF6A2"/>
    <w:rsid w:val="DBBF71EE"/>
    <w:rsid w:val="DBDD9204"/>
    <w:rsid w:val="DC5BFCB0"/>
    <w:rsid w:val="DCDF8CAA"/>
    <w:rsid w:val="DD674B0E"/>
    <w:rsid w:val="DDCD7D16"/>
    <w:rsid w:val="DDE52111"/>
    <w:rsid w:val="DDF3D310"/>
    <w:rsid w:val="DDF6EFDA"/>
    <w:rsid w:val="DE7FBEB5"/>
    <w:rsid w:val="DEBB9F41"/>
    <w:rsid w:val="DEDFA12F"/>
    <w:rsid w:val="DEFA4BC4"/>
    <w:rsid w:val="DEFB5179"/>
    <w:rsid w:val="DEFBF1B8"/>
    <w:rsid w:val="DEFE08DC"/>
    <w:rsid w:val="DF2E6BA7"/>
    <w:rsid w:val="DF3394C1"/>
    <w:rsid w:val="DF3E62C7"/>
    <w:rsid w:val="DF690C6A"/>
    <w:rsid w:val="DF7A8ED7"/>
    <w:rsid w:val="DF7E2B4B"/>
    <w:rsid w:val="DF7EC161"/>
    <w:rsid w:val="DF7FFC30"/>
    <w:rsid w:val="DF9B647A"/>
    <w:rsid w:val="DFA9EB3D"/>
    <w:rsid w:val="DFABE3E8"/>
    <w:rsid w:val="DFADB350"/>
    <w:rsid w:val="DFBD0C7B"/>
    <w:rsid w:val="DFBF2973"/>
    <w:rsid w:val="DFBF7AB4"/>
    <w:rsid w:val="DFDB9BA5"/>
    <w:rsid w:val="DFEB3BA2"/>
    <w:rsid w:val="DFEE27BF"/>
    <w:rsid w:val="DFEE6893"/>
    <w:rsid w:val="DFFA3F35"/>
    <w:rsid w:val="DFFB128D"/>
    <w:rsid w:val="DFFB13E9"/>
    <w:rsid w:val="DFFB22D9"/>
    <w:rsid w:val="DFFD5752"/>
    <w:rsid w:val="DFFEC90B"/>
    <w:rsid w:val="DFFF2490"/>
    <w:rsid w:val="DFFFD46F"/>
    <w:rsid w:val="E1BE9F91"/>
    <w:rsid w:val="E1BEA377"/>
    <w:rsid w:val="E1BFA73D"/>
    <w:rsid w:val="E1FFB742"/>
    <w:rsid w:val="E2BEF14E"/>
    <w:rsid w:val="E39372F9"/>
    <w:rsid w:val="E3ABBDF4"/>
    <w:rsid w:val="E3FFC756"/>
    <w:rsid w:val="E4BF57AF"/>
    <w:rsid w:val="E4FF0781"/>
    <w:rsid w:val="E5FFE53F"/>
    <w:rsid w:val="E6DCD82C"/>
    <w:rsid w:val="E6FF0A35"/>
    <w:rsid w:val="E6FFEE96"/>
    <w:rsid w:val="E6FFF434"/>
    <w:rsid w:val="E7DBB610"/>
    <w:rsid w:val="E7E572E9"/>
    <w:rsid w:val="E7FD3D21"/>
    <w:rsid w:val="E7FF9D66"/>
    <w:rsid w:val="E93F74C2"/>
    <w:rsid w:val="E9ABF729"/>
    <w:rsid w:val="E9FFDBAB"/>
    <w:rsid w:val="EAB71DA6"/>
    <w:rsid w:val="EB4F4F6C"/>
    <w:rsid w:val="EBAFB9A8"/>
    <w:rsid w:val="EBF28F63"/>
    <w:rsid w:val="EBF7AF7D"/>
    <w:rsid w:val="EBFDC4BD"/>
    <w:rsid w:val="ECBFAFF2"/>
    <w:rsid w:val="ECEF70DB"/>
    <w:rsid w:val="ED7ABB33"/>
    <w:rsid w:val="EDBD5991"/>
    <w:rsid w:val="EDDF9381"/>
    <w:rsid w:val="EDE7EBCC"/>
    <w:rsid w:val="EDECA4BA"/>
    <w:rsid w:val="EDFF6566"/>
    <w:rsid w:val="EDFFBFEA"/>
    <w:rsid w:val="EE364C5C"/>
    <w:rsid w:val="EEB88EA5"/>
    <w:rsid w:val="EEEF5DA3"/>
    <w:rsid w:val="EEF36431"/>
    <w:rsid w:val="EEFB6383"/>
    <w:rsid w:val="EEFDB412"/>
    <w:rsid w:val="EEFEA639"/>
    <w:rsid w:val="EEFF444E"/>
    <w:rsid w:val="EF37615A"/>
    <w:rsid w:val="EF3E6596"/>
    <w:rsid w:val="EF6BEDFA"/>
    <w:rsid w:val="EF6EAF19"/>
    <w:rsid w:val="EF7CB67A"/>
    <w:rsid w:val="EF9D424E"/>
    <w:rsid w:val="EFABFAF1"/>
    <w:rsid w:val="EFB76928"/>
    <w:rsid w:val="EFB7B8F1"/>
    <w:rsid w:val="EFBBF863"/>
    <w:rsid w:val="EFCFA1DE"/>
    <w:rsid w:val="EFDF2F17"/>
    <w:rsid w:val="EFDF39F8"/>
    <w:rsid w:val="EFDFC487"/>
    <w:rsid w:val="EFEECA37"/>
    <w:rsid w:val="EFF48C13"/>
    <w:rsid w:val="EFF78BFB"/>
    <w:rsid w:val="EFF9D268"/>
    <w:rsid w:val="EFFB72A1"/>
    <w:rsid w:val="EFFC9ED9"/>
    <w:rsid w:val="EFFE62DB"/>
    <w:rsid w:val="EFFE7745"/>
    <w:rsid w:val="EFFF36A8"/>
    <w:rsid w:val="EFFFA126"/>
    <w:rsid w:val="F1EC58A2"/>
    <w:rsid w:val="F1FEFE44"/>
    <w:rsid w:val="F2F53C62"/>
    <w:rsid w:val="F2F7674C"/>
    <w:rsid w:val="F2FF1B65"/>
    <w:rsid w:val="F37FDD89"/>
    <w:rsid w:val="F3A9D428"/>
    <w:rsid w:val="F3AB1FBA"/>
    <w:rsid w:val="F3D3B812"/>
    <w:rsid w:val="F3DE63E9"/>
    <w:rsid w:val="F3DF9811"/>
    <w:rsid w:val="F3EF2B18"/>
    <w:rsid w:val="F4C79FED"/>
    <w:rsid w:val="F55F8B49"/>
    <w:rsid w:val="F5DAD524"/>
    <w:rsid w:val="F5F64CA8"/>
    <w:rsid w:val="F5F79647"/>
    <w:rsid w:val="F5FA15B4"/>
    <w:rsid w:val="F5FE4602"/>
    <w:rsid w:val="F63523F9"/>
    <w:rsid w:val="F6658E8E"/>
    <w:rsid w:val="F673C294"/>
    <w:rsid w:val="F67BEDD4"/>
    <w:rsid w:val="F67D7A29"/>
    <w:rsid w:val="F697FDE0"/>
    <w:rsid w:val="F69BC179"/>
    <w:rsid w:val="F6EF5277"/>
    <w:rsid w:val="F6F25747"/>
    <w:rsid w:val="F6FB27A8"/>
    <w:rsid w:val="F7231C1E"/>
    <w:rsid w:val="F73FB398"/>
    <w:rsid w:val="F76FAD58"/>
    <w:rsid w:val="F7742FC4"/>
    <w:rsid w:val="F77FEEA6"/>
    <w:rsid w:val="F79BA33C"/>
    <w:rsid w:val="F7B8C344"/>
    <w:rsid w:val="F7BD364C"/>
    <w:rsid w:val="F7BDB33B"/>
    <w:rsid w:val="F7BF539D"/>
    <w:rsid w:val="F7DB7757"/>
    <w:rsid w:val="F7DE9305"/>
    <w:rsid w:val="F7E9C084"/>
    <w:rsid w:val="F7EC504F"/>
    <w:rsid w:val="F7FCC18E"/>
    <w:rsid w:val="F7FD5797"/>
    <w:rsid w:val="F7FD8A8C"/>
    <w:rsid w:val="F7FEEF66"/>
    <w:rsid w:val="F7FF5FB8"/>
    <w:rsid w:val="F7FFDE8A"/>
    <w:rsid w:val="F8DE0A79"/>
    <w:rsid w:val="F8DEACEF"/>
    <w:rsid w:val="F8E6D2A2"/>
    <w:rsid w:val="F95E1A58"/>
    <w:rsid w:val="F9779403"/>
    <w:rsid w:val="F97FEDDE"/>
    <w:rsid w:val="F99F46C9"/>
    <w:rsid w:val="F9D10AFC"/>
    <w:rsid w:val="F9D7FE8F"/>
    <w:rsid w:val="F9DF8B10"/>
    <w:rsid w:val="F9F6E8F8"/>
    <w:rsid w:val="F9FE9C8B"/>
    <w:rsid w:val="FA5BC059"/>
    <w:rsid w:val="FA5BFD34"/>
    <w:rsid w:val="FAD798B3"/>
    <w:rsid w:val="FAF7EB18"/>
    <w:rsid w:val="FAF9BE81"/>
    <w:rsid w:val="FAFDBE36"/>
    <w:rsid w:val="FB19165B"/>
    <w:rsid w:val="FB2DB9D3"/>
    <w:rsid w:val="FB3F6D4C"/>
    <w:rsid w:val="FB6E9F0E"/>
    <w:rsid w:val="FB7C2B7E"/>
    <w:rsid w:val="FB8E1683"/>
    <w:rsid w:val="FBADCD1E"/>
    <w:rsid w:val="FBBDBB36"/>
    <w:rsid w:val="FBBEB537"/>
    <w:rsid w:val="FBBF4F72"/>
    <w:rsid w:val="FBD3062F"/>
    <w:rsid w:val="FBD566B7"/>
    <w:rsid w:val="FBD9693C"/>
    <w:rsid w:val="FBEB80B5"/>
    <w:rsid w:val="FBF353CC"/>
    <w:rsid w:val="FBF7FC2B"/>
    <w:rsid w:val="FBF953E3"/>
    <w:rsid w:val="FBFE076E"/>
    <w:rsid w:val="FBFF9592"/>
    <w:rsid w:val="FBFFF4A8"/>
    <w:rsid w:val="FC178C93"/>
    <w:rsid w:val="FC3D8D2B"/>
    <w:rsid w:val="FCBF2AF0"/>
    <w:rsid w:val="FCBF46BC"/>
    <w:rsid w:val="FCDD29BA"/>
    <w:rsid w:val="FCDFF000"/>
    <w:rsid w:val="FCEB32D2"/>
    <w:rsid w:val="FCEFAA5F"/>
    <w:rsid w:val="FD362CF3"/>
    <w:rsid w:val="FD7F3F63"/>
    <w:rsid w:val="FD7F9808"/>
    <w:rsid w:val="FD7FD717"/>
    <w:rsid w:val="FDB63E5A"/>
    <w:rsid w:val="FDEA5DE5"/>
    <w:rsid w:val="FDF3C9BA"/>
    <w:rsid w:val="FDF54665"/>
    <w:rsid w:val="FDF5ED76"/>
    <w:rsid w:val="FDF97CD4"/>
    <w:rsid w:val="FDFBCF70"/>
    <w:rsid w:val="FDFEC99D"/>
    <w:rsid w:val="FDFF150E"/>
    <w:rsid w:val="FDFF8B4D"/>
    <w:rsid w:val="FDFFA7DC"/>
    <w:rsid w:val="FDFFE5B9"/>
    <w:rsid w:val="FDFFEE72"/>
    <w:rsid w:val="FE120940"/>
    <w:rsid w:val="FE2DACBE"/>
    <w:rsid w:val="FE5F3702"/>
    <w:rsid w:val="FE73067C"/>
    <w:rsid w:val="FE7D0423"/>
    <w:rsid w:val="FE7E0554"/>
    <w:rsid w:val="FE7FB62B"/>
    <w:rsid w:val="FE9704BA"/>
    <w:rsid w:val="FE9F5691"/>
    <w:rsid w:val="FEAF12FF"/>
    <w:rsid w:val="FECB2967"/>
    <w:rsid w:val="FEDBAB3C"/>
    <w:rsid w:val="FEE3F601"/>
    <w:rsid w:val="FEEEF5D1"/>
    <w:rsid w:val="FEFDA22E"/>
    <w:rsid w:val="FEFF635E"/>
    <w:rsid w:val="FF0E2BA3"/>
    <w:rsid w:val="FF1B9663"/>
    <w:rsid w:val="FF1FD98E"/>
    <w:rsid w:val="FF31FD63"/>
    <w:rsid w:val="FF3B4F38"/>
    <w:rsid w:val="FF3C04DF"/>
    <w:rsid w:val="FF4FA25E"/>
    <w:rsid w:val="FF570E7A"/>
    <w:rsid w:val="FF5F59F3"/>
    <w:rsid w:val="FF6723C4"/>
    <w:rsid w:val="FF6BB978"/>
    <w:rsid w:val="FF6DDA41"/>
    <w:rsid w:val="FF6FD7F8"/>
    <w:rsid w:val="FF747AAF"/>
    <w:rsid w:val="FF750527"/>
    <w:rsid w:val="FF7573F2"/>
    <w:rsid w:val="FF7BD2A9"/>
    <w:rsid w:val="FF7D971C"/>
    <w:rsid w:val="FF7FB30C"/>
    <w:rsid w:val="FF7FEFAE"/>
    <w:rsid w:val="FF7FF462"/>
    <w:rsid w:val="FF8B00BD"/>
    <w:rsid w:val="FF8DC0B2"/>
    <w:rsid w:val="FF8F5C27"/>
    <w:rsid w:val="FF9F3079"/>
    <w:rsid w:val="FF9F63A6"/>
    <w:rsid w:val="FFA10517"/>
    <w:rsid w:val="FFAB9C41"/>
    <w:rsid w:val="FFBB380B"/>
    <w:rsid w:val="FFBBC5DC"/>
    <w:rsid w:val="FFBBF217"/>
    <w:rsid w:val="FFBD0B48"/>
    <w:rsid w:val="FFBD18F3"/>
    <w:rsid w:val="FFBD9D1D"/>
    <w:rsid w:val="FFBDEC1B"/>
    <w:rsid w:val="FFBF5071"/>
    <w:rsid w:val="FFCB2F00"/>
    <w:rsid w:val="FFCC67CC"/>
    <w:rsid w:val="FFCD2F9A"/>
    <w:rsid w:val="FFDB5C6F"/>
    <w:rsid w:val="FFDBD1F5"/>
    <w:rsid w:val="FFDE8573"/>
    <w:rsid w:val="FFDF3A6D"/>
    <w:rsid w:val="FFE3AD07"/>
    <w:rsid w:val="FFE9724C"/>
    <w:rsid w:val="FFEB0AA4"/>
    <w:rsid w:val="FFEF1CF4"/>
    <w:rsid w:val="FFF2620D"/>
    <w:rsid w:val="FFF54C88"/>
    <w:rsid w:val="FFF5899B"/>
    <w:rsid w:val="FFF5C438"/>
    <w:rsid w:val="FFF73F83"/>
    <w:rsid w:val="FFF76232"/>
    <w:rsid w:val="FFF76D3D"/>
    <w:rsid w:val="FFF7762F"/>
    <w:rsid w:val="FFF92660"/>
    <w:rsid w:val="FFFB9355"/>
    <w:rsid w:val="FFFBA1FB"/>
    <w:rsid w:val="FFFC6E90"/>
    <w:rsid w:val="FFFD32CA"/>
    <w:rsid w:val="FFFD9347"/>
    <w:rsid w:val="FFFDC276"/>
    <w:rsid w:val="FFFDC718"/>
    <w:rsid w:val="FFFDEA71"/>
    <w:rsid w:val="FFFF133A"/>
    <w:rsid w:val="FFFF2A5F"/>
    <w:rsid w:val="FFFF34B6"/>
    <w:rsid w:val="FFFF52F2"/>
    <w:rsid w:val="FFFF6A8C"/>
    <w:rsid w:val="FFFF8F4E"/>
    <w:rsid w:val="FFFF96DB"/>
    <w:rsid w:val="FFFFB7C5"/>
    <w:rsid w:val="FFFFDD60"/>
    <w:rsid w:val="FFFFF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1044" w:firstLineChars="200"/>
      <w:jc w:val="both"/>
    </w:pPr>
    <w:rPr>
      <w:rFonts w:eastAsia="仿宋_GB2312" w:asciiTheme="minorHAnsi" w:hAnsiTheme="minorHAnsi" w:cstheme="minorBidi"/>
      <w:color w:val="000000" w:themeColor="text1"/>
      <w:kern w:val="2"/>
      <w:sz w:val="32"/>
      <w:szCs w:val="32"/>
      <w:lang w:val="en-US" w:eastAsia="zh-CN" w:bidi="ar-SA"/>
      <w14:textFill>
        <w14:solidFill>
          <w14:schemeClr w14:val="tx1"/>
        </w14:solidFill>
      </w14:textFill>
    </w:rPr>
  </w:style>
  <w:style w:type="paragraph" w:styleId="3">
    <w:name w:val="heading 1"/>
    <w:basedOn w:val="1"/>
    <w:next w:val="1"/>
    <w:link w:val="26"/>
    <w:qFormat/>
    <w:uiPriority w:val="9"/>
    <w:pPr>
      <w:keepNext/>
      <w:keepLines/>
      <w:spacing w:before="50" w:beforeLines="50" w:after="50" w:afterLines="50"/>
      <w:ind w:firstLine="0" w:firstLineChars="0"/>
      <w:jc w:val="center"/>
      <w:outlineLvl w:val="0"/>
    </w:pPr>
    <w:rPr>
      <w:rFonts w:eastAsia="方正小标宋简体" w:asciiTheme="majorHAnsi" w:hAnsiTheme="majorHAnsi" w:cstheme="majorBidi"/>
      <w:sz w:val="44"/>
      <w:szCs w:val="48"/>
      <w14:ligatures w14:val="standardContextual"/>
    </w:rPr>
  </w:style>
  <w:style w:type="paragraph" w:styleId="4">
    <w:name w:val="heading 2"/>
    <w:basedOn w:val="1"/>
    <w:next w:val="1"/>
    <w:link w:val="50"/>
    <w:unhideWhenUsed/>
    <w:qFormat/>
    <w:uiPriority w:val="9"/>
    <w:pPr>
      <w:keepNext/>
      <w:keepLines/>
      <w:jc w:val="left"/>
      <w:outlineLvl w:val="1"/>
    </w:pPr>
    <w:rPr>
      <w:rFonts w:eastAsia="黑体" w:asciiTheme="majorHAnsi" w:hAnsiTheme="majorHAnsi" w:cstheme="majorBidi"/>
      <w:szCs w:val="40"/>
      <w14:ligatures w14:val="standardContextual"/>
    </w:rPr>
  </w:style>
  <w:style w:type="paragraph" w:styleId="5">
    <w:name w:val="heading 3"/>
    <w:basedOn w:val="1"/>
    <w:next w:val="1"/>
    <w:link w:val="28"/>
    <w:unhideWhenUsed/>
    <w:qFormat/>
    <w:uiPriority w:val="9"/>
    <w:pPr>
      <w:keepNext/>
      <w:keepLines/>
      <w:jc w:val="left"/>
      <w:outlineLvl w:val="2"/>
    </w:pPr>
    <w:rPr>
      <w:rFonts w:eastAsia="楷体_GB2312" w:asciiTheme="majorHAnsi" w:hAnsiTheme="majorHAnsi" w:cstheme="majorBidi"/>
      <w14:ligatures w14:val="standardContextual"/>
    </w:rPr>
  </w:style>
  <w:style w:type="paragraph" w:styleId="6">
    <w:name w:val="heading 4"/>
    <w:basedOn w:val="1"/>
    <w:next w:val="1"/>
    <w:link w:val="29"/>
    <w:unhideWhenUsed/>
    <w:qFormat/>
    <w:uiPriority w:val="9"/>
    <w:pPr>
      <w:keepNext/>
      <w:keepLines/>
      <w:spacing w:before="80" w:after="40"/>
      <w:jc w:val="left"/>
      <w:outlineLvl w:val="3"/>
    </w:pPr>
    <w:rPr>
      <w:rFonts w:cstheme="majorBidi"/>
      <w:color w:val="104862" w:themeColor="accent1" w:themeShade="BF"/>
      <w:sz w:val="28"/>
      <w:szCs w:val="28"/>
      <w14:ligatures w14:val="standardContextual"/>
    </w:rPr>
  </w:style>
  <w:style w:type="paragraph" w:styleId="7">
    <w:name w:val="heading 5"/>
    <w:basedOn w:val="1"/>
    <w:next w:val="1"/>
    <w:link w:val="30"/>
    <w:unhideWhenUsed/>
    <w:qFormat/>
    <w:uiPriority w:val="9"/>
    <w:pPr>
      <w:keepNext/>
      <w:keepLines/>
      <w:spacing w:before="80" w:after="40"/>
      <w:jc w:val="left"/>
      <w:outlineLvl w:val="4"/>
    </w:pPr>
    <w:rPr>
      <w:rFonts w:cstheme="majorBidi"/>
      <w:color w:val="104862" w:themeColor="accent1" w:themeShade="BF"/>
      <w:sz w:val="24"/>
      <w14:ligatures w14:val="standardContextual"/>
    </w:rPr>
  </w:style>
  <w:style w:type="paragraph" w:styleId="8">
    <w:name w:val="heading 6"/>
    <w:basedOn w:val="1"/>
    <w:next w:val="1"/>
    <w:link w:val="31"/>
    <w:unhideWhenUsed/>
    <w:qFormat/>
    <w:uiPriority w:val="9"/>
    <w:pPr>
      <w:keepNext/>
      <w:keepLines/>
      <w:spacing w:before="40"/>
      <w:jc w:val="left"/>
      <w:outlineLvl w:val="5"/>
    </w:pPr>
    <w:rPr>
      <w:rFonts w:cstheme="majorBidi"/>
      <w:b/>
      <w:bCs/>
      <w:color w:val="104862" w:themeColor="accent1" w:themeShade="BF"/>
      <w:sz w:val="22"/>
      <w14:ligatures w14:val="standardContextual"/>
    </w:rPr>
  </w:style>
  <w:style w:type="paragraph" w:styleId="9">
    <w:name w:val="heading 7"/>
    <w:basedOn w:val="1"/>
    <w:next w:val="1"/>
    <w:link w:val="32"/>
    <w:unhideWhenUsed/>
    <w:qFormat/>
    <w:uiPriority w:val="9"/>
    <w:pPr>
      <w:keepNext/>
      <w:keepLines/>
      <w:spacing w:before="40"/>
      <w:jc w:val="left"/>
      <w:outlineLvl w:val="6"/>
    </w:pPr>
    <w:rPr>
      <w:rFonts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8"/>
    <w:basedOn w:val="1"/>
    <w:next w:val="1"/>
    <w:link w:val="33"/>
    <w:unhideWhenUsed/>
    <w:qFormat/>
    <w:uiPriority w:val="9"/>
    <w:pPr>
      <w:keepNext/>
      <w:keepLines/>
      <w:jc w:val="left"/>
      <w:outlineLvl w:val="7"/>
    </w:pPr>
    <w:rPr>
      <w:rFonts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1">
    <w:name w:val="heading 9"/>
    <w:basedOn w:val="1"/>
    <w:next w:val="1"/>
    <w:link w:val="34"/>
    <w:unhideWhenUsed/>
    <w:qFormat/>
    <w:uiPriority w:val="9"/>
    <w:pPr>
      <w:keepNext/>
      <w:keepLines/>
      <w:jc w:val="left"/>
      <w:outlineLvl w:val="8"/>
    </w:pPr>
    <w:rPr>
      <w:rFonts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link w:val="42"/>
    <w:unhideWhenUsed/>
    <w:qFormat/>
    <w:uiPriority w:val="99"/>
    <w:rPr>
      <w:rFonts w:hAnsi="Courier New" w:cs="Courier New" w:asciiTheme="minorEastAsia"/>
    </w:rPr>
  </w:style>
  <w:style w:type="paragraph" w:styleId="12">
    <w:name w:val="Normal Indent"/>
    <w:basedOn w:val="1"/>
    <w:unhideWhenUsed/>
    <w:qFormat/>
    <w:uiPriority w:val="99"/>
    <w:pPr>
      <w:ind w:firstLine="420"/>
      <w:jc w:val="left"/>
    </w:pPr>
    <w:rPr>
      <w:sz w:val="22"/>
      <w14:ligatures w14:val="standardContextual"/>
    </w:rPr>
  </w:style>
  <w:style w:type="paragraph" w:styleId="13">
    <w:name w:val="annotation text"/>
    <w:basedOn w:val="1"/>
    <w:unhideWhenUsed/>
    <w:qFormat/>
    <w:uiPriority w:val="99"/>
    <w:pPr>
      <w:jc w:val="left"/>
    </w:pPr>
  </w:style>
  <w:style w:type="paragraph" w:styleId="14">
    <w:name w:val="toc 3"/>
    <w:basedOn w:val="1"/>
    <w:next w:val="1"/>
    <w:link w:val="52"/>
    <w:unhideWhenUsed/>
    <w:qFormat/>
    <w:uiPriority w:val="39"/>
    <w:pPr>
      <w:ind w:left="840" w:leftChars="400"/>
    </w:pPr>
  </w:style>
  <w:style w:type="paragraph" w:styleId="15">
    <w:name w:val="footer"/>
    <w:basedOn w:val="1"/>
    <w:link w:val="44"/>
    <w:unhideWhenUsed/>
    <w:qFormat/>
    <w:uiPriority w:val="99"/>
    <w:pPr>
      <w:tabs>
        <w:tab w:val="center" w:pos="4153"/>
        <w:tab w:val="right" w:pos="8306"/>
      </w:tabs>
      <w:snapToGrid w:val="0"/>
      <w:spacing w:line="240" w:lineRule="auto"/>
      <w:jc w:val="left"/>
    </w:pPr>
    <w:rPr>
      <w:sz w:val="18"/>
      <w:szCs w:val="18"/>
    </w:rPr>
  </w:style>
  <w:style w:type="paragraph" w:styleId="16">
    <w:name w:val="header"/>
    <w:basedOn w:val="1"/>
    <w:link w:val="43"/>
    <w:unhideWhenUsed/>
    <w:qFormat/>
    <w:uiPriority w:val="99"/>
    <w:pPr>
      <w:tabs>
        <w:tab w:val="center" w:pos="4153"/>
        <w:tab w:val="right" w:pos="8306"/>
      </w:tabs>
      <w:snapToGrid w:val="0"/>
      <w:spacing w:line="240" w:lineRule="auto"/>
      <w:jc w:val="center"/>
    </w:pPr>
    <w:rPr>
      <w:sz w:val="18"/>
      <w:szCs w:val="18"/>
    </w:rPr>
  </w:style>
  <w:style w:type="paragraph" w:styleId="17">
    <w:name w:val="toc 1"/>
    <w:basedOn w:val="1"/>
    <w:next w:val="1"/>
    <w:unhideWhenUsed/>
    <w:qFormat/>
    <w:uiPriority w:val="39"/>
    <w:pPr>
      <w:tabs>
        <w:tab w:val="right" w:leader="dot" w:pos="8834"/>
      </w:tabs>
      <w:ind w:firstLine="1044" w:firstLineChars="200"/>
      <w:jc w:val="center"/>
    </w:pPr>
    <w:rPr>
      <w:rFonts w:asciiTheme="minorAscii" w:hAnsiTheme="minorAscii"/>
    </w:rPr>
  </w:style>
  <w:style w:type="paragraph" w:styleId="18">
    <w:name w:val="Subtitle"/>
    <w:basedOn w:val="1"/>
    <w:next w:val="1"/>
    <w:link w:val="36"/>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9">
    <w:name w:val="toc 2"/>
    <w:basedOn w:val="1"/>
    <w:next w:val="1"/>
    <w:unhideWhenUsed/>
    <w:qFormat/>
    <w:uiPriority w:val="39"/>
    <w:pPr>
      <w:ind w:left="420" w:leftChars="200"/>
    </w:pPr>
  </w:style>
  <w:style w:type="paragraph" w:styleId="20">
    <w:name w:val="Title"/>
    <w:basedOn w:val="1"/>
    <w:next w:val="1"/>
    <w:link w:val="35"/>
    <w:qFormat/>
    <w:uiPriority w:val="10"/>
    <w:pPr>
      <w:spacing w:after="80" w:line="240" w:lineRule="auto"/>
      <w:contextualSpacing/>
      <w:jc w:val="center"/>
    </w:pPr>
    <w:rPr>
      <w:rFonts w:asciiTheme="majorHAnsi" w:hAnsiTheme="majorHAnsi" w:eastAsiaTheme="majorEastAsia" w:cstheme="majorBidi"/>
      <w:spacing w:val="-10"/>
      <w:kern w:val="28"/>
      <w:sz w:val="56"/>
      <w:szCs w:val="56"/>
      <w14:ligatures w14:val="standardContextual"/>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unhideWhenUsed/>
    <w:qFormat/>
    <w:uiPriority w:val="99"/>
  </w:style>
  <w:style w:type="character" w:styleId="25">
    <w:name w:val="Hyperlink"/>
    <w:basedOn w:val="23"/>
    <w:unhideWhenUsed/>
    <w:qFormat/>
    <w:uiPriority w:val="99"/>
    <w:rPr>
      <w:color w:val="467886" w:themeColor="hyperlink"/>
      <w:u w:val="single"/>
      <w14:textFill>
        <w14:solidFill>
          <w14:schemeClr w14:val="hlink"/>
        </w14:solidFill>
      </w14:textFill>
    </w:rPr>
  </w:style>
  <w:style w:type="character" w:customStyle="1" w:styleId="26">
    <w:name w:val="标题 1 字符"/>
    <w:basedOn w:val="23"/>
    <w:link w:val="3"/>
    <w:qFormat/>
    <w:uiPriority w:val="9"/>
    <w:rPr>
      <w:rFonts w:eastAsia="方正小标宋简体" w:asciiTheme="majorHAnsi" w:hAnsiTheme="majorHAnsi" w:cstheme="majorBidi"/>
      <w:color w:val="000000" w:themeColor="text1"/>
      <w:sz w:val="44"/>
      <w:szCs w:val="48"/>
      <w14:textFill>
        <w14:solidFill>
          <w14:schemeClr w14:val="tx1"/>
        </w14:solidFill>
      </w14:textFill>
    </w:rPr>
  </w:style>
  <w:style w:type="character" w:customStyle="1" w:styleId="27">
    <w:name w:val="标题 2 字符"/>
    <w:basedOn w:val="23"/>
    <w:semiHidden/>
    <w:qFormat/>
    <w:uiPriority w:val="9"/>
    <w:rPr>
      <w:rFonts w:eastAsia="黑体" w:asciiTheme="majorHAnsi" w:hAnsiTheme="majorHAnsi" w:cstheme="majorBidi"/>
      <w:color w:val="000000" w:themeColor="text1"/>
      <w:sz w:val="32"/>
      <w:szCs w:val="40"/>
      <w14:textFill>
        <w14:solidFill>
          <w14:schemeClr w14:val="tx1"/>
        </w14:solidFill>
      </w14:textFill>
    </w:rPr>
  </w:style>
  <w:style w:type="character" w:customStyle="1" w:styleId="28">
    <w:name w:val="标题 3 字符"/>
    <w:basedOn w:val="23"/>
    <w:link w:val="5"/>
    <w:semiHidden/>
    <w:qFormat/>
    <w:uiPriority w:val="9"/>
    <w:rPr>
      <w:rFonts w:eastAsia="楷体_GB2312" w:asciiTheme="majorHAnsi" w:hAnsiTheme="majorHAnsi" w:cstheme="majorBidi"/>
      <w:color w:val="000000" w:themeColor="text1"/>
      <w:sz w:val="32"/>
      <w:szCs w:val="32"/>
      <w14:textFill>
        <w14:solidFill>
          <w14:schemeClr w14:val="tx1"/>
        </w14:solidFill>
      </w14:textFill>
    </w:rPr>
  </w:style>
  <w:style w:type="character" w:customStyle="1" w:styleId="29">
    <w:name w:val="标题 4 字符"/>
    <w:basedOn w:val="23"/>
    <w:link w:val="6"/>
    <w:semiHidden/>
    <w:qFormat/>
    <w:uiPriority w:val="9"/>
    <w:rPr>
      <w:rFonts w:cstheme="majorBidi"/>
      <w:color w:val="104862" w:themeColor="accent1" w:themeShade="BF"/>
      <w:sz w:val="28"/>
      <w:szCs w:val="28"/>
    </w:rPr>
  </w:style>
  <w:style w:type="character" w:customStyle="1" w:styleId="30">
    <w:name w:val="标题 5 字符"/>
    <w:basedOn w:val="23"/>
    <w:link w:val="7"/>
    <w:semiHidden/>
    <w:qFormat/>
    <w:uiPriority w:val="9"/>
    <w:rPr>
      <w:rFonts w:cstheme="majorBidi"/>
      <w:color w:val="104862" w:themeColor="accent1" w:themeShade="BF"/>
      <w:sz w:val="24"/>
    </w:rPr>
  </w:style>
  <w:style w:type="character" w:customStyle="1" w:styleId="31">
    <w:name w:val="标题 6 字符"/>
    <w:basedOn w:val="23"/>
    <w:link w:val="8"/>
    <w:semiHidden/>
    <w:qFormat/>
    <w:uiPriority w:val="9"/>
    <w:rPr>
      <w:rFonts w:cstheme="majorBidi"/>
      <w:b/>
      <w:bCs/>
      <w:color w:val="104862" w:themeColor="accent1" w:themeShade="BF"/>
    </w:rPr>
  </w:style>
  <w:style w:type="character" w:customStyle="1" w:styleId="32">
    <w:name w:val="标题 7 字符"/>
    <w:basedOn w:val="23"/>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3">
    <w:name w:val="标题 8 字符"/>
    <w:basedOn w:val="23"/>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4">
    <w:name w:val="标题 9 字符"/>
    <w:basedOn w:val="23"/>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5">
    <w:name w:val="标题 字符"/>
    <w:basedOn w:val="23"/>
    <w:link w:val="20"/>
    <w:qFormat/>
    <w:uiPriority w:val="10"/>
    <w:rPr>
      <w:rFonts w:asciiTheme="majorHAnsi" w:hAnsiTheme="majorHAnsi" w:eastAsiaTheme="majorEastAsia" w:cstheme="majorBidi"/>
      <w:spacing w:val="-10"/>
      <w:kern w:val="28"/>
      <w:sz w:val="56"/>
      <w:szCs w:val="56"/>
    </w:rPr>
  </w:style>
  <w:style w:type="character" w:customStyle="1" w:styleId="36">
    <w:name w:val="副标题 字符"/>
    <w:basedOn w:val="23"/>
    <w:link w:val="1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7">
    <w:name w:val="引用1"/>
    <w:basedOn w:val="1"/>
    <w:next w:val="1"/>
    <w:link w:val="38"/>
    <w:qFormat/>
    <w:uiPriority w:val="29"/>
    <w:pPr>
      <w:spacing w:before="160"/>
      <w:jc w:val="center"/>
    </w:pPr>
    <w:rPr>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8">
    <w:name w:val="引用 字符"/>
    <w:basedOn w:val="23"/>
    <w:link w:val="37"/>
    <w:qFormat/>
    <w:uiPriority w:val="29"/>
    <w:rPr>
      <w:i/>
      <w:iCs/>
      <w:color w:val="404040" w:themeColor="text1" w:themeTint="BF"/>
      <w14:textFill>
        <w14:solidFill>
          <w14:schemeClr w14:val="tx1">
            <w14:lumMod w14:val="75000"/>
            <w14:lumOff w14:val="25000"/>
          </w14:schemeClr>
        </w14:solidFill>
      </w14:textFill>
    </w:rPr>
  </w:style>
  <w:style w:type="paragraph" w:customStyle="1" w:styleId="39">
    <w:name w:val="列表段落1"/>
    <w:basedOn w:val="1"/>
    <w:qFormat/>
    <w:uiPriority w:val="34"/>
    <w:pPr>
      <w:ind w:left="720"/>
      <w:contextualSpacing/>
      <w:jc w:val="left"/>
    </w:pPr>
    <w:rPr>
      <w:sz w:val="22"/>
      <w14:ligatures w14:val="standardContextual"/>
    </w:rPr>
  </w:style>
  <w:style w:type="paragraph" w:customStyle="1" w:styleId="40">
    <w:name w:val="明显引用1"/>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sz w:val="22"/>
      <w14:ligatures w14:val="standardContextual"/>
    </w:rPr>
  </w:style>
  <w:style w:type="character" w:customStyle="1" w:styleId="41">
    <w:name w:val="明显引用 字符"/>
    <w:basedOn w:val="23"/>
    <w:link w:val="40"/>
    <w:qFormat/>
    <w:uiPriority w:val="30"/>
    <w:rPr>
      <w:i/>
      <w:iCs/>
      <w:color w:val="104862" w:themeColor="accent1" w:themeShade="BF"/>
    </w:rPr>
  </w:style>
  <w:style w:type="character" w:customStyle="1" w:styleId="42">
    <w:name w:val="纯文本 字符"/>
    <w:basedOn w:val="23"/>
    <w:link w:val="2"/>
    <w:qFormat/>
    <w:uiPriority w:val="99"/>
    <w:rPr>
      <w:rFonts w:hAnsi="Courier New" w:cs="Courier New" w:asciiTheme="minorEastAsia"/>
      <w:sz w:val="21"/>
      <w14:ligatures w14:val="none"/>
    </w:rPr>
  </w:style>
  <w:style w:type="character" w:customStyle="1" w:styleId="43">
    <w:name w:val="页眉 字符"/>
    <w:basedOn w:val="23"/>
    <w:link w:val="16"/>
    <w:qFormat/>
    <w:uiPriority w:val="99"/>
    <w:rPr>
      <w:sz w:val="18"/>
      <w:szCs w:val="18"/>
      <w14:ligatures w14:val="none"/>
    </w:rPr>
  </w:style>
  <w:style w:type="character" w:customStyle="1" w:styleId="44">
    <w:name w:val="页脚 字符"/>
    <w:basedOn w:val="23"/>
    <w:link w:val="15"/>
    <w:qFormat/>
    <w:uiPriority w:val="99"/>
    <w:rPr>
      <w:sz w:val="18"/>
      <w:szCs w:val="18"/>
      <w14:ligatures w14:val="none"/>
    </w:rPr>
  </w:style>
  <w:style w:type="paragraph" w:customStyle="1" w:styleId="45">
    <w:name w:val="WPSOffice手动目录 1"/>
    <w:qFormat/>
    <w:uiPriority w:val="0"/>
    <w:rPr>
      <w:rFonts w:ascii="Times New Roman" w:hAnsi="Times New Roman" w:eastAsia="宋体" w:cs="Times New Roman"/>
      <w:lang w:val="en-US" w:eastAsia="zh-CN" w:bidi="ar-SA"/>
    </w:rPr>
  </w:style>
  <w:style w:type="paragraph" w:customStyle="1" w:styleId="4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8">
    <w:name w:val="2"/>
    <w:qFormat/>
    <w:uiPriority w:val="0"/>
    <w:pPr>
      <w:spacing w:after="160" w:line="278" w:lineRule="auto"/>
      <w:ind w:firstLine="200" w:firstLineChars="200"/>
      <w:jc w:val="both"/>
    </w:pPr>
    <w:rPr>
      <w:rFonts w:ascii="楷体" w:hAnsi="楷体" w:eastAsia="楷体" w:cs="楷体"/>
      <w:b/>
      <w:bCs/>
      <w:color w:val="000000" w:themeColor="text1"/>
      <w:kern w:val="2"/>
      <w:sz w:val="32"/>
      <w:szCs w:val="32"/>
      <w:lang w:val="en-US" w:eastAsia="zh-CN" w:bidi="ar-SA"/>
      <w14:textFill>
        <w14:solidFill>
          <w14:schemeClr w14:val="tx1"/>
        </w14:solidFill>
      </w14:textFill>
      <w14:ligatures w14:val="standardContextual"/>
    </w:rPr>
  </w:style>
  <w:style w:type="paragraph" w:customStyle="1" w:styleId="49">
    <w:name w:val="3"/>
    <w:qFormat/>
    <w:uiPriority w:val="0"/>
    <w:pPr>
      <w:spacing w:after="160" w:line="278" w:lineRule="auto"/>
      <w:ind w:firstLine="200" w:firstLineChars="200"/>
    </w:pPr>
    <w:rPr>
      <w:rFonts w:ascii="楷体" w:hAnsi="楷体" w:eastAsia="仿宋" w:cs="楷体"/>
      <w:b/>
      <w:bCs/>
      <w:color w:val="000000" w:themeColor="text1"/>
      <w:kern w:val="2"/>
      <w:sz w:val="32"/>
      <w:szCs w:val="32"/>
      <w:lang w:val="en-US" w:eastAsia="zh-CN" w:bidi="ar-SA"/>
      <w14:textFill>
        <w14:solidFill>
          <w14:schemeClr w14:val="tx1"/>
        </w14:solidFill>
      </w14:textFill>
      <w14:ligatures w14:val="standardContextual"/>
    </w:rPr>
  </w:style>
  <w:style w:type="character" w:customStyle="1" w:styleId="50">
    <w:name w:val="标题 2 字符1"/>
    <w:link w:val="4"/>
    <w:qFormat/>
    <w:uiPriority w:val="0"/>
    <w:rPr>
      <w:rFonts w:ascii="黑体" w:hAnsi="黑体" w:eastAsia="黑体"/>
    </w:rPr>
  </w:style>
  <w:style w:type="paragraph" w:customStyle="1" w:styleId="51">
    <w:name w:val="Revision"/>
    <w:hidden/>
    <w:semiHidden/>
    <w:qFormat/>
    <w:uiPriority w:val="99"/>
    <w:rPr>
      <w:rFonts w:eastAsia="仿宋_GB2312" w:asciiTheme="minorHAnsi" w:hAnsiTheme="minorHAnsi" w:cstheme="minorBidi"/>
      <w:color w:val="000000" w:themeColor="text1"/>
      <w:kern w:val="2"/>
      <w:sz w:val="32"/>
      <w:szCs w:val="32"/>
      <w:lang w:val="en-US" w:eastAsia="zh-CN" w:bidi="ar-SA"/>
      <w14:textFill>
        <w14:solidFill>
          <w14:schemeClr w14:val="tx1"/>
        </w14:solidFill>
      </w14:textFill>
    </w:rPr>
  </w:style>
  <w:style w:type="character" w:customStyle="1" w:styleId="52">
    <w:name w:val="目录 3 Char"/>
    <w:link w:val="14"/>
    <w:qFormat/>
    <w:uiPriority w:val="3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e5636f6-a319-47c4-bb63-a295864bf4fe}"/>
        <w:style w:val=""/>
        <w:category>
          <w:name w:val="常规"/>
          <w:gallery w:val="placeholder"/>
        </w:category>
        <w:types>
          <w:type w:val="bbPlcHdr"/>
        </w:types>
        <w:behaviors>
          <w:behavior w:val="content"/>
        </w:behaviors>
        <w:description w:val=""/>
        <w:guid w:val="{5e5636f6-a319-47c4-bb63-a295864bf4fe}"/>
      </w:docPartPr>
      <w:docPartBody>
        <w:p w14:paraId="11AF6D8A">
          <w:r>
            <w:rPr>
              <w:color w:val="808080"/>
            </w:rPr>
            <w:t>单击此处输入文字。</w:t>
          </w:r>
        </w:p>
      </w:docPartBody>
    </w:docPart>
    <w:docPart>
      <w:docPartPr>
        <w:name w:val="{6b4877db-fc5d-4dd5-8826-f73f4caa44e2}"/>
        <w:style w:val=""/>
        <w:category>
          <w:name w:val="常规"/>
          <w:gallery w:val="placeholder"/>
        </w:category>
        <w:types>
          <w:type w:val="bbPlcHdr"/>
        </w:types>
        <w:behaviors>
          <w:behavior w:val="content"/>
        </w:behaviors>
        <w:description w:val=""/>
        <w:guid w:val="{6b4877db-fc5d-4dd5-8826-f73f4caa44e2}"/>
      </w:docPartPr>
      <w:docPartBody>
        <w:p w14:paraId="5955DB0E">
          <w:r>
            <w:rPr>
              <w:color w:val="808080"/>
            </w:rPr>
            <w:t>单击此处输入文字。</w:t>
          </w:r>
        </w:p>
      </w:docPartBody>
    </w:docPart>
    <w:docPart>
      <w:docPartPr>
        <w:name w:val="{ff494508-a9ef-4d8a-9abc-0992ab0a75b6}"/>
        <w:style w:val=""/>
        <w:category>
          <w:name w:val="常规"/>
          <w:gallery w:val="placeholder"/>
        </w:category>
        <w:types>
          <w:type w:val="bbPlcHdr"/>
        </w:types>
        <w:behaviors>
          <w:behavior w:val="content"/>
        </w:behaviors>
        <w:description w:val=""/>
        <w:guid w:val="{ff494508-a9ef-4d8a-9abc-0992ab0a75b6}"/>
      </w:docPartPr>
      <w:docPartBody>
        <w:p w14:paraId="6ADAFE7C">
          <w:r>
            <w:rPr>
              <w:color w:val="808080"/>
            </w:rPr>
            <w:t>单击此处输入文字。</w:t>
          </w:r>
        </w:p>
      </w:docPartBody>
    </w:docPart>
    <w:docPart>
      <w:docPartPr>
        <w:name w:val="{7975c392-da15-4850-bfcd-c753ab21992d}"/>
        <w:style w:val=""/>
        <w:category>
          <w:name w:val="常规"/>
          <w:gallery w:val="placeholder"/>
        </w:category>
        <w:types>
          <w:type w:val="bbPlcHdr"/>
        </w:types>
        <w:behaviors>
          <w:behavior w:val="content"/>
        </w:behaviors>
        <w:description w:val=""/>
        <w:guid w:val="{7975c392-da15-4850-bfcd-c753ab21992d}"/>
      </w:docPartPr>
      <w:docPartBody>
        <w:p w14:paraId="69FA3D7C">
          <w:r>
            <w:rPr>
              <w:color w:val="808080"/>
            </w:rPr>
            <w:t>单击此处输入文字。</w:t>
          </w:r>
        </w:p>
      </w:docPartBody>
    </w:docPart>
    <w:docPart>
      <w:docPartPr>
        <w:name w:val="{4df5af79-fe0c-4484-805e-a316844b2868}"/>
        <w:style w:val=""/>
        <w:category>
          <w:name w:val="常规"/>
          <w:gallery w:val="placeholder"/>
        </w:category>
        <w:types>
          <w:type w:val="bbPlcHdr"/>
        </w:types>
        <w:behaviors>
          <w:behavior w:val="content"/>
        </w:behaviors>
        <w:description w:val=""/>
        <w:guid w:val="{4df5af79-fe0c-4484-805e-a316844b2868}"/>
      </w:docPartPr>
      <w:docPartBody>
        <w:p w14:paraId="670F3831">
          <w:r>
            <w:rPr>
              <w:color w:val="808080"/>
            </w:rPr>
            <w:t>单击此处输入文字。</w:t>
          </w:r>
        </w:p>
      </w:docPartBody>
    </w:docPart>
    <w:docPart>
      <w:docPartPr>
        <w:name w:val="{3962232a-0d88-4ae3-8214-d9429ce6fd23}"/>
        <w:style w:val=""/>
        <w:category>
          <w:name w:val="常规"/>
          <w:gallery w:val="placeholder"/>
        </w:category>
        <w:types>
          <w:type w:val="bbPlcHdr"/>
        </w:types>
        <w:behaviors>
          <w:behavior w:val="content"/>
        </w:behaviors>
        <w:description w:val=""/>
        <w:guid w:val="{3962232a-0d88-4ae3-8214-d9429ce6fd23}"/>
      </w:docPartPr>
      <w:docPartBody>
        <w:p w14:paraId="3A1E3728">
          <w:r>
            <w:rPr>
              <w:color w:val="808080"/>
            </w:rPr>
            <w:t>单击此处输入文字。</w:t>
          </w:r>
        </w:p>
      </w:docPartBody>
    </w:docPart>
    <w:docPart>
      <w:docPartPr>
        <w:name w:val="{8dc3e6ec-d430-4d0b-bb5f-2cb3708efae3}"/>
        <w:style w:val=""/>
        <w:category>
          <w:name w:val="常规"/>
          <w:gallery w:val="placeholder"/>
        </w:category>
        <w:types>
          <w:type w:val="bbPlcHdr"/>
        </w:types>
        <w:behaviors>
          <w:behavior w:val="content"/>
        </w:behaviors>
        <w:description w:val=""/>
        <w:guid w:val="{8dc3e6ec-d430-4d0b-bb5f-2cb3708efae3}"/>
      </w:docPartPr>
      <w:docPartBody>
        <w:p w14:paraId="59062C35">
          <w:r>
            <w:rPr>
              <w:color w:val="808080"/>
            </w:rPr>
            <w:t>单击此处输入文字。</w:t>
          </w:r>
        </w:p>
      </w:docPartBody>
    </w:docPart>
    <w:docPart>
      <w:docPartPr>
        <w:name w:val="{d94f2f45-4609-478a-82f6-32ae9435effb}"/>
        <w:style w:val=""/>
        <w:category>
          <w:name w:val="常规"/>
          <w:gallery w:val="placeholder"/>
        </w:category>
        <w:types>
          <w:type w:val="bbPlcHdr"/>
        </w:types>
        <w:behaviors>
          <w:behavior w:val="content"/>
        </w:behaviors>
        <w:description w:val=""/>
        <w:guid w:val="{d94f2f45-4609-478a-82f6-32ae9435effb}"/>
      </w:docPartPr>
      <w:docPartBody>
        <w:p w14:paraId="1EC21049">
          <w:r>
            <w:rPr>
              <w:color w:val="808080"/>
            </w:rPr>
            <w:t>单击此处输入文字。</w:t>
          </w:r>
        </w:p>
      </w:docPartBody>
    </w:docPart>
    <w:docPart>
      <w:docPartPr>
        <w:name w:val="{b19721ae-c77d-43dd-91f6-e68619f7339f}"/>
        <w:style w:val=""/>
        <w:category>
          <w:name w:val="常规"/>
          <w:gallery w:val="placeholder"/>
        </w:category>
        <w:types>
          <w:type w:val="bbPlcHdr"/>
        </w:types>
        <w:behaviors>
          <w:behavior w:val="content"/>
        </w:behaviors>
        <w:description w:val=""/>
        <w:guid w:val="{b19721ae-c77d-43dd-91f6-e68619f7339f}"/>
      </w:docPartPr>
      <w:docPartBody>
        <w:p w14:paraId="64E3E416">
          <w:r>
            <w:rPr>
              <w:color w:val="808080"/>
            </w:rPr>
            <w:t>单击此处输入文字。</w:t>
          </w:r>
        </w:p>
      </w:docPartBody>
    </w:docPart>
    <w:docPart>
      <w:docPartPr>
        <w:name w:val="{dbb63603-5819-49d2-a019-e0a7b31a9092}"/>
        <w:style w:val=""/>
        <w:category>
          <w:name w:val="常规"/>
          <w:gallery w:val="placeholder"/>
        </w:category>
        <w:types>
          <w:type w:val="bbPlcHdr"/>
        </w:types>
        <w:behaviors>
          <w:behavior w:val="content"/>
        </w:behaviors>
        <w:description w:val=""/>
        <w:guid w:val="{dbb63603-5819-49d2-a019-e0a7b31a9092}"/>
      </w:docPartPr>
      <w:docPartBody>
        <w:p w14:paraId="7F5A0E69">
          <w:r>
            <w:rPr>
              <w:color w:val="808080"/>
            </w:rPr>
            <w:t>单击此处输入文字。</w:t>
          </w:r>
        </w:p>
      </w:docPartBody>
    </w:docPart>
    <w:docPart>
      <w:docPartPr>
        <w:name w:val="{7e5f9f94-3abf-4f2f-9eab-21605a136a5f}"/>
        <w:style w:val=""/>
        <w:category>
          <w:name w:val="常规"/>
          <w:gallery w:val="placeholder"/>
        </w:category>
        <w:types>
          <w:type w:val="bbPlcHdr"/>
        </w:types>
        <w:behaviors>
          <w:behavior w:val="content"/>
        </w:behaviors>
        <w:description w:val=""/>
        <w:guid w:val="{7e5f9f94-3abf-4f2f-9eab-21605a136a5f}"/>
      </w:docPartPr>
      <w:docPartBody>
        <w:p w14:paraId="38F7A8FF">
          <w:r>
            <w:rPr>
              <w:color w:val="808080"/>
            </w:rPr>
            <w:t>单击此处输入文字。</w:t>
          </w:r>
        </w:p>
      </w:docPartBody>
    </w:docPart>
    <w:docPart>
      <w:docPartPr>
        <w:name w:val="{b2bdcb92-a767-4cd4-82fa-1631864909e0}"/>
        <w:style w:val=""/>
        <w:category>
          <w:name w:val="常规"/>
          <w:gallery w:val="placeholder"/>
        </w:category>
        <w:types>
          <w:type w:val="bbPlcHdr"/>
        </w:types>
        <w:behaviors>
          <w:behavior w:val="content"/>
        </w:behaviors>
        <w:description w:val=""/>
        <w:guid w:val="{b2bdcb92-a767-4cd4-82fa-1631864909e0}"/>
      </w:docPartPr>
      <w:docPartBody>
        <w:p w14:paraId="3326F4D9">
          <w:r>
            <w:rPr>
              <w:color w:val="808080"/>
            </w:rPr>
            <w:t>单击此处输入文字。</w:t>
          </w:r>
        </w:p>
      </w:docPartBody>
    </w:docPart>
    <w:docPart>
      <w:docPartPr>
        <w:name w:val="{fdb2f7d8-1f19-4ca4-90e8-3829b644a7a5}"/>
        <w:style w:val=""/>
        <w:category>
          <w:name w:val="常规"/>
          <w:gallery w:val="placeholder"/>
        </w:category>
        <w:types>
          <w:type w:val="bbPlcHdr"/>
        </w:types>
        <w:behaviors>
          <w:behavior w:val="content"/>
        </w:behaviors>
        <w:description w:val=""/>
        <w:guid w:val="{fdb2f7d8-1f19-4ca4-90e8-3829b644a7a5}"/>
      </w:docPartPr>
      <w:docPartBody>
        <w:p w14:paraId="4F309505">
          <w:r>
            <w:rPr>
              <w:color w:val="808080"/>
            </w:rPr>
            <w:t>单击此处输入文字。</w:t>
          </w:r>
        </w:p>
      </w:docPartBody>
    </w:docPart>
    <w:docPart>
      <w:docPartPr>
        <w:name w:val="{fb70dad3-52f6-4d4c-8d1a-1cd2947866c6}"/>
        <w:style w:val=""/>
        <w:category>
          <w:name w:val="常规"/>
          <w:gallery w:val="placeholder"/>
        </w:category>
        <w:types>
          <w:type w:val="bbPlcHdr"/>
        </w:types>
        <w:behaviors>
          <w:behavior w:val="content"/>
        </w:behaviors>
        <w:description w:val=""/>
        <w:guid w:val="{fb70dad3-52f6-4d4c-8d1a-1cd2947866c6}"/>
      </w:docPartPr>
      <w:docPartBody>
        <w:p w14:paraId="4F65A50F">
          <w:r>
            <w:rPr>
              <w:color w:val="808080"/>
            </w:rPr>
            <w:t>单击此处输入文字。</w:t>
          </w:r>
        </w:p>
      </w:docPartBody>
    </w:docPart>
    <w:docPart>
      <w:docPartPr>
        <w:name w:val="{2e5e8edd-5a89-4500-b1cd-a5fbd7c2df4f}"/>
        <w:style w:val=""/>
        <w:category>
          <w:name w:val="常规"/>
          <w:gallery w:val="placeholder"/>
        </w:category>
        <w:types>
          <w:type w:val="bbPlcHdr"/>
        </w:types>
        <w:behaviors>
          <w:behavior w:val="content"/>
        </w:behaviors>
        <w:description w:val=""/>
        <w:guid w:val="{2e5e8edd-5a89-4500-b1cd-a5fbd7c2df4f}"/>
      </w:docPartPr>
      <w:docPartBody>
        <w:p w14:paraId="7F527726">
          <w:r>
            <w:rPr>
              <w:color w:val="808080"/>
            </w:rPr>
            <w:t>单击此处输入文字。</w:t>
          </w:r>
        </w:p>
      </w:docPartBody>
    </w:docPart>
    <w:docPart>
      <w:docPartPr>
        <w:name w:val="{b89910a7-8e89-4442-8981-4d1353a15ed1}"/>
        <w:style w:val=""/>
        <w:category>
          <w:name w:val="常规"/>
          <w:gallery w:val="placeholder"/>
        </w:category>
        <w:types>
          <w:type w:val="bbPlcHdr"/>
        </w:types>
        <w:behaviors>
          <w:behavior w:val="content"/>
        </w:behaviors>
        <w:description w:val=""/>
        <w:guid w:val="{b89910a7-8e89-4442-8981-4d1353a15ed1}"/>
      </w:docPartPr>
      <w:docPartBody>
        <w:p w14:paraId="47CAC664">
          <w:r>
            <w:rPr>
              <w:color w:val="808080"/>
            </w:rPr>
            <w:t>单击此处输入文字。</w:t>
          </w:r>
        </w:p>
      </w:docPartBody>
    </w:docPart>
    <w:docPart>
      <w:docPartPr>
        <w:name w:val="{28cb1c09-781e-4b66-bf42-6394def7766c}"/>
        <w:style w:val=""/>
        <w:category>
          <w:name w:val="常规"/>
          <w:gallery w:val="placeholder"/>
        </w:category>
        <w:types>
          <w:type w:val="bbPlcHdr"/>
        </w:types>
        <w:behaviors>
          <w:behavior w:val="content"/>
        </w:behaviors>
        <w:description w:val=""/>
        <w:guid w:val="{28cb1c09-781e-4b66-bf42-6394def7766c}"/>
      </w:docPartPr>
      <w:docPartBody>
        <w:p w14:paraId="4B4B3BEB">
          <w:r>
            <w:rPr>
              <w:color w:val="808080"/>
            </w:rPr>
            <w:t>单击此处输入文字。</w:t>
          </w:r>
        </w:p>
      </w:docPartBody>
    </w:docPart>
    <w:docPart>
      <w:docPartPr>
        <w:name w:val="{27293041-29b5-4395-93a0-457564284338}"/>
        <w:style w:val=""/>
        <w:category>
          <w:name w:val="常规"/>
          <w:gallery w:val="placeholder"/>
        </w:category>
        <w:types>
          <w:type w:val="bbPlcHdr"/>
        </w:types>
        <w:behaviors>
          <w:behavior w:val="content"/>
        </w:behaviors>
        <w:description w:val=""/>
        <w:guid w:val="{27293041-29b5-4395-93a0-457564284338}"/>
      </w:docPartPr>
      <w:docPartBody>
        <w:p w14:paraId="2186D923">
          <w:r>
            <w:rPr>
              <w:color w:val="808080"/>
            </w:rPr>
            <w:t>单击此处输入文字。</w:t>
          </w:r>
        </w:p>
      </w:docPartBody>
    </w:docPart>
    <w:docPart>
      <w:docPartPr>
        <w:name w:val="{061f1ede-8ba4-4818-947a-0c0e530f8560}"/>
        <w:style w:val=""/>
        <w:category>
          <w:name w:val="常规"/>
          <w:gallery w:val="placeholder"/>
        </w:category>
        <w:types>
          <w:type w:val="bbPlcHdr"/>
        </w:types>
        <w:behaviors>
          <w:behavior w:val="content"/>
        </w:behaviors>
        <w:description w:val=""/>
        <w:guid w:val="{061f1ede-8ba4-4818-947a-0c0e530f8560}"/>
      </w:docPartPr>
      <w:docPartBody>
        <w:p w14:paraId="60BD58D5">
          <w:r>
            <w:rPr>
              <w:color w:val="808080"/>
            </w:rPr>
            <w:t>单击此处输入文字。</w:t>
          </w:r>
        </w:p>
      </w:docPartBody>
    </w:docPart>
    <w:docPart>
      <w:docPartPr>
        <w:name w:val="{7c8e674c-dda6-466e-bc75-366e8332d479}"/>
        <w:style w:val=""/>
        <w:category>
          <w:name w:val="常规"/>
          <w:gallery w:val="placeholder"/>
        </w:category>
        <w:types>
          <w:type w:val="bbPlcHdr"/>
        </w:types>
        <w:behaviors>
          <w:behavior w:val="content"/>
        </w:behaviors>
        <w:description w:val=""/>
        <w:guid w:val="{7c8e674c-dda6-466e-bc75-366e8332d479}"/>
      </w:docPartPr>
      <w:docPartBody>
        <w:p w14:paraId="7070D50B">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2639</Words>
  <Characters>15048</Characters>
  <Lines>125</Lines>
  <Paragraphs>35</Paragraphs>
  <TotalTime>120</TotalTime>
  <ScaleCrop>false</ScaleCrop>
  <LinksUpToDate>false</LinksUpToDate>
  <CharactersWithSpaces>17652</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2026-06-30T11:41:00Z</dcterms:created>
  <dc:creator>DB132346</dc:creator>
  <cp:lastModifiedBy>HIGC</cp:lastModifiedBy>
  <cp:lastPrinted>2026-03-17T11:06:00Z</cp:lastPrinted>
  <dcterms:modified xsi:type="dcterms:W3CDTF">2026-09-18T19:13:51Z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33EDC6D042098F2F38C7D4697B73DDE4_43</vt:lpwstr>
  </property>
  <property fmtid="{D5CDD505-2E9C-101B-9397-08002B2CF9AE}" pid="4" name="KSOTemplateDocerSaveRecord">
    <vt:lpwstr>eyJoZGlkIjoiMjc4Y2Y5Nzk0NTE3MTczMTA4MmExOTM3MDEwYzQ5YmMiLCJ1c2VySWQiOiI0NDUyMjI2NzQifQ==</vt:lpwstr>
  </property>
</Properties>
</file>