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both"/>
        <w:rPr>
          <w:rFonts w:hint="eastAsia" w:ascii="黑体" w:hAnsi="黑体" w:eastAsia="黑体" w:cs="黑体"/>
          <w:bCs/>
          <w:sz w:val="28"/>
          <w:szCs w:val="28"/>
        </w:rPr>
      </w:pPr>
    </w:p>
    <w:p>
      <w:pPr>
        <w:spacing w:line="600" w:lineRule="exact"/>
        <w:jc w:val="center"/>
        <w:rPr>
          <w:rFonts w:hint="eastAsia" w:ascii="方正小标宋简体" w:hAnsi="宋体" w:eastAsia="方正小标宋简体" w:cs="宋体"/>
          <w:bCs/>
          <w:sz w:val="44"/>
          <w:szCs w:val="24"/>
        </w:rPr>
      </w:pPr>
      <w:bookmarkStart w:id="0" w:name="_GoBack"/>
      <w:r>
        <w:rPr>
          <w:rFonts w:hint="eastAsia" w:ascii="方正小标宋简体" w:hAnsi="宋体" w:eastAsia="方正小标宋简体" w:cs="宋体"/>
          <w:bCs/>
          <w:sz w:val="44"/>
          <w:szCs w:val="24"/>
        </w:rPr>
        <w:t>关于对《</w:t>
      </w:r>
      <w:r>
        <w:rPr>
          <w:rFonts w:hint="eastAsia" w:ascii="方正小标宋简体" w:hAnsi="宋体" w:eastAsia="方正小标宋简体" w:cs="宋体"/>
          <w:bCs/>
          <w:sz w:val="44"/>
          <w:szCs w:val="24"/>
          <w:lang w:val="en-US" w:eastAsia="zh-CN"/>
        </w:rPr>
        <w:t>关于推动特殊医学用途配方食品生产经营企业高质量发展的若干措施</w:t>
      </w:r>
      <w:r>
        <w:rPr>
          <w:rFonts w:hint="eastAsia" w:ascii="方正小标宋简体" w:hAnsi="宋体" w:eastAsia="方正小标宋简体" w:cs="宋体"/>
          <w:bCs/>
          <w:sz w:val="44"/>
          <w:szCs w:val="24"/>
        </w:rPr>
        <w:t>》的起草说明</w:t>
      </w:r>
    </w:p>
    <w:bookmarkEnd w:id="0"/>
    <w:p>
      <w:pPr>
        <w:spacing w:line="600" w:lineRule="exact"/>
        <w:rPr>
          <w:rFonts w:ascii="Calibri" w:hAnsi="Calibri" w:eastAsia="仿宋_GB2312"/>
          <w:sz w:val="30"/>
          <w:szCs w:val="24"/>
        </w:rPr>
      </w:pPr>
      <w:r>
        <w:rPr>
          <w:rFonts w:ascii="Calibri" w:hAnsi="Calibri" w:eastAsia="仿宋_GB2312"/>
          <w:sz w:val="20"/>
          <w:szCs w:val="24"/>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198120</wp:posOffset>
                </wp:positionV>
                <wp:extent cx="5257800" cy="0"/>
                <wp:effectExtent l="0" t="0" r="0" b="0"/>
                <wp:wrapNone/>
                <wp:docPr id="4" name="直线 5"/>
                <wp:cNvGraphicFramePr/>
                <a:graphic xmlns:a="http://schemas.openxmlformats.org/drawingml/2006/main">
                  <a:graphicData uri="http://schemas.microsoft.com/office/word/2010/wordprocessingShape">
                    <wps:wsp>
                      <wps:cNvCnPr/>
                      <wps:spPr>
                        <a:xfrm>
                          <a:off x="0" y="0"/>
                          <a:ext cx="5257800" cy="0"/>
                        </a:xfrm>
                        <a:prstGeom prst="line">
                          <a:avLst/>
                        </a:prstGeom>
                        <a:ln w="9525" cap="flat" cmpd="sng">
                          <a:solidFill>
                            <a:srgbClr val="000000"/>
                          </a:solidFill>
                          <a:prstDash val="dash"/>
                          <a:headEnd type="none" w="med" len="med"/>
                          <a:tailEnd type="none" w="med" len="med"/>
                        </a:ln>
                        <a:effectLst/>
                      </wps:spPr>
                      <wps:bodyPr upright="true"/>
                    </wps:wsp>
                  </a:graphicData>
                </a:graphic>
              </wp:anchor>
            </w:drawing>
          </mc:Choice>
          <mc:Fallback>
            <w:pict>
              <v:line id="直线 5" o:spid="_x0000_s1026" o:spt="20" style="position:absolute;left:0pt;margin-left:0pt;margin-top:15.6pt;height:0pt;width:414pt;z-index:251658240;mso-width-relative:page;mso-height-relative:page;" filled="f" stroked="t" coordsize="21600,21600" o:gfxdata="UEsFBgAAAAAAAAAAAAAAAAAAAAAAAFBLAwQKAAAAAACHTuJAAAAAAAAAAAAAAAAABAAAAGRycy9Q&#10;SwMEFAAAAAgAh07iQBI12HfUAAAABgEAAA8AAABkcnMvZG93bnJldi54bWxNj8FOwzAQRO9I/Qdr&#10;K3GpqJMgUBTi9FCpXCohNfQDnHiJA/E6it2k8PUs4gDHmVnNvC13VzeIGafQe1KQbhMQSK03PXUK&#10;zq+HuxxEiJqMHjyhgk8MsKtWN6UujF/ohHMdO8ElFAqtwMY4FlKG1qLTYetHJM7e/OR0ZDl10kx6&#10;4XI3yCxJHqXTPfGC1SPuLbYf9cUpOJl6WWrbfs3Hh018eW+eN8c0U+p2nSZPICJe498x/OAzOlTM&#10;1PgLmSAGBfxIVHCfZiA4zbOcjebXkFUp/+NX31BLAwQUAAAACACHTuJA9u9t7NMBAACdAwAADgAA&#10;AGRycy9lMm9Eb2MueG1srVNLjhMxEN0jcQfLe9I9EYGhlc4sJgwbBJEYDlDxp9uSf3I56eQsXIMV&#10;G44z16DsZMIAG4TIwinbVa/qPb9e3hycZXuV0ATf86tZy5nyIkjjh55/vr97cc0ZZvASbPCq50eF&#10;/Gb1/Nlyip2ahzFYqRIjEI/dFHs+5hy7pkExKgc4C1F5utQhOci0TUMjE0yE7mwzb9tXzRSSjCkI&#10;hUin69MlX1V8rZXIH7VGlZntOc2W65rqui1rs1pCNySIoxHnMeAfpnBgPDW9QK0hA9sl8weUMyIF&#10;DDrPRHBN0NoIVTkQm6v2NzafRoiqciFxMF5kwv8HKz7sN4kZ2fOXnHlw9EQPX74+fPvOFkWbKWJH&#10;Kbd+k847jJtUiB50cuWfKLBD1fN40VMdMhN0uJgvXl+3JLt4vGt+FsaE+Z0KjpWg59b4QhU62L/H&#10;TM0o9TGlHFvPpp6/IUiCA3KKtpApdJFmRz/UWgzWyDtjbanANGxvbWJ7KG9ff4US4f6SVpqsAcdT&#10;nqToZIpRgXzrJcvHSKJ4ci8vEzglObOKzF4iwoMug7F/k0mdrS8FqhrzTLNIfBK1RNsgj/Qgu5jM&#10;MJIsOe1Unbpckgfq/Ge/FpM93VP89Kta/Q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ASNdh31AAA&#10;AAYBAAAPAAAAAAAAAAEAIAAAADgAAABkcnMvZG93bnJldi54bWxQSwECFAAUAAAACACHTuJA9u9t&#10;7NMBAACdAwAADgAAAAAAAAABACAAAAA5AQAAZHJzL2Uyb0RvYy54bWxQSwUGAAAAAAYABgBZAQAA&#10;fgUAAAAA&#10;">
                <v:fill on="f" focussize="0,0"/>
                <v:stroke color="#000000" joinstyle="round" dashstyle="dash"/>
                <v:imagedata o:title=""/>
                <o:lock v:ext="edit" aspectratio="f"/>
              </v:line>
            </w:pict>
          </mc:Fallback>
        </mc:AlternateContent>
      </w:r>
    </w:p>
    <w:p>
      <w:pPr>
        <w:numPr>
          <w:ilvl w:val="0"/>
          <w:numId w:val="0"/>
        </w:numPr>
        <w:spacing w:line="600" w:lineRule="exact"/>
        <w:ind w:firstLine="640" w:firstLineChars="200"/>
        <w:rPr>
          <w:rFonts w:ascii="Calibri" w:hAnsi="Calibri" w:eastAsia="仿宋_GB2312"/>
          <w:sz w:val="32"/>
          <w:szCs w:val="32"/>
        </w:rPr>
      </w:pPr>
      <w:r>
        <w:rPr>
          <w:rFonts w:hint="eastAsia" w:ascii="Calibri" w:hAnsi="Calibri" w:eastAsia="仿宋_GB2312"/>
          <w:sz w:val="32"/>
          <w:szCs w:val="32"/>
          <w:lang w:eastAsia="zh-CN"/>
        </w:rPr>
        <w:t>一、</w:t>
      </w:r>
      <w:r>
        <w:rPr>
          <w:rFonts w:hint="eastAsia" w:ascii="Calibri" w:hAnsi="Calibri" w:eastAsia="仿宋_GB2312"/>
          <w:sz w:val="32"/>
          <w:szCs w:val="32"/>
        </w:rPr>
        <w:t>起草背景及过程</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特殊医学用途配方食品是近年来食品和特殊食品行业出现的新赛道，契合“健康中国”战略，属于战略性新兴产业范畴，特医食品产品研发、生产技术含量高，是特殊食品乃至整个食品领域新质生产力的典型代表，为深入推进特殊医学用途配方食品生产经营企业高质量发展，优化通州区</w:t>
      </w:r>
      <w:r>
        <w:rPr>
          <w:rFonts w:hint="default" w:ascii="仿宋_GB2312" w:hAnsi="仿宋_GB2312" w:eastAsia="仿宋_GB2312" w:cs="仿宋_GB2312"/>
          <w:sz w:val="32"/>
          <w:szCs w:val="32"/>
          <w:lang w:val="en-US" w:eastAsia="zh-CN"/>
        </w:rPr>
        <w:t>医药健康</w:t>
      </w:r>
      <w:r>
        <w:rPr>
          <w:rFonts w:hint="eastAsia" w:ascii="仿宋_GB2312" w:hAnsi="仿宋_GB2312" w:eastAsia="仿宋_GB2312" w:cs="仿宋_GB2312"/>
          <w:sz w:val="32"/>
          <w:szCs w:val="32"/>
          <w:lang w:val="en-US" w:eastAsia="zh-CN"/>
        </w:rPr>
        <w:t>产业，促进区级经济建设提质增效；友谊医院、安贞医院、东直门中医院、人民医院、东直门中医院及儿研所均在通州设立分院，另外有胸科医院、潞河医院、妇幼保健院每天接待大量病患，其中也包括了</w:t>
      </w:r>
      <w:r>
        <w:rPr>
          <w:rFonts w:hint="eastAsia" w:ascii="方正仿宋_GBK" w:hAnsi="方正仿宋_GBK" w:eastAsia="方正仿宋_GBK" w:cs="方正仿宋_GBK"/>
          <w:sz w:val="32"/>
          <w:szCs w:val="32"/>
        </w:rPr>
        <w:t>进食受限、消化吸收障碍、代谢紊乱或特定疾病状态人群</w:t>
      </w:r>
      <w:r>
        <w:rPr>
          <w:rFonts w:hint="eastAsia" w:ascii="方正仿宋_GBK" w:hAnsi="方正仿宋_GBK" w:eastAsia="方正仿宋_GBK" w:cs="方正仿宋_GBK"/>
          <w:sz w:val="32"/>
          <w:szCs w:val="32"/>
          <w:lang w:eastAsia="zh-CN"/>
        </w:rPr>
        <w:t>，社会上有特殊营养需求的人群数量庞大，为满足广大人民群众对健康的需求；为了鼓励生产、研发企业落户通州，促进通州经济高水平发展，</w:t>
      </w:r>
      <w:r>
        <w:rPr>
          <w:rFonts w:hint="eastAsia" w:ascii="仿宋_GB2312" w:hAnsi="仿宋_GB2312" w:eastAsia="仿宋_GB2312" w:cs="仿宋_GB2312"/>
          <w:sz w:val="32"/>
          <w:szCs w:val="32"/>
          <w:lang w:val="en-US" w:eastAsia="zh-CN"/>
        </w:rPr>
        <w:t>特制定相关措施。</w:t>
      </w:r>
    </w:p>
    <w:p>
      <w:pPr>
        <w:numPr>
          <w:ilvl w:val="0"/>
          <w:numId w:val="0"/>
        </w:numPr>
        <w:spacing w:line="600" w:lineRule="exact"/>
        <w:ind w:leftChars="0" w:firstLine="640" w:firstLineChars="200"/>
        <w:rPr>
          <w:rFonts w:hint="eastAsia" w:ascii="Calibri" w:hAnsi="Calibri" w:eastAsia="仿宋_GB2312"/>
          <w:sz w:val="32"/>
          <w:szCs w:val="32"/>
        </w:rPr>
      </w:pPr>
      <w:r>
        <w:rPr>
          <w:rFonts w:hint="eastAsia" w:ascii="Calibri" w:hAnsi="Calibri" w:eastAsia="仿宋_GB2312"/>
          <w:sz w:val="32"/>
          <w:szCs w:val="32"/>
          <w:lang w:eastAsia="zh-CN"/>
        </w:rPr>
        <w:t>二、</w:t>
      </w:r>
      <w:r>
        <w:rPr>
          <w:rFonts w:hint="eastAsia" w:ascii="Calibri" w:hAnsi="Calibri" w:eastAsia="仿宋_GB2312"/>
          <w:sz w:val="32"/>
          <w:szCs w:val="32"/>
        </w:rPr>
        <w:t>起草文件要解决的</w:t>
      </w:r>
      <w:r>
        <w:rPr>
          <w:rFonts w:hint="eastAsia" w:ascii="Calibri" w:hAnsi="Calibri" w:eastAsia="仿宋_GB2312"/>
          <w:sz w:val="32"/>
          <w:szCs w:val="32"/>
          <w:lang w:eastAsia="zh-CN"/>
        </w:rPr>
        <w:t>主要</w:t>
      </w:r>
      <w:r>
        <w:rPr>
          <w:rFonts w:hint="eastAsia" w:ascii="Calibri" w:hAnsi="Calibri" w:eastAsia="仿宋_GB2312"/>
          <w:sz w:val="32"/>
          <w:szCs w:val="32"/>
        </w:rPr>
        <w:t>问题</w:t>
      </w:r>
      <w:r>
        <w:rPr>
          <w:rFonts w:hint="eastAsia" w:ascii="Calibri" w:hAnsi="Calibri" w:eastAsia="仿宋_GB2312"/>
          <w:sz w:val="32"/>
          <w:szCs w:val="32"/>
          <w:lang w:eastAsia="zh-CN"/>
        </w:rPr>
        <w:t>和考虑</w:t>
      </w:r>
    </w:p>
    <w:p>
      <w:pPr>
        <w:numPr>
          <w:ilvl w:val="0"/>
          <w:numId w:val="0"/>
        </w:numPr>
        <w:spacing w:line="600" w:lineRule="exact"/>
        <w:ind w:leftChars="0"/>
        <w:rPr>
          <w:rFonts w:hint="eastAsia" w:ascii="方正仿宋_GBK" w:hAnsi="方正仿宋_GBK" w:eastAsia="方正仿宋_GBK" w:cs="方正仿宋_GBK"/>
          <w:sz w:val="32"/>
          <w:szCs w:val="32"/>
          <w:lang w:val="en-US" w:eastAsia="zh-CN"/>
        </w:rPr>
      </w:pPr>
      <w:r>
        <w:rPr>
          <w:rFonts w:hint="eastAsia" w:ascii="Calibri" w:hAnsi="Calibri" w:eastAsia="仿宋_GB2312"/>
          <w:sz w:val="32"/>
          <w:szCs w:val="32"/>
          <w:lang w:val="en-US" w:eastAsia="zh-CN"/>
        </w:rPr>
        <w:t xml:space="preserve">    </w:t>
      </w:r>
      <w:r>
        <w:rPr>
          <w:rFonts w:hint="eastAsia" w:ascii="方正仿宋_GBK" w:hAnsi="方正仿宋_GBK" w:eastAsia="方正仿宋_GBK" w:cs="方正仿宋_GBK"/>
          <w:sz w:val="32"/>
          <w:szCs w:val="32"/>
          <w:lang w:val="en-US" w:eastAsia="zh-CN"/>
        </w:rPr>
        <w:t>将特殊医学用途配方食品生产、研发纳入通州区医药健康产业，享受相关政策支持和资金激励；</w:t>
      </w:r>
      <w:r>
        <w:rPr>
          <w:rFonts w:hint="eastAsia" w:ascii="方正仿宋_GBK" w:hAnsi="方正仿宋_GBK" w:eastAsia="方正仿宋_GBK" w:cs="方正仿宋_GBK"/>
          <w:sz w:val="32"/>
          <w:szCs w:val="32"/>
        </w:rPr>
        <w:t>推动特医食品进入医疗机构并纳入医院信息系统（HIS系统），实现从处方开具到窗口领取的全流程便捷化，患者获取周期从“奔波数日”缩短至“立等可取”</w:t>
      </w:r>
      <w:r>
        <w:rPr>
          <w:rFonts w:hint="eastAsia" w:ascii="方正仿宋_GBK" w:hAnsi="方正仿宋_GBK" w:eastAsia="方正仿宋_GBK" w:cs="方正仿宋_GBK"/>
          <w:sz w:val="32"/>
          <w:szCs w:val="32"/>
          <w:lang w:eastAsia="zh-CN"/>
        </w:rPr>
        <w:t>；鼓励药店设立</w:t>
      </w:r>
      <w:r>
        <w:rPr>
          <w:rFonts w:hint="eastAsia" w:ascii="方正仿宋_GBK" w:hAnsi="方正仿宋_GBK" w:eastAsia="方正仿宋_GBK" w:cs="方正仿宋_GBK"/>
          <w:sz w:val="32"/>
          <w:szCs w:val="32"/>
          <w:lang w:val="en-US" w:eastAsia="zh-CN"/>
        </w:rPr>
        <w:t>特殊医学用途配方食品销售专区（专柜）。</w:t>
      </w:r>
    </w:p>
    <w:p>
      <w:pPr>
        <w:numPr>
          <w:ilvl w:val="0"/>
          <w:numId w:val="0"/>
        </w:numPr>
        <w:spacing w:line="600" w:lineRule="exact"/>
        <w:ind w:firstLine="640" w:firstLineChars="200"/>
        <w:rPr>
          <w:rFonts w:hint="eastAsia" w:ascii="Calibri" w:hAnsi="Calibri" w:eastAsia="仿宋_GB2312"/>
          <w:sz w:val="32"/>
          <w:szCs w:val="32"/>
        </w:rPr>
      </w:pPr>
      <w:r>
        <w:rPr>
          <w:rFonts w:hint="eastAsia" w:ascii="Calibri" w:hAnsi="Calibri" w:eastAsia="仿宋_GB2312"/>
          <w:sz w:val="32"/>
          <w:szCs w:val="32"/>
          <w:lang w:eastAsia="zh-CN"/>
        </w:rPr>
        <w:t>三、</w:t>
      </w:r>
      <w:r>
        <w:rPr>
          <w:rFonts w:hint="eastAsia" w:ascii="Calibri" w:hAnsi="Calibri" w:eastAsia="仿宋_GB2312"/>
          <w:sz w:val="32"/>
          <w:szCs w:val="32"/>
        </w:rPr>
        <w:t>主要内容说明</w:t>
      </w:r>
      <w:r>
        <w:rPr>
          <w:rFonts w:hint="eastAsia" w:ascii="Calibri" w:hAnsi="Calibri" w:eastAsia="仿宋_GB2312"/>
          <w:sz w:val="32"/>
          <w:szCs w:val="32"/>
          <w:lang w:eastAsia="zh-CN"/>
        </w:rPr>
        <w:t>，</w:t>
      </w:r>
      <w:r>
        <w:rPr>
          <w:rFonts w:hint="eastAsia" w:ascii="Calibri" w:hAnsi="Calibri" w:eastAsia="仿宋_GB2312"/>
          <w:sz w:val="32"/>
          <w:szCs w:val="32"/>
        </w:rPr>
        <w:t>拟采取的措施或者将要实施的制度</w:t>
      </w:r>
    </w:p>
    <w:p>
      <w:pPr>
        <w:numPr>
          <w:ilvl w:val="0"/>
          <w:numId w:val="0"/>
        </w:numPr>
        <w:spacing w:line="600" w:lineRule="exact"/>
        <w:ind w:leftChars="0" w:firstLine="640" w:firstLineChars="200"/>
        <w:rPr>
          <w:rFonts w:hint="eastAsia" w:ascii="Calibri" w:hAnsi="Calibri" w:eastAsia="仿宋_GB2312"/>
          <w:sz w:val="32"/>
          <w:szCs w:val="32"/>
        </w:rPr>
      </w:pPr>
      <w:r>
        <w:rPr>
          <w:rFonts w:hint="eastAsia" w:ascii="方正仿宋_GBK" w:hAnsi="方正仿宋_GBK" w:eastAsia="方正仿宋_GBK" w:cs="方正仿宋_GBK"/>
          <w:sz w:val="32"/>
          <w:szCs w:val="32"/>
          <w:lang w:val="en-US" w:eastAsia="zh-CN"/>
        </w:rPr>
        <w:t>特殊医学用途配方食品</w:t>
      </w:r>
      <w:r>
        <w:rPr>
          <w:rFonts w:hint="eastAsia" w:ascii="仿宋_GB2312" w:hAnsi="仿宋_GB2312" w:eastAsia="仿宋_GB2312" w:cs="仿宋_GB2312"/>
          <w:i w:val="0"/>
          <w:caps w:val="0"/>
          <w:color w:val="auto"/>
          <w:spacing w:val="0"/>
          <w:kern w:val="0"/>
          <w:sz w:val="32"/>
          <w:szCs w:val="32"/>
          <w:lang w:val="en-US" w:eastAsia="zh-CN" w:bidi="ar"/>
        </w:rPr>
        <w:t>作为一种新型营养干预方式，在降低患者营养不良和疾病相关死亡风险方面发挥着重要作用，</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落实健康中国战略，助力食品领域新质生产力发展；出台该文件，打通</w:t>
      </w:r>
      <w:r>
        <w:rPr>
          <w:rFonts w:hint="eastAsia" w:ascii="方正仿宋_GBK" w:hAnsi="方正仿宋_GBK" w:eastAsia="方正仿宋_GBK" w:cs="方正仿宋_GBK"/>
          <w:sz w:val="32"/>
          <w:szCs w:val="32"/>
          <w:lang w:val="en-US" w:eastAsia="zh-CN"/>
        </w:rPr>
        <w:t>特殊医学用途配方食品</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“研产供销”和上下游环节，确保副中心的特医食品行业健康、快速发展壮大。</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0"/>
    <w:family w:val="auto"/>
    <w:pitch w:val="default"/>
    <w:sig w:usb0="00000000" w:usb1="00000000" w:usb2="00000009"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bordersDoNotSurroundHeader w:val="true"/>
  <w:bordersDoNotSurroundFooter w:val="true"/>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77364F"/>
    <w:rsid w:val="66A26095"/>
    <w:rsid w:val="6DAE18A1"/>
    <w:rsid w:val="752136DE"/>
    <w:rsid w:val="7C77364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BodyText"/>
    <w:basedOn w:val="1"/>
    <w:next w:val="1"/>
    <w:qFormat/>
    <w:uiPriority w:val="0"/>
    <w:pPr>
      <w:spacing w:after="120"/>
      <w:jc w:val="both"/>
      <w:textAlignment w:val="baseline"/>
    </w:pPr>
    <w:rPr>
      <w:rFonts w:ascii="Calibri" w:hAnsi="Calibri" w:eastAsia="宋体"/>
      <w:kern w:val="2"/>
      <w:sz w:val="21"/>
      <w:szCs w:val="24"/>
      <w:lang w:val="en-US" w:eastAsia="zh-CN" w:bidi="ar-SA"/>
    </w:rPr>
  </w:style>
  <w:style w:type="paragraph" w:styleId="3">
    <w:name w:val="Body Text Indent"/>
    <w:basedOn w:val="1"/>
    <w:qFormat/>
    <w:uiPriority w:val="0"/>
    <w:pPr>
      <w:ind w:firstLine="570"/>
    </w:pPr>
    <w:rPr>
      <w:rFonts w:ascii="Times New Roman" w:hAnsi="Times New Roman" w:eastAsia="仿宋_GB2312"/>
      <w:color w:val="0000FF"/>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2026-09-16T00:28:00Z</dcterms:created>
  <dc:creator>user</dc:creator>
  <cp:lastModifiedBy>user</cp:lastModifiedBy>
  <dcterms:modified xsi:type="dcterms:W3CDTF">2026-09-17T10:46:03Z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B6CB390FDE27855BB501A96A60FC0BFB_41</vt:lpwstr>
  </property>
</Properties>
</file>