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color w:val="auto"/>
          <w:sz w:val="28"/>
          <w:szCs w:val="28"/>
          <w:lang w:val="en-US" w:eastAsia="zh-CN"/>
        </w:rPr>
      </w:pPr>
    </w:p>
    <w:p>
      <w:pPr>
        <w:jc w:val="center"/>
        <w:rPr>
          <w:rFonts w:hint="eastAsia" w:ascii="方正小标宋简体" w:hAnsi="方正小标宋简体" w:eastAsia="方正小标宋简体" w:cs="方正小标宋简体"/>
          <w:color w:val="auto"/>
          <w:sz w:val="44"/>
          <w:szCs w:val="44"/>
          <w:lang w:val="en-US" w:eastAsia="zh-CN"/>
        </w:rPr>
      </w:pPr>
      <w:bookmarkStart w:id="0" w:name="_GoBack"/>
      <w:r>
        <w:rPr>
          <w:rFonts w:hint="eastAsia" w:ascii="方正小标宋简体" w:hAnsi="方正小标宋简体" w:eastAsia="方正小标宋简体" w:cs="方正小标宋简体"/>
          <w:color w:val="auto"/>
          <w:sz w:val="44"/>
          <w:szCs w:val="44"/>
          <w:lang w:eastAsia="zh-CN"/>
        </w:rPr>
        <w:t>关于推动特殊医学用途配方食品生产经营企业</w:t>
      </w:r>
      <w:r>
        <w:rPr>
          <w:rFonts w:hint="eastAsia" w:ascii="方正小标宋简体" w:hAnsi="方正小标宋简体" w:eastAsia="方正小标宋简体" w:cs="方正小标宋简体"/>
          <w:color w:val="auto"/>
          <w:sz w:val="44"/>
          <w:szCs w:val="44"/>
          <w:lang w:val="en-US" w:eastAsia="zh-CN"/>
        </w:rPr>
        <w:t>高质量发展的</w:t>
      </w:r>
      <w:r>
        <w:rPr>
          <w:rFonts w:hint="eastAsia" w:ascii="方正小标宋简体" w:hAnsi="方正小标宋简体" w:eastAsia="方正小标宋简体" w:cs="方正小标宋简体"/>
          <w:color w:val="auto"/>
          <w:sz w:val="44"/>
          <w:szCs w:val="44"/>
          <w:lang w:eastAsia="zh-CN"/>
        </w:rPr>
        <w:t>若干措施</w:t>
      </w:r>
    </w:p>
    <w:bookmarkEnd w:id="0"/>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特殊医学用途配方食品（以下简称“特医食品”）是为满足进食受限、消化吸收障碍、代谢紊乱或者特定疾病状态人群对营养素、膳食的特殊需要，专门加工配制而成的配方食品。特医食品</w:t>
      </w:r>
      <w:r>
        <w:rPr>
          <w:rFonts w:hint="eastAsia" w:ascii="仿宋_GB2312" w:hAnsi="仿宋_GB2312" w:eastAsia="仿宋_GB2312" w:cs="仿宋_GB2312"/>
          <w:i w:val="0"/>
          <w:caps w:val="0"/>
          <w:color w:val="auto"/>
          <w:spacing w:val="0"/>
          <w:kern w:val="0"/>
          <w:sz w:val="32"/>
          <w:szCs w:val="32"/>
          <w:lang w:val="en-US" w:eastAsia="zh-CN" w:bidi="ar"/>
        </w:rPr>
        <w:t>作为一种新型营养干预方式，在降低患者营养不良和疾病相关死亡风险方面发挥着重要作用。</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为贯彻落实健康中国战略，助力食品领域新质生产力发展，</w:t>
      </w:r>
      <w:r>
        <w:rPr>
          <w:rFonts w:hint="eastAsia" w:ascii="仿宋_GB2312" w:hAnsi="仿宋_GB2312" w:eastAsia="仿宋_GB2312" w:cs="仿宋_GB2312"/>
          <w:i w:val="0"/>
          <w:caps w:val="0"/>
          <w:color w:val="auto"/>
          <w:spacing w:val="0"/>
          <w:sz w:val="32"/>
          <w:szCs w:val="32"/>
          <w:shd w:val="clear" w:color="auto" w:fill="FFFFFF"/>
        </w:rPr>
        <w:t>现就</w:t>
      </w:r>
      <w:r>
        <w:rPr>
          <w:rFonts w:hint="eastAsia" w:ascii="仿宋_GB2312" w:hAnsi="仿宋_GB2312" w:eastAsia="仿宋_GB2312" w:cs="仿宋_GB2312"/>
          <w:i w:val="0"/>
          <w:caps w:val="0"/>
          <w:color w:val="auto"/>
          <w:spacing w:val="0"/>
          <w:sz w:val="32"/>
          <w:szCs w:val="32"/>
          <w:shd w:val="clear" w:color="auto" w:fill="FFFFFF"/>
          <w:lang w:eastAsia="zh-CN"/>
        </w:rPr>
        <w:t>推动</w:t>
      </w:r>
      <w:r>
        <w:rPr>
          <w:rFonts w:hint="eastAsia" w:ascii="仿宋_GB2312" w:hAnsi="仿宋_GB2312" w:eastAsia="仿宋_GB2312" w:cs="仿宋_GB2312"/>
          <w:i w:val="0"/>
          <w:caps w:val="0"/>
          <w:color w:val="auto"/>
          <w:spacing w:val="0"/>
          <w:sz w:val="32"/>
          <w:szCs w:val="32"/>
          <w:shd w:val="clear" w:color="auto" w:fill="FFFFFF"/>
        </w:rPr>
        <w:t>特医食品</w:t>
      </w:r>
      <w:r>
        <w:rPr>
          <w:rFonts w:hint="eastAsia" w:ascii="仿宋_GB2312" w:hAnsi="仿宋_GB2312" w:eastAsia="仿宋_GB2312" w:cs="仿宋_GB2312"/>
          <w:i w:val="0"/>
          <w:caps w:val="0"/>
          <w:color w:val="auto"/>
          <w:spacing w:val="0"/>
          <w:sz w:val="32"/>
          <w:szCs w:val="32"/>
          <w:shd w:val="clear" w:color="auto" w:fill="FFFFFF"/>
          <w:lang w:eastAsia="zh-CN"/>
        </w:rPr>
        <w:t>生产企业发展和规范经营使用制定</w:t>
      </w:r>
      <w:r>
        <w:rPr>
          <w:rFonts w:hint="eastAsia" w:ascii="仿宋_GB2312" w:hAnsi="仿宋_GB2312" w:eastAsia="仿宋_GB2312" w:cs="仿宋_GB2312"/>
          <w:i w:val="0"/>
          <w:caps w:val="0"/>
          <w:color w:val="auto"/>
          <w:spacing w:val="0"/>
          <w:sz w:val="32"/>
          <w:szCs w:val="32"/>
          <w:shd w:val="clear" w:color="auto" w:fill="FFFFFF"/>
        </w:rPr>
        <w:t>如下</w:t>
      </w:r>
      <w:r>
        <w:rPr>
          <w:rFonts w:hint="eastAsia" w:ascii="仿宋_GB2312" w:hAnsi="仿宋_GB2312" w:eastAsia="仿宋_GB2312" w:cs="仿宋_GB2312"/>
          <w:i w:val="0"/>
          <w:caps w:val="0"/>
          <w:color w:val="auto"/>
          <w:spacing w:val="0"/>
          <w:sz w:val="32"/>
          <w:szCs w:val="32"/>
          <w:shd w:val="clear" w:color="auto" w:fill="FFFFFF"/>
          <w:lang w:eastAsia="zh-CN"/>
        </w:rPr>
        <w:t>措施：</w:t>
      </w:r>
    </w:p>
    <w:p>
      <w:pPr>
        <w:keepNext w:val="0"/>
        <w:keepLines w:val="0"/>
        <w:widowControl/>
        <w:suppressLineNumbers w:val="0"/>
        <w:ind w:firstLine="640" w:firstLineChars="200"/>
        <w:jc w:val="left"/>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一、推动特医食品生产企业</w:t>
      </w:r>
      <w:r>
        <w:rPr>
          <w:rFonts w:hint="eastAsia" w:ascii="CESI黑体-GB2312" w:hAnsi="CESI黑体-GB2312" w:eastAsia="CESI黑体-GB2312" w:cs="CESI黑体-GB2312"/>
          <w:color w:val="auto"/>
          <w:sz w:val="32"/>
          <w:szCs w:val="32"/>
          <w:lang w:val="en-US" w:eastAsia="zh-CN"/>
        </w:rPr>
        <w:t>高质量发展</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0" w:leftChars="0" w:firstLine="640" w:firstLineChars="0"/>
        <w:jc w:val="left"/>
        <w:textAlignment w:val="auto"/>
        <w:outlineLvl w:val="1"/>
        <w:rPr>
          <w:rFonts w:hint="eastAsia" w:ascii="仿宋_GB2312" w:hAnsi="仿宋_GB2312" w:eastAsia="仿宋_GB2312" w:cs="仿宋_GB2312"/>
          <w:i w:val="0"/>
          <w:caps w:val="0"/>
          <w:color w:val="auto"/>
          <w:spacing w:val="0"/>
          <w:kern w:val="0"/>
          <w:sz w:val="32"/>
          <w:szCs w:val="32"/>
          <w:lang w:val="en-US" w:eastAsia="zh-CN" w:bidi="ar"/>
        </w:rPr>
      </w:pPr>
      <w:r>
        <w:rPr>
          <w:rFonts w:hint="eastAsia" w:ascii="CESI楷体-GB2312" w:hAnsi="CESI楷体-GB2312" w:eastAsia="CESI楷体-GB2312" w:cs="CESI楷体-GB2312"/>
          <w:b w:val="0"/>
          <w:bCs w:val="0"/>
          <w:color w:val="auto"/>
          <w:sz w:val="32"/>
          <w:szCs w:val="32"/>
          <w:lang w:eastAsia="zh-CN"/>
        </w:rPr>
        <w:t>推动企业在通州发展。</w:t>
      </w:r>
      <w:r>
        <w:rPr>
          <w:rFonts w:hint="eastAsia" w:ascii="仿宋_GB2312" w:hAnsi="仿宋_GB2312" w:eastAsia="仿宋_GB2312" w:cs="仿宋_GB2312"/>
          <w:i w:val="0"/>
          <w:caps w:val="0"/>
          <w:color w:val="auto"/>
          <w:spacing w:val="0"/>
          <w:kern w:val="0"/>
          <w:sz w:val="32"/>
          <w:szCs w:val="32"/>
          <w:lang w:val="en-US" w:eastAsia="zh-CN" w:bidi="ar"/>
        </w:rPr>
        <w:t>推动企业在北京网络安全园通州园建设特医食品生产项目，并纳入本区高精尖产业发展项目资金和支持中小企业发展资金支持范围，从</w:t>
      </w:r>
      <w:r>
        <w:rPr>
          <w:rFonts w:hint="default" w:ascii="仿宋_GB2312" w:hAnsi="仿宋_GB2312" w:eastAsia="仿宋_GB2312" w:cs="仿宋_GB2312"/>
          <w:color w:val="auto"/>
          <w:sz w:val="32"/>
          <w:szCs w:val="32"/>
          <w:lang w:val="en-US" w:eastAsia="zh-CN"/>
        </w:rPr>
        <w:t>企业培育</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新技术新产品攻关验证</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工业设计</w:t>
      </w:r>
      <w:r>
        <w:rPr>
          <w:rFonts w:hint="eastAsia" w:ascii="仿宋_GB2312" w:hAnsi="仿宋_GB2312" w:eastAsia="仿宋_GB2312" w:cs="仿宋_GB2312"/>
          <w:color w:val="auto"/>
          <w:sz w:val="32"/>
          <w:szCs w:val="32"/>
          <w:lang w:val="en-US" w:eastAsia="zh-CN"/>
        </w:rPr>
        <w:t>等方面给予支持。（区经信局、区发改委、西集镇政府）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color w:val="auto"/>
          <w:lang w:eastAsia="zh-CN"/>
        </w:rPr>
      </w:pPr>
      <w:r>
        <w:rPr>
          <w:rFonts w:hint="eastAsia" w:ascii="CESI楷体-GB2312" w:hAnsi="CESI楷体-GB2312" w:eastAsia="CESI楷体-GB2312" w:cs="CESI楷体-GB2312"/>
          <w:b w:val="0"/>
          <w:bCs w:val="0"/>
          <w:color w:val="auto"/>
          <w:kern w:val="2"/>
          <w:sz w:val="32"/>
          <w:szCs w:val="32"/>
          <w:lang w:val="en-US" w:eastAsia="zh-CN" w:bidi="ar-SA"/>
        </w:rPr>
        <w:t>（二）推动取得</w:t>
      </w:r>
      <w:r>
        <w:rPr>
          <w:rFonts w:hint="default" w:ascii="CESI楷体-GB2312" w:hAnsi="CESI楷体-GB2312" w:eastAsia="CESI楷体-GB2312" w:cs="CESI楷体-GB2312"/>
          <w:b w:val="0"/>
          <w:bCs w:val="0"/>
          <w:color w:val="auto"/>
          <w:kern w:val="2"/>
          <w:sz w:val="32"/>
          <w:szCs w:val="32"/>
          <w:lang w:val="en-US" w:eastAsia="zh-CN" w:bidi="ar-SA"/>
        </w:rPr>
        <w:t>特医食品生产许可</w:t>
      </w:r>
      <w:r>
        <w:rPr>
          <w:rFonts w:hint="eastAsia" w:ascii="CESI楷体-GB2312" w:hAnsi="CESI楷体-GB2312" w:eastAsia="CESI楷体-GB2312" w:cs="CESI楷体-GB2312"/>
          <w:b w:val="0"/>
          <w:bCs w:val="0"/>
          <w:color w:val="auto"/>
          <w:kern w:val="2"/>
          <w:sz w:val="32"/>
          <w:szCs w:val="32"/>
          <w:lang w:val="en-US" w:eastAsia="zh-CN" w:bidi="ar-SA"/>
        </w:rPr>
        <w:t xml:space="preserve">。 </w:t>
      </w:r>
      <w:r>
        <w:rPr>
          <w:rFonts w:hint="eastAsia" w:ascii="仿宋_GB2312" w:hAnsi="仿宋_GB2312" w:eastAsia="仿宋_GB2312" w:cs="仿宋_GB2312"/>
          <w:i w:val="0"/>
          <w:caps w:val="0"/>
          <w:color w:val="auto"/>
          <w:spacing w:val="0"/>
          <w:kern w:val="0"/>
          <w:sz w:val="32"/>
          <w:szCs w:val="32"/>
          <w:lang w:val="en-US" w:eastAsia="zh-CN" w:bidi="ar"/>
        </w:rPr>
        <w:t>区市场局采取提前介入方式，组织工作人员认真研究政策，为企业解读申报材料要求、办理流程，积极协调北京市市场监督管理局简化程序压缩审批时限，尽快取得</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特医食品</w:t>
      </w:r>
      <w:r>
        <w:rPr>
          <w:rFonts w:hint="default" w:ascii="仿宋_GB2312" w:hAnsi="仿宋_GB2312" w:eastAsia="仿宋_GB2312" w:cs="仿宋_GB2312"/>
          <w:i w:val="0"/>
          <w:caps w:val="0"/>
          <w:color w:val="auto"/>
          <w:spacing w:val="0"/>
          <w:kern w:val="0"/>
          <w:sz w:val="32"/>
          <w:szCs w:val="32"/>
          <w:lang w:val="en-US" w:eastAsia="zh-CN" w:bidi="ar"/>
        </w:rPr>
        <w:t>生产许可证</w:t>
      </w:r>
      <w:r>
        <w:rPr>
          <w:rFonts w:hint="eastAsia" w:ascii="仿宋_GB2312" w:hAnsi="仿宋_GB2312" w:eastAsia="仿宋_GB2312" w:cs="仿宋_GB2312"/>
          <w:i w:val="0"/>
          <w:caps w:val="0"/>
          <w:color w:val="auto"/>
          <w:spacing w:val="0"/>
          <w:kern w:val="0"/>
          <w:sz w:val="32"/>
          <w:szCs w:val="32"/>
          <w:lang w:val="en-US" w:eastAsia="zh-CN" w:bidi="ar"/>
        </w:rPr>
        <w:t>，提前投入生产。（区市场局）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kern w:val="2"/>
          <w:sz w:val="32"/>
          <w:szCs w:val="32"/>
          <w:lang w:val="en-US" w:eastAsia="zh-CN" w:bidi="ar-SA"/>
        </w:rPr>
      </w:pPr>
      <w:r>
        <w:rPr>
          <w:rFonts w:hint="eastAsia" w:ascii="CESI楷体-GB2312" w:hAnsi="CESI楷体-GB2312" w:eastAsia="CESI楷体-GB2312" w:cs="CESI楷体-GB2312"/>
          <w:b w:val="0"/>
          <w:bCs w:val="0"/>
          <w:color w:val="auto"/>
          <w:kern w:val="2"/>
          <w:sz w:val="32"/>
          <w:szCs w:val="32"/>
          <w:lang w:val="en-US" w:eastAsia="zh-CN" w:bidi="ar-SA"/>
        </w:rPr>
        <w:t>（三）</w:t>
      </w:r>
      <w:r>
        <w:rPr>
          <w:rFonts w:hint="eastAsia" w:ascii="CESI楷体-GB2312" w:hAnsi="CESI楷体-GB2312" w:eastAsia="CESI楷体-GB2312" w:cs="CESI楷体-GB2312"/>
          <w:b w:val="0"/>
          <w:bCs w:val="0"/>
          <w:color w:val="auto"/>
          <w:sz w:val="32"/>
          <w:szCs w:val="32"/>
          <w:lang w:eastAsia="zh-CN"/>
        </w:rPr>
        <w:t>助力特医食品注册。</w:t>
      </w:r>
      <w:r>
        <w:rPr>
          <w:rFonts w:hint="eastAsia" w:ascii="仿宋_GB2312" w:hAnsi="仿宋_GB2312" w:eastAsia="仿宋_GB2312" w:cs="仿宋_GB2312"/>
          <w:i w:val="0"/>
          <w:caps w:val="0"/>
          <w:color w:val="auto"/>
          <w:spacing w:val="0"/>
          <w:kern w:val="0"/>
          <w:sz w:val="32"/>
          <w:szCs w:val="32"/>
          <w:lang w:val="en-US" w:eastAsia="zh-CN" w:bidi="ar"/>
        </w:rPr>
        <w:t>帮扶</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特医食品</w:t>
      </w:r>
      <w:r>
        <w:rPr>
          <w:rFonts w:hint="eastAsia" w:ascii="仿宋_GB2312" w:hAnsi="仿宋_GB2312" w:eastAsia="仿宋_GB2312" w:cs="仿宋_GB2312"/>
          <w:i w:val="0"/>
          <w:caps w:val="0"/>
          <w:color w:val="auto"/>
          <w:spacing w:val="0"/>
          <w:kern w:val="0"/>
          <w:sz w:val="32"/>
          <w:szCs w:val="32"/>
          <w:lang w:val="en-US" w:eastAsia="zh-CN" w:bidi="ar"/>
        </w:rPr>
        <w:t>生产获证能力的企业，争取国家市场监督管理总局和北京市市场监督管理局支持，协调助力企业产品申请特医食品注册。</w:t>
      </w:r>
      <w:r>
        <w:rPr>
          <w:rFonts w:hint="eastAsia" w:ascii="仿宋_GB2312" w:hAnsi="仿宋_GB2312" w:eastAsia="仿宋_GB2312" w:cs="仿宋_GB2312"/>
          <w:color w:val="auto"/>
          <w:sz w:val="32"/>
          <w:szCs w:val="32"/>
          <w:lang w:val="en-US" w:eastAsia="zh-CN"/>
        </w:rPr>
        <w:t xml:space="preserve"> （区市场局）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二、规范特医食品经营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auto"/>
          <w:sz w:val="32"/>
          <w:szCs w:val="32"/>
          <w:lang w:val="en-US" w:eastAsia="zh-CN"/>
        </w:rPr>
      </w:pPr>
      <w:r>
        <w:rPr>
          <w:rFonts w:hint="eastAsia" w:ascii="CESI楷体-GB2312" w:hAnsi="CESI楷体-GB2312" w:eastAsia="CESI楷体-GB2312" w:cs="CESI楷体-GB2312"/>
          <w:b w:val="0"/>
          <w:bCs w:val="0"/>
          <w:color w:val="auto"/>
          <w:sz w:val="32"/>
          <w:szCs w:val="32"/>
          <w:lang w:eastAsia="zh-CN"/>
        </w:rPr>
        <w:t>（一）规范</w:t>
      </w:r>
      <w:r>
        <w:rPr>
          <w:rFonts w:hint="eastAsia" w:ascii="CESI楷体-GB2312" w:hAnsi="CESI楷体-GB2312" w:eastAsia="CESI楷体-GB2312" w:cs="CESI楷体-GB2312"/>
          <w:b w:val="0"/>
          <w:bCs w:val="0"/>
          <w:color w:val="auto"/>
          <w:sz w:val="32"/>
          <w:szCs w:val="32"/>
          <w:lang w:val="en-US" w:eastAsia="zh-CN"/>
        </w:rPr>
        <w:t>医疗机构特医食品经营资质</w:t>
      </w:r>
      <w:r>
        <w:rPr>
          <w:rFonts w:hint="eastAsia" w:ascii="CESI楷体-GB2312" w:hAnsi="CESI楷体-GB2312" w:eastAsia="CESI楷体-GB2312" w:cs="CESI楷体-GB2312"/>
          <w:b w:val="0"/>
          <w:bCs w:val="0"/>
          <w:color w:val="auto"/>
          <w:sz w:val="32"/>
          <w:szCs w:val="32"/>
          <w:lang w:eastAsia="zh-CN"/>
        </w:rPr>
        <w:t>办理</w:t>
      </w:r>
      <w:r>
        <w:rPr>
          <w:rFonts w:hint="eastAsia" w:ascii="CESI楷体-GB2312" w:hAnsi="CESI楷体-GB2312" w:eastAsia="CESI楷体-GB2312" w:cs="CESI楷体-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医疗机构经营特医食品应取得预包装食品经营备案。非营利性医疗机构办理食品经营备案，仅限于经营与诊疗服务密切相关的特殊医学用途配方食品，不应从事普通预包装食品、保健食品等与诊疗服务无关的食品销售活动。</w:t>
      </w:r>
      <w:r>
        <w:rPr>
          <w:rFonts w:hint="eastAsia" w:ascii="仿宋_GB2312" w:hAnsi="仿宋_GB2312" w:eastAsia="仿宋_GB2312" w:cs="仿宋_GB2312"/>
          <w:b w:val="0"/>
          <w:bCs w:val="0"/>
          <w:color w:val="auto"/>
          <w:sz w:val="32"/>
          <w:szCs w:val="32"/>
          <w:lang w:eastAsia="zh-CN"/>
        </w:rPr>
        <w:t>区市场监管部门帮扶指导医疗机构办理</w:t>
      </w:r>
      <w:r>
        <w:rPr>
          <w:rFonts w:hint="eastAsia" w:ascii="仿宋_GB2312" w:hAnsi="仿宋_GB2312" w:eastAsia="仿宋_GB2312" w:cs="仿宋_GB2312"/>
          <w:b w:val="0"/>
          <w:bCs w:val="0"/>
          <w:color w:val="auto"/>
          <w:sz w:val="32"/>
          <w:szCs w:val="32"/>
          <w:lang w:val="en-US" w:eastAsia="zh-CN"/>
        </w:rPr>
        <w:t>预包装食品经营备案</w:t>
      </w:r>
      <w:r>
        <w:rPr>
          <w:rFonts w:hint="eastAsia" w:ascii="仿宋_GB2312" w:hAnsi="仿宋_GB2312" w:eastAsia="仿宋_GB2312" w:cs="仿宋_GB2312"/>
          <w:b w:val="0"/>
          <w:bCs w:val="0"/>
          <w:color w:val="auto"/>
          <w:sz w:val="32"/>
          <w:szCs w:val="32"/>
          <w:lang w:eastAsia="zh-CN"/>
        </w:rPr>
        <w:t>。提倡依托</w:t>
      </w:r>
      <w:r>
        <w:rPr>
          <w:rFonts w:hint="eastAsia" w:ascii="仿宋_GB2312" w:hAnsi="仿宋_GB2312" w:eastAsia="仿宋_GB2312" w:cs="仿宋_GB2312"/>
          <w:b w:val="0"/>
          <w:bCs w:val="0"/>
          <w:color w:val="auto"/>
          <w:sz w:val="32"/>
          <w:szCs w:val="32"/>
          <w:lang w:val="en-US" w:eastAsia="zh-CN"/>
        </w:rPr>
        <w:t>北京市企业服务“e窗通”平台，</w:t>
      </w:r>
      <w:r>
        <w:rPr>
          <w:rFonts w:hint="eastAsia" w:ascii="仿宋_GB2312" w:hAnsi="仿宋_GB2312" w:eastAsia="仿宋_GB2312" w:cs="仿宋_GB2312"/>
          <w:b w:val="0"/>
          <w:bCs w:val="0"/>
          <w:color w:val="auto"/>
          <w:sz w:val="32"/>
          <w:szCs w:val="32"/>
          <w:lang w:eastAsia="zh-CN"/>
        </w:rPr>
        <w:t>畅通医疗机构特医食品经营备案渠道，实施医疗机构特医食品经营备案全流程在线办理。（区市场局）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（二）拓展特医食品经营渠道。</w:t>
      </w:r>
      <w:r>
        <w:rPr>
          <w:rFonts w:hint="eastAsia" w:ascii="仿宋_GB2312" w:hAnsi="仿宋_GB2312" w:eastAsia="仿宋_GB2312" w:cs="仿宋_GB2312"/>
          <w:b w:val="0"/>
          <w:bCs w:val="0"/>
          <w:color w:val="auto"/>
          <w:sz w:val="32"/>
          <w:szCs w:val="32"/>
          <w:lang w:val="en-US" w:eastAsia="zh-CN"/>
        </w:rPr>
        <w:t>鼓励零售药店设置特医食品规范销售点。</w:t>
      </w:r>
      <w:r>
        <w:rPr>
          <w:rFonts w:hint="eastAsia" w:ascii="仿宋_GB2312" w:hAnsi="仿宋_GB2312" w:eastAsia="仿宋_GB2312" w:cs="仿宋_GB2312"/>
          <w:b w:val="0"/>
          <w:bCs w:val="0"/>
          <w:color w:val="auto"/>
          <w:sz w:val="32"/>
          <w:szCs w:val="32"/>
          <w:lang w:eastAsia="zh-CN"/>
        </w:rPr>
        <w:t>鼓励网络平台开设特医食品专营频道，提供营养师在线咨询服务。（区市场局）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15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（三）落实特医食品经营主体责任。</w:t>
      </w:r>
      <w:r>
        <w:rPr>
          <w:rFonts w:hint="eastAsia" w:ascii="仿宋_GB2312" w:hAnsi="仿宋_GB2312" w:eastAsia="仿宋_GB2312" w:cs="仿宋_GB2312"/>
          <w:b w:val="0"/>
          <w:bCs w:val="0"/>
          <w:color w:val="auto"/>
          <w:sz w:val="32"/>
          <w:szCs w:val="32"/>
          <w:lang w:eastAsia="zh-CN"/>
        </w:rPr>
        <w:t>经营特医食品的药店、医疗机构应严格遵守食品安全法律法规和技术规范，建立和完善特医食品供应商管理、进货查验、贮存、销售使用档案、从业人员健康管理、食品安全自查、应急处置等管理制度；配备专职或者兼职食品安全管理人员，对食品安全管理人员进行食品安全法律、法规等相关知识的培训，经考核不具备食品安全管理能力的，不得上岗。重点检查特医食品进货和贮存等是否符合法律法规和食品安全标准要求，是否存在违规经营、违规宣传疾病预防治疗功能等行为。（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（四） 规范网络平台内经营者经营秩序。</w:t>
      </w:r>
      <w:r>
        <w:rPr>
          <w:rFonts w:hint="eastAsia" w:ascii="仿宋_GB2312" w:hAnsi="仿宋_GB2312" w:eastAsia="仿宋_GB2312" w:cs="仿宋_GB2312"/>
          <w:b w:val="0"/>
          <w:bCs w:val="0"/>
          <w:color w:val="auto"/>
          <w:sz w:val="32"/>
          <w:szCs w:val="32"/>
          <w:lang w:eastAsia="zh-CN"/>
        </w:rPr>
        <w:t>指导网络平台内经营者严格遵循《网络销售特殊食品安全合规指南》进行特医食品经营。对网络经营特医食品进行非现场监管，重点监管特医食品与普通食品混放销售、特定全营养用途配方食品违规网络经营、特医食品违规网络宣传等违法行为。（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（五）抽检保障特医食品质量安全。</w:t>
      </w:r>
      <w:r>
        <w:rPr>
          <w:rFonts w:hint="eastAsia" w:ascii="仿宋_GB2312" w:hAnsi="仿宋_GB2312" w:eastAsia="仿宋_GB2312" w:cs="仿宋_GB2312"/>
          <w:b w:val="0"/>
          <w:bCs w:val="0"/>
          <w:color w:val="auto"/>
          <w:sz w:val="32"/>
          <w:szCs w:val="32"/>
          <w:lang w:val="en-US" w:eastAsia="zh-CN"/>
        </w:rPr>
        <w:t>对医疗机构、药店、母婴店、商场超市等销售的特医食品开展监督抽查和风险监测，覆盖国产和进口特医食品，重点检测维生素、矿物质等质量指标以及微生物、生物毒素等安全指标。（区市场局）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三、规范特医食品使用</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（一）健全临床营养管理体系。</w:t>
      </w:r>
      <w:r>
        <w:rPr>
          <w:rFonts w:hint="eastAsia" w:ascii="仿宋_GB2312" w:hAnsi="仿宋_GB2312" w:eastAsia="仿宋_GB2312" w:cs="仿宋_GB2312"/>
          <w:b w:val="0"/>
          <w:bCs w:val="0"/>
          <w:color w:val="auto"/>
          <w:sz w:val="32"/>
          <w:szCs w:val="32"/>
          <w:lang w:eastAsia="zh-CN"/>
        </w:rPr>
        <w:t>经营特医食品的医疗机构应严格遵守食品安全法律法规和技术规范，建立和完善特医食品供应商评价、进货查验、贮存、销售使用档案、从业人员健康管理、食品安全自查、应急处置等管理制度；配备专职或者兼职食品安全管理人员，对食品安全管理人员进行食品安全法律、法规等相关知识的培训，经考核合格后上岗。重点检查特医食品进货和贮存等是否符合法律法规和食品安全标准要求，贮存、销售特医食品时应当设立专门的销售区域，并在显著位置设立提示牌，注明“特殊医学用途配方食品销售专区（或专柜）”字样，标识清晰醒目；</w:t>
      </w:r>
      <w:r>
        <w:rPr>
          <w:rFonts w:hint="eastAsia" w:ascii="仿宋_GB2312" w:hAnsi="仿宋_GB2312" w:eastAsia="仿宋_GB2312" w:cs="仿宋_GB2312"/>
          <w:color w:val="auto"/>
          <w:sz w:val="32"/>
          <w:szCs w:val="32"/>
          <w:highlight w:val="none"/>
        </w:rPr>
        <w:t>从事相关工作的医师或临床营养技师等应当经临床营养专业教育或培训，以及特医食品使用知识和规范化管理培训</w:t>
      </w:r>
      <w:r>
        <w:rPr>
          <w:rFonts w:hint="eastAsia" w:ascii="仿宋_GB2312" w:hAnsi="仿宋_GB2312" w:eastAsia="仿宋_GB2312" w:cs="仿宋_GB2312"/>
          <w:color w:val="auto"/>
          <w:sz w:val="32"/>
          <w:szCs w:val="32"/>
          <w:highlight w:val="none"/>
          <w:lang w:eastAsia="zh-CN"/>
        </w:rPr>
        <w:t>；严禁以特医食品名义销售或使用未经国家注册批准，明示或者暗示可以用于满足进食受限、消化吸收障碍、代谢紊乱或者特定疾病人群对营养素或膳食的特殊需要的食品。</w:t>
      </w:r>
      <w:r>
        <w:rPr>
          <w:rFonts w:hint="eastAsia" w:ascii="仿宋_GB2312" w:hAnsi="仿宋_GB2312" w:eastAsia="仿宋_GB2312" w:cs="仿宋_GB2312"/>
          <w:b w:val="0"/>
          <w:bCs w:val="0"/>
          <w:color w:val="auto"/>
          <w:sz w:val="32"/>
          <w:szCs w:val="32"/>
          <w:lang w:eastAsia="zh-CN"/>
        </w:rPr>
        <w:t>（区卫健委）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（二）纳入医院管理信息系统规范管理。</w:t>
      </w:r>
      <w:r>
        <w:rPr>
          <w:rFonts w:hint="eastAsia" w:ascii="仿宋_GB2312" w:hAnsi="仿宋_GB2312" w:eastAsia="仿宋_GB2312" w:cs="仿宋_GB2312"/>
          <w:b w:val="0"/>
          <w:bCs w:val="0"/>
          <w:color w:val="auto"/>
          <w:sz w:val="32"/>
          <w:szCs w:val="32"/>
          <w:lang w:eastAsia="zh-CN"/>
        </w:rPr>
        <w:t>鼓励医疗机构将特医食品纳入医疗机构信息系统</w:t>
      </w:r>
      <w:r>
        <w:rPr>
          <w:rFonts w:hint="eastAsia" w:ascii="CESI楷体-GB2312" w:hAnsi="CESI楷体-GB2312" w:eastAsia="CESI楷体-GB2312" w:cs="CESI楷体-GB2312"/>
          <w:b w:val="0"/>
          <w:bCs w:val="0"/>
          <w:color w:val="auto"/>
          <w:sz w:val="32"/>
          <w:szCs w:val="32"/>
          <w:lang w:eastAsia="zh-CN"/>
        </w:rPr>
        <w:t>（</w:t>
      </w:r>
      <w:r>
        <w:rPr>
          <w:rFonts w:hint="eastAsia" w:ascii="CESI楷体-GB2312" w:hAnsi="CESI楷体-GB2312" w:eastAsia="CESI楷体-GB2312" w:cs="CESI楷体-GB2312"/>
          <w:b w:val="0"/>
          <w:bCs w:val="0"/>
          <w:color w:val="auto"/>
          <w:sz w:val="32"/>
          <w:szCs w:val="32"/>
          <w:lang w:val="en-US" w:eastAsia="zh-CN"/>
        </w:rPr>
        <w:t>HIS</w:t>
      </w:r>
      <w:r>
        <w:rPr>
          <w:rFonts w:hint="eastAsia" w:ascii="CESI楷体-GB2312" w:hAnsi="CESI楷体-GB2312" w:eastAsia="CESI楷体-GB2312" w:cs="CESI楷体-GB2312"/>
          <w:b w:val="0"/>
          <w:bCs w:val="0"/>
          <w:color w:val="auto"/>
          <w:sz w:val="32"/>
          <w:szCs w:val="32"/>
          <w:lang w:eastAsia="zh-CN"/>
        </w:rPr>
        <w:t>）</w:t>
      </w:r>
      <w:r>
        <w:rPr>
          <w:rFonts w:hint="eastAsia" w:ascii="仿宋_GB2312" w:hAnsi="仿宋_GB2312" w:eastAsia="仿宋_GB2312" w:cs="仿宋_GB2312"/>
          <w:b w:val="0"/>
          <w:bCs w:val="0"/>
          <w:color w:val="auto"/>
          <w:sz w:val="32"/>
          <w:szCs w:val="32"/>
          <w:lang w:eastAsia="zh-CN"/>
        </w:rPr>
        <w:t>信息库规范管理，对接处方、医嘱、收费和库房管理等子系统，实现特医食品使用全过程规范管理。定点医药机构使用特医食品应及时向区医保局进行“使用特医食品编码”。患者在定点医疗机构门诊就医或定点药店自主购买特医食品结算时，可以发生特医食品费用，由定点医药机构单独结算，不使用医保账户结算。（区医保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仿宋_GB2312" w:hAnsi="仿宋_GB2312" w:eastAsia="仿宋_GB2312" w:cs="仿宋_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（三）规范收费管理。</w:t>
      </w:r>
      <w:r>
        <w:rPr>
          <w:rFonts w:hint="eastAsia" w:ascii="仿宋_GB2312" w:hAnsi="仿宋_GB2312" w:eastAsia="仿宋_GB2312" w:cs="仿宋_GB2312"/>
          <w:b w:val="0"/>
          <w:bCs w:val="0"/>
          <w:color w:val="auto"/>
          <w:sz w:val="32"/>
          <w:szCs w:val="32"/>
          <w:lang w:eastAsia="zh-CN"/>
        </w:rPr>
        <w:t>鼓励有条件的医疗机构按照相关要求做好信息业务编码管理，将特医食品销售和使用项目纳入医疗机构相关信息系统。（区卫健委）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（四）开展规范化使用试点。</w:t>
      </w:r>
      <w:r>
        <w:rPr>
          <w:rFonts w:hint="eastAsia" w:ascii="仿宋_GB2312" w:hAnsi="仿宋_GB2312" w:eastAsia="仿宋_GB2312" w:cs="仿宋_GB2312"/>
          <w:b w:val="0"/>
          <w:bCs w:val="0"/>
          <w:color w:val="auto"/>
          <w:sz w:val="32"/>
          <w:szCs w:val="32"/>
          <w:lang w:eastAsia="zh-CN"/>
        </w:rPr>
        <w:t>区卫生健康部门和市场监管部门联合在本区域选取规模和影响力较大的医疗机构开展特医食品规范化经营使用试点，将特医食品使用纳入诊疗规范，通过试点树立标杆，发挥引领作用，并及时总结试点经验适时推广。（区卫健委、区市场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四、保障措施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val="en-US" w:eastAsia="zh-CN"/>
        </w:rPr>
      </w:pPr>
      <w:r>
        <w:rPr>
          <w:rFonts w:hint="eastAsia" w:ascii="CESI楷体-GB2312" w:hAnsi="CESI楷体-GB2312" w:eastAsia="CESI楷体-GB2312" w:cs="CESI楷体-GB2312"/>
          <w:b w:val="0"/>
          <w:bCs w:val="0"/>
          <w:color w:val="auto"/>
          <w:sz w:val="32"/>
          <w:szCs w:val="32"/>
          <w:lang w:val="en-US" w:eastAsia="zh-CN"/>
        </w:rPr>
        <w:t>（一）加强跨部门协作。</w:t>
      </w:r>
      <w:r>
        <w:rPr>
          <w:rFonts w:hint="eastAsia" w:ascii="仿宋_GB2312" w:hAnsi="仿宋_GB2312" w:eastAsia="仿宋_GB2312" w:cs="仿宋_GB2312"/>
          <w:b w:val="0"/>
          <w:bCs w:val="0"/>
          <w:color w:val="auto"/>
          <w:sz w:val="32"/>
          <w:szCs w:val="32"/>
          <w:lang w:val="en-US" w:eastAsia="zh-CN"/>
        </w:rPr>
        <w:t>区市场监管、卫生健康、医疗保障、科技创新、产业发展相关部门，应依托食品安全工作协调机制，加强工作沟通协作，及时研究会商本区域特医食品研发创新、产业发展以及医疗机构特医食品规范化管理中存在的问题和困难，制定有针对性措施加以解决。（区市场局、区科委、区经信局、区卫健委、区医保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val="en-US" w:eastAsia="zh-CN"/>
        </w:rPr>
      </w:pPr>
      <w:r>
        <w:rPr>
          <w:rFonts w:hint="eastAsia" w:ascii="CESI楷体-GB2312" w:hAnsi="CESI楷体-GB2312" w:eastAsia="CESI楷体-GB2312" w:cs="CESI楷体-GB2312"/>
          <w:b w:val="0"/>
          <w:bCs w:val="0"/>
          <w:color w:val="auto"/>
          <w:sz w:val="32"/>
          <w:szCs w:val="32"/>
          <w:lang w:val="en-US" w:eastAsia="zh-CN"/>
        </w:rPr>
        <w:t>（二）加强宣传引导。</w:t>
      </w:r>
      <w:r>
        <w:rPr>
          <w:rFonts w:hint="eastAsia" w:ascii="仿宋_GB2312" w:hAnsi="仿宋_GB2312" w:eastAsia="仿宋_GB2312" w:cs="仿宋_GB2312"/>
          <w:b w:val="0"/>
          <w:bCs w:val="0"/>
          <w:color w:val="auto"/>
          <w:sz w:val="32"/>
          <w:szCs w:val="32"/>
          <w:lang w:val="en-US" w:eastAsia="zh-CN"/>
        </w:rPr>
        <w:t>增进社会对特医食品的科学认知，联合权威媒体制作发布特医食品科普专题，消除社会公众认知瓶颈。</w:t>
      </w:r>
      <w:r>
        <w:rPr>
          <w:rFonts w:hint="eastAsia" w:ascii="仿宋_GB2312" w:hAnsi="仿宋_GB2312" w:eastAsia="仿宋_GB2312" w:cs="仿宋_GB2312"/>
          <w:color w:val="auto"/>
          <w:kern w:val="2"/>
          <w:sz w:val="32"/>
          <w:szCs w:val="32"/>
          <w:lang w:val="en-US" w:eastAsia="zh-CN" w:bidi="ar-SA"/>
        </w:rPr>
        <w:t>开展特医食品进养老机构、进社区养老驿站等宣讲活动，提供老年人营养改善专业指导工作</w:t>
      </w:r>
      <w:r>
        <w:rPr>
          <w:rFonts w:hint="eastAsia" w:ascii="仿宋_GB2312" w:hAnsi="仿宋_GB2312" w:eastAsia="仿宋_GB2312" w:cs="仿宋_GB2312"/>
          <w:b w:val="0"/>
          <w:bCs w:val="0"/>
          <w:color w:val="auto"/>
          <w:sz w:val="32"/>
          <w:szCs w:val="32"/>
          <w:lang w:val="en-US" w:eastAsia="zh-CN"/>
        </w:rPr>
        <w:t>。（区市场局、区卫健委）</w:t>
      </w:r>
    </w:p>
    <w:p>
      <w:pPr>
        <w:rPr>
          <w:color w:val="auto"/>
        </w:rPr>
      </w:pPr>
    </w:p>
    <w:p>
      <w:pPr>
        <w:spacing w:line="600" w:lineRule="exact"/>
        <w:jc w:val="center"/>
        <w:rPr>
          <w:rFonts w:hint="eastAsia" w:ascii="方正小标宋简体" w:hAnsi="宋体" w:eastAsia="方正小标宋简体" w:cs="宋体"/>
          <w:bCs/>
          <w:color w:val="auto"/>
          <w:sz w:val="44"/>
          <w:szCs w:val="24"/>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rPr>
          <w:color w:val="auto"/>
        </w:rPr>
      </w:pPr>
    </w:p>
    <w:sectPr>
      <w:pgSz w:w="11906" w:h="16838"/>
      <w:pgMar w:top="1440" w:right="1134" w:bottom="1440" w:left="1134"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CESI楷体-GB2312">
    <w:panose1 w:val="02000500000000000000"/>
    <w:charset w:val="86"/>
    <w:family w:val="auto"/>
    <w:pitch w:val="default"/>
    <w:sig w:usb0="800002BF" w:usb1="184F6CF8" w:usb2="00000012" w:usb3="00000000" w:csb0="0004000F"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D450F8"/>
    <w:multiLevelType w:val="singleLevel"/>
    <w:tmpl w:val="DCD450F8"/>
    <w:lvl w:ilvl="0" w:tentative="0">
      <w:start w:val="1"/>
      <w:numFmt w:val="chineseCounting"/>
      <w:suff w:val="nothing"/>
      <w:lvlText w:val="（%1）"/>
      <w:lvlJc w:val="left"/>
      <w:pPr>
        <w:ind w:left="-1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DA2927"/>
    <w:rsid w:val="0B365A04"/>
    <w:rsid w:val="1EDA2927"/>
    <w:rsid w:val="2D1A02BA"/>
    <w:rsid w:val="3F3E26F4"/>
    <w:rsid w:val="63FD44AA"/>
    <w:rsid w:val="6845330A"/>
    <w:rsid w:val="6B2FA81F"/>
    <w:rsid w:val="6BAEF908"/>
    <w:rsid w:val="6EEB67B5"/>
    <w:rsid w:val="734A0682"/>
    <w:rsid w:val="77E2F99D"/>
    <w:rsid w:val="7DFFAF67"/>
    <w:rsid w:val="7F8FE5F5"/>
    <w:rsid w:val="AFCED5B1"/>
    <w:rsid w:val="B53474E9"/>
    <w:rsid w:val="CEE10BA7"/>
    <w:rsid w:val="D76E5EAF"/>
    <w:rsid w:val="D8F90E78"/>
    <w:rsid w:val="EDFFBD13"/>
    <w:rsid w:val="FBDD0219"/>
    <w:rsid w:val="FBED2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BodyText"/>
    <w:basedOn w:val="1"/>
    <w:next w:val="1"/>
    <w:qFormat/>
    <w:uiPriority w:val="0"/>
    <w:pPr>
      <w:spacing w:after="120"/>
      <w:jc w:val="both"/>
      <w:textAlignment w:val="baseline"/>
    </w:pPr>
    <w:rPr>
      <w:rFonts w:ascii="Calibri" w:hAnsi="Calibri" w:eastAsia="宋体"/>
      <w:kern w:val="2"/>
      <w:sz w:val="21"/>
      <w:szCs w:val="24"/>
      <w:lang w:val="en-US" w:eastAsia="zh-CN" w:bidi="ar-SA"/>
    </w:rPr>
  </w:style>
  <w:style w:type="paragraph" w:styleId="3">
    <w:name w:val="Body Text Indent"/>
    <w:basedOn w:val="1"/>
    <w:qFormat/>
    <w:uiPriority w:val="0"/>
    <w:pPr>
      <w:ind w:firstLine="570"/>
    </w:pPr>
    <w:rPr>
      <w:rFonts w:ascii="Times New Roman" w:hAnsi="Times New Roman" w:eastAsia="仿宋_GB2312"/>
      <w:color w:val="0000FF"/>
      <w:sz w:val="28"/>
      <w:szCs w:val="28"/>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9</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2020-11-02T18:14:00Z</dcterms:created>
  <dc:creator>通州区政府</dc:creator>
  <cp:lastModifiedBy>user</cp:lastModifiedBy>
  <cp:lastPrinted>2020-11-02T18:18:00Z</cp:lastPrinted>
  <dcterms:modified xsi:type="dcterms:W3CDTF">2026-09-17T10:42:22Z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4119F54BE5CC059585FAA86AEA272F47_43</vt:lpwstr>
  </property>
</Properties>
</file>