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AutoHyphens/>
        <w:wordWrap/>
        <w:topLinePunct w:val="0"/>
        <w:bidi w:val="0"/>
        <w:adjustRightInd/>
        <w:spacing w:line="560" w:lineRule="exact"/>
        <w:ind w:left="0"/>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关于促进特殊医学用途配方食品产业</w:t>
      </w:r>
    </w:p>
    <w:p>
      <w:pPr>
        <w:keepNext w:val="0"/>
        <w:keepLines w:val="0"/>
        <w:pageBreakBefore w:val="0"/>
        <w:widowControl w:val="0"/>
        <w:suppressAutoHyphens/>
        <w:wordWrap/>
        <w:topLinePunct w:val="0"/>
        <w:bidi w:val="0"/>
        <w:adjustRightInd/>
        <w:spacing w:line="560" w:lineRule="exact"/>
        <w:ind w:left="0"/>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高质量发展的指导意见</w:t>
      </w:r>
    </w:p>
    <w:p>
      <w:pPr>
        <w:keepNext w:val="0"/>
        <w:keepLines w:val="0"/>
        <w:pageBreakBefore w:val="0"/>
        <w:widowControl w:val="0"/>
        <w:suppressAutoHyphens/>
        <w:wordWrap/>
        <w:topLinePunct w:val="0"/>
        <w:bidi w:val="0"/>
        <w:adjustRightInd/>
        <w:spacing w:line="560" w:lineRule="exact"/>
        <w:ind w:left="0"/>
        <w:jc w:val="center"/>
        <w:textAlignment w:val="auto"/>
        <w:rPr>
          <w:rStyle w:val="11"/>
          <w:rFonts w:hint="eastAsia" w:ascii="方正小标宋简体" w:hAnsi="方正小标宋简体" w:eastAsia="方正小标宋简体" w:cs="方正小标宋简体"/>
          <w:b w:val="0"/>
          <w:bCs/>
          <w:i w:val="0"/>
          <w:caps w:val="0"/>
          <w:color w:val="404040"/>
          <w:spacing w:val="0"/>
          <w:sz w:val="44"/>
          <w:szCs w:val="44"/>
          <w:vertAlign w:val="baseline"/>
        </w:rPr>
      </w:pPr>
      <w:r>
        <w:rPr>
          <w:rFonts w:hint="eastAsia" w:ascii="方正小标宋简体" w:hAnsi="方正小标宋简体" w:eastAsia="方正小标宋简体" w:cs="方正小标宋简体"/>
          <w:kern w:val="2"/>
          <w:sz w:val="44"/>
          <w:szCs w:val="44"/>
          <w:lang w:val="en-US" w:eastAsia="zh-CN"/>
        </w:rPr>
        <w:t>（</w:t>
      </w:r>
      <w:r>
        <w:rPr>
          <w:rFonts w:hint="eastAsia" w:ascii="方正小标宋简体" w:hAnsi="方正小标宋简体" w:eastAsia="方正小标宋简体" w:cs="方正小标宋简体"/>
          <w:kern w:val="2"/>
          <w:sz w:val="44"/>
          <w:szCs w:val="44"/>
          <w:lang w:eastAsia="zh-CN"/>
        </w:rPr>
        <w:t>征求意见稿）</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default" w:ascii="仿宋_GB2312" w:hAnsi="仿宋_GB2312" w:eastAsia="仿宋_GB2312" w:cs="仿宋_GB2312"/>
          <w:i w:val="0"/>
          <w:caps w:val="0"/>
          <w:color w:val="222222"/>
          <w:spacing w:val="0"/>
          <w:sz w:val="32"/>
          <w:szCs w:val="32"/>
          <w:u w:val="none"/>
          <w:shd w:val="clear" w:color="auto" w:fill="FFFFFF"/>
        </w:rPr>
        <w:t>特殊医学用途配方食品（以下简称“特医食品”）作为临床营养治疗的重要载体，能够为进食受限、消化吸收障碍及特定疾病等人群提供营养支持，对于改善患者营养状况、促进疾病康复、提升生活质量具有重要作用。为抢抓特医食品产业发展机遇，发挥平谷区食品产业基础、现代食品营养谷和区域康养资源优势，进一步完善特医食品临床应用和产业发展环境，推动研发、生产、流通、应用协同发展，促进特医食品产业高质量发展，现提出如下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国标黑体" w:hAnsi="国标黑体" w:eastAsia="国标黑体" w:cs="国标黑体"/>
          <w:i w:val="0"/>
          <w:caps w:val="0"/>
          <w:color w:val="222222"/>
          <w:spacing w:val="0"/>
          <w:sz w:val="32"/>
          <w:szCs w:val="32"/>
          <w:u w:val="none"/>
          <w:shd w:val="clear" w:color="auto" w:fill="FFFFFF"/>
        </w:rPr>
        <w:t>一、完善特医食品使用管理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（一）建立跨部门协作机制。</w:t>
      </w:r>
      <w:r>
        <w:rPr>
          <w:rFonts w:hint="default" w:ascii="仿宋_GB2312" w:hAnsi="仿宋_GB2312" w:eastAsia="仿宋_GB2312" w:cs="仿宋_GB2312"/>
          <w:i w:val="0"/>
          <w:caps w:val="0"/>
          <w:color w:val="222222"/>
          <w:spacing w:val="0"/>
          <w:sz w:val="32"/>
          <w:szCs w:val="32"/>
          <w:u w:val="none"/>
          <w:shd w:val="clear" w:color="auto" w:fill="FFFFFF"/>
        </w:rPr>
        <w:t>建立健全特医食品工作沟通协调机制，强化市场监管、卫生健康、医疗保障等部门协同，及时研究解决特医食品产业发展和医疗机构使用中的堵点难点，形成政策协同、信息共享、联合指导的工作机制。加强与市级部门和相关专业机构沟通衔接，积极争取政策、项目和资源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（二）加强临床营养能力建设。</w:t>
      </w:r>
      <w:r>
        <w:rPr>
          <w:rFonts w:hint="default" w:ascii="仿宋_GB2312" w:hAnsi="仿宋_GB2312" w:eastAsia="仿宋_GB2312" w:cs="仿宋_GB2312"/>
          <w:i w:val="0"/>
          <w:caps w:val="0"/>
          <w:color w:val="222222"/>
          <w:spacing w:val="0"/>
          <w:sz w:val="32"/>
          <w:szCs w:val="32"/>
          <w:u w:val="none"/>
          <w:shd w:val="clear" w:color="auto" w:fill="FFFFFF"/>
        </w:rPr>
        <w:t>鼓励有条件的医疗机构加强临床营养科建设，将营养筛查、营养评估和营养干预融入临床诊疗，重点关注老年人、婴幼儿、肿瘤患者及手术患者等重点人群。支持医疗机构开展临床营养相关研究和专业评估，探索建立疾病类型、营养需求与特医食品适配关系，提高特医食品临床应用的科学性和规范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（三）健全临床营养管理制度。</w:t>
      </w:r>
      <w:r>
        <w:rPr>
          <w:rFonts w:hint="default" w:ascii="仿宋_GB2312" w:hAnsi="仿宋_GB2312" w:eastAsia="仿宋_GB2312" w:cs="仿宋_GB2312"/>
          <w:i w:val="0"/>
          <w:caps w:val="0"/>
          <w:color w:val="222222"/>
          <w:spacing w:val="0"/>
          <w:sz w:val="32"/>
          <w:szCs w:val="32"/>
          <w:u w:val="none"/>
          <w:shd w:val="clear" w:color="auto" w:fill="FFFFFF"/>
        </w:rPr>
        <w:t>医疗机构应当依法落实食品安全主体责任，完善特医食品供应商评价、进货查验、贮存保管、调配使用、档案管理、食品安全自查和应急处置等制度。加强相关医务人员培训和考核，规范特医食品遴选、采购、储存、调配、临床应用及效果评价，实现全过程规范管理。鼓励有条件的医疗机构建立临床营养管理组织和质量控制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（四）开展医疗机构规范化使用试点。</w:t>
      </w:r>
      <w:r>
        <w:rPr>
          <w:rFonts w:hint="default" w:ascii="仿宋_GB2312" w:hAnsi="仿宋_GB2312" w:eastAsia="仿宋_GB2312" w:cs="仿宋_GB2312"/>
          <w:i w:val="0"/>
          <w:caps w:val="0"/>
          <w:color w:val="222222"/>
          <w:spacing w:val="0"/>
          <w:sz w:val="32"/>
          <w:szCs w:val="32"/>
          <w:u w:val="none"/>
          <w:shd w:val="clear" w:color="auto" w:fill="FFFFFF"/>
        </w:rPr>
        <w:t>选取有条件的医疗机构开展特医食品规范化管理试点，推动特医食品纳入医疗机构信息系统，逐步实现与采购、入库、开具、调配、使用及费用结算等环节衔接，探索形成可复制、可推广的管理模式。适时总结试点经验，在全区医疗机构推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国标黑体" w:hAnsi="国标黑体" w:eastAsia="国标黑体" w:cs="国标黑体"/>
          <w:i w:val="0"/>
          <w:caps w:val="0"/>
          <w:color w:val="222222"/>
          <w:spacing w:val="0"/>
          <w:sz w:val="32"/>
          <w:szCs w:val="32"/>
          <w:u w:val="none"/>
          <w:shd w:val="clear" w:color="auto" w:fill="FFFFFF"/>
        </w:rPr>
        <w:t>二、健全特医食品价费形成机制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（五）规范信息业务编码和费用管理。</w:t>
      </w:r>
      <w:r>
        <w:rPr>
          <w:rFonts w:hint="default" w:ascii="仿宋_GB2312" w:hAnsi="仿宋_GB2312" w:eastAsia="仿宋_GB2312" w:cs="仿宋_GB2312"/>
          <w:i w:val="0"/>
          <w:caps w:val="0"/>
          <w:color w:val="222222"/>
          <w:spacing w:val="0"/>
          <w:sz w:val="32"/>
          <w:szCs w:val="32"/>
          <w:u w:val="none"/>
          <w:shd w:val="clear" w:color="auto" w:fill="FFFFFF"/>
        </w:rPr>
        <w:t>按照国家和北京市有关要求，指导医疗机构、药品零售企业规范做好特医食品信息业务编码维护和使用，防止串换使用。按照有关规定做好特医食品采购、入库、开具、出库和销售等环节管理，规范费用结算。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（六</w:t>
      </w:r>
      <w:r>
        <w:rPr>
          <w:rFonts w:hint="eastAsia" w:ascii="方正楷体_GBK" w:hAnsi="方正楷体_GBK" w:eastAsia="方正楷体_GBK" w:cs="方正楷体_GBK"/>
          <w:i w:val="0"/>
          <w:caps w:val="0"/>
          <w:color w:val="222222"/>
          <w:spacing w:val="0"/>
          <w:sz w:val="32"/>
          <w:szCs w:val="32"/>
          <w:u w:val="none"/>
          <w:shd w:val="clear" w:color="auto" w:fill="FFFFFF"/>
          <w:lang w:eastAsia="zh-CN"/>
        </w:rPr>
        <w:t>）</w:t>
      </w:r>
      <w:r>
        <w:rPr>
          <w:rFonts w:hint="eastAsia" w:ascii="方正楷体_GBK" w:hAnsi="方正楷体_GBK" w:eastAsia="方正楷体_GBK" w:cs="方正楷体_GBK"/>
          <w:i w:val="0"/>
          <w:caps w:val="0"/>
          <w:color w:val="222222"/>
          <w:spacing w:val="0"/>
          <w:sz w:val="32"/>
          <w:szCs w:val="32"/>
          <w:u w:val="none"/>
          <w:shd w:val="clear" w:color="auto" w:fill="FFFFFF"/>
        </w:rPr>
        <w:t>探索合理价格形成机制。</w:t>
      </w:r>
      <w:r>
        <w:rPr>
          <w:rFonts w:hint="default" w:ascii="仿宋_GB2312" w:hAnsi="仿宋_GB2312" w:eastAsia="仿宋_GB2312" w:cs="仿宋_GB2312"/>
          <w:i w:val="0"/>
          <w:caps w:val="0"/>
          <w:color w:val="222222"/>
          <w:spacing w:val="0"/>
          <w:sz w:val="32"/>
          <w:szCs w:val="32"/>
          <w:u w:val="none"/>
          <w:shd w:val="clear" w:color="auto" w:fill="FFFFFF"/>
        </w:rPr>
        <w:t>指导医疗机构结合临床需求、产品使用数量和运营实际，合理确定特医食品经营使用价格，鼓励通过规范采购、议价采购等方式选择质优价宜产品，并做好价格公示。加强价格行为监管，依法查处价格欺诈、哄抬价格和不按规定明码标价等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（七）鼓励商业保险拓展保障范围。</w:t>
      </w:r>
      <w:r>
        <w:rPr>
          <w:rFonts w:hint="default" w:ascii="仿宋_GB2312" w:hAnsi="仿宋_GB2312" w:eastAsia="仿宋_GB2312" w:cs="仿宋_GB2312"/>
          <w:i w:val="0"/>
          <w:caps w:val="0"/>
          <w:color w:val="222222"/>
          <w:spacing w:val="0"/>
          <w:sz w:val="32"/>
          <w:szCs w:val="32"/>
          <w:u w:val="none"/>
          <w:shd w:val="clear" w:color="auto" w:fill="FFFFFF"/>
        </w:rPr>
        <w:t>鼓励商业保险机构结合临床需求和疾病特点，探索开发与特医食品相关的保险产品，推动重点疾病相关特医食品费用逐步纳入补充商业医疗保险等保障范围。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国标黑体" w:hAnsi="国标黑体" w:eastAsia="国标黑体" w:cs="国标黑体"/>
          <w:i w:val="0"/>
          <w:caps w:val="0"/>
          <w:color w:val="222222"/>
          <w:spacing w:val="0"/>
          <w:sz w:val="32"/>
          <w:szCs w:val="32"/>
          <w:u w:val="none"/>
          <w:shd w:val="clear" w:color="auto" w:fill="FFFFFF"/>
        </w:rPr>
        <w:t>三、强化特医食品经营监管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default" w:ascii="方正楷体_GBK" w:hAnsi="方正楷体_GBK" w:eastAsia="方正楷体_GBK" w:cs="方正楷体_GBK"/>
          <w:i w:val="0"/>
          <w:caps w:val="0"/>
          <w:color w:val="222222"/>
          <w:spacing w:val="0"/>
          <w:sz w:val="32"/>
          <w:szCs w:val="32"/>
          <w:u w:val="none"/>
          <w:shd w:val="clear" w:color="auto" w:fill="FFFFFF"/>
        </w:rPr>
        <w:t>（</w:t>
      </w:r>
      <w:r>
        <w:rPr>
          <w:rFonts w:hint="eastAsia" w:ascii="方正楷体_GBK" w:hAnsi="方正楷体_GBK" w:eastAsia="方正楷体_GBK" w:cs="方正楷体_GBK"/>
          <w:i w:val="0"/>
          <w:caps w:val="0"/>
          <w:color w:val="222222"/>
          <w:spacing w:val="0"/>
          <w:sz w:val="32"/>
          <w:szCs w:val="32"/>
          <w:u w:val="none"/>
          <w:shd w:val="clear" w:color="auto" w:fill="FFFFFF"/>
          <w:lang w:eastAsia="zh-CN"/>
        </w:rPr>
        <w:t>八</w:t>
      </w:r>
      <w:r>
        <w:rPr>
          <w:rFonts w:hint="default" w:ascii="方正楷体_GBK" w:hAnsi="方正楷体_GBK" w:eastAsia="方正楷体_GBK" w:cs="方正楷体_GBK"/>
          <w:i w:val="0"/>
          <w:caps w:val="0"/>
          <w:color w:val="222222"/>
          <w:spacing w:val="0"/>
          <w:sz w:val="32"/>
          <w:szCs w:val="32"/>
          <w:u w:val="none"/>
          <w:shd w:val="clear" w:color="auto" w:fill="FFFFFF"/>
        </w:rPr>
        <w:t>）加强医疗机构经营使用监管。</w:t>
      </w:r>
      <w:r>
        <w:rPr>
          <w:rFonts w:hint="default" w:ascii="仿宋_GB2312" w:hAnsi="仿宋_GB2312" w:eastAsia="仿宋_GB2312" w:cs="仿宋_GB2312"/>
          <w:i w:val="0"/>
          <w:caps w:val="0"/>
          <w:color w:val="222222"/>
          <w:spacing w:val="0"/>
          <w:sz w:val="32"/>
          <w:szCs w:val="32"/>
          <w:u w:val="none"/>
          <w:shd w:val="clear" w:color="auto" w:fill="FFFFFF"/>
        </w:rPr>
        <w:t>加强食品经营许可、备案等相关政策宣传和业务指导，推动医疗机构依法依规办理相关手续。市场监管、卫生健康、医疗保障等部门加强协作，结合实际开展特医食品经营管理、临床使用和收费行为检查指导，督促医疗机构落实主体责任。加强特医食品储存管理，严格落实专区（货架）存放和标识要求，保障特医食品质量安全和规范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default" w:ascii="国标黑体" w:hAnsi="国标黑体" w:eastAsia="国标黑体" w:cs="国标黑体"/>
          <w:i w:val="0"/>
          <w:caps w:val="0"/>
          <w:color w:val="222222"/>
          <w:spacing w:val="0"/>
          <w:sz w:val="32"/>
          <w:szCs w:val="32"/>
          <w:u w:val="none"/>
          <w:shd w:val="clear" w:color="auto" w:fill="FFFFFF"/>
        </w:rPr>
        <w:t>四、促进特医食品产业高质量发展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default" w:ascii="方正楷体_GBK" w:hAnsi="方正楷体_GBK" w:eastAsia="方正楷体_GBK" w:cs="方正楷体_GBK"/>
          <w:i w:val="0"/>
          <w:caps w:val="0"/>
          <w:color w:val="222222"/>
          <w:spacing w:val="0"/>
          <w:sz w:val="32"/>
          <w:szCs w:val="32"/>
          <w:u w:val="none"/>
          <w:shd w:val="clear" w:color="auto" w:fill="FFFFFF"/>
        </w:rPr>
        <w:t>（</w:t>
      </w:r>
      <w:r>
        <w:rPr>
          <w:rFonts w:hint="eastAsia" w:ascii="方正楷体_GBK" w:hAnsi="方正楷体_GBK" w:eastAsia="方正楷体_GBK" w:cs="方正楷体_GBK"/>
          <w:i w:val="0"/>
          <w:caps w:val="0"/>
          <w:color w:val="222222"/>
          <w:spacing w:val="0"/>
          <w:sz w:val="32"/>
          <w:szCs w:val="32"/>
          <w:u w:val="none"/>
          <w:shd w:val="clear" w:color="auto" w:fill="FFFFFF"/>
          <w:lang w:eastAsia="zh-CN"/>
        </w:rPr>
        <w:t>九</w:t>
      </w:r>
      <w:r>
        <w:rPr>
          <w:rFonts w:hint="default" w:ascii="方正楷体_GBK" w:hAnsi="方正楷体_GBK" w:eastAsia="方正楷体_GBK" w:cs="方正楷体_GBK"/>
          <w:i w:val="0"/>
          <w:caps w:val="0"/>
          <w:color w:val="222222"/>
          <w:spacing w:val="0"/>
          <w:sz w:val="32"/>
          <w:szCs w:val="32"/>
          <w:u w:val="none"/>
          <w:shd w:val="clear" w:color="auto" w:fill="FFFFFF"/>
        </w:rPr>
        <w:t>）加强特医食品研发创新。</w:t>
      </w:r>
      <w:r>
        <w:rPr>
          <w:rFonts w:hint="default" w:ascii="仿宋_GB2312" w:hAnsi="仿宋_GB2312" w:eastAsia="仿宋_GB2312" w:cs="仿宋_GB2312"/>
          <w:i w:val="0"/>
          <w:caps w:val="0"/>
          <w:color w:val="222222"/>
          <w:spacing w:val="0"/>
          <w:sz w:val="32"/>
          <w:szCs w:val="32"/>
          <w:u w:val="none"/>
          <w:shd w:val="clear" w:color="auto" w:fill="FFFFFF"/>
        </w:rPr>
        <w:t>依托现代食品营养谷科研和产业资源，</w:t>
      </w:r>
      <w:r>
        <w:rPr>
          <w:rFonts w:hint="eastAsia" w:ascii="仿宋_GB2312" w:hAnsi="仿宋_GB2312" w:eastAsia="仿宋_GB2312" w:cs="仿宋_GB2312"/>
          <w:i w:val="0"/>
          <w:caps w:val="0"/>
          <w:color w:val="222222"/>
          <w:spacing w:val="0"/>
          <w:sz w:val="32"/>
          <w:szCs w:val="32"/>
          <w:u w:val="none"/>
          <w:shd w:val="clear" w:color="auto" w:fill="FFFFFF"/>
          <w:lang w:eastAsia="zh-CN"/>
        </w:rPr>
        <w:t>鼓励</w:t>
      </w:r>
      <w:r>
        <w:rPr>
          <w:rFonts w:hint="default" w:ascii="仿宋_GB2312" w:hAnsi="仿宋_GB2312" w:eastAsia="仿宋_GB2312" w:cs="仿宋_GB2312"/>
          <w:i w:val="0"/>
          <w:caps w:val="0"/>
          <w:color w:val="222222"/>
          <w:spacing w:val="0"/>
          <w:sz w:val="32"/>
          <w:szCs w:val="32"/>
          <w:u w:val="none"/>
          <w:shd w:val="clear" w:color="auto" w:fill="FFFFFF"/>
        </w:rPr>
        <w:t>企业与高校、科研院所、医疗机构开展产学研医协同创新，围绕精准营养、功能组方、关键原料和生产工艺等方向开展研发。鼓励企业建设研发平台和技术中心，重点关注临床急需的全营养配方食品、罕见病特医食品、婴幼儿特医食品等产品研发，推动科技成果在平谷转化落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default" w:ascii="方正楷体_GBK" w:hAnsi="方正楷体_GBK" w:eastAsia="方正楷体_GBK" w:cs="方正楷体_GBK"/>
          <w:i w:val="0"/>
          <w:caps w:val="0"/>
          <w:color w:val="222222"/>
          <w:spacing w:val="0"/>
          <w:sz w:val="32"/>
          <w:szCs w:val="32"/>
          <w:u w:val="none"/>
          <w:shd w:val="clear" w:color="auto" w:fill="FFFFFF"/>
        </w:rPr>
        <w:t>（十）强化产业空间和企业落地支持。</w:t>
      </w:r>
      <w:r>
        <w:rPr>
          <w:rFonts w:hint="default" w:ascii="仿宋_GB2312" w:hAnsi="仿宋_GB2312" w:eastAsia="仿宋_GB2312" w:cs="仿宋_GB2312"/>
          <w:i w:val="0"/>
          <w:caps w:val="0"/>
          <w:color w:val="222222"/>
          <w:spacing w:val="0"/>
          <w:sz w:val="32"/>
          <w:szCs w:val="32"/>
          <w:u w:val="none"/>
          <w:shd w:val="clear" w:color="auto" w:fill="FFFFFF"/>
        </w:rPr>
        <w:t>依托现代食品营养谷及区内食品产业空间，积极承接特医食品研发、生产和成果转化项目，推动建设特医食品中试及产业化载体，为企业提供从研发、中试到规模化生产的承载条件。支持符合条件的特医食品企业在平谷投资建厂、增资扩产和转型发展，依法依规落实相关产业支持政策，逐步形成产业集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eastAsia" w:ascii="方正楷体_GBK" w:hAnsi="方正楷体_GBK" w:eastAsia="方正楷体_GBK" w:cs="方正楷体_GBK"/>
          <w:i w:val="0"/>
          <w:caps w:val="0"/>
          <w:color w:val="222222"/>
          <w:spacing w:val="0"/>
          <w:sz w:val="32"/>
          <w:szCs w:val="32"/>
          <w:u w:val="none"/>
          <w:shd w:val="clear" w:color="auto" w:fill="FFFFFF"/>
        </w:rPr>
        <w:t>（十</w:t>
      </w:r>
      <w:r>
        <w:rPr>
          <w:rFonts w:hint="eastAsia" w:ascii="方正楷体_GBK" w:hAnsi="方正楷体_GBK" w:eastAsia="方正楷体_GBK" w:cs="方正楷体_GBK"/>
          <w:i w:val="0"/>
          <w:caps w:val="0"/>
          <w:color w:val="222222"/>
          <w:spacing w:val="0"/>
          <w:sz w:val="32"/>
          <w:szCs w:val="32"/>
          <w:u w:val="none"/>
          <w:shd w:val="clear" w:color="auto" w:fill="FFFFFF"/>
          <w:lang w:eastAsia="zh-CN"/>
        </w:rPr>
        <w:t>一</w:t>
      </w:r>
      <w:r>
        <w:rPr>
          <w:rFonts w:hint="eastAsia" w:ascii="方正楷体_GBK" w:hAnsi="方正楷体_GBK" w:eastAsia="方正楷体_GBK" w:cs="方正楷体_GBK"/>
          <w:i w:val="0"/>
          <w:caps w:val="0"/>
          <w:color w:val="222222"/>
          <w:spacing w:val="0"/>
          <w:sz w:val="32"/>
          <w:szCs w:val="32"/>
          <w:u w:val="none"/>
          <w:shd w:val="clear" w:color="auto" w:fill="FFFFFF"/>
        </w:rPr>
        <w:t>）构建特医食品全链条产业体系。</w:t>
      </w:r>
      <w:r>
        <w:rPr>
          <w:rFonts w:hint="default" w:ascii="仿宋_GB2312" w:hAnsi="仿宋_GB2312" w:eastAsia="仿宋_GB2312" w:cs="仿宋_GB2312"/>
          <w:i w:val="0"/>
          <w:caps w:val="0"/>
          <w:color w:val="222222"/>
          <w:spacing w:val="0"/>
          <w:sz w:val="32"/>
          <w:szCs w:val="32"/>
          <w:u w:val="none"/>
          <w:shd w:val="clear" w:color="auto" w:fill="FFFFFF"/>
        </w:rPr>
        <w:t>以临床需求为导向，以注册合规为底线，以质量安全为保障，推动研发、注册、原料、生产、检验、销售和临床应用有效衔接。发挥平谷食品产业基础和农业资源优势，推动特医食品与食品营养、功能食品、药食同源等产业协同发展，探索形成具有平谷特色的特医食品产业链。</w:t>
      </w:r>
      <w:r>
        <w:rPr>
          <w:rFonts w:hint="eastAsia" w:ascii="仿宋_GB2312" w:hAnsi="仿宋_GB2312" w:eastAsia="仿宋_GB2312" w:cs="仿宋_GB2312"/>
          <w:i w:val="0"/>
          <w:caps w:val="0"/>
          <w:color w:val="222222"/>
          <w:spacing w:val="0"/>
          <w:sz w:val="32"/>
          <w:szCs w:val="32"/>
          <w:u w:val="none"/>
          <w:shd w:val="clear" w:color="auto" w:fill="FFFFFF"/>
          <w:lang w:eastAsia="zh-CN"/>
        </w:rPr>
        <w:t>争取</w:t>
      </w:r>
      <w:r>
        <w:rPr>
          <w:rFonts w:hint="default" w:ascii="仿宋_GB2312" w:hAnsi="仿宋_GB2312" w:eastAsia="仿宋_GB2312" w:cs="仿宋_GB2312"/>
          <w:i w:val="0"/>
          <w:caps w:val="0"/>
          <w:color w:val="222222"/>
          <w:spacing w:val="0"/>
          <w:sz w:val="32"/>
          <w:szCs w:val="32"/>
          <w:u w:val="none"/>
          <w:shd w:val="clear" w:color="auto" w:fill="FFFFFF"/>
        </w:rPr>
        <w:t>高校、科研院所、医疗机构、行业专家和企业组成的特医食品专业服务团队，为企业在产品研发、注册申报、标准制定、检验检测、生产质量控制等方面提供技术支持。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i w:val="0"/>
          <w:caps w:val="0"/>
          <w:color w:val="222222"/>
          <w:spacing w:val="0"/>
          <w:sz w:val="32"/>
          <w:szCs w:val="32"/>
          <w:u w:val="none"/>
          <w:shd w:val="clear" w:color="auto" w:fill="FFFFFF"/>
        </w:rPr>
      </w:pPr>
      <w:r>
        <w:rPr>
          <w:rFonts w:hint="default" w:ascii="方正楷体_GBK" w:hAnsi="方正楷体_GBK" w:eastAsia="方正楷体_GBK" w:cs="方正楷体_GBK"/>
          <w:i w:val="0"/>
          <w:caps w:val="0"/>
          <w:color w:val="222222"/>
          <w:spacing w:val="0"/>
          <w:sz w:val="32"/>
          <w:szCs w:val="32"/>
          <w:u w:val="none"/>
          <w:shd w:val="clear" w:color="auto" w:fill="FFFFFF"/>
        </w:rPr>
        <w:t>（十</w:t>
      </w:r>
      <w:r>
        <w:rPr>
          <w:rFonts w:hint="eastAsia" w:ascii="方正楷体_GBK" w:hAnsi="方正楷体_GBK" w:eastAsia="方正楷体_GBK" w:cs="方正楷体_GBK"/>
          <w:i w:val="0"/>
          <w:caps w:val="0"/>
          <w:color w:val="222222"/>
          <w:spacing w:val="0"/>
          <w:sz w:val="32"/>
          <w:szCs w:val="32"/>
          <w:u w:val="none"/>
          <w:shd w:val="clear" w:color="auto" w:fill="FFFFFF"/>
          <w:lang w:eastAsia="zh-CN"/>
        </w:rPr>
        <w:t>二</w:t>
      </w:r>
      <w:r>
        <w:rPr>
          <w:rFonts w:hint="default" w:ascii="方正楷体_GBK" w:hAnsi="方正楷体_GBK" w:eastAsia="方正楷体_GBK" w:cs="方正楷体_GBK"/>
          <w:i w:val="0"/>
          <w:caps w:val="0"/>
          <w:color w:val="222222"/>
          <w:spacing w:val="0"/>
          <w:sz w:val="32"/>
          <w:szCs w:val="32"/>
          <w:u w:val="none"/>
          <w:shd w:val="clear" w:color="auto" w:fill="FFFFFF"/>
        </w:rPr>
        <w:t>）拓展特医食品应用场景。</w:t>
      </w:r>
      <w:r>
        <w:rPr>
          <w:rFonts w:hint="default" w:ascii="仿宋_GB2312" w:hAnsi="仿宋_GB2312" w:eastAsia="仿宋_GB2312" w:cs="仿宋_GB2312"/>
          <w:i w:val="0"/>
          <w:caps w:val="0"/>
          <w:color w:val="222222"/>
          <w:spacing w:val="0"/>
          <w:sz w:val="32"/>
          <w:szCs w:val="32"/>
          <w:u w:val="none"/>
          <w:shd w:val="clear" w:color="auto" w:fill="FFFFFF"/>
        </w:rPr>
        <w:t>积极探索特医食品在医疗机构、养老机构、社区卫生服务中心等场景的规范应用，推动营养支持向基层延伸。结合老年人营养健康需求，探索开展营养评估、营养档案和个性化营养指导，提升特医食品在康养领域的应用水平。加强特医食品科普宣传，提升医疗机构、养老机构和消费者对特医食品的科学认知和规范使用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caps w:val="0"/>
          <w:color w:val="222222"/>
          <w:spacing w:val="0"/>
          <w:sz w:val="32"/>
          <w:szCs w:val="32"/>
          <w:u w:val="none"/>
          <w:shd w:val="clear" w:color="auto" w:fill="FFFFFF"/>
        </w:rPr>
      </w:pPr>
      <w:r>
        <w:rPr>
          <w:rFonts w:hint="default" w:ascii="方正楷体_GBK" w:hAnsi="方正楷体_GBK" w:eastAsia="方正楷体_GBK" w:cs="方正楷体_GBK"/>
          <w:i w:val="0"/>
          <w:caps w:val="0"/>
          <w:color w:val="222222"/>
          <w:spacing w:val="0"/>
          <w:sz w:val="32"/>
          <w:szCs w:val="32"/>
          <w:u w:val="none"/>
          <w:shd w:val="clear" w:color="auto" w:fill="FFFFFF"/>
        </w:rPr>
        <w:t>（十</w:t>
      </w:r>
      <w:r>
        <w:rPr>
          <w:rFonts w:hint="eastAsia" w:ascii="方正楷体_GBK" w:hAnsi="方正楷体_GBK" w:eastAsia="方正楷体_GBK" w:cs="方正楷体_GBK"/>
          <w:i w:val="0"/>
          <w:caps w:val="0"/>
          <w:color w:val="222222"/>
          <w:spacing w:val="0"/>
          <w:sz w:val="32"/>
          <w:szCs w:val="32"/>
          <w:u w:val="none"/>
          <w:shd w:val="clear" w:color="auto" w:fill="FFFFFF"/>
          <w:lang w:eastAsia="zh-CN"/>
        </w:rPr>
        <w:t>三</w:t>
      </w:r>
      <w:r>
        <w:rPr>
          <w:rFonts w:hint="default" w:ascii="方正楷体_GBK" w:hAnsi="方正楷体_GBK" w:eastAsia="方正楷体_GBK" w:cs="方正楷体_GBK"/>
          <w:i w:val="0"/>
          <w:caps w:val="0"/>
          <w:color w:val="222222"/>
          <w:spacing w:val="0"/>
          <w:sz w:val="32"/>
          <w:szCs w:val="32"/>
          <w:u w:val="none"/>
          <w:shd w:val="clear" w:color="auto" w:fill="FFFFFF"/>
        </w:rPr>
        <w:t>）加强科普宣传和品牌培育。</w:t>
      </w:r>
      <w:r>
        <w:rPr>
          <w:rFonts w:hint="default" w:ascii="仿宋_GB2312" w:hAnsi="仿宋_GB2312" w:eastAsia="仿宋_GB2312" w:cs="仿宋_GB2312"/>
          <w:i w:val="0"/>
          <w:caps w:val="0"/>
          <w:color w:val="222222"/>
          <w:spacing w:val="0"/>
          <w:sz w:val="32"/>
          <w:szCs w:val="32"/>
          <w:u w:val="none"/>
          <w:shd w:val="clear" w:color="auto" w:fill="FFFFFF"/>
        </w:rPr>
        <w:t>开展特医食品进医疗机构、进养老机构、进社区等科普活动，通过科普宣传、新媒体等方式普及特医食品“小蓝花”标识识别、科学选购和规范使用知识。鼓励企业加强品牌建设和市场推广，提升公众对特医食品的科学认知，营造有利于产业健康发展的良好环境。</w:t>
      </w:r>
    </w:p>
    <w:sectPr>
      <w:footerReference r:id="rId3" w:type="default"/>
      <w:pgSz w:w="11906" w:h="16838"/>
      <w:pgMar w:top="2098" w:right="1474" w:bottom="1984" w:left="1587"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iberation Sans">
    <w:altName w:val="DejaVu Sans"/>
    <w:panose1 w:val="020B0604020202020204"/>
    <w:charset w:val="00"/>
    <w:family w:val="swiss"/>
    <w:pitch w:val="default"/>
    <w:sig w:usb0="00000000" w:usb1="00000000" w:usb2="00000000" w:usb3="00000000" w:csb0="6000009F" w:csb1="DFD7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国标黑体">
    <w:altName w:val="方正黑体_GBK"/>
    <w:panose1 w:val="02000500000000000000"/>
    <w:charset w:val="86"/>
    <w:family w:val="auto"/>
    <w:pitch w:val="default"/>
    <w:sig w:usb0="00000000" w:usb1="00000000" w:usb2="00000000" w:usb3="00000000" w:csb0="00060007"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true"/>
  <w:drawingGridHorizontalOrigin w:val="0"/>
  <w:drawingGridVerticalOrigin w:val="0"/>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56085"/>
    <w:rsid w:val="0BB91287"/>
    <w:rsid w:val="0EDF36E7"/>
    <w:rsid w:val="19EEB3F7"/>
    <w:rsid w:val="19EF8712"/>
    <w:rsid w:val="1CD83537"/>
    <w:rsid w:val="28862099"/>
    <w:rsid w:val="2E9B04D3"/>
    <w:rsid w:val="33646D66"/>
    <w:rsid w:val="3B9F65AD"/>
    <w:rsid w:val="3BFF6FA0"/>
    <w:rsid w:val="3CCB47A3"/>
    <w:rsid w:val="3F6F899B"/>
    <w:rsid w:val="3F9BF6C8"/>
    <w:rsid w:val="3FE52940"/>
    <w:rsid w:val="4EE370A0"/>
    <w:rsid w:val="559E53C6"/>
    <w:rsid w:val="5BA97F2E"/>
    <w:rsid w:val="62BB2C98"/>
    <w:rsid w:val="64567C1B"/>
    <w:rsid w:val="65624C91"/>
    <w:rsid w:val="66F77897"/>
    <w:rsid w:val="67BA30C3"/>
    <w:rsid w:val="6B3AA4E0"/>
    <w:rsid w:val="6FE7DBE4"/>
    <w:rsid w:val="7052666C"/>
    <w:rsid w:val="73AEC64A"/>
    <w:rsid w:val="77A6C1B0"/>
    <w:rsid w:val="77DDA7A6"/>
    <w:rsid w:val="77FDD641"/>
    <w:rsid w:val="7952641A"/>
    <w:rsid w:val="7BF46D70"/>
    <w:rsid w:val="7BF46E05"/>
    <w:rsid w:val="7BFD5669"/>
    <w:rsid w:val="7D4FBA24"/>
    <w:rsid w:val="7DB2F18E"/>
    <w:rsid w:val="7EFE0114"/>
    <w:rsid w:val="7F17C8A3"/>
    <w:rsid w:val="7FBC3DC4"/>
    <w:rsid w:val="7FDFA316"/>
    <w:rsid w:val="7FEBDA56"/>
    <w:rsid w:val="976F0C8E"/>
    <w:rsid w:val="B3C9BEDE"/>
    <w:rsid w:val="B3FB5623"/>
    <w:rsid w:val="BA7B23C6"/>
    <w:rsid w:val="BD7FF36F"/>
    <w:rsid w:val="BDEFA113"/>
    <w:rsid w:val="BFEFBEA7"/>
    <w:rsid w:val="CAFEAE89"/>
    <w:rsid w:val="CF6DD7CF"/>
    <w:rsid w:val="D2BD62C7"/>
    <w:rsid w:val="D3636800"/>
    <w:rsid w:val="D44B415E"/>
    <w:rsid w:val="D76B51E6"/>
    <w:rsid w:val="E6B6AD40"/>
    <w:rsid w:val="E8FFB5ED"/>
    <w:rsid w:val="EDEFD20D"/>
    <w:rsid w:val="F7E70601"/>
    <w:rsid w:val="FD3D5F58"/>
    <w:rsid w:val="FDFF7B54"/>
    <w:rsid w:val="FE2FD2D1"/>
    <w:rsid w:val="FE734873"/>
    <w:rsid w:val="FEF153FC"/>
    <w:rsid w:val="FFCBA4E0"/>
    <w:rsid w:val="FFFA3C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3"/>
    <w:qFormat/>
    <w:uiPriority w:val="0"/>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默认段落字体1"/>
    <w:qFormat/>
    <w:uiPriority w:val="0"/>
  </w:style>
  <w:style w:type="paragraph" w:customStyle="1" w:styleId="13">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4">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872</Words>
  <Characters>884</Characters>
  <TotalTime>0</TotalTime>
  <ScaleCrop>false</ScaleCrop>
  <LinksUpToDate>false</LinksUpToDate>
  <CharactersWithSpaces>884</CharactersWithSpaces>
  <Application>WPS Office_11.8.2.9849_F1E327BC-269C-435d-A152-05C5408002CA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2018-12-01T01:47:00Z</dcterms:created>
  <dc:creator>owner</dc:creator>
  <cp:lastModifiedBy>owner</cp:lastModifiedBy>
  <dcterms:modified xsi:type="dcterms:W3CDTF">2026-09-16T08:42:17Z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KSOTemplateDocerSaveRecord">
    <vt:lpwstr>eyJoZGlkIjoiOGIxMmJlNDEwYWZiODViYTZkYjI3OTA0MmM1M2Y3YjYiLCJ1c2VySWQiOiIyNDE4ODE2NTIifQ==</vt:lpwstr>
  </property>
  <property fmtid="{D5CDD505-2E9C-101B-9397-08002B2CF9AE}" pid="4" name="ICV">
    <vt:lpwstr>E7DD256E6CC91D8F6EFDA86A1CC771EC_43</vt:lpwstr>
  </property>
</Properties>
</file>