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《通州区农业产业化重点龙头企业相关管理办法》起草说明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为规范我区农业产业化重点龙头企业申报认定、评审及动态监测工作，区农业农村局起草《北京市通州区农业产业化重点龙头企业申报管理办法（试行）》《北京市通州区农业产业化重点龙头企业认定管理办法（试行）》《北京市通州区农业产业化重点龙头企业动态监测管理办法（试行）》（以下合称《办法》），现就有关起草情况说明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both"/>
        <w:textAlignment w:val="auto"/>
        <w:rPr>
          <w:rFonts w:hint="eastAsia" w:ascii="黑体" w:hAnsi="黑体" w:eastAsia="黑体" w:cs="黑体"/>
          <w:b w:val="0"/>
          <w:i w:val="0"/>
          <w:snapToGrid/>
          <w:color w:val="auto"/>
          <w:spacing w:val="0"/>
          <w:w w:val="100"/>
          <w:sz w:val="36"/>
          <w:szCs w:val="36"/>
          <w:highlight w:val="none"/>
          <w:u w:val="none"/>
          <w:lang w:eastAsia="zh-CN"/>
        </w:rPr>
      </w:pPr>
      <w:r>
        <w:rPr>
          <w:rFonts w:hint="eastAsia" w:ascii="黑体" w:hAnsi="黑体" w:eastAsia="黑体" w:cs="黑体"/>
          <w:b w:val="0"/>
          <w:i w:val="0"/>
          <w:snapToGrid/>
          <w:color w:val="auto"/>
          <w:spacing w:val="0"/>
          <w:w w:val="100"/>
          <w:sz w:val="36"/>
          <w:szCs w:val="36"/>
          <w:highlight w:val="none"/>
          <w:u w:val="none"/>
          <w:lang w:eastAsia="zh-CN"/>
        </w:rPr>
        <w:t>一、起草思路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依据农业农村部、北京市农业农村局关于农业产业化重点龙头企业管理相关制度要求，立足北京城市副中心农业发展实际，坚持企业自愿、公开公正、择优遴选、动态管理原则，建立区级龙头企业申报、认定、监测全链条管理制度。通过明确申报条件、规范评审流程、落实优胜劣汰监测机制，培育壮大辐射带动能力强的农业龙头企业，强化联农带农作用，助力通州区农业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both"/>
        <w:textAlignment w:val="auto"/>
        <w:rPr>
          <w:rFonts w:hint="eastAsia" w:ascii="黑体" w:hAnsi="黑体" w:eastAsia="黑体" w:cs="黑体"/>
          <w:b w:val="0"/>
          <w:i w:val="0"/>
          <w:snapToGrid/>
          <w:color w:val="auto"/>
          <w:spacing w:val="0"/>
          <w:w w:val="100"/>
          <w:sz w:val="36"/>
          <w:szCs w:val="36"/>
          <w:highlight w:val="none"/>
          <w:u w:val="none"/>
          <w:lang w:eastAsia="zh-CN"/>
        </w:rPr>
      </w:pPr>
      <w:r>
        <w:rPr>
          <w:rFonts w:hint="eastAsia" w:ascii="黑体" w:hAnsi="黑体" w:eastAsia="黑体" w:cs="黑体"/>
          <w:b w:val="0"/>
          <w:i w:val="0"/>
          <w:snapToGrid/>
          <w:color w:val="auto"/>
          <w:spacing w:val="0"/>
          <w:w w:val="100"/>
          <w:sz w:val="36"/>
          <w:szCs w:val="36"/>
          <w:highlight w:val="none"/>
          <w:u w:val="none"/>
          <w:lang w:eastAsia="zh-CN"/>
        </w:rPr>
        <w:t>二、起草过程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前期研究：系统研读国家、市级农业产业化重点龙头企业认定与监测管理文件，对标市级指标体系，梳理区级龙头企业管理工作现存短板。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文本编制：结合通州区农业产业现状，区分申报、认定、动态监测三个工作环节，分别起草三项管理办法，设置量化评分标准、申报表、监测表等配套附件。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内部研讨：区农业农村局组织业务科室开展内部研讨，对企业准入门槛、评审规则、监测周期、退出情形等内容反复修改完善，形成征求意见稿。后续按程序征求相关单位意见，吸纳合理建议修改完善，形成本试行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both"/>
        <w:textAlignment w:val="auto"/>
        <w:rPr>
          <w:rFonts w:hint="eastAsia" w:ascii="黑体" w:hAnsi="黑体" w:eastAsia="黑体" w:cs="黑体"/>
          <w:b w:val="0"/>
          <w:i w:val="0"/>
          <w:snapToGrid/>
          <w:color w:val="auto"/>
          <w:spacing w:val="0"/>
          <w:w w:val="100"/>
          <w:sz w:val="36"/>
          <w:szCs w:val="36"/>
          <w:highlight w:val="none"/>
          <w:u w:val="none"/>
          <w:lang w:eastAsia="zh-CN"/>
        </w:rPr>
      </w:pPr>
      <w:r>
        <w:rPr>
          <w:rFonts w:hint="eastAsia" w:ascii="黑体" w:hAnsi="黑体" w:eastAsia="黑体" w:cs="黑体"/>
          <w:b w:val="0"/>
          <w:i w:val="0"/>
          <w:snapToGrid/>
          <w:color w:val="auto"/>
          <w:spacing w:val="0"/>
          <w:w w:val="100"/>
          <w:sz w:val="36"/>
          <w:szCs w:val="36"/>
          <w:highlight w:val="none"/>
          <w:u w:val="none"/>
          <w:lang w:eastAsia="zh-CN"/>
        </w:rPr>
        <w:t>三、创新点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全流程闭环管理：将申报受理、专家评审认定、定期运行监测分开建制，实现 “申报</w:t>
      </w:r>
      <w:r>
        <w:rPr>
          <w:rFonts w:hint="eastAsia" w:ascii="仿宋_GB2312" w:hAnsi="仿宋_GB2312" w:eastAsia="仿宋_GB2312" w:cs="仿宋_GB2312"/>
          <w:b w:val="0"/>
          <w:i w:val="0"/>
          <w:snapToGrid/>
          <w:color w:val="auto"/>
          <w:spacing w:val="0"/>
          <w:w w:val="100"/>
          <w:sz w:val="32"/>
          <w:szCs w:val="32"/>
          <w:highlight w:val="none"/>
          <w:u w:val="none"/>
          <w:lang w:eastAsia="zh-CN"/>
        </w:rPr>
        <w:noBreakHyphen/>
      </w:r>
      <w:r>
        <w:rPr>
          <w:rFonts w:hint="eastAsia" w:ascii="仿宋_GB2312" w:hAnsi="仿宋_GB2312" w:eastAsia="仿宋_GB2312" w:cs="仿宋_GB2312"/>
          <w:b w:val="0"/>
          <w:i w:val="0"/>
          <w:snapToGrid/>
          <w:color w:val="auto"/>
          <w:spacing w:val="0"/>
          <w:w w:val="100"/>
          <w:sz w:val="32"/>
          <w:szCs w:val="32"/>
          <w:highlight w:val="none"/>
          <w:u w:val="none"/>
          <w:lang w:eastAsia="zh-CN"/>
        </w:rPr>
        <w:t>认定</w:t>
      </w:r>
      <w:r>
        <w:rPr>
          <w:rFonts w:hint="eastAsia" w:ascii="仿宋_GB2312" w:hAnsi="仿宋_GB2312" w:eastAsia="仿宋_GB2312" w:cs="仿宋_GB2312"/>
          <w:b w:val="0"/>
          <w:i w:val="0"/>
          <w:snapToGrid/>
          <w:color w:val="auto"/>
          <w:spacing w:val="0"/>
          <w:w w:val="100"/>
          <w:sz w:val="32"/>
          <w:szCs w:val="32"/>
          <w:highlight w:val="none"/>
          <w:u w:val="none"/>
          <w:lang w:eastAsia="zh-CN"/>
        </w:rPr>
        <w:noBreakHyphen/>
      </w:r>
      <w:r>
        <w:rPr>
          <w:rFonts w:hint="eastAsia" w:ascii="仿宋_GB2312" w:hAnsi="仿宋_GB2312" w:eastAsia="仿宋_GB2312" w:cs="仿宋_GB2312"/>
          <w:b w:val="0"/>
          <w:i w:val="0"/>
          <w:snapToGrid/>
          <w:color w:val="auto"/>
          <w:spacing w:val="0"/>
          <w:w w:val="100"/>
          <w:sz w:val="32"/>
          <w:szCs w:val="32"/>
          <w:highlight w:val="none"/>
          <w:u w:val="none"/>
          <w:lang w:eastAsia="zh-CN"/>
        </w:rPr>
        <w:t>监测</w:t>
      </w:r>
      <w:r>
        <w:rPr>
          <w:rFonts w:hint="eastAsia" w:ascii="仿宋_GB2312" w:hAnsi="仿宋_GB2312" w:eastAsia="仿宋_GB2312" w:cs="仿宋_GB2312"/>
          <w:b w:val="0"/>
          <w:i w:val="0"/>
          <w:snapToGrid/>
          <w:color w:val="auto"/>
          <w:spacing w:val="0"/>
          <w:w w:val="100"/>
          <w:sz w:val="32"/>
          <w:szCs w:val="32"/>
          <w:highlight w:val="none"/>
          <w:u w:val="none"/>
          <w:lang w:eastAsia="zh-CN"/>
        </w:rPr>
        <w:noBreakHyphen/>
      </w:r>
      <w:r>
        <w:rPr>
          <w:rFonts w:hint="eastAsia" w:ascii="仿宋_GB2312" w:hAnsi="仿宋_GB2312" w:eastAsia="仿宋_GB2312" w:cs="仿宋_GB2312"/>
          <w:b w:val="0"/>
          <w:i w:val="0"/>
          <w:snapToGrid/>
          <w:color w:val="auto"/>
          <w:spacing w:val="0"/>
          <w:w w:val="100"/>
          <w:sz w:val="32"/>
          <w:szCs w:val="32"/>
          <w:highlight w:val="none"/>
          <w:u w:val="none"/>
          <w:lang w:eastAsia="zh-CN"/>
        </w:rPr>
        <w:t>退出” 闭环管理，改变以往重认定、轻监管的情况。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量化可操作评审体系：设置量化评分标准，对经营规模、效益信用、带动能力、产品竞争力设置分值，同时设置加分项，评审可量化，减少自由裁量。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分类设置企业准入条件：针对种植养殖、加工流通、电商、批发市场、休闲农业、种业、农业社会化服务等不同业态，分类设定经营规模门槛；对科创型初创特色企业允许适度放宽规模条件。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实行分级处置动态退出：监测结果设置合格、留观、不合格三档，设置整改过渡期，同时明确直接取消资格情形，落实 “有进有出、优胜劣汰”。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val="0"/>
          <w:i w:val="0"/>
          <w:snapToGrid/>
          <w:color w:val="auto"/>
          <w:spacing w:val="0"/>
          <w:w w:val="100"/>
          <w:sz w:val="32"/>
          <w:szCs w:val="32"/>
          <w:highlight w:val="none"/>
          <w:u w:val="none"/>
          <w:lang w:eastAsia="zh-CN"/>
        </w:rPr>
      </w:pPr>
      <w:r>
        <w:rPr>
          <w:rFonts w:hint="eastAsia" w:ascii="仿宋_GB2312" w:hAnsi="仿宋_GB2312" w:eastAsia="仿宋_GB2312" w:cs="仿宋_GB2312"/>
          <w:b/>
          <w:bCs/>
          <w:i w:val="0"/>
          <w:snapToGrid/>
          <w:color w:val="auto"/>
          <w:spacing w:val="0"/>
          <w:w w:val="100"/>
          <w:sz w:val="32"/>
          <w:szCs w:val="32"/>
          <w:highlight w:val="none"/>
          <w:u w:val="none"/>
          <w:lang w:eastAsia="zh-CN"/>
        </w:rPr>
        <w:t>四、</w:t>
      </w:r>
      <w:r>
        <w:rPr>
          <w:rFonts w:hint="eastAsia" w:ascii="黑体" w:hAnsi="黑体" w:eastAsia="黑体" w:cs="黑体"/>
          <w:b w:val="0"/>
          <w:i w:val="0"/>
          <w:snapToGrid/>
          <w:color w:val="auto"/>
          <w:spacing w:val="0"/>
          <w:w w:val="100"/>
          <w:sz w:val="32"/>
          <w:szCs w:val="32"/>
          <w:highlight w:val="none"/>
          <w:u w:val="none"/>
          <w:lang w:eastAsia="zh-CN"/>
        </w:rPr>
        <w:t>核心要点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适用对象：在通州区完成工商注册、税务登记，从事各类涉农产业的独立法人企业、农民专业合作社、农产品专业批发市场。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认定周期：原则上每年 2 月底组织开展申报认定；已认定龙头企业每 2 年开展一次动态监测。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评审机制：采用材料审查、现场核查、答辩相结合，专家从专家库随机抽取，实行集体评审、公示制度。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核心导向：把主营收入占比、资产负债信用、带动农户数量、本地劳动力就业、产品质量安全作为核心硬性指标，突出联农带农实效。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结果运用：监测排名靠前企业优先推荐申报市级以上龙头企业，优先享受项目、融资等扶持；对弄虚作假、发生重大安全环保质量事件等情形，取消资格并限制再次申报。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i w:val="0"/>
          <w:snapToGrid/>
          <w:color w:val="auto"/>
          <w:spacing w:val="0"/>
          <w:w w:val="100"/>
          <w:sz w:val="32"/>
          <w:szCs w:val="32"/>
          <w:highlight w:val="none"/>
          <w:u w:val="none"/>
          <w:lang w:eastAsia="zh-CN"/>
        </w:rPr>
      </w:pPr>
      <w:r>
        <w:rPr>
          <w:rFonts w:hint="eastAsia" w:ascii="黑体" w:hAnsi="黑体" w:eastAsia="黑体" w:cs="黑体"/>
          <w:b w:val="0"/>
          <w:i w:val="0"/>
          <w:snapToGrid/>
          <w:color w:val="auto"/>
          <w:spacing w:val="0"/>
          <w:w w:val="100"/>
          <w:sz w:val="32"/>
          <w:szCs w:val="32"/>
          <w:highlight w:val="none"/>
          <w:u w:val="none"/>
          <w:lang w:eastAsia="zh-CN"/>
        </w:rPr>
        <w:t>五、主要内容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《办法》包含三项制度文件及配套附件：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申报管理办法：明确申报主体、各类企业申报准入条件，列明申报材料清单，规定企业申报、镇级初审推荐工作程序，附带区级龙头企业申报表。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认定管理办法：规范专家评审、部门复核、会议审议、公示公布全流程，明确企业责任义务与申报造假惩戒措施，附带申报量化评分标准。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动态监测管理办法：明确 2 年监测周期，规范企业报送、镇街初审、部门核查、专家评审流程，划分监测结果处置情形，明确激励、留观、退出条件，附带企业监测表。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i w:val="0"/>
          <w:snapToGrid/>
          <w:color w:val="auto"/>
          <w:spacing w:val="0"/>
          <w:w w:val="100"/>
          <w:sz w:val="32"/>
          <w:szCs w:val="32"/>
          <w:highlight w:val="none"/>
          <w:u w:val="none"/>
          <w:lang w:eastAsia="zh-CN"/>
        </w:rPr>
      </w:pPr>
      <w:r>
        <w:rPr>
          <w:rFonts w:hint="eastAsia" w:ascii="仿宋_GB2312" w:hAnsi="仿宋_GB2312" w:eastAsia="仿宋_GB2312" w:cs="仿宋_GB2312"/>
          <w:b w:val="0"/>
          <w:i w:val="0"/>
          <w:snapToGrid/>
          <w:color w:val="auto"/>
          <w:spacing w:val="0"/>
          <w:w w:val="100"/>
          <w:sz w:val="32"/>
          <w:szCs w:val="32"/>
          <w:highlight w:val="none"/>
          <w:u w:val="none"/>
          <w:lang w:eastAsia="zh-CN"/>
        </w:rPr>
        <w:t>本套办法为试行版本，区农业农村局可根据市级政策调整及本区实践运行情况适时修订完善。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i w:val="0"/>
          <w:snapToGrid/>
          <w:color w:val="auto"/>
          <w:spacing w:val="0"/>
          <w:w w:val="100"/>
          <w:sz w:val="32"/>
          <w:szCs w:val="32"/>
          <w:highlight w:val="none"/>
          <w:u w:val="none"/>
          <w:lang w:eastAsia="zh-CN"/>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E236E"/>
    <w:rsid w:val="02C866AB"/>
    <w:rsid w:val="039B2220"/>
    <w:rsid w:val="06436049"/>
    <w:rsid w:val="072F01B0"/>
    <w:rsid w:val="07342561"/>
    <w:rsid w:val="08E5426A"/>
    <w:rsid w:val="0BDC5221"/>
    <w:rsid w:val="0C2546F0"/>
    <w:rsid w:val="0C722561"/>
    <w:rsid w:val="14AA7FC7"/>
    <w:rsid w:val="1734030C"/>
    <w:rsid w:val="19461C80"/>
    <w:rsid w:val="1B5543FC"/>
    <w:rsid w:val="1CB74784"/>
    <w:rsid w:val="1D9A6314"/>
    <w:rsid w:val="205B4263"/>
    <w:rsid w:val="20DC2DDA"/>
    <w:rsid w:val="20DE6C42"/>
    <w:rsid w:val="2483647E"/>
    <w:rsid w:val="29DB2AAB"/>
    <w:rsid w:val="2CE02117"/>
    <w:rsid w:val="31C5014B"/>
    <w:rsid w:val="37030342"/>
    <w:rsid w:val="38CD161E"/>
    <w:rsid w:val="404461F5"/>
    <w:rsid w:val="41962487"/>
    <w:rsid w:val="47691D91"/>
    <w:rsid w:val="48AA3622"/>
    <w:rsid w:val="49587964"/>
    <w:rsid w:val="4F2A7ACE"/>
    <w:rsid w:val="50132357"/>
    <w:rsid w:val="503079D5"/>
    <w:rsid w:val="543C3DD0"/>
    <w:rsid w:val="55C951EF"/>
    <w:rsid w:val="5A202985"/>
    <w:rsid w:val="5A623E64"/>
    <w:rsid w:val="5C497514"/>
    <w:rsid w:val="6531219C"/>
    <w:rsid w:val="695E2B31"/>
    <w:rsid w:val="6F9E7A45"/>
    <w:rsid w:val="73BE2A45"/>
    <w:rsid w:val="74244632"/>
    <w:rsid w:val="766E79EA"/>
    <w:rsid w:val="78661373"/>
    <w:rsid w:val="79D43A31"/>
    <w:rsid w:val="7ADE5DEE"/>
    <w:rsid w:val="7B9E6FD0"/>
    <w:rsid w:val="7D8E7223"/>
    <w:rsid w:val="7E082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2353</Words>
  <Characters>2388</Characters>
  <Lines>0</Lines>
  <Paragraphs>0</Paragraphs>
  <TotalTime>5</TotalTime>
  <ScaleCrop>false</ScaleCrop>
  <LinksUpToDate>false</LinksUpToDate>
  <CharactersWithSpaces>2391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2026-08-10T06:19:00Z</dcterms:created>
  <dc:creator>admin</dc:creator>
  <cp:lastModifiedBy>Administrator</cp:lastModifiedBy>
  <dcterms:modified xsi:type="dcterms:W3CDTF">2026-09-11T06:09:28Z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KSOTemplateDocerSaveRecord">
    <vt:lpwstr>eyJoZGlkIjoiMWNhMWFmZjM1N2ZmMDk4OWYzZDEzN2M2ZDhjMjE2NWUiLCJ1c2VySWQiOiIyNzYxNDE3MTcifQ==</vt:lpwstr>
  </property>
  <property fmtid="{D5CDD505-2E9C-101B-9397-08002B2CF9AE}" pid="4" name="ICV">
    <vt:lpwstr>77E084DB74F6401388B6F83DE6896BDB_12</vt:lpwstr>
  </property>
</Properties>
</file>