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B1F7673">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jc w:val="both"/>
        <w:textAlignment w:val="auto"/>
        <w:rPr>
          <w:rFonts w:hint="eastAsia" w:ascii="黑体" w:hAnsi="黑体" w:eastAsia="黑体" w:cs="黑体"/>
          <w:spacing w:val="0"/>
          <w:sz w:val="32"/>
          <w:szCs w:val="32"/>
          <w:lang w:val="en-US" w:eastAsia="zh-CN"/>
        </w:rPr>
      </w:pPr>
      <w:bookmarkStart w:id="0" w:name="_GoBack"/>
      <w:r>
        <w:rPr>
          <w:rFonts w:hint="eastAsia" w:ascii="黑体" w:hAnsi="黑体" w:eastAsia="黑体" w:cs="黑体"/>
          <w:spacing w:val="0"/>
          <w:sz w:val="32"/>
          <w:szCs w:val="32"/>
          <w:lang w:val="en-US" w:eastAsia="zh-CN"/>
        </w:rPr>
        <w:t>附件2</w:t>
      </w:r>
    </w:p>
    <w:bookmarkEnd w:id="0"/>
    <w:p w14:paraId="71220D97">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jc w:val="both"/>
        <w:textAlignment w:val="auto"/>
        <w:rPr>
          <w:rFonts w:hint="eastAsia" w:ascii="仿宋_GB2312" w:hAnsi="仿宋_GB2312" w:eastAsia="仿宋_GB2312" w:cs="仿宋_GB2312"/>
          <w:spacing w:val="0"/>
          <w:sz w:val="32"/>
          <w:szCs w:val="32"/>
          <w:lang w:val="en-US" w:eastAsia="zh-CN"/>
        </w:rPr>
      </w:pPr>
    </w:p>
    <w:p w14:paraId="62077946">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jc w:val="center"/>
        <w:textAlignment w:val="auto"/>
        <w:rPr>
          <w:rFonts w:hint="eastAsia" w:ascii="方正小标宋简体" w:hAnsi="方正小标宋简体" w:eastAsia="方正小标宋简体" w:cs="方正小标宋简体"/>
          <w:bCs/>
          <w:color w:val="auto"/>
          <w:kern w:val="44"/>
          <w:sz w:val="44"/>
          <w:szCs w:val="44"/>
        </w:rPr>
      </w:pPr>
      <w:r>
        <w:rPr>
          <w:rFonts w:hint="eastAsia" w:ascii="方正小标宋简体" w:hAnsi="方正小标宋简体" w:eastAsia="方正小标宋简体" w:cs="方正小标宋简体"/>
          <w:spacing w:val="0"/>
          <w:sz w:val="44"/>
          <w:szCs w:val="44"/>
          <w:lang w:val="en-US" w:eastAsia="zh-CN"/>
        </w:rPr>
        <w:t>关于《北京市昌平区“十五五”时期妇女儿童发展规划（征求意见稿）》的起草说明</w:t>
      </w:r>
    </w:p>
    <w:p w14:paraId="672CC577">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640" w:firstLineChars="200"/>
        <w:textAlignment w:val="auto"/>
        <w:rPr>
          <w:rFonts w:hint="default" w:ascii="仿宋" w:hAnsi="仿宋" w:eastAsia="仿宋" w:cs="仿宋"/>
          <w:bCs/>
          <w:color w:val="auto"/>
          <w:kern w:val="44"/>
          <w:sz w:val="32"/>
          <w:szCs w:val="32"/>
          <w:lang w:val="en-US" w:eastAsia="zh-CN"/>
        </w:rPr>
      </w:pPr>
    </w:p>
    <w:p w14:paraId="5B90F1CE">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640" w:firstLineChars="200"/>
        <w:textAlignment w:val="auto"/>
        <w:rPr>
          <w:rFonts w:hint="eastAsia" w:ascii="国标仿宋" w:hAnsi="国标仿宋" w:eastAsia="国标仿宋" w:cs="国标仿宋"/>
          <w:color w:val="auto"/>
          <w:sz w:val="32"/>
          <w:szCs w:val="32"/>
        </w:rPr>
      </w:pPr>
      <w:r>
        <w:rPr>
          <w:rFonts w:hint="eastAsia" w:ascii="国标仿宋" w:hAnsi="国标仿宋" w:eastAsia="国标仿宋" w:cs="国标仿宋"/>
          <w:bCs/>
          <w:color w:val="auto"/>
          <w:kern w:val="44"/>
          <w:sz w:val="32"/>
          <w:szCs w:val="32"/>
        </w:rPr>
        <w:t>根据</w:t>
      </w:r>
      <w:r>
        <w:rPr>
          <w:rFonts w:hint="eastAsia" w:ascii="国标仿宋" w:hAnsi="国标仿宋" w:eastAsia="国标仿宋" w:cs="国标仿宋"/>
          <w:bCs/>
          <w:color w:val="auto"/>
          <w:kern w:val="44"/>
          <w:sz w:val="32"/>
          <w:szCs w:val="32"/>
          <w:lang w:eastAsia="zh-CN"/>
        </w:rPr>
        <w:t>市区</w:t>
      </w:r>
      <w:r>
        <w:rPr>
          <w:rFonts w:hint="eastAsia" w:ascii="国标仿宋" w:hAnsi="国标仿宋" w:eastAsia="国标仿宋" w:cs="国标仿宋"/>
          <w:bCs/>
          <w:color w:val="auto"/>
          <w:kern w:val="44"/>
          <w:sz w:val="32"/>
          <w:szCs w:val="32"/>
        </w:rPr>
        <w:t>工作总体部署，《北京市昌平区“十五五”时期妇女儿童发展规划》（以下简称“十五五”妇女儿童规划）列入了“十五五”时期区级专项规划，由昌平区妇女儿童工作委员会办公室(以下简称区妇儿工委办</w:t>
      </w:r>
      <w:r>
        <w:rPr>
          <w:rFonts w:hint="eastAsia" w:ascii="国标仿宋" w:hAnsi="国标仿宋" w:eastAsia="国标仿宋" w:cs="国标仿宋"/>
          <w:bCs/>
          <w:color w:val="auto"/>
          <w:kern w:val="44"/>
          <w:sz w:val="32"/>
          <w:szCs w:val="32"/>
          <w:lang w:eastAsia="zh-CN"/>
        </w:rPr>
        <w:t>公室</w:t>
      </w:r>
      <w:r>
        <w:rPr>
          <w:rFonts w:hint="eastAsia" w:ascii="国标仿宋" w:hAnsi="国标仿宋" w:eastAsia="国标仿宋" w:cs="国标仿宋"/>
          <w:bCs/>
          <w:color w:val="auto"/>
          <w:kern w:val="44"/>
          <w:sz w:val="32"/>
          <w:szCs w:val="32"/>
        </w:rPr>
        <w:t>)牵头组织专家学者团队有序分阶段开展编制工作。按照区级专项规划与本区发展规划同步部署、同步研究、同步编制、同年发布要求，区“十五五”妇女儿童规划编制</w:t>
      </w:r>
      <w:r>
        <w:rPr>
          <w:rFonts w:hint="eastAsia" w:ascii="国标仿宋" w:hAnsi="国标仿宋" w:eastAsia="国标仿宋" w:cs="国标仿宋"/>
          <w:bCs/>
          <w:color w:val="auto"/>
          <w:kern w:val="44"/>
          <w:sz w:val="32"/>
          <w:szCs w:val="32"/>
          <w:lang w:eastAsia="zh-CN"/>
        </w:rPr>
        <w:t>现</w:t>
      </w:r>
      <w:r>
        <w:rPr>
          <w:rFonts w:hint="eastAsia" w:ascii="国标仿宋" w:hAnsi="国标仿宋" w:eastAsia="国标仿宋" w:cs="国标仿宋"/>
          <w:color w:val="auto"/>
          <w:sz w:val="32"/>
          <w:szCs w:val="32"/>
        </w:rPr>
        <w:t>已形成征求意见稿。</w:t>
      </w:r>
    </w:p>
    <w:p w14:paraId="59AC7579">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640" w:firstLineChars="200"/>
        <w:textAlignment w:val="auto"/>
        <w:rPr>
          <w:rFonts w:hint="eastAsia" w:ascii="黑体" w:hAnsi="黑体" w:eastAsia="黑体" w:cs="黑体"/>
          <w:b w:val="0"/>
          <w:bCs/>
          <w:color w:val="auto"/>
          <w:sz w:val="32"/>
          <w:szCs w:val="32"/>
        </w:rPr>
      </w:pPr>
      <w:r>
        <w:rPr>
          <w:rFonts w:hint="eastAsia" w:ascii="黑体" w:hAnsi="黑体" w:eastAsia="黑体" w:cs="黑体"/>
          <w:b w:val="0"/>
          <w:bCs/>
          <w:color w:val="auto"/>
          <w:sz w:val="32"/>
          <w:szCs w:val="32"/>
          <w:lang w:eastAsia="zh-CN"/>
        </w:rPr>
        <w:t>一、</w:t>
      </w:r>
      <w:r>
        <w:rPr>
          <w:rFonts w:hint="eastAsia" w:ascii="黑体" w:hAnsi="黑体" w:eastAsia="黑体" w:cs="黑体"/>
          <w:b w:val="0"/>
          <w:bCs/>
          <w:color w:val="auto"/>
          <w:sz w:val="32"/>
          <w:szCs w:val="32"/>
        </w:rPr>
        <w:t>规划编制背景</w:t>
      </w:r>
    </w:p>
    <w:p w14:paraId="44B5E389">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640" w:firstLineChars="200"/>
        <w:textAlignment w:val="auto"/>
        <w:rPr>
          <w:rFonts w:hint="eastAsia" w:ascii="国标仿宋" w:hAnsi="国标仿宋" w:eastAsia="国标仿宋" w:cs="国标仿宋"/>
          <w:bCs/>
          <w:color w:val="auto"/>
          <w:kern w:val="44"/>
          <w:sz w:val="32"/>
          <w:szCs w:val="32"/>
          <w:lang w:eastAsia="zh-CN"/>
        </w:rPr>
      </w:pPr>
      <w:r>
        <w:rPr>
          <w:rFonts w:hint="eastAsia" w:ascii="国标仿宋" w:hAnsi="国标仿宋" w:eastAsia="国标仿宋" w:cs="国标仿宋"/>
          <w:bCs/>
          <w:color w:val="auto"/>
          <w:kern w:val="44"/>
          <w:sz w:val="32"/>
          <w:szCs w:val="32"/>
          <w:lang w:eastAsia="zh-CN"/>
        </w:rPr>
        <w:t>《</w:t>
      </w:r>
      <w:r>
        <w:rPr>
          <w:rFonts w:hint="eastAsia" w:ascii="国标仿宋" w:hAnsi="国标仿宋" w:eastAsia="国标仿宋" w:cs="国标仿宋"/>
          <w:bCs/>
          <w:color w:val="auto"/>
          <w:kern w:val="44"/>
          <w:sz w:val="32"/>
          <w:szCs w:val="32"/>
        </w:rPr>
        <w:t>中华人民共和国妇女权益保障法》明确规定，“县级以上地方各级人民政府根据中国妇女发展纲要，制定和组织实施本行政区域的妇女发展规划，将其纳入</w:t>
      </w:r>
      <w:r>
        <w:rPr>
          <w:rFonts w:hint="eastAsia" w:ascii="国标仿宋" w:hAnsi="国标仿宋" w:eastAsia="国标仿宋" w:cs="国标仿宋"/>
          <w:bCs/>
          <w:color w:val="auto"/>
          <w:kern w:val="44"/>
          <w:sz w:val="32"/>
          <w:szCs w:val="32"/>
          <w:lang w:val="en-US" w:eastAsia="zh-CN"/>
        </w:rPr>
        <w:t>国</w:t>
      </w:r>
      <w:r>
        <w:rPr>
          <w:rFonts w:hint="eastAsia" w:ascii="国标仿宋" w:hAnsi="国标仿宋" w:eastAsia="国标仿宋" w:cs="国标仿宋"/>
          <w:bCs/>
          <w:color w:val="auto"/>
          <w:kern w:val="44"/>
          <w:sz w:val="32"/>
          <w:szCs w:val="32"/>
        </w:rPr>
        <w:t>民经济和社会发展规划。”国务院先后颁布了四个</w:t>
      </w:r>
      <w:r>
        <w:rPr>
          <w:rFonts w:hint="eastAsia" w:ascii="国标仿宋" w:hAnsi="国标仿宋" w:eastAsia="国标仿宋" w:cs="国标仿宋"/>
          <w:bCs/>
          <w:color w:val="auto"/>
          <w:kern w:val="44"/>
          <w:sz w:val="32"/>
          <w:szCs w:val="32"/>
          <w:lang w:val="en-US" w:eastAsia="zh-CN"/>
        </w:rPr>
        <w:t>10年</w:t>
      </w:r>
      <w:r>
        <w:rPr>
          <w:rFonts w:hint="eastAsia" w:ascii="国标仿宋" w:hAnsi="国标仿宋" w:eastAsia="国标仿宋" w:cs="国标仿宋"/>
          <w:bCs/>
          <w:color w:val="auto"/>
          <w:kern w:val="44"/>
          <w:sz w:val="32"/>
          <w:szCs w:val="32"/>
        </w:rPr>
        <w:t>周期的中国妇女儿童发展纲要。北京市从“九五”到“十四五”先后颁布实施了六个周期的妇女儿童发展规划。昌平区“十五五”妇女儿童规划的编制，在区发展改革委大力支持下，区妇儿工委</w:t>
      </w:r>
      <w:r>
        <w:rPr>
          <w:rFonts w:hint="eastAsia" w:ascii="国标仿宋" w:hAnsi="国标仿宋" w:eastAsia="国标仿宋" w:cs="国标仿宋"/>
          <w:bCs/>
          <w:color w:val="auto"/>
          <w:kern w:val="44"/>
          <w:sz w:val="32"/>
          <w:szCs w:val="32"/>
          <w:lang w:eastAsia="zh-CN"/>
        </w:rPr>
        <w:t>办公室</w:t>
      </w:r>
      <w:r>
        <w:rPr>
          <w:rFonts w:hint="eastAsia" w:ascii="国标仿宋" w:hAnsi="国标仿宋" w:eastAsia="国标仿宋" w:cs="国标仿宋"/>
          <w:bCs/>
          <w:color w:val="auto"/>
          <w:kern w:val="44"/>
          <w:sz w:val="32"/>
          <w:szCs w:val="32"/>
        </w:rPr>
        <w:t>和专家团队积极开展工作，根据北京市妇儿工委编制工作要求，结合区妇女儿童“十四五”规划实施情况和妇女儿童发展的实际要求，深入研究确定“十五五”时期昌平区妇女儿童发展的总体方向和目标任务</w:t>
      </w:r>
      <w:r>
        <w:rPr>
          <w:rFonts w:hint="eastAsia" w:ascii="国标仿宋" w:hAnsi="国标仿宋" w:eastAsia="国标仿宋" w:cs="国标仿宋"/>
          <w:bCs/>
          <w:color w:val="auto"/>
          <w:kern w:val="44"/>
          <w:sz w:val="32"/>
          <w:szCs w:val="32"/>
          <w:lang w:eastAsia="zh-CN"/>
        </w:rPr>
        <w:t>。</w:t>
      </w:r>
    </w:p>
    <w:p w14:paraId="3068092F">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640" w:firstLineChars="200"/>
        <w:textAlignment w:val="auto"/>
        <w:rPr>
          <w:rFonts w:hint="eastAsia" w:ascii="黑体" w:hAnsi="黑体" w:eastAsia="黑体" w:cs="黑体"/>
          <w:b w:val="0"/>
          <w:bCs/>
          <w:color w:val="auto"/>
          <w:sz w:val="32"/>
          <w:szCs w:val="32"/>
          <w:lang w:eastAsia="zh-CN"/>
        </w:rPr>
      </w:pPr>
      <w:r>
        <w:rPr>
          <w:rFonts w:hint="eastAsia" w:ascii="黑体" w:hAnsi="黑体" w:eastAsia="黑体" w:cs="黑体"/>
          <w:b w:val="0"/>
          <w:bCs/>
          <w:color w:val="auto"/>
          <w:sz w:val="32"/>
          <w:szCs w:val="32"/>
          <w:lang w:eastAsia="zh-CN"/>
        </w:rPr>
        <w:t>二、规划编制原则</w:t>
      </w:r>
    </w:p>
    <w:p w14:paraId="4D3D8FA2">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641" w:firstLineChars="200"/>
        <w:textAlignment w:val="auto"/>
        <w:rPr>
          <w:rFonts w:hint="eastAsia" w:ascii="国标仿宋" w:hAnsi="国标仿宋" w:eastAsia="国标仿宋" w:cs="国标仿宋"/>
          <w:bCs/>
          <w:color w:val="auto"/>
          <w:kern w:val="44"/>
          <w:sz w:val="32"/>
          <w:szCs w:val="32"/>
          <w:lang w:val="en-US" w:eastAsia="zh-CN"/>
        </w:rPr>
      </w:pPr>
      <w:r>
        <w:rPr>
          <w:rFonts w:hint="eastAsia" w:ascii="国标仿宋" w:hAnsi="国标仿宋" w:eastAsia="国标仿宋" w:cs="国标仿宋"/>
          <w:b/>
          <w:bCs w:val="0"/>
          <w:color w:val="auto"/>
          <w:kern w:val="44"/>
          <w:sz w:val="32"/>
          <w:szCs w:val="32"/>
          <w:lang w:val="en-US" w:eastAsia="zh-CN"/>
        </w:rPr>
        <w:t>一是</w:t>
      </w:r>
      <w:r>
        <w:rPr>
          <w:rFonts w:hint="eastAsia" w:ascii="国标仿宋" w:hAnsi="国标仿宋" w:eastAsia="国标仿宋" w:cs="国标仿宋"/>
          <w:bCs/>
          <w:color w:val="auto"/>
          <w:kern w:val="44"/>
          <w:sz w:val="32"/>
          <w:szCs w:val="32"/>
        </w:rPr>
        <w:t>坚持首善标准</w:t>
      </w:r>
      <w:r>
        <w:rPr>
          <w:rFonts w:hint="eastAsia" w:ascii="国标仿宋" w:hAnsi="国标仿宋" w:eastAsia="国标仿宋" w:cs="国标仿宋"/>
          <w:bCs/>
          <w:color w:val="auto"/>
          <w:kern w:val="44"/>
          <w:sz w:val="32"/>
          <w:szCs w:val="32"/>
          <w:lang w:eastAsia="zh-CN"/>
        </w:rPr>
        <w:t>，</w:t>
      </w:r>
      <w:r>
        <w:rPr>
          <w:rFonts w:hint="eastAsia" w:ascii="国标仿宋" w:hAnsi="国标仿宋" w:eastAsia="国标仿宋" w:cs="国标仿宋"/>
          <w:bCs/>
          <w:color w:val="auto"/>
          <w:kern w:val="44"/>
          <w:sz w:val="32"/>
          <w:szCs w:val="32"/>
          <w:lang w:val="en-US" w:eastAsia="zh-CN"/>
        </w:rPr>
        <w:t>突出昌平特色</w:t>
      </w:r>
      <w:r>
        <w:rPr>
          <w:rFonts w:hint="eastAsia" w:ascii="国标仿宋" w:hAnsi="国标仿宋" w:eastAsia="国标仿宋" w:cs="国标仿宋"/>
          <w:bCs/>
          <w:color w:val="auto"/>
          <w:kern w:val="44"/>
          <w:sz w:val="32"/>
          <w:szCs w:val="32"/>
        </w:rPr>
        <w:t>。</w:t>
      </w:r>
      <w:r>
        <w:rPr>
          <w:rFonts w:hint="eastAsia" w:ascii="国标仿宋" w:hAnsi="国标仿宋" w:eastAsia="国标仿宋" w:cs="国标仿宋"/>
          <w:bCs/>
          <w:color w:val="auto"/>
          <w:kern w:val="44"/>
          <w:sz w:val="32"/>
          <w:szCs w:val="32"/>
          <w:lang w:val="en-US" w:eastAsia="zh-CN"/>
        </w:rPr>
        <w:t>在巩固“十四五”妇女儿童发展成果基础上，聚焦昌平区高质量发展科学谋划提出具有前瞻性和现实性的目标任务。北京市妇女儿童发展规划提出重要指标10项，昌平区则提出了21项，以充分满足未来五年妇女儿童发展实际诉求和突出昌平特色。</w:t>
      </w:r>
    </w:p>
    <w:p w14:paraId="0B4EDA5F">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641" w:firstLineChars="200"/>
        <w:textAlignment w:val="auto"/>
        <w:rPr>
          <w:rFonts w:hint="eastAsia" w:ascii="国标仿宋" w:hAnsi="国标仿宋" w:eastAsia="国标仿宋" w:cs="国标仿宋"/>
          <w:bCs/>
          <w:color w:val="auto"/>
          <w:kern w:val="44"/>
          <w:sz w:val="32"/>
          <w:szCs w:val="32"/>
          <w:lang w:val="en-US" w:eastAsia="zh-CN"/>
        </w:rPr>
      </w:pPr>
      <w:r>
        <w:rPr>
          <w:rFonts w:hint="eastAsia" w:ascii="国标仿宋" w:hAnsi="国标仿宋" w:eastAsia="国标仿宋" w:cs="国标仿宋"/>
          <w:b/>
          <w:bCs w:val="0"/>
          <w:color w:val="auto"/>
          <w:kern w:val="44"/>
          <w:sz w:val="32"/>
          <w:szCs w:val="32"/>
          <w:lang w:val="en-US" w:eastAsia="zh-CN"/>
        </w:rPr>
        <w:t>二是</w:t>
      </w:r>
      <w:r>
        <w:rPr>
          <w:rFonts w:hint="eastAsia" w:ascii="国标仿宋" w:hAnsi="国标仿宋" w:eastAsia="国标仿宋" w:cs="国标仿宋"/>
          <w:bCs/>
          <w:color w:val="auto"/>
          <w:kern w:val="44"/>
          <w:sz w:val="32"/>
          <w:szCs w:val="32"/>
          <w:lang w:eastAsia="zh-CN"/>
        </w:rPr>
        <w:t>坚持问题导向，</w:t>
      </w:r>
      <w:r>
        <w:rPr>
          <w:rFonts w:hint="eastAsia" w:ascii="国标仿宋" w:hAnsi="国标仿宋" w:eastAsia="国标仿宋" w:cs="国标仿宋"/>
          <w:bCs/>
          <w:color w:val="auto"/>
          <w:kern w:val="44"/>
          <w:sz w:val="32"/>
          <w:szCs w:val="32"/>
          <w:lang w:val="en-US" w:eastAsia="zh-CN"/>
        </w:rPr>
        <w:t>突出系统观念</w:t>
      </w:r>
      <w:r>
        <w:rPr>
          <w:rFonts w:hint="eastAsia" w:ascii="国标仿宋" w:hAnsi="国标仿宋" w:eastAsia="国标仿宋" w:cs="国标仿宋"/>
          <w:bCs/>
          <w:color w:val="auto"/>
          <w:kern w:val="44"/>
          <w:sz w:val="32"/>
          <w:szCs w:val="32"/>
          <w:lang w:eastAsia="zh-CN"/>
        </w:rPr>
        <w:t>。</w:t>
      </w:r>
      <w:r>
        <w:rPr>
          <w:rFonts w:hint="eastAsia" w:ascii="国标仿宋" w:hAnsi="国标仿宋" w:eastAsia="国标仿宋" w:cs="国标仿宋"/>
          <w:bCs/>
          <w:color w:val="auto"/>
          <w:kern w:val="44"/>
          <w:sz w:val="32"/>
          <w:szCs w:val="32"/>
          <w:lang w:val="en-US" w:eastAsia="zh-CN"/>
        </w:rPr>
        <w:t>针对“十四五”时期区妇女儿童发展存在的一些不平衡不充分问题，以及人口结构变化、生育政策调整、科技革命和生活方式变革等对妇女儿童发展带来的新挑战，积极开展编制工作的核心目标研究，提出总体框架结构和目标任务。</w:t>
      </w:r>
    </w:p>
    <w:p w14:paraId="78E799BB">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641" w:firstLineChars="200"/>
        <w:textAlignment w:val="auto"/>
        <w:rPr>
          <w:rFonts w:hint="eastAsia" w:ascii="国标仿宋" w:hAnsi="国标仿宋" w:eastAsia="国标仿宋" w:cs="国标仿宋"/>
          <w:bCs/>
          <w:color w:val="auto"/>
          <w:kern w:val="44"/>
          <w:sz w:val="32"/>
          <w:szCs w:val="32"/>
          <w:lang w:val="en-US" w:eastAsia="zh-CN"/>
        </w:rPr>
      </w:pPr>
      <w:r>
        <w:rPr>
          <w:rFonts w:hint="eastAsia" w:ascii="国标仿宋" w:hAnsi="国标仿宋" w:eastAsia="国标仿宋" w:cs="国标仿宋"/>
          <w:b/>
          <w:bCs w:val="0"/>
          <w:color w:val="auto"/>
          <w:kern w:val="44"/>
          <w:sz w:val="32"/>
          <w:szCs w:val="32"/>
          <w:lang w:eastAsia="zh-CN"/>
        </w:rPr>
        <w:t>三是</w:t>
      </w:r>
      <w:r>
        <w:rPr>
          <w:rFonts w:hint="eastAsia" w:ascii="国标仿宋" w:hAnsi="国标仿宋" w:eastAsia="国标仿宋" w:cs="国标仿宋"/>
          <w:bCs/>
          <w:color w:val="auto"/>
          <w:kern w:val="44"/>
          <w:sz w:val="32"/>
          <w:szCs w:val="32"/>
          <w:lang w:eastAsia="zh-CN"/>
        </w:rPr>
        <w:t>坚持统筹衔接，</w:t>
      </w:r>
      <w:r>
        <w:rPr>
          <w:rFonts w:hint="eastAsia" w:ascii="国标仿宋" w:hAnsi="国标仿宋" w:eastAsia="国标仿宋" w:cs="国标仿宋"/>
          <w:bCs/>
          <w:color w:val="auto"/>
          <w:kern w:val="44"/>
          <w:sz w:val="32"/>
          <w:szCs w:val="32"/>
          <w:lang w:val="en-US" w:eastAsia="zh-CN"/>
        </w:rPr>
        <w:t>突出</w:t>
      </w:r>
      <w:r>
        <w:rPr>
          <w:rFonts w:hint="eastAsia" w:ascii="国标仿宋" w:hAnsi="国标仿宋" w:eastAsia="国标仿宋" w:cs="国标仿宋"/>
          <w:bCs/>
          <w:color w:val="auto"/>
          <w:kern w:val="44"/>
          <w:sz w:val="32"/>
          <w:szCs w:val="32"/>
          <w:lang w:eastAsia="zh-CN"/>
        </w:rPr>
        <w:t>继承与创新相结合。</w:t>
      </w:r>
      <w:r>
        <w:rPr>
          <w:rFonts w:hint="eastAsia" w:ascii="国标仿宋" w:hAnsi="国标仿宋" w:eastAsia="国标仿宋" w:cs="国标仿宋"/>
          <w:bCs/>
          <w:color w:val="auto"/>
          <w:kern w:val="44"/>
          <w:sz w:val="32"/>
          <w:szCs w:val="32"/>
          <w:lang w:val="en-US" w:eastAsia="zh-CN"/>
        </w:rPr>
        <w:t>既坚持妇女儿童事业发展的连续性，又坚持与时俱进研究解决新情况新问题。既将妇女儿童事业纳入昌平区经济社会发展全局统筹安排，又采取特殊政策措施支持妇女儿童事业发展，并全面对接北京市规划目标要求延伸在昌平落地。既立足当前妇女儿童发展实际注重目标的现实可行性，又面向未来注重目标的前瞻性和引领性。</w:t>
      </w:r>
    </w:p>
    <w:p w14:paraId="645C3349">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640" w:firstLineChars="200"/>
        <w:textAlignment w:val="auto"/>
        <w:rPr>
          <w:rFonts w:hint="eastAsia" w:ascii="黑体" w:hAnsi="黑体" w:eastAsia="黑体" w:cs="黑体"/>
          <w:b w:val="0"/>
          <w:bCs/>
          <w:color w:val="auto"/>
          <w:sz w:val="32"/>
          <w:szCs w:val="32"/>
          <w:lang w:val="en-US" w:eastAsia="zh-CN"/>
        </w:rPr>
      </w:pPr>
      <w:r>
        <w:rPr>
          <w:rFonts w:hint="eastAsia" w:ascii="黑体" w:hAnsi="黑体" w:eastAsia="黑体" w:cs="黑体"/>
          <w:b w:val="0"/>
          <w:bCs/>
          <w:color w:val="auto"/>
          <w:sz w:val="32"/>
          <w:szCs w:val="32"/>
          <w:lang w:eastAsia="zh-CN"/>
        </w:rPr>
        <w:t>三、</w:t>
      </w:r>
      <w:r>
        <w:rPr>
          <w:rFonts w:hint="eastAsia" w:ascii="黑体" w:hAnsi="黑体" w:eastAsia="黑体" w:cs="黑体"/>
          <w:b w:val="0"/>
          <w:bCs/>
          <w:color w:val="auto"/>
          <w:sz w:val="32"/>
          <w:szCs w:val="32"/>
        </w:rPr>
        <w:t>规划框架</w:t>
      </w:r>
      <w:r>
        <w:rPr>
          <w:rFonts w:hint="eastAsia" w:ascii="黑体" w:hAnsi="黑体" w:eastAsia="黑体" w:cs="黑体"/>
          <w:b w:val="0"/>
          <w:bCs/>
          <w:color w:val="auto"/>
          <w:sz w:val="32"/>
          <w:szCs w:val="32"/>
          <w:lang w:val="en-US" w:eastAsia="zh-CN"/>
        </w:rPr>
        <w:t>结构</w:t>
      </w:r>
      <w:r>
        <w:rPr>
          <w:rFonts w:hint="eastAsia" w:ascii="黑体" w:hAnsi="黑体" w:eastAsia="黑体" w:cs="黑体"/>
          <w:b w:val="0"/>
          <w:bCs/>
          <w:color w:val="auto"/>
          <w:sz w:val="32"/>
          <w:szCs w:val="32"/>
        </w:rPr>
        <w:t>和</w:t>
      </w:r>
      <w:r>
        <w:rPr>
          <w:rFonts w:hint="eastAsia" w:ascii="黑体" w:hAnsi="黑体" w:eastAsia="黑体" w:cs="黑体"/>
          <w:b w:val="0"/>
          <w:bCs/>
          <w:color w:val="auto"/>
          <w:sz w:val="32"/>
          <w:szCs w:val="32"/>
          <w:lang w:val="en-US" w:eastAsia="zh-CN"/>
        </w:rPr>
        <w:t>主要内容及</w:t>
      </w:r>
      <w:r>
        <w:rPr>
          <w:rFonts w:hint="eastAsia" w:ascii="黑体" w:hAnsi="黑体" w:eastAsia="黑体" w:cs="黑体"/>
          <w:b w:val="0"/>
          <w:bCs/>
          <w:color w:val="auto"/>
          <w:sz w:val="32"/>
          <w:szCs w:val="32"/>
        </w:rPr>
        <w:t>特</w:t>
      </w:r>
      <w:r>
        <w:rPr>
          <w:rFonts w:hint="eastAsia" w:ascii="黑体" w:hAnsi="黑体" w:eastAsia="黑体" w:cs="黑体"/>
          <w:b w:val="0"/>
          <w:bCs/>
          <w:color w:val="auto"/>
          <w:sz w:val="32"/>
          <w:szCs w:val="32"/>
          <w:lang w:val="en-US" w:eastAsia="zh-CN"/>
        </w:rPr>
        <w:t>色</w:t>
      </w:r>
    </w:p>
    <w:p w14:paraId="415BCB9D">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640" w:firstLineChars="200"/>
        <w:textAlignment w:val="auto"/>
        <w:rPr>
          <w:rFonts w:hint="eastAsia" w:ascii="国标仿宋" w:hAnsi="国标仿宋" w:eastAsia="国标仿宋" w:cs="国标仿宋"/>
          <w:bCs/>
          <w:color w:val="auto"/>
          <w:kern w:val="44"/>
          <w:sz w:val="32"/>
          <w:szCs w:val="32"/>
          <w:lang w:val="en-US" w:eastAsia="zh-CN"/>
        </w:rPr>
      </w:pPr>
      <w:r>
        <w:rPr>
          <w:rFonts w:hint="eastAsia" w:ascii="国标仿宋" w:hAnsi="国标仿宋" w:eastAsia="国标仿宋" w:cs="国标仿宋"/>
          <w:bCs/>
          <w:color w:val="auto"/>
          <w:kern w:val="44"/>
          <w:sz w:val="32"/>
          <w:szCs w:val="32"/>
          <w:lang w:val="en-US" w:eastAsia="zh-CN"/>
        </w:rPr>
        <w:t>“十五五”妇女儿童规划的编制，遵照北京率先基本实现社会主义现代化的新要求和昌平区加快建设平原新城的战略部署，努力满足区妇女儿童对美好生活的新期待，在深入研究基础上，按照“跳一跳可以够得着”原则，提出既鼓舞人心又切实可行的目标任务和切实解决问题的策略措施。规划的框架结构与北京市妇女儿童规划基本保持相一致。</w:t>
      </w:r>
    </w:p>
    <w:p w14:paraId="2CFDBC23">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641" w:firstLineChars="200"/>
        <w:textAlignment w:val="auto"/>
        <w:rPr>
          <w:rFonts w:hint="eastAsia" w:ascii="国标仿宋" w:hAnsi="国标仿宋" w:eastAsia="国标仿宋" w:cs="国标仿宋"/>
          <w:bCs/>
          <w:color w:val="0000FF"/>
          <w:kern w:val="44"/>
          <w:sz w:val="32"/>
          <w:szCs w:val="32"/>
          <w:lang w:val="en-US" w:eastAsia="zh-CN"/>
        </w:rPr>
      </w:pPr>
      <w:r>
        <w:rPr>
          <w:rFonts w:hint="eastAsia" w:ascii="国标仿宋" w:hAnsi="国标仿宋" w:eastAsia="国标仿宋" w:cs="国标仿宋"/>
          <w:b/>
          <w:bCs w:val="0"/>
          <w:color w:val="auto"/>
          <w:kern w:val="44"/>
          <w:sz w:val="32"/>
          <w:szCs w:val="32"/>
          <w:lang w:val="en-US" w:eastAsia="zh-CN"/>
        </w:rPr>
        <w:t>一是框架结构。</w:t>
      </w:r>
      <w:r>
        <w:rPr>
          <w:rFonts w:hint="eastAsia" w:ascii="国标仿宋" w:hAnsi="国标仿宋" w:eastAsia="国标仿宋" w:cs="国标仿宋"/>
          <w:bCs/>
          <w:color w:val="auto"/>
          <w:kern w:val="44"/>
          <w:sz w:val="32"/>
          <w:szCs w:val="32"/>
          <w:lang w:val="en-US" w:eastAsia="zh-CN"/>
        </w:rPr>
        <w:t>“十五五”妇女儿童规划由四个部分组成：第一部分是总体目标，提出“在昌平实现经济社会跨越发展、加快建成国际一流现代化新城全局发展中，深入贯彻落实男女平等基本国策和儿童优先原则，创新完善妇女儿童发展的制度机制，全面优化妇女儿童发展的社会环境，有效保障妇女儿童合法权益，高水平提升妇女儿童获得感幸福感安全感”的发展目标。第二部分围绕促进妇女全面发展提出了8个方面的31项重点任务，包括优化妇女全方位全周期健康服务链条、推动妇女教育高质量发展、全面提升妇女参与经济发展水平、提高妇女参与决策管理的程度、提高妇女多层次社会保障水平、完善有利于妇女发展的家庭政策体系、优化促进男女平等的社会环境、提高妇女权益保障的法治水平。第三部分围绕保障儿童优先发展提出了7个方面的34项重点任务，包括提高均衡高效儿童健康服务水平、构建多维立体的儿童保护网络、建成高质量现代化儿童教育体系、全面建成普惠型儿童福利体系、增强家庭养育教育功能、全域建设儿童友好城市、筑牢未成年人保护法治屏障。第四部分为规划实施保障。提出坚持党的全面领导，健全党委领导、政府主责、妇儿工委协调、多部门合作、全社会参与的规划实施工作机制。</w:t>
      </w:r>
    </w:p>
    <w:p w14:paraId="09725FE0">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641" w:firstLineChars="200"/>
        <w:textAlignment w:val="auto"/>
      </w:pPr>
      <w:r>
        <w:rPr>
          <w:rFonts w:hint="eastAsia" w:ascii="国标仿宋" w:hAnsi="国标仿宋" w:eastAsia="国标仿宋" w:cs="国标仿宋"/>
          <w:b/>
          <w:bCs w:val="0"/>
          <w:color w:val="auto"/>
          <w:kern w:val="44"/>
          <w:sz w:val="32"/>
          <w:szCs w:val="32"/>
          <w:lang w:val="en-US" w:eastAsia="zh-CN"/>
        </w:rPr>
        <w:t>二是规划主要内容及特色。</w:t>
      </w:r>
      <w:r>
        <w:rPr>
          <w:rFonts w:hint="eastAsia" w:ascii="国标仿宋" w:hAnsi="国标仿宋" w:eastAsia="国标仿宋" w:cs="国标仿宋"/>
          <w:bCs/>
          <w:color w:val="auto"/>
          <w:kern w:val="44"/>
          <w:sz w:val="32"/>
          <w:szCs w:val="32"/>
          <w:lang w:val="en-US" w:eastAsia="zh-CN"/>
        </w:rPr>
        <w:t>“十五五”妇女儿童规划，做到了四个坚持，坚持党对妇女儿童发展事业的全面领导，坚持男女平等基本国策和儿童优先原则，坚持促进妇女儿童与经济社会同步发展，坚持推动妇女儿童共建共治共享经济社会发展成果。立足新时代昌平发展大局和妇女儿童全面发展新要求，突出了以下七方面特点：突出昌平发展特色和优势，高质量推动妇女儿童全面发展；聚焦生育友好型社会建设，统筹构建从“婚恋”到“生育”、再到“养育”的完整家庭政策支持体系；精准回应妇女儿童健康需求，创新打造全方位全生命周期健康服务体系；积极应对数字时代的机遇挑战，突出强化数智赋能促进妇女儿童发展；聚焦建设高水平人才高地主阵地，积极强化培育壮大女性人才队伍；聚焦“六大保护”多维发力，保障未成年人各项合法权益；推进全域儿童友好建设，真正让儿童优先成为昌平城市底色。</w:t>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86"/>
    <w:family w:val="auto"/>
    <w:pitch w:val="default"/>
    <w:sig w:usb0="00000000" w:usb1="00000000"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Noto Music"/>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仿宋">
    <w:altName w:val="方正仿宋_GBK"/>
    <w:panose1 w:val="02010609060101010101"/>
    <w:charset w:val="86"/>
    <w:family w:val="auto"/>
    <w:pitch w:val="default"/>
    <w:sig w:usb0="00000000" w:usb1="00000000" w:usb2="00000016" w:usb3="00000000" w:csb0="00040001" w:csb1="00000000"/>
  </w:font>
  <w:font w:name="方正仿宋_GBK">
    <w:panose1 w:val="02000000000000000000"/>
    <w:charset w:val="86"/>
    <w:family w:val="auto"/>
    <w:pitch w:val="default"/>
    <w:sig w:usb0="00000001" w:usb1="08000000" w:usb2="00000000" w:usb3="00000000" w:csb0="00040000" w:csb1="00000000"/>
  </w:font>
  <w:font w:name="国标仿宋">
    <w:panose1 w:val="02000500000000000000"/>
    <w:charset w:val="86"/>
    <w:family w:val="auto"/>
    <w:pitch w:val="default"/>
    <w:sig w:usb0="A00002BF" w:usb1="38C77CFA" w:usb2="00000016" w:usb3="00000000" w:csb0="00060007"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A76DB3">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DD5B94C">
                          <w:pPr>
                            <w:pStyle w:val="3"/>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1DD5B94C">
                    <w:pPr>
                      <w:pStyle w:val="3"/>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E9E4855"/>
    <w:rsid w:val="0AB87A87"/>
    <w:rsid w:val="27DD5EF7"/>
    <w:rsid w:val="2D552777"/>
    <w:rsid w:val="3E2517EC"/>
    <w:rsid w:val="3F1D4340"/>
    <w:rsid w:val="578C0C6D"/>
    <w:rsid w:val="5E9E4855"/>
    <w:rsid w:val="63E806CD"/>
    <w:rsid w:val="6BB11CF5"/>
    <w:rsid w:val="77FD6C84"/>
    <w:rsid w:val="7DAB0F05"/>
    <w:rsid w:val="7E972855"/>
    <w:rsid w:val="D9CF22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pPr>
      <w:widowControl w:val="0"/>
      <w:spacing w:after="0"/>
      <w:jc w:val="both"/>
    </w:pPr>
    <w:rPr>
      <w:rFonts w:ascii="Times New Roman" w:hAnsi="Times New Roman" w:eastAsia="宋体" w:cs="Times New Roman"/>
      <w:kern w:val="2"/>
      <w:sz w:val="21"/>
      <w:szCs w:val="20"/>
      <w:lang w:val="en-US" w:eastAsia="zh-CN" w:bidi="ar-SA"/>
    </w:rPr>
  </w:style>
  <w:style w:type="paragraph" w:styleId="3">
    <w:name w:val="footer"/>
    <w:basedOn w:val="1"/>
    <w:semiHidden/>
    <w:unhideWhenUsed/>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18</TotalTime>
  <ScaleCrop>false</ScaleCrop>
  <LinksUpToDate>false</LinksUpToDate>
  <CharactersWithSpaces>0</CharactersWithSpaces>
  <Application>WPS Office_12.8.2.20327_F1E327BC-269C-435d-A152-05C5408002CA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2026-08-25T08:05:00Z</dcterms:created>
  <dc:creator>Administrator</dc:creator>
  <cp:lastModifiedBy>HIGC</cp:lastModifiedBy>
  <dcterms:modified xsi:type="dcterms:W3CDTF">2026-09-10T19:45:39Z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2052-12.8.2.20327</vt:lpwstr>
  </property>
  <property fmtid="{D5CDD505-2E9C-101B-9397-08002B2CF9AE}" pid="3" name="ICV">
    <vt:lpwstr>8066245B394467D3E5689F6AD564253A_42</vt:lpwstr>
  </property>
</Properties>
</file>