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A8FD26">
      <w:pPr>
        <w:keepNext w:val="0"/>
        <w:keepLines w:val="0"/>
        <w:pageBreakBefore w:val="0"/>
        <w:widowControl w:val="0"/>
        <w:shd w:val="clear"/>
        <w:kinsoku/>
        <w:wordWrap/>
        <w:overflowPunct/>
        <w:topLinePunct w:val="0"/>
        <w:autoSpaceDE/>
        <w:autoSpaceDN/>
        <w:bidi w:val="0"/>
        <w:adjustRightInd w:val="0"/>
        <w:snapToGrid w:val="0"/>
        <w:spacing w:line="560" w:lineRule="exact"/>
        <w:jc w:val="left"/>
        <w:textAlignment w:val="auto"/>
        <w:rPr>
          <w:rFonts w:hint="eastAsia" w:ascii="黑体" w:hAnsi="黑体" w:eastAsia="黑体" w:cs="黑体"/>
          <w:b w:val="0"/>
          <w:bCs/>
          <w:sz w:val="32"/>
          <w:szCs w:val="32"/>
          <w:highlight w:val="none"/>
          <w:lang w:val="en-US" w:eastAsia="zh-CN"/>
        </w:rPr>
      </w:pPr>
      <w:bookmarkStart w:id="17" w:name="_GoBack"/>
      <w:r>
        <w:rPr>
          <w:rFonts w:hint="eastAsia" w:ascii="黑体" w:hAnsi="黑体" w:eastAsia="黑体" w:cs="黑体"/>
          <w:b w:val="0"/>
          <w:bCs/>
          <w:sz w:val="32"/>
          <w:szCs w:val="32"/>
          <w:highlight w:val="none"/>
          <w:lang w:eastAsia="zh-CN"/>
        </w:rPr>
        <w:t>附件</w:t>
      </w:r>
      <w:r>
        <w:rPr>
          <w:rFonts w:hint="eastAsia" w:ascii="黑体" w:hAnsi="黑体" w:eastAsia="黑体" w:cs="黑体"/>
          <w:b w:val="0"/>
          <w:bCs/>
          <w:sz w:val="32"/>
          <w:szCs w:val="32"/>
          <w:highlight w:val="none"/>
          <w:lang w:val="en-US" w:eastAsia="zh-CN"/>
        </w:rPr>
        <w:t>1</w:t>
      </w:r>
    </w:p>
    <w:bookmarkEnd w:id="17"/>
    <w:p w14:paraId="0CD83A38">
      <w:pPr>
        <w:keepNext w:val="0"/>
        <w:keepLines w:val="0"/>
        <w:pageBreakBefore w:val="0"/>
        <w:widowControl w:val="0"/>
        <w:shd w:val="clear"/>
        <w:kinsoku/>
        <w:wordWrap/>
        <w:overflowPunct/>
        <w:topLinePunct w:val="0"/>
        <w:autoSpaceDE/>
        <w:autoSpaceDN/>
        <w:bidi w:val="0"/>
        <w:adjustRightInd w:val="0"/>
        <w:snapToGrid w:val="0"/>
        <w:spacing w:line="560" w:lineRule="exact"/>
        <w:ind w:firstLine="1084" w:firstLineChars="300"/>
        <w:jc w:val="center"/>
        <w:textAlignment w:val="auto"/>
        <w:rPr>
          <w:rFonts w:hint="eastAsia"/>
          <w:b/>
          <w:sz w:val="36"/>
          <w:szCs w:val="36"/>
          <w:highlight w:val="none"/>
          <w:lang w:eastAsia="zh-CN"/>
        </w:rPr>
      </w:pPr>
    </w:p>
    <w:p w14:paraId="39279771">
      <w:pPr>
        <w:keepNext w:val="0"/>
        <w:keepLines w:val="0"/>
        <w:pageBreakBefore w:val="0"/>
        <w:widowControl w:val="0"/>
        <w:shd w:val="clear"/>
        <w:kinsoku/>
        <w:wordWrap/>
        <w:overflowPunct/>
        <w:topLinePunct w:val="0"/>
        <w:autoSpaceDE/>
        <w:autoSpaceDN/>
        <w:bidi w:val="0"/>
        <w:adjustRightInd w:val="0"/>
        <w:snapToGrid w:val="0"/>
        <w:spacing w:line="560" w:lineRule="exact"/>
        <w:ind w:firstLine="1084" w:firstLineChars="300"/>
        <w:jc w:val="center"/>
        <w:textAlignment w:val="auto"/>
        <w:rPr>
          <w:rFonts w:hint="eastAsia"/>
          <w:b/>
          <w:sz w:val="36"/>
          <w:szCs w:val="36"/>
          <w:highlight w:val="none"/>
          <w:lang w:eastAsia="zh-CN"/>
        </w:rPr>
      </w:pPr>
    </w:p>
    <w:p w14:paraId="1547EF3B">
      <w:pPr>
        <w:keepNext w:val="0"/>
        <w:keepLines w:val="0"/>
        <w:pageBreakBefore w:val="0"/>
        <w:widowControl w:val="0"/>
        <w:shd w:val="clear"/>
        <w:kinsoku/>
        <w:wordWrap/>
        <w:overflowPunct/>
        <w:topLinePunct w:val="0"/>
        <w:autoSpaceDE/>
        <w:autoSpaceDN/>
        <w:bidi w:val="0"/>
        <w:adjustRightInd w:val="0"/>
        <w:snapToGrid w:val="0"/>
        <w:spacing w:line="560" w:lineRule="exact"/>
        <w:ind w:firstLine="1084" w:firstLineChars="300"/>
        <w:jc w:val="center"/>
        <w:textAlignment w:val="auto"/>
        <w:rPr>
          <w:rFonts w:hint="eastAsia"/>
          <w:b/>
          <w:sz w:val="36"/>
          <w:szCs w:val="36"/>
          <w:highlight w:val="none"/>
          <w:lang w:eastAsia="zh-CN"/>
        </w:rPr>
      </w:pPr>
    </w:p>
    <w:p w14:paraId="1968B7F8">
      <w:pPr>
        <w:pStyle w:val="2"/>
        <w:keepNext w:val="0"/>
        <w:keepLines w:val="0"/>
        <w:pageBreakBefore w:val="0"/>
        <w:widowControl w:val="0"/>
        <w:kinsoku/>
        <w:wordWrap/>
        <w:overflowPunct/>
        <w:topLinePunct w:val="0"/>
        <w:autoSpaceDE/>
        <w:autoSpaceDN/>
        <w:bidi w:val="0"/>
        <w:spacing w:after="0" w:line="560" w:lineRule="exact"/>
        <w:textAlignment w:val="auto"/>
        <w:rPr>
          <w:rFonts w:hint="eastAsia"/>
          <w:lang w:eastAsia="zh-CN"/>
        </w:rPr>
      </w:pPr>
    </w:p>
    <w:p w14:paraId="62D93AF3">
      <w:pPr>
        <w:keepNext w:val="0"/>
        <w:keepLines w:val="0"/>
        <w:pageBreakBefore w:val="0"/>
        <w:kinsoku/>
        <w:wordWrap/>
        <w:overflowPunct/>
        <w:topLinePunct w:val="0"/>
        <w:autoSpaceDE w:val="0"/>
        <w:autoSpaceDN w:val="0"/>
        <w:bidi w:val="0"/>
        <w:adjustRightInd w:val="0"/>
        <w:spacing w:line="560" w:lineRule="exact"/>
        <w:jc w:val="center"/>
        <w:rPr>
          <w:rFonts w:hint="eastAsia" w:ascii="方正小标宋简体" w:hAnsi="Times New Roman" w:eastAsia="方正小标宋简体" w:cs="FZXBSK--GBK1-0"/>
          <w:color w:val="auto"/>
          <w:kern w:val="0"/>
          <w:sz w:val="48"/>
          <w:szCs w:val="48"/>
          <w:highlight w:val="none"/>
          <w:lang w:val="en-US" w:eastAsia="zh-CN"/>
        </w:rPr>
      </w:pPr>
      <w:r>
        <w:rPr>
          <w:rFonts w:hint="eastAsia" w:ascii="方正小标宋简体" w:hAnsi="Times New Roman" w:eastAsia="方正小标宋简体" w:cs="FZXBSK--GBK1-0"/>
          <w:color w:val="auto"/>
          <w:kern w:val="0"/>
          <w:sz w:val="48"/>
          <w:szCs w:val="48"/>
          <w:highlight w:val="none"/>
          <w:lang w:val="en-US" w:eastAsia="zh-CN"/>
        </w:rPr>
        <w:t>北京市昌平区“十五五”时期</w:t>
      </w:r>
    </w:p>
    <w:p w14:paraId="01F03F6B">
      <w:pPr>
        <w:keepNext w:val="0"/>
        <w:keepLines w:val="0"/>
        <w:pageBreakBefore w:val="0"/>
        <w:kinsoku/>
        <w:wordWrap/>
        <w:overflowPunct/>
        <w:topLinePunct w:val="0"/>
        <w:autoSpaceDE w:val="0"/>
        <w:autoSpaceDN w:val="0"/>
        <w:bidi w:val="0"/>
        <w:adjustRightInd w:val="0"/>
        <w:spacing w:line="560" w:lineRule="exact"/>
        <w:jc w:val="center"/>
        <w:rPr>
          <w:rFonts w:hint="eastAsia" w:ascii="方正小标宋简体" w:hAnsi="Times New Roman" w:eastAsia="方正小标宋简体" w:cs="FZXBSK--GBK1-0"/>
          <w:color w:val="auto"/>
          <w:kern w:val="0"/>
          <w:sz w:val="48"/>
          <w:szCs w:val="48"/>
          <w:highlight w:val="none"/>
          <w:lang w:val="en-US" w:eastAsia="zh-CN"/>
        </w:rPr>
      </w:pPr>
      <w:r>
        <w:rPr>
          <w:rFonts w:hint="eastAsia" w:ascii="方正小标宋简体" w:hAnsi="Times New Roman" w:eastAsia="方正小标宋简体" w:cs="FZXBSK--GBK1-0"/>
          <w:color w:val="auto"/>
          <w:kern w:val="0"/>
          <w:sz w:val="48"/>
          <w:szCs w:val="48"/>
          <w:highlight w:val="none"/>
          <w:lang w:val="en-US" w:eastAsia="zh-CN"/>
        </w:rPr>
        <w:t>妇女儿童发展规划</w:t>
      </w:r>
    </w:p>
    <w:p w14:paraId="290E9CF8">
      <w:pPr>
        <w:keepNext w:val="0"/>
        <w:keepLines w:val="0"/>
        <w:pageBreakBefore w:val="0"/>
        <w:kinsoku/>
        <w:wordWrap/>
        <w:overflowPunct/>
        <w:topLinePunct w:val="0"/>
        <w:autoSpaceDE/>
        <w:autoSpaceDN/>
        <w:bidi w:val="0"/>
        <w:spacing w:line="560" w:lineRule="exact"/>
        <w:jc w:val="both"/>
        <w:rPr>
          <w:rFonts w:hint="eastAsia" w:ascii="楷体_GB2312" w:hAnsi="仿宋" w:eastAsia="楷体_GB2312" w:cs="Times New Roman"/>
          <w:b w:val="0"/>
          <w:bCs w:val="0"/>
          <w:color w:val="auto"/>
          <w:sz w:val="32"/>
          <w:szCs w:val="32"/>
          <w:highlight w:val="none"/>
          <w:lang w:val="en-US" w:eastAsia="zh-CN"/>
        </w:rPr>
      </w:pPr>
    </w:p>
    <w:p w14:paraId="4CFAA2C5">
      <w:pPr>
        <w:keepNext w:val="0"/>
        <w:keepLines w:val="0"/>
        <w:pageBreakBefore w:val="0"/>
        <w:kinsoku/>
        <w:wordWrap/>
        <w:overflowPunct/>
        <w:topLinePunct w:val="0"/>
        <w:autoSpaceDE/>
        <w:autoSpaceDN/>
        <w:bidi w:val="0"/>
        <w:spacing w:line="560" w:lineRule="exact"/>
        <w:jc w:val="center"/>
        <w:rPr>
          <w:rFonts w:hint="eastAsia" w:ascii="楷体_GB2312" w:hAnsi="仿宋" w:eastAsia="楷体_GB2312" w:cs="Times New Roman"/>
          <w:b w:val="0"/>
          <w:bCs w:val="0"/>
          <w:color w:val="auto"/>
          <w:sz w:val="32"/>
          <w:szCs w:val="32"/>
          <w:highlight w:val="none"/>
          <w:lang w:val="en-US" w:eastAsia="zh-CN"/>
        </w:rPr>
      </w:pPr>
      <w:r>
        <w:rPr>
          <w:rFonts w:hint="eastAsia" w:ascii="楷体_GB2312" w:hAnsi="仿宋" w:eastAsia="楷体_GB2312" w:cs="Times New Roman"/>
          <w:b w:val="0"/>
          <w:bCs w:val="0"/>
          <w:color w:val="auto"/>
          <w:sz w:val="32"/>
          <w:szCs w:val="32"/>
          <w:highlight w:val="none"/>
          <w:lang w:val="en-US" w:eastAsia="zh-CN"/>
        </w:rPr>
        <w:t>（征求意见稿）</w:t>
      </w:r>
    </w:p>
    <w:p w14:paraId="2EAF1E1C">
      <w:pPr>
        <w:shd w:val="clear"/>
        <w:adjustRightInd w:val="0"/>
        <w:snapToGrid w:val="0"/>
        <w:spacing w:line="360" w:lineRule="auto"/>
        <w:ind w:firstLine="643" w:firstLineChars="200"/>
        <w:jc w:val="center"/>
        <w:rPr>
          <w:rFonts w:hint="eastAsia" w:eastAsia="宋体"/>
          <w:b/>
          <w:sz w:val="32"/>
          <w:szCs w:val="32"/>
          <w:highlight w:val="none"/>
          <w:lang w:val="en-US" w:eastAsia="zh-CN"/>
        </w:rPr>
      </w:pPr>
    </w:p>
    <w:p w14:paraId="28429F62">
      <w:pPr>
        <w:shd w:val="clear"/>
        <w:adjustRightInd w:val="0"/>
        <w:snapToGrid w:val="0"/>
        <w:spacing w:line="360" w:lineRule="auto"/>
        <w:ind w:firstLine="643" w:firstLineChars="200"/>
        <w:jc w:val="center"/>
        <w:rPr>
          <w:rFonts w:hint="eastAsia" w:eastAsia="宋体"/>
          <w:b/>
          <w:sz w:val="32"/>
          <w:szCs w:val="32"/>
          <w:highlight w:val="none"/>
          <w:lang w:val="en-US" w:eastAsia="zh-CN"/>
        </w:rPr>
      </w:pPr>
    </w:p>
    <w:p w14:paraId="1151E45A">
      <w:pPr>
        <w:shd w:val="clear"/>
        <w:adjustRightInd w:val="0"/>
        <w:snapToGrid w:val="0"/>
        <w:spacing w:line="360" w:lineRule="auto"/>
        <w:ind w:firstLine="643" w:firstLineChars="200"/>
        <w:jc w:val="center"/>
        <w:rPr>
          <w:rFonts w:hint="eastAsia" w:eastAsia="宋体"/>
          <w:b/>
          <w:sz w:val="32"/>
          <w:szCs w:val="32"/>
          <w:highlight w:val="none"/>
          <w:lang w:val="en-US" w:eastAsia="zh-CN"/>
        </w:rPr>
      </w:pPr>
    </w:p>
    <w:p w14:paraId="7694F85A">
      <w:pPr>
        <w:shd w:val="clear"/>
        <w:adjustRightInd w:val="0"/>
        <w:snapToGrid w:val="0"/>
        <w:spacing w:line="360" w:lineRule="auto"/>
        <w:ind w:firstLine="643" w:firstLineChars="200"/>
        <w:jc w:val="center"/>
        <w:rPr>
          <w:rFonts w:hint="eastAsia" w:eastAsia="宋体"/>
          <w:b/>
          <w:sz w:val="32"/>
          <w:szCs w:val="32"/>
          <w:highlight w:val="none"/>
          <w:lang w:val="en-US" w:eastAsia="zh-CN"/>
        </w:rPr>
      </w:pPr>
    </w:p>
    <w:p w14:paraId="59121347">
      <w:pPr>
        <w:shd w:val="clear"/>
        <w:adjustRightInd w:val="0"/>
        <w:snapToGrid w:val="0"/>
        <w:spacing w:line="360" w:lineRule="auto"/>
        <w:ind w:firstLine="643" w:firstLineChars="200"/>
        <w:jc w:val="center"/>
        <w:rPr>
          <w:rFonts w:hint="eastAsia" w:eastAsia="宋体"/>
          <w:b/>
          <w:sz w:val="32"/>
          <w:szCs w:val="32"/>
          <w:highlight w:val="none"/>
          <w:lang w:val="en-US" w:eastAsia="zh-CN"/>
        </w:rPr>
      </w:pPr>
    </w:p>
    <w:p w14:paraId="14925E85">
      <w:pPr>
        <w:shd w:val="clear"/>
        <w:adjustRightInd w:val="0"/>
        <w:snapToGrid w:val="0"/>
        <w:spacing w:line="360" w:lineRule="auto"/>
        <w:ind w:firstLine="643" w:firstLineChars="200"/>
        <w:jc w:val="center"/>
        <w:rPr>
          <w:rFonts w:hint="eastAsia" w:eastAsia="宋体"/>
          <w:b/>
          <w:sz w:val="32"/>
          <w:szCs w:val="32"/>
          <w:highlight w:val="none"/>
          <w:lang w:val="en-US" w:eastAsia="zh-CN"/>
        </w:rPr>
      </w:pPr>
    </w:p>
    <w:p w14:paraId="755876F6">
      <w:pPr>
        <w:shd w:val="clear"/>
        <w:adjustRightInd w:val="0"/>
        <w:snapToGrid w:val="0"/>
        <w:spacing w:line="360" w:lineRule="auto"/>
        <w:ind w:firstLine="643" w:firstLineChars="200"/>
        <w:jc w:val="center"/>
        <w:rPr>
          <w:rFonts w:hint="eastAsia" w:eastAsia="宋体"/>
          <w:b/>
          <w:sz w:val="32"/>
          <w:szCs w:val="32"/>
          <w:highlight w:val="none"/>
          <w:lang w:val="en-US" w:eastAsia="zh-CN"/>
        </w:rPr>
      </w:pPr>
    </w:p>
    <w:p w14:paraId="15203781">
      <w:pPr>
        <w:shd w:val="clear"/>
        <w:adjustRightInd w:val="0"/>
        <w:snapToGrid w:val="0"/>
        <w:spacing w:line="360" w:lineRule="auto"/>
        <w:ind w:firstLine="643" w:firstLineChars="200"/>
        <w:jc w:val="center"/>
        <w:rPr>
          <w:rFonts w:hint="eastAsia" w:eastAsia="宋体"/>
          <w:b/>
          <w:sz w:val="32"/>
          <w:szCs w:val="32"/>
          <w:highlight w:val="none"/>
          <w:lang w:val="en-US" w:eastAsia="zh-CN"/>
        </w:rPr>
      </w:pPr>
    </w:p>
    <w:p w14:paraId="15C0F8A8">
      <w:pPr>
        <w:pStyle w:val="2"/>
        <w:shd w:val="clear"/>
        <w:rPr>
          <w:rFonts w:hint="eastAsia" w:eastAsia="宋体"/>
          <w:b/>
          <w:sz w:val="32"/>
          <w:szCs w:val="32"/>
          <w:highlight w:val="none"/>
          <w:lang w:val="en-US" w:eastAsia="zh-CN"/>
        </w:rPr>
      </w:pPr>
    </w:p>
    <w:p w14:paraId="1F96CBB4">
      <w:pPr>
        <w:keepNext w:val="0"/>
        <w:keepLines w:val="0"/>
        <w:pageBreakBefore w:val="0"/>
        <w:kinsoku/>
        <w:wordWrap/>
        <w:overflowPunct/>
        <w:topLinePunct w:val="0"/>
        <w:autoSpaceDE w:val="0"/>
        <w:autoSpaceDN w:val="0"/>
        <w:bidi w:val="0"/>
        <w:adjustRightInd w:val="0"/>
        <w:spacing w:line="560" w:lineRule="exact"/>
        <w:jc w:val="center"/>
        <w:rPr>
          <w:rFonts w:hint="eastAsia" w:ascii="方正小标宋_GBK" w:hAnsi="Times New Roman" w:eastAsia="方正小标宋_GBK" w:cs="FZFSK--GBK1-0"/>
          <w:color w:val="auto"/>
          <w:kern w:val="0"/>
          <w:sz w:val="32"/>
          <w:szCs w:val="32"/>
          <w:highlight w:val="none"/>
          <w:lang w:val="en-US" w:eastAsia="zh-CN"/>
        </w:rPr>
      </w:pPr>
    </w:p>
    <w:p w14:paraId="44DA8320">
      <w:pPr>
        <w:keepNext w:val="0"/>
        <w:keepLines w:val="0"/>
        <w:pageBreakBefore w:val="0"/>
        <w:kinsoku/>
        <w:wordWrap/>
        <w:overflowPunct/>
        <w:topLinePunct w:val="0"/>
        <w:autoSpaceDE w:val="0"/>
        <w:autoSpaceDN w:val="0"/>
        <w:bidi w:val="0"/>
        <w:adjustRightInd w:val="0"/>
        <w:spacing w:line="560" w:lineRule="exact"/>
        <w:jc w:val="center"/>
        <w:rPr>
          <w:rFonts w:hint="eastAsia" w:ascii="方正小标宋_GBK" w:hAnsi="Times New Roman" w:eastAsia="方正小标宋_GBK" w:cs="FZFSK--GBK1-0"/>
          <w:color w:val="auto"/>
          <w:kern w:val="0"/>
          <w:sz w:val="32"/>
          <w:szCs w:val="32"/>
          <w:highlight w:val="none"/>
          <w:lang w:val="en-US" w:eastAsia="zh-CN"/>
        </w:rPr>
      </w:pPr>
    </w:p>
    <w:p w14:paraId="3C43D4E3">
      <w:pPr>
        <w:keepNext w:val="0"/>
        <w:keepLines w:val="0"/>
        <w:pageBreakBefore w:val="0"/>
        <w:kinsoku/>
        <w:wordWrap/>
        <w:overflowPunct/>
        <w:topLinePunct w:val="0"/>
        <w:autoSpaceDE w:val="0"/>
        <w:autoSpaceDN w:val="0"/>
        <w:bidi w:val="0"/>
        <w:adjustRightInd w:val="0"/>
        <w:spacing w:line="560" w:lineRule="exact"/>
        <w:jc w:val="center"/>
        <w:rPr>
          <w:rFonts w:hint="eastAsia" w:ascii="方正小标宋_GBK" w:hAnsi="Times New Roman" w:eastAsia="方正小标宋_GBK" w:cs="FZFSK--GBK1-0"/>
          <w:color w:val="auto"/>
          <w:kern w:val="0"/>
          <w:sz w:val="32"/>
          <w:szCs w:val="32"/>
          <w:highlight w:val="none"/>
          <w:lang w:val="en-US" w:eastAsia="zh-CN"/>
        </w:rPr>
      </w:pPr>
    </w:p>
    <w:p w14:paraId="152E75C5">
      <w:pPr>
        <w:pStyle w:val="2"/>
        <w:rPr>
          <w:rFonts w:hint="eastAsia"/>
          <w:lang w:val="en-US" w:eastAsia="zh-CN"/>
        </w:rPr>
      </w:pPr>
    </w:p>
    <w:p w14:paraId="2C2364AC">
      <w:pPr>
        <w:keepNext w:val="0"/>
        <w:keepLines w:val="0"/>
        <w:pageBreakBefore w:val="0"/>
        <w:kinsoku/>
        <w:wordWrap/>
        <w:overflowPunct/>
        <w:topLinePunct w:val="0"/>
        <w:autoSpaceDE w:val="0"/>
        <w:autoSpaceDN w:val="0"/>
        <w:bidi w:val="0"/>
        <w:adjustRightInd w:val="0"/>
        <w:spacing w:line="560" w:lineRule="exact"/>
        <w:jc w:val="center"/>
        <w:rPr>
          <w:rFonts w:hint="eastAsia" w:ascii="黑体" w:hAnsi="黑体" w:eastAsia="黑体" w:cs="黑体"/>
          <w:color w:val="auto"/>
          <w:kern w:val="0"/>
          <w:sz w:val="32"/>
          <w:szCs w:val="32"/>
          <w:highlight w:val="none"/>
          <w:lang w:val="en-US" w:eastAsia="zh-CN"/>
        </w:rPr>
      </w:pPr>
      <w:r>
        <w:rPr>
          <w:rFonts w:hint="eastAsia" w:ascii="黑体" w:hAnsi="黑体" w:eastAsia="黑体" w:cs="黑体"/>
          <w:color w:val="auto"/>
          <w:kern w:val="0"/>
          <w:sz w:val="32"/>
          <w:szCs w:val="32"/>
          <w:highlight w:val="none"/>
          <w:lang w:val="en-US" w:eastAsia="zh-CN"/>
        </w:rPr>
        <w:t>2026年9月</w:t>
      </w:r>
    </w:p>
    <w:p w14:paraId="736DB5D4">
      <w:pPr>
        <w:shd w:val="clear"/>
        <w:adjustRightInd w:val="0"/>
        <w:snapToGrid w:val="0"/>
        <w:spacing w:line="360" w:lineRule="auto"/>
        <w:jc w:val="center"/>
        <w:rPr>
          <w:rFonts w:hint="eastAsia"/>
          <w:b/>
          <w:sz w:val="32"/>
          <w:szCs w:val="32"/>
          <w:highlight w:val="none"/>
        </w:rPr>
      </w:pPr>
    </w:p>
    <w:p w14:paraId="025A5ED4">
      <w:pPr>
        <w:keepNext w:val="0"/>
        <w:keepLines w:val="0"/>
        <w:pageBreakBefore w:val="0"/>
        <w:widowControl w:val="0"/>
        <w:shd w:val="clear"/>
        <w:kinsoku/>
        <w:wordWrap/>
        <w:overflowPunct/>
        <w:topLinePunct w:val="0"/>
        <w:autoSpaceDE/>
        <w:autoSpaceDN/>
        <w:bidi w:val="0"/>
        <w:adjustRightInd w:val="0"/>
        <w:snapToGrid w:val="0"/>
        <w:spacing w:line="540" w:lineRule="atLeast"/>
        <w:jc w:val="center"/>
        <w:textAlignment w:val="auto"/>
        <w:rPr>
          <w:rFonts w:hint="eastAsia"/>
          <w:b w:val="0"/>
          <w:bCs/>
          <w:sz w:val="32"/>
          <w:szCs w:val="32"/>
          <w:highlight w:val="none"/>
        </w:rPr>
        <w:sectPr>
          <w:pgSz w:w="11906" w:h="16838"/>
          <w:pgMar w:top="1701" w:right="1587" w:bottom="1587" w:left="1587" w:header="851" w:footer="992" w:gutter="0"/>
          <w:cols w:space="425" w:num="1"/>
          <w:docGrid w:type="lines" w:linePitch="312" w:charSpace="0"/>
        </w:sectPr>
      </w:pPr>
    </w:p>
    <w:p w14:paraId="262A3FAB">
      <w:pPr>
        <w:keepNext w:val="0"/>
        <w:keepLines w:val="0"/>
        <w:pageBreakBefore w:val="0"/>
        <w:kinsoku/>
        <w:wordWrap/>
        <w:overflowPunct/>
        <w:topLinePunct w:val="0"/>
        <w:autoSpaceDE/>
        <w:autoSpaceDN/>
        <w:bidi w:val="0"/>
        <w:adjustRightInd/>
        <w:snapToGrid/>
        <w:spacing w:before="0" w:beforeLines="0" w:after="0" w:afterLines="0" w:line="5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44"/>
          <w:szCs w:val="44"/>
        </w:rPr>
      </w:pPr>
      <w:bookmarkStart w:id="0" w:name="_Toc867134891_WPSOffice_Type2"/>
    </w:p>
    <w:p w14:paraId="7357BF12">
      <w:pPr>
        <w:keepNext w:val="0"/>
        <w:keepLines w:val="0"/>
        <w:pageBreakBefore w:val="0"/>
        <w:shd w:val="clear"/>
        <w:kinsoku/>
        <w:wordWrap/>
        <w:overflowPunct/>
        <w:topLinePunct w:val="0"/>
        <w:autoSpaceDE/>
        <w:autoSpaceDN/>
        <w:bidi w:val="0"/>
        <w:adjustRightInd/>
        <w:snapToGrid/>
        <w:spacing w:before="0" w:beforeLines="0" w:after="0" w:afterLines="0" w:line="500" w:lineRule="exact"/>
        <w:ind w:left="0" w:leftChars="0" w:right="0" w:rightChars="0" w:firstLine="0" w:firstLineChars="0"/>
        <w:jc w:val="center"/>
        <w:textAlignment w:val="auto"/>
        <w:rPr>
          <w:rFonts w:hint="eastAsia" w:ascii="方正黑体" w:hAnsi="方正黑体" w:eastAsia="方正黑体" w:cs="方正黑体"/>
          <w:b/>
          <w:bCs/>
          <w:sz w:val="32"/>
          <w:szCs w:val="32"/>
          <w:highlight w:val="none"/>
        </w:rPr>
      </w:pPr>
      <w:r>
        <w:rPr>
          <w:rFonts w:hint="eastAsia" w:ascii="方正小标宋简体" w:hAnsi="方正小标宋简体" w:eastAsia="方正小标宋简体" w:cs="方正小标宋简体"/>
          <w:b w:val="0"/>
          <w:bCs w:val="0"/>
          <w:sz w:val="44"/>
          <w:szCs w:val="44"/>
        </w:rPr>
        <w:t>目</w:t>
      </w:r>
      <w:r>
        <w:rPr>
          <w:rFonts w:hint="eastAsia" w:ascii="方正小标宋简体" w:hAnsi="方正小标宋简体" w:eastAsia="方正小标宋简体" w:cs="方正小标宋简体"/>
          <w:b w:val="0"/>
          <w:bCs w:val="0"/>
          <w:sz w:val="44"/>
          <w:szCs w:val="44"/>
          <w:lang w:val="en-US" w:eastAsia="zh-CN"/>
        </w:rPr>
        <w:t xml:space="preserve">  </w:t>
      </w:r>
      <w:r>
        <w:rPr>
          <w:rFonts w:hint="eastAsia" w:ascii="方正小标宋简体" w:hAnsi="方正小标宋简体" w:eastAsia="方正小标宋简体" w:cs="方正小标宋简体"/>
          <w:b w:val="0"/>
          <w:bCs w:val="0"/>
          <w:sz w:val="44"/>
          <w:szCs w:val="44"/>
        </w:rPr>
        <w:t>录</w:t>
      </w:r>
    </w:p>
    <w:p w14:paraId="7C373496">
      <w:pPr>
        <w:pStyle w:val="5"/>
        <w:keepNext/>
        <w:keepLines/>
        <w:pageBreakBefore w:val="0"/>
        <w:widowControl w:val="0"/>
        <w:shd w:val="clear"/>
        <w:kinsoku/>
        <w:wordWrap/>
        <w:overflowPunct/>
        <w:topLinePunct w:val="0"/>
        <w:autoSpaceDE/>
        <w:autoSpaceDN/>
        <w:bidi w:val="0"/>
        <w:adjustRightInd/>
        <w:snapToGrid/>
        <w:spacing w:before="0" w:after="0" w:line="600" w:lineRule="exact"/>
        <w:textAlignment w:val="auto"/>
        <w:rPr>
          <w:rFonts w:hint="eastAsia"/>
          <w:highlight w:val="none"/>
        </w:rPr>
      </w:pPr>
    </w:p>
    <w:p w14:paraId="0B3761DA">
      <w:pPr>
        <w:pStyle w:val="45"/>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黑体" w:hAnsi="黑体" w:eastAsia="黑体" w:cs="黑体"/>
          <w:b w:val="0"/>
          <w:bCs w:val="0"/>
          <w:sz w:val="30"/>
          <w:szCs w:val="30"/>
          <w:highlight w:val="none"/>
        </w:rPr>
      </w:pPr>
      <w:r>
        <w:rPr>
          <w:rFonts w:hint="eastAsia" w:ascii="黑体" w:hAnsi="黑体" w:eastAsia="黑体" w:cs="黑体"/>
          <w:b w:val="0"/>
          <w:bCs w:val="0"/>
          <w:sz w:val="30"/>
          <w:szCs w:val="30"/>
          <w:highlight w:val="none"/>
        </w:rPr>
        <w:fldChar w:fldCharType="begin"/>
      </w:r>
      <w:r>
        <w:rPr>
          <w:rFonts w:hint="eastAsia" w:ascii="黑体" w:hAnsi="黑体" w:eastAsia="黑体" w:cs="黑体"/>
          <w:b w:val="0"/>
          <w:bCs w:val="0"/>
          <w:sz w:val="30"/>
          <w:szCs w:val="30"/>
          <w:highlight w:val="none"/>
        </w:rPr>
        <w:instrText xml:space="preserve"> HYPERLINK \l _Toc823223200_WPSOffice_Level1 </w:instrText>
      </w:r>
      <w:r>
        <w:rPr>
          <w:rFonts w:hint="eastAsia" w:ascii="黑体" w:hAnsi="黑体" w:eastAsia="黑体" w:cs="黑体"/>
          <w:b w:val="0"/>
          <w:bCs w:val="0"/>
          <w:sz w:val="30"/>
          <w:szCs w:val="30"/>
          <w:highlight w:val="none"/>
        </w:rPr>
        <w:fldChar w:fldCharType="separate"/>
      </w:r>
      <w:r>
        <w:rPr>
          <w:rFonts w:hint="eastAsia" w:ascii="黑体" w:hAnsi="黑体" w:eastAsia="黑体" w:cs="黑体"/>
          <w:b w:val="0"/>
          <w:bCs w:val="0"/>
          <w:sz w:val="30"/>
          <w:szCs w:val="30"/>
          <w:highlight w:val="none"/>
        </w:rPr>
        <w:t>一、总体</w:t>
      </w:r>
      <w:r>
        <w:rPr>
          <w:rFonts w:hint="eastAsia" w:ascii="黑体" w:hAnsi="黑体" w:eastAsia="黑体" w:cs="黑体"/>
          <w:b w:val="0"/>
          <w:bCs w:val="0"/>
          <w:sz w:val="30"/>
          <w:szCs w:val="30"/>
          <w:highlight w:val="none"/>
          <w:lang w:val="en-US" w:eastAsia="zh-CN"/>
        </w:rPr>
        <w:t>目标</w:t>
      </w:r>
      <w:r>
        <w:rPr>
          <w:rFonts w:hint="eastAsia" w:ascii="黑体" w:hAnsi="黑体" w:eastAsia="黑体" w:cs="黑体"/>
          <w:b w:val="0"/>
          <w:bCs w:val="0"/>
          <w:sz w:val="30"/>
          <w:szCs w:val="30"/>
          <w:highlight w:val="none"/>
        </w:rPr>
        <w:tab/>
      </w:r>
      <w:bookmarkStart w:id="1" w:name="_Toc823223200_WPSOffice_Level1Page"/>
      <w:r>
        <w:rPr>
          <w:rFonts w:hint="default" w:ascii="Times New Roman" w:hAnsi="Times New Roman" w:eastAsia="黑体" w:cs="Times New Roman"/>
          <w:b w:val="0"/>
          <w:bCs w:val="0"/>
          <w:sz w:val="30"/>
          <w:szCs w:val="30"/>
          <w:highlight w:val="none"/>
        </w:rPr>
        <w:t>1</w:t>
      </w:r>
      <w:bookmarkEnd w:id="1"/>
      <w:r>
        <w:rPr>
          <w:rFonts w:hint="eastAsia" w:ascii="黑体" w:hAnsi="黑体" w:eastAsia="黑体" w:cs="黑体"/>
          <w:b w:val="0"/>
          <w:bCs w:val="0"/>
          <w:sz w:val="30"/>
          <w:szCs w:val="30"/>
          <w:highlight w:val="none"/>
        </w:rPr>
        <w:fldChar w:fldCharType="end"/>
      </w:r>
    </w:p>
    <w:p w14:paraId="1F07C5E4">
      <w:pPr>
        <w:pStyle w:val="45"/>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b w:val="0"/>
          <w:bCs w:val="0"/>
          <w:sz w:val="30"/>
          <w:szCs w:val="30"/>
          <w:highlight w:val="none"/>
        </w:rPr>
      </w:pPr>
      <w:r>
        <w:rPr>
          <w:rFonts w:hint="eastAsia" w:ascii="黑体" w:hAnsi="黑体" w:eastAsia="黑体" w:cs="黑体"/>
          <w:b w:val="0"/>
          <w:bCs w:val="0"/>
          <w:sz w:val="30"/>
          <w:szCs w:val="30"/>
          <w:highlight w:val="none"/>
        </w:rPr>
        <w:fldChar w:fldCharType="begin"/>
      </w:r>
      <w:r>
        <w:rPr>
          <w:rFonts w:hint="eastAsia" w:ascii="黑体" w:hAnsi="黑体" w:eastAsia="黑体" w:cs="黑体"/>
          <w:b w:val="0"/>
          <w:bCs w:val="0"/>
          <w:sz w:val="30"/>
          <w:szCs w:val="30"/>
          <w:highlight w:val="none"/>
        </w:rPr>
        <w:instrText xml:space="preserve"> HYPERLINK \l _Toc346295197_WPSOffice_Level1 </w:instrText>
      </w:r>
      <w:r>
        <w:rPr>
          <w:rFonts w:hint="eastAsia" w:ascii="黑体" w:hAnsi="黑体" w:eastAsia="黑体" w:cs="黑体"/>
          <w:b w:val="0"/>
          <w:bCs w:val="0"/>
          <w:sz w:val="30"/>
          <w:szCs w:val="30"/>
          <w:highlight w:val="none"/>
        </w:rPr>
        <w:fldChar w:fldCharType="separate"/>
      </w:r>
      <w:r>
        <w:rPr>
          <w:rFonts w:hint="eastAsia" w:ascii="黑体" w:hAnsi="黑体" w:eastAsia="黑体" w:cs="黑体"/>
          <w:b w:val="0"/>
          <w:bCs w:val="0"/>
          <w:sz w:val="30"/>
          <w:szCs w:val="30"/>
          <w:highlight w:val="none"/>
        </w:rPr>
        <w:t>二、促进妇女全面发展的重点任务</w:t>
      </w:r>
      <w:r>
        <w:rPr>
          <w:rFonts w:hint="eastAsia" w:ascii="黑体" w:hAnsi="黑体" w:eastAsia="黑体" w:cs="黑体"/>
          <w:b w:val="0"/>
          <w:bCs w:val="0"/>
          <w:sz w:val="30"/>
          <w:szCs w:val="30"/>
          <w:highlight w:val="none"/>
        </w:rPr>
        <w:tab/>
      </w:r>
      <w:r>
        <w:rPr>
          <w:rFonts w:hint="default" w:ascii="Times New Roman" w:hAnsi="Times New Roman" w:eastAsia="楷体_GB2312" w:cs="Times New Roman"/>
          <w:b w:val="0"/>
          <w:bCs w:val="0"/>
          <w:sz w:val="30"/>
          <w:szCs w:val="30"/>
          <w:highlight w:val="none"/>
          <w:lang w:val="en-US" w:eastAsia="zh-CN"/>
        </w:rPr>
        <w:t>5</w:t>
      </w:r>
      <w:r>
        <w:rPr>
          <w:rFonts w:hint="eastAsia" w:ascii="黑体" w:hAnsi="黑体" w:eastAsia="黑体" w:cs="黑体"/>
          <w:b w:val="0"/>
          <w:bCs w:val="0"/>
          <w:sz w:val="30"/>
          <w:szCs w:val="30"/>
          <w:highlight w:val="none"/>
        </w:rPr>
        <w:fldChar w:fldCharType="end"/>
      </w:r>
    </w:p>
    <w:p w14:paraId="0D29DF6A">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_Toc497073662_WPSOffice_Level2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（一）优化妇女全方位全周期健康服务链条</w:t>
      </w:r>
      <w:r>
        <w:rPr>
          <w:rFonts w:hint="eastAsia" w:ascii="楷体_GB2312" w:hAnsi="楷体_GB2312" w:eastAsia="楷体_GB2312" w:cs="楷体_GB2312"/>
          <w:b w:val="0"/>
          <w:bCs w:val="0"/>
          <w:sz w:val="30"/>
          <w:szCs w:val="30"/>
          <w:highlight w:val="none"/>
        </w:rPr>
        <w:tab/>
      </w:r>
      <w:r>
        <w:rPr>
          <w:rFonts w:hint="default" w:ascii="Times New Roman" w:hAnsi="Times New Roman" w:eastAsia="楷体_GB2312" w:cs="Times New Roman"/>
          <w:b w:val="0"/>
          <w:bCs w:val="0"/>
          <w:sz w:val="30"/>
          <w:szCs w:val="30"/>
          <w:highlight w:val="none"/>
          <w:lang w:val="en-US" w:eastAsia="zh-CN"/>
        </w:rPr>
        <w:t>5</w:t>
      </w:r>
      <w:r>
        <w:rPr>
          <w:rFonts w:hint="eastAsia" w:ascii="楷体_GB2312" w:hAnsi="楷体_GB2312" w:eastAsia="楷体_GB2312" w:cs="楷体_GB2312"/>
          <w:b w:val="0"/>
          <w:bCs w:val="0"/>
          <w:sz w:val="30"/>
          <w:szCs w:val="30"/>
          <w:highlight w:val="none"/>
        </w:rPr>
        <w:fldChar w:fldCharType="end"/>
      </w:r>
    </w:p>
    <w:p w14:paraId="6EC5EF56">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_Toc1546462975_WPSOffice_Level2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（二）</w:t>
      </w:r>
      <w:r>
        <w:rPr>
          <w:rFonts w:hint="eastAsia" w:ascii="楷体_GB2312" w:hAnsi="楷体_GB2312" w:eastAsia="楷体_GB2312" w:cs="楷体_GB2312"/>
          <w:b w:val="0"/>
          <w:bCs w:val="0"/>
          <w:sz w:val="30"/>
          <w:szCs w:val="30"/>
          <w:highlight w:val="none"/>
          <w:lang w:val="en-US" w:eastAsia="zh-CN"/>
        </w:rPr>
        <w:t>推动</w:t>
      </w:r>
      <w:r>
        <w:rPr>
          <w:rFonts w:hint="eastAsia" w:ascii="楷体_GB2312" w:hAnsi="楷体_GB2312" w:eastAsia="楷体_GB2312" w:cs="楷体_GB2312"/>
          <w:b w:val="0"/>
          <w:bCs w:val="0"/>
          <w:sz w:val="30"/>
          <w:szCs w:val="30"/>
          <w:highlight w:val="none"/>
        </w:rPr>
        <w:t>妇女教育</w:t>
      </w:r>
      <w:r>
        <w:rPr>
          <w:rFonts w:hint="eastAsia" w:ascii="楷体_GB2312" w:hAnsi="楷体_GB2312" w:eastAsia="楷体_GB2312" w:cs="楷体_GB2312"/>
          <w:b w:val="0"/>
          <w:bCs w:val="0"/>
          <w:sz w:val="30"/>
          <w:szCs w:val="30"/>
          <w:highlight w:val="none"/>
          <w:lang w:val="en-US" w:eastAsia="zh-CN"/>
        </w:rPr>
        <w:t>高质量发展</w:t>
      </w:r>
      <w:r>
        <w:rPr>
          <w:rFonts w:hint="eastAsia" w:ascii="楷体_GB2312" w:hAnsi="楷体_GB2312" w:eastAsia="楷体_GB2312" w:cs="楷体_GB2312"/>
          <w:b w:val="0"/>
          <w:bCs w:val="0"/>
          <w:sz w:val="30"/>
          <w:szCs w:val="30"/>
          <w:highlight w:val="none"/>
        </w:rPr>
        <w:tab/>
      </w:r>
      <w:r>
        <w:rPr>
          <w:rFonts w:hint="default" w:ascii="Times New Roman" w:hAnsi="Times New Roman" w:eastAsia="楷体_GB2312" w:cs="Times New Roman"/>
          <w:b w:val="0"/>
          <w:bCs w:val="0"/>
          <w:sz w:val="30"/>
          <w:szCs w:val="30"/>
          <w:highlight w:val="none"/>
          <w:lang w:val="en-US" w:eastAsia="zh-CN"/>
        </w:rPr>
        <w:t>5</w:t>
      </w:r>
      <w:r>
        <w:rPr>
          <w:rFonts w:hint="eastAsia" w:ascii="楷体_GB2312" w:hAnsi="楷体_GB2312" w:eastAsia="楷体_GB2312" w:cs="楷体_GB2312"/>
          <w:b w:val="0"/>
          <w:bCs w:val="0"/>
          <w:sz w:val="30"/>
          <w:szCs w:val="30"/>
          <w:highlight w:val="none"/>
        </w:rPr>
        <w:fldChar w:fldCharType="end"/>
      </w:r>
    </w:p>
    <w:p w14:paraId="0A58B236">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_Toc25021987_WPSOffice_Level2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（三）</w:t>
      </w:r>
      <w:r>
        <w:rPr>
          <w:rFonts w:hint="eastAsia" w:ascii="楷体_GB2312" w:hAnsi="楷体_GB2312" w:eastAsia="楷体_GB2312" w:cs="楷体_GB2312"/>
          <w:b w:val="0"/>
          <w:bCs w:val="0"/>
          <w:sz w:val="30"/>
          <w:szCs w:val="30"/>
          <w:highlight w:val="none"/>
          <w:lang w:val="en-US" w:eastAsia="zh-CN"/>
        </w:rPr>
        <w:t>全面提升</w:t>
      </w:r>
      <w:r>
        <w:rPr>
          <w:rFonts w:hint="eastAsia" w:ascii="楷体_GB2312" w:hAnsi="楷体_GB2312" w:eastAsia="楷体_GB2312" w:cs="楷体_GB2312"/>
          <w:b w:val="0"/>
          <w:bCs w:val="0"/>
          <w:sz w:val="30"/>
          <w:szCs w:val="30"/>
          <w:highlight w:val="none"/>
        </w:rPr>
        <w:t>妇女</w:t>
      </w:r>
      <w:r>
        <w:rPr>
          <w:rFonts w:hint="eastAsia" w:ascii="楷体_GB2312" w:hAnsi="楷体_GB2312" w:eastAsia="楷体_GB2312" w:cs="楷体_GB2312"/>
          <w:b w:val="0"/>
          <w:bCs w:val="0"/>
          <w:sz w:val="30"/>
          <w:szCs w:val="30"/>
          <w:highlight w:val="none"/>
          <w:lang w:val="en-US" w:eastAsia="zh-CN"/>
        </w:rPr>
        <w:t>参与经济发展水平</w:t>
      </w:r>
      <w:r>
        <w:rPr>
          <w:rFonts w:hint="eastAsia" w:ascii="楷体_GB2312" w:hAnsi="楷体_GB2312" w:eastAsia="楷体_GB2312" w:cs="楷体_GB2312"/>
          <w:b w:val="0"/>
          <w:bCs w:val="0"/>
          <w:sz w:val="30"/>
          <w:szCs w:val="30"/>
          <w:highlight w:val="none"/>
        </w:rPr>
        <w:tab/>
      </w:r>
      <w:r>
        <w:rPr>
          <w:rFonts w:hint="eastAsia" w:ascii="Times New Roman" w:hAnsi="Times New Roman" w:eastAsia="楷体_GB2312" w:cs="Times New Roman"/>
          <w:b w:val="0"/>
          <w:bCs w:val="0"/>
          <w:sz w:val="30"/>
          <w:szCs w:val="30"/>
          <w:highlight w:val="none"/>
          <w:lang w:val="en-US" w:eastAsia="zh-CN"/>
        </w:rPr>
        <w:t>6</w:t>
      </w:r>
      <w:r>
        <w:rPr>
          <w:rFonts w:hint="eastAsia" w:ascii="楷体_GB2312" w:hAnsi="楷体_GB2312" w:eastAsia="楷体_GB2312" w:cs="楷体_GB2312"/>
          <w:b w:val="0"/>
          <w:bCs w:val="0"/>
          <w:sz w:val="30"/>
          <w:szCs w:val="30"/>
          <w:highlight w:val="none"/>
        </w:rPr>
        <w:fldChar w:fldCharType="end"/>
      </w:r>
    </w:p>
    <w:p w14:paraId="148FEDF3">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_Toc239361307_WPSOffice_Level2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（四）</w:t>
      </w:r>
      <w:r>
        <w:rPr>
          <w:rFonts w:hint="eastAsia" w:ascii="楷体_GB2312" w:hAnsi="楷体_GB2312" w:eastAsia="楷体_GB2312" w:cs="楷体_GB2312"/>
          <w:b w:val="0"/>
          <w:bCs w:val="0"/>
          <w:sz w:val="30"/>
          <w:szCs w:val="30"/>
          <w:highlight w:val="none"/>
          <w:lang w:val="en-US" w:eastAsia="zh-CN"/>
        </w:rPr>
        <w:t>提高妇女参与决策管理的程度</w:t>
      </w:r>
      <w:r>
        <w:rPr>
          <w:rFonts w:hint="eastAsia" w:ascii="楷体_GB2312" w:hAnsi="楷体_GB2312" w:eastAsia="楷体_GB2312" w:cs="楷体_GB2312"/>
          <w:b w:val="0"/>
          <w:bCs w:val="0"/>
          <w:sz w:val="30"/>
          <w:szCs w:val="30"/>
          <w:highlight w:val="none"/>
        </w:rPr>
        <w:tab/>
      </w:r>
      <w:r>
        <w:rPr>
          <w:rFonts w:hint="eastAsia" w:ascii="Times New Roman" w:hAnsi="Times New Roman" w:eastAsia="楷体_GB2312" w:cs="Times New Roman"/>
          <w:b w:val="0"/>
          <w:bCs w:val="0"/>
          <w:sz w:val="30"/>
          <w:szCs w:val="30"/>
          <w:highlight w:val="none"/>
          <w:lang w:val="en-US" w:eastAsia="zh-CN"/>
        </w:rPr>
        <w:t>7</w:t>
      </w:r>
      <w:r>
        <w:rPr>
          <w:rFonts w:hint="eastAsia" w:ascii="楷体_GB2312" w:hAnsi="楷体_GB2312" w:eastAsia="楷体_GB2312" w:cs="楷体_GB2312"/>
          <w:b w:val="0"/>
          <w:bCs w:val="0"/>
          <w:sz w:val="30"/>
          <w:szCs w:val="30"/>
          <w:highlight w:val="none"/>
        </w:rPr>
        <w:fldChar w:fldCharType="end"/>
      </w:r>
    </w:p>
    <w:p w14:paraId="44157D91">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_Toc227168465_WPSOffice_Level2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（五）</w:t>
      </w:r>
      <w:r>
        <w:rPr>
          <w:rFonts w:hint="eastAsia" w:ascii="楷体_GB2312" w:hAnsi="楷体_GB2312" w:eastAsia="楷体_GB2312" w:cs="楷体_GB2312"/>
          <w:b w:val="0"/>
          <w:bCs w:val="0"/>
          <w:sz w:val="30"/>
          <w:szCs w:val="30"/>
          <w:highlight w:val="none"/>
          <w:lang w:val="en-US" w:eastAsia="zh-CN"/>
        </w:rPr>
        <w:t>提高</w:t>
      </w:r>
      <w:r>
        <w:rPr>
          <w:rFonts w:hint="eastAsia" w:ascii="楷体_GB2312" w:hAnsi="楷体_GB2312" w:eastAsia="楷体_GB2312" w:cs="楷体_GB2312"/>
          <w:b w:val="0"/>
          <w:bCs w:val="0"/>
          <w:sz w:val="30"/>
          <w:szCs w:val="30"/>
          <w:highlight w:val="none"/>
        </w:rPr>
        <w:t>妇女多层次社会保障</w:t>
      </w:r>
      <w:r>
        <w:rPr>
          <w:rFonts w:hint="eastAsia" w:ascii="楷体_GB2312" w:hAnsi="楷体_GB2312" w:eastAsia="楷体_GB2312" w:cs="楷体_GB2312"/>
          <w:b w:val="0"/>
          <w:bCs w:val="0"/>
          <w:sz w:val="30"/>
          <w:szCs w:val="30"/>
          <w:highlight w:val="none"/>
          <w:lang w:val="en-US" w:eastAsia="zh-CN"/>
        </w:rPr>
        <w:t>水平</w:t>
      </w:r>
      <w:r>
        <w:rPr>
          <w:rFonts w:hint="eastAsia" w:ascii="楷体_GB2312" w:hAnsi="楷体_GB2312" w:eastAsia="楷体_GB2312" w:cs="楷体_GB2312"/>
          <w:b w:val="0"/>
          <w:bCs w:val="0"/>
          <w:sz w:val="30"/>
          <w:szCs w:val="30"/>
          <w:highlight w:val="none"/>
        </w:rPr>
        <w:tab/>
      </w:r>
      <w:r>
        <w:rPr>
          <w:rFonts w:hint="eastAsia" w:ascii="Times New Roman" w:hAnsi="Times New Roman" w:eastAsia="楷体_GB2312" w:cs="Times New Roman"/>
          <w:b w:val="0"/>
          <w:bCs w:val="0"/>
          <w:sz w:val="30"/>
          <w:szCs w:val="30"/>
          <w:highlight w:val="none"/>
          <w:lang w:val="en-US" w:eastAsia="zh-CN"/>
        </w:rPr>
        <w:t>8</w:t>
      </w:r>
      <w:r>
        <w:rPr>
          <w:rFonts w:hint="eastAsia" w:ascii="楷体_GB2312" w:hAnsi="楷体_GB2312" w:eastAsia="楷体_GB2312" w:cs="楷体_GB2312"/>
          <w:b w:val="0"/>
          <w:bCs w:val="0"/>
          <w:sz w:val="30"/>
          <w:szCs w:val="30"/>
          <w:highlight w:val="none"/>
        </w:rPr>
        <w:fldChar w:fldCharType="end"/>
      </w:r>
    </w:p>
    <w:p w14:paraId="2FA2B19C">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lang w:val="en-US" w:eastAsia="zh-CN"/>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_Toc970100109_WPSOffice_Level2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（六）完善</w:t>
      </w:r>
      <w:r>
        <w:rPr>
          <w:rFonts w:hint="eastAsia" w:ascii="楷体_GB2312" w:hAnsi="楷体_GB2312" w:eastAsia="楷体_GB2312" w:cs="楷体_GB2312"/>
          <w:b w:val="0"/>
          <w:bCs w:val="0"/>
          <w:sz w:val="30"/>
          <w:szCs w:val="30"/>
          <w:highlight w:val="none"/>
          <w:lang w:val="en-US" w:eastAsia="zh-CN"/>
        </w:rPr>
        <w:t>有利于妇女发展的</w:t>
      </w:r>
      <w:r>
        <w:rPr>
          <w:rFonts w:hint="eastAsia" w:ascii="楷体_GB2312" w:hAnsi="楷体_GB2312" w:eastAsia="楷体_GB2312" w:cs="楷体_GB2312"/>
          <w:b w:val="0"/>
          <w:bCs w:val="0"/>
          <w:sz w:val="30"/>
          <w:szCs w:val="30"/>
          <w:highlight w:val="none"/>
        </w:rPr>
        <w:t>家庭政策体系</w:t>
      </w:r>
      <w:r>
        <w:rPr>
          <w:rFonts w:hint="eastAsia" w:ascii="楷体_GB2312" w:hAnsi="楷体_GB2312" w:eastAsia="楷体_GB2312" w:cs="楷体_GB2312"/>
          <w:b w:val="0"/>
          <w:bCs w:val="0"/>
          <w:sz w:val="30"/>
          <w:szCs w:val="30"/>
          <w:highlight w:val="none"/>
        </w:rPr>
        <w:tab/>
      </w:r>
      <w:r>
        <w:rPr>
          <w:rFonts w:hint="eastAsia" w:eastAsia="楷体_GB2312" w:cs="Times New Roman"/>
          <w:b w:val="0"/>
          <w:bCs w:val="0"/>
          <w:sz w:val="30"/>
          <w:szCs w:val="30"/>
          <w:highlight w:val="none"/>
          <w:lang w:val="en-US" w:eastAsia="zh-CN"/>
        </w:rPr>
        <w:t>9</w:t>
      </w:r>
      <w:r>
        <w:rPr>
          <w:rFonts w:hint="eastAsia" w:ascii="楷体_GB2312" w:hAnsi="楷体_GB2312" w:eastAsia="楷体_GB2312" w:cs="楷体_GB2312"/>
          <w:b w:val="0"/>
          <w:bCs w:val="0"/>
          <w:sz w:val="30"/>
          <w:szCs w:val="30"/>
          <w:highlight w:val="none"/>
        </w:rPr>
        <w:fldChar w:fldCharType="end"/>
      </w:r>
    </w:p>
    <w:p w14:paraId="167219C1">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default" w:ascii="楷体_GB2312" w:hAnsi="楷体_GB2312" w:eastAsia="楷体_GB2312" w:cs="楷体_GB2312"/>
          <w:b w:val="0"/>
          <w:bCs w:val="0"/>
          <w:sz w:val="30"/>
          <w:szCs w:val="30"/>
          <w:highlight w:val="none"/>
          <w:lang w:val="en-US" w:eastAsia="zh-CN"/>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_Toc405983600_WPSOffice_Level2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（七）</w:t>
      </w:r>
      <w:r>
        <w:rPr>
          <w:rFonts w:hint="eastAsia" w:ascii="楷体_GB2312" w:hAnsi="楷体_GB2312" w:eastAsia="楷体_GB2312" w:cs="楷体_GB2312"/>
          <w:b w:val="0"/>
          <w:bCs w:val="0"/>
          <w:sz w:val="30"/>
          <w:szCs w:val="30"/>
          <w:highlight w:val="none"/>
          <w:lang w:val="en-US" w:eastAsia="zh-CN"/>
        </w:rPr>
        <w:t>优化</w:t>
      </w:r>
      <w:r>
        <w:rPr>
          <w:rFonts w:hint="eastAsia" w:ascii="楷体_GB2312" w:hAnsi="楷体_GB2312" w:eastAsia="楷体_GB2312" w:cs="楷体_GB2312"/>
          <w:b w:val="0"/>
          <w:bCs w:val="0"/>
          <w:sz w:val="30"/>
          <w:szCs w:val="30"/>
          <w:highlight w:val="none"/>
        </w:rPr>
        <w:t>促进男女平等的社会环境</w:t>
      </w:r>
      <w:r>
        <w:rPr>
          <w:rFonts w:hint="eastAsia" w:ascii="楷体_GB2312" w:hAnsi="楷体_GB2312" w:eastAsia="楷体_GB2312" w:cs="楷体_GB2312"/>
          <w:b w:val="0"/>
          <w:bCs w:val="0"/>
          <w:sz w:val="30"/>
          <w:szCs w:val="30"/>
          <w:highlight w:val="none"/>
        </w:rPr>
        <w:tab/>
      </w:r>
      <w:r>
        <w:rPr>
          <w:rFonts w:hint="eastAsia" w:ascii="楷体_GB2312" w:hAnsi="楷体_GB2312" w:eastAsia="楷体_GB2312" w:cs="楷体_GB2312"/>
          <w:b w:val="0"/>
          <w:bCs w:val="0"/>
          <w:sz w:val="30"/>
          <w:szCs w:val="30"/>
          <w:highlight w:val="none"/>
        </w:rPr>
        <w:fldChar w:fldCharType="end"/>
      </w:r>
      <w:r>
        <w:rPr>
          <w:rFonts w:hint="eastAsia" w:eastAsia="楷体_GB2312" w:cs="Times New Roman"/>
          <w:b w:val="0"/>
          <w:bCs w:val="0"/>
          <w:sz w:val="30"/>
          <w:szCs w:val="30"/>
          <w:highlight w:val="none"/>
          <w:lang w:val="en-US" w:eastAsia="zh-CN"/>
        </w:rPr>
        <w:t>10</w:t>
      </w:r>
    </w:p>
    <w:p w14:paraId="4C7DF2CA">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lang w:val="en-US" w:eastAsia="zh-CN"/>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_Toc412990127_WPSOffice_Level2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（八）</w:t>
      </w:r>
      <w:r>
        <w:rPr>
          <w:rFonts w:hint="eastAsia" w:ascii="楷体_GB2312" w:hAnsi="楷体_GB2312" w:eastAsia="楷体_GB2312" w:cs="楷体_GB2312"/>
          <w:b w:val="0"/>
          <w:bCs w:val="0"/>
          <w:sz w:val="30"/>
          <w:szCs w:val="30"/>
          <w:highlight w:val="none"/>
          <w:lang w:val="en-US" w:eastAsia="zh-CN"/>
        </w:rPr>
        <w:t>提高</w:t>
      </w:r>
      <w:r>
        <w:rPr>
          <w:rFonts w:hint="eastAsia" w:ascii="楷体_GB2312" w:hAnsi="楷体_GB2312" w:eastAsia="楷体_GB2312" w:cs="楷体_GB2312"/>
          <w:b w:val="0"/>
          <w:bCs w:val="0"/>
          <w:sz w:val="30"/>
          <w:szCs w:val="30"/>
          <w:highlight w:val="none"/>
        </w:rPr>
        <w:t>妇女权益</w:t>
      </w:r>
      <w:r>
        <w:rPr>
          <w:rFonts w:hint="eastAsia" w:ascii="楷体_GB2312" w:hAnsi="楷体_GB2312" w:eastAsia="楷体_GB2312" w:cs="楷体_GB2312"/>
          <w:b w:val="0"/>
          <w:bCs w:val="0"/>
          <w:sz w:val="30"/>
          <w:szCs w:val="30"/>
          <w:highlight w:val="none"/>
          <w:lang w:val="en-US" w:eastAsia="zh-CN"/>
        </w:rPr>
        <w:t>保障的</w:t>
      </w:r>
      <w:r>
        <w:rPr>
          <w:rFonts w:hint="eastAsia" w:ascii="楷体_GB2312" w:hAnsi="楷体_GB2312" w:eastAsia="楷体_GB2312" w:cs="楷体_GB2312"/>
          <w:b w:val="0"/>
          <w:bCs w:val="0"/>
          <w:sz w:val="30"/>
          <w:szCs w:val="30"/>
          <w:highlight w:val="none"/>
        </w:rPr>
        <w:t>法治</w:t>
      </w:r>
      <w:r>
        <w:rPr>
          <w:rFonts w:hint="eastAsia" w:ascii="楷体_GB2312" w:hAnsi="楷体_GB2312" w:eastAsia="楷体_GB2312" w:cs="楷体_GB2312"/>
          <w:b w:val="0"/>
          <w:bCs w:val="0"/>
          <w:sz w:val="30"/>
          <w:szCs w:val="30"/>
          <w:highlight w:val="none"/>
          <w:lang w:val="en-US" w:eastAsia="zh-CN"/>
        </w:rPr>
        <w:t>水平</w:t>
      </w:r>
      <w:r>
        <w:rPr>
          <w:rFonts w:hint="eastAsia" w:ascii="楷体_GB2312" w:hAnsi="楷体_GB2312" w:eastAsia="楷体_GB2312" w:cs="楷体_GB2312"/>
          <w:b w:val="0"/>
          <w:bCs w:val="0"/>
          <w:sz w:val="30"/>
          <w:szCs w:val="30"/>
          <w:highlight w:val="none"/>
        </w:rPr>
        <w:tab/>
      </w:r>
      <w:r>
        <w:rPr>
          <w:rFonts w:hint="eastAsia" w:ascii="Times New Roman" w:hAnsi="Times New Roman" w:eastAsia="楷体_GB2312" w:cs="Times New Roman"/>
          <w:b w:val="0"/>
          <w:bCs w:val="0"/>
          <w:sz w:val="30"/>
          <w:szCs w:val="30"/>
          <w:highlight w:val="none"/>
          <w:lang w:val="en-US" w:eastAsia="zh-CN"/>
        </w:rPr>
        <w:t>1</w:t>
      </w:r>
      <w:r>
        <w:rPr>
          <w:rFonts w:hint="eastAsia" w:ascii="楷体_GB2312" w:hAnsi="楷体_GB2312" w:eastAsia="楷体_GB2312" w:cs="楷体_GB2312"/>
          <w:b w:val="0"/>
          <w:bCs w:val="0"/>
          <w:sz w:val="30"/>
          <w:szCs w:val="30"/>
          <w:highlight w:val="none"/>
        </w:rPr>
        <w:fldChar w:fldCharType="end"/>
      </w:r>
      <w:r>
        <w:rPr>
          <w:rFonts w:hint="eastAsia" w:eastAsia="楷体_GB2312" w:cs="Times New Roman"/>
          <w:b w:val="0"/>
          <w:bCs w:val="0"/>
          <w:sz w:val="30"/>
          <w:szCs w:val="30"/>
          <w:highlight w:val="none"/>
          <w:lang w:val="en-US" w:eastAsia="zh-CN"/>
        </w:rPr>
        <w:t>1</w:t>
      </w:r>
    </w:p>
    <w:p w14:paraId="4294D9C1">
      <w:pPr>
        <w:pStyle w:val="45"/>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b w:val="0"/>
          <w:bCs w:val="0"/>
          <w:sz w:val="30"/>
          <w:szCs w:val="30"/>
          <w:highlight w:val="none"/>
        </w:rPr>
      </w:pPr>
      <w:r>
        <w:rPr>
          <w:b w:val="0"/>
          <w:bCs w:val="0"/>
          <w:sz w:val="30"/>
          <w:szCs w:val="30"/>
          <w:highlight w:val="none"/>
        </w:rPr>
        <w:fldChar w:fldCharType="begin"/>
      </w:r>
      <w:r>
        <w:rPr>
          <w:b w:val="0"/>
          <w:bCs w:val="0"/>
          <w:sz w:val="30"/>
          <w:szCs w:val="30"/>
          <w:highlight w:val="none"/>
        </w:rPr>
        <w:instrText xml:space="preserve"> HYPERLINK \l _Toc132914378_WPSOffice_Level1 </w:instrText>
      </w:r>
      <w:r>
        <w:rPr>
          <w:b w:val="0"/>
          <w:bCs w:val="0"/>
          <w:sz w:val="30"/>
          <w:szCs w:val="30"/>
          <w:highlight w:val="none"/>
        </w:rPr>
        <w:fldChar w:fldCharType="separate"/>
      </w:r>
      <w:r>
        <w:rPr>
          <w:rFonts w:hint="eastAsia" w:ascii="方正黑体" w:hAnsi="方正黑体" w:eastAsia="方正黑体" w:cs="方正黑体"/>
          <w:b/>
          <w:bCs/>
          <w:sz w:val="30"/>
          <w:szCs w:val="30"/>
          <w:highlight w:val="none"/>
        </w:rPr>
        <w:t>三</w:t>
      </w:r>
      <w:r>
        <w:rPr>
          <w:rFonts w:hint="eastAsia" w:ascii="方正黑体" w:hAnsi="方正黑体" w:eastAsia="方正黑体" w:cs="方正黑体"/>
          <w:b w:val="0"/>
          <w:bCs w:val="0"/>
          <w:sz w:val="30"/>
          <w:szCs w:val="30"/>
          <w:highlight w:val="none"/>
        </w:rPr>
        <w:t>、保障儿童优先发展的重点任务</w:t>
      </w:r>
      <w:r>
        <w:rPr>
          <w:b w:val="0"/>
          <w:bCs w:val="0"/>
          <w:sz w:val="30"/>
          <w:szCs w:val="30"/>
          <w:highlight w:val="none"/>
        </w:rPr>
        <w:tab/>
      </w:r>
      <w:bookmarkStart w:id="2" w:name="_Toc132914378_WPSOffice_Level1Page"/>
      <w:r>
        <w:rPr>
          <w:rFonts w:hint="eastAsia" w:ascii="Times New Roman" w:hAnsi="Times New Roman" w:eastAsia="楷体_GB2312" w:cs="Times New Roman"/>
          <w:b w:val="0"/>
          <w:bCs w:val="0"/>
          <w:sz w:val="30"/>
          <w:szCs w:val="30"/>
          <w:highlight w:val="none"/>
          <w:lang w:val="en-US" w:eastAsia="zh-CN"/>
        </w:rPr>
        <w:t>1</w:t>
      </w:r>
      <w:bookmarkEnd w:id="2"/>
      <w:r>
        <w:rPr>
          <w:rFonts w:hint="eastAsia" w:eastAsia="楷体_GB2312" w:cs="Times New Roman"/>
          <w:b w:val="0"/>
          <w:bCs w:val="0"/>
          <w:sz w:val="30"/>
          <w:szCs w:val="30"/>
          <w:highlight w:val="none"/>
          <w:lang w:val="en-US" w:eastAsia="zh-CN"/>
        </w:rPr>
        <w:t>2</w:t>
      </w:r>
      <w:r>
        <w:rPr>
          <w:b w:val="0"/>
          <w:bCs w:val="0"/>
          <w:sz w:val="30"/>
          <w:szCs w:val="30"/>
          <w:highlight w:val="none"/>
        </w:rPr>
        <w:fldChar w:fldCharType="end"/>
      </w:r>
    </w:p>
    <w:p w14:paraId="0F88A1AE">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_Toc671224553_WPSOffice_Level2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（一）</w:t>
      </w:r>
      <w:r>
        <w:rPr>
          <w:rFonts w:hint="eastAsia" w:ascii="楷体_GB2312" w:hAnsi="楷体_GB2312" w:eastAsia="楷体_GB2312" w:cs="楷体_GB2312"/>
          <w:b w:val="0"/>
          <w:bCs w:val="0"/>
          <w:sz w:val="30"/>
          <w:szCs w:val="30"/>
          <w:highlight w:val="none"/>
          <w:lang w:val="en-US" w:eastAsia="zh-CN"/>
        </w:rPr>
        <w:t>提高</w:t>
      </w:r>
      <w:r>
        <w:rPr>
          <w:rFonts w:hint="eastAsia" w:ascii="楷体_GB2312" w:hAnsi="楷体_GB2312" w:eastAsia="楷体_GB2312" w:cs="楷体_GB2312"/>
          <w:b w:val="0"/>
          <w:bCs w:val="0"/>
          <w:sz w:val="30"/>
          <w:szCs w:val="30"/>
          <w:highlight w:val="none"/>
        </w:rPr>
        <w:t>均衡高效儿童健康服务</w:t>
      </w:r>
      <w:r>
        <w:rPr>
          <w:rFonts w:hint="eastAsia" w:ascii="楷体_GB2312" w:hAnsi="楷体_GB2312" w:eastAsia="楷体_GB2312" w:cs="楷体_GB2312"/>
          <w:b w:val="0"/>
          <w:bCs w:val="0"/>
          <w:sz w:val="30"/>
          <w:szCs w:val="30"/>
          <w:highlight w:val="none"/>
          <w:lang w:val="en-US" w:eastAsia="zh-CN"/>
        </w:rPr>
        <w:t>水平</w:t>
      </w:r>
      <w:r>
        <w:rPr>
          <w:rFonts w:hint="eastAsia" w:ascii="楷体_GB2312" w:hAnsi="楷体_GB2312" w:eastAsia="楷体_GB2312" w:cs="楷体_GB2312"/>
          <w:b w:val="0"/>
          <w:bCs w:val="0"/>
          <w:sz w:val="30"/>
          <w:szCs w:val="30"/>
          <w:highlight w:val="none"/>
        </w:rPr>
        <w:tab/>
      </w:r>
      <w:bookmarkStart w:id="3" w:name="_Toc671224553_WPSOffice_Level2Page"/>
      <w:r>
        <w:rPr>
          <w:rFonts w:hint="eastAsia" w:ascii="Times New Roman" w:hAnsi="Times New Roman" w:eastAsia="楷体_GB2312" w:cs="Times New Roman"/>
          <w:b w:val="0"/>
          <w:bCs w:val="0"/>
          <w:sz w:val="30"/>
          <w:szCs w:val="30"/>
          <w:highlight w:val="none"/>
          <w:lang w:val="en-US" w:eastAsia="zh-CN"/>
        </w:rPr>
        <w:t>1</w:t>
      </w:r>
      <w:bookmarkEnd w:id="3"/>
      <w:r>
        <w:rPr>
          <w:rFonts w:hint="eastAsia" w:eastAsia="楷体_GB2312" w:cs="Times New Roman"/>
          <w:b w:val="0"/>
          <w:bCs w:val="0"/>
          <w:sz w:val="30"/>
          <w:szCs w:val="30"/>
          <w:highlight w:val="none"/>
          <w:lang w:val="en-US" w:eastAsia="zh-CN"/>
        </w:rPr>
        <w:t>2</w:t>
      </w:r>
      <w:r>
        <w:rPr>
          <w:rFonts w:hint="eastAsia" w:ascii="楷体_GB2312" w:hAnsi="楷体_GB2312" w:eastAsia="楷体_GB2312" w:cs="楷体_GB2312"/>
          <w:b w:val="0"/>
          <w:bCs w:val="0"/>
          <w:sz w:val="30"/>
          <w:szCs w:val="30"/>
          <w:highlight w:val="none"/>
        </w:rPr>
        <w:fldChar w:fldCharType="end"/>
      </w:r>
    </w:p>
    <w:p w14:paraId="337EDB32">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_Toc4817019_WPSOffice_Level2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（二）构建多维立体</w:t>
      </w:r>
      <w:r>
        <w:rPr>
          <w:rFonts w:hint="eastAsia" w:ascii="楷体_GB2312" w:hAnsi="楷体_GB2312" w:eastAsia="楷体_GB2312" w:cs="楷体_GB2312"/>
          <w:b w:val="0"/>
          <w:bCs w:val="0"/>
          <w:sz w:val="30"/>
          <w:szCs w:val="30"/>
          <w:highlight w:val="none"/>
          <w:lang w:val="en-US" w:eastAsia="zh-CN"/>
        </w:rPr>
        <w:t>的</w:t>
      </w:r>
      <w:r>
        <w:rPr>
          <w:rFonts w:hint="eastAsia" w:ascii="楷体_GB2312" w:hAnsi="楷体_GB2312" w:eastAsia="楷体_GB2312" w:cs="楷体_GB2312"/>
          <w:b w:val="0"/>
          <w:bCs w:val="0"/>
          <w:sz w:val="30"/>
          <w:szCs w:val="30"/>
          <w:highlight w:val="none"/>
        </w:rPr>
        <w:t>儿童保护网络</w:t>
      </w:r>
      <w:r>
        <w:rPr>
          <w:rFonts w:hint="eastAsia" w:ascii="楷体_GB2312" w:hAnsi="楷体_GB2312" w:eastAsia="楷体_GB2312" w:cs="楷体_GB2312"/>
          <w:b w:val="0"/>
          <w:bCs w:val="0"/>
          <w:sz w:val="30"/>
          <w:szCs w:val="30"/>
          <w:highlight w:val="none"/>
        </w:rPr>
        <w:tab/>
      </w:r>
      <w:bookmarkStart w:id="4" w:name="_Toc4817019_WPSOffice_Level2Page"/>
      <w:r>
        <w:rPr>
          <w:rFonts w:hint="eastAsia" w:ascii="Times New Roman" w:hAnsi="Times New Roman" w:eastAsia="楷体_GB2312" w:cs="Times New Roman"/>
          <w:b w:val="0"/>
          <w:bCs w:val="0"/>
          <w:sz w:val="30"/>
          <w:szCs w:val="30"/>
          <w:highlight w:val="none"/>
          <w:lang w:val="en-US" w:eastAsia="zh-CN"/>
        </w:rPr>
        <w:t>1</w:t>
      </w:r>
      <w:bookmarkEnd w:id="4"/>
      <w:r>
        <w:rPr>
          <w:rFonts w:hint="eastAsia" w:eastAsia="楷体_GB2312" w:cs="Times New Roman"/>
          <w:b w:val="0"/>
          <w:bCs w:val="0"/>
          <w:sz w:val="30"/>
          <w:szCs w:val="30"/>
          <w:highlight w:val="none"/>
          <w:lang w:val="en-US" w:eastAsia="zh-CN"/>
        </w:rPr>
        <w:t>3</w:t>
      </w:r>
      <w:r>
        <w:rPr>
          <w:rFonts w:hint="eastAsia" w:ascii="楷体_GB2312" w:hAnsi="楷体_GB2312" w:eastAsia="楷体_GB2312" w:cs="楷体_GB2312"/>
          <w:b w:val="0"/>
          <w:bCs w:val="0"/>
          <w:sz w:val="30"/>
          <w:szCs w:val="30"/>
          <w:highlight w:val="none"/>
        </w:rPr>
        <w:fldChar w:fldCharType="end"/>
      </w:r>
    </w:p>
    <w:p w14:paraId="19F38FDD">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_Toc1809106506_WPSOffice_Level2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（三）建成高质量现代化</w:t>
      </w:r>
      <w:r>
        <w:rPr>
          <w:rFonts w:hint="eastAsia" w:ascii="楷体_GB2312" w:hAnsi="楷体_GB2312" w:eastAsia="楷体_GB2312" w:cs="楷体_GB2312"/>
          <w:b w:val="0"/>
          <w:bCs w:val="0"/>
          <w:sz w:val="30"/>
          <w:szCs w:val="30"/>
          <w:highlight w:val="none"/>
          <w:lang w:val="en-US" w:eastAsia="zh-CN"/>
        </w:rPr>
        <w:t>儿童</w:t>
      </w:r>
      <w:r>
        <w:rPr>
          <w:rFonts w:hint="eastAsia" w:ascii="楷体_GB2312" w:hAnsi="楷体_GB2312" w:eastAsia="楷体_GB2312" w:cs="楷体_GB2312"/>
          <w:b w:val="0"/>
          <w:bCs w:val="0"/>
          <w:sz w:val="30"/>
          <w:szCs w:val="30"/>
          <w:highlight w:val="none"/>
        </w:rPr>
        <w:t>教育体系</w:t>
      </w:r>
      <w:r>
        <w:rPr>
          <w:rFonts w:hint="eastAsia" w:ascii="楷体_GB2312" w:hAnsi="楷体_GB2312" w:eastAsia="楷体_GB2312" w:cs="楷体_GB2312"/>
          <w:b w:val="0"/>
          <w:bCs w:val="0"/>
          <w:sz w:val="30"/>
          <w:szCs w:val="30"/>
          <w:highlight w:val="none"/>
        </w:rPr>
        <w:tab/>
      </w:r>
      <w:bookmarkStart w:id="5" w:name="_Toc1809106506_WPSOffice_Level2Page"/>
      <w:r>
        <w:rPr>
          <w:rFonts w:hint="eastAsia" w:ascii="Times New Roman" w:hAnsi="Times New Roman" w:eastAsia="楷体_GB2312" w:cs="Times New Roman"/>
          <w:b w:val="0"/>
          <w:bCs w:val="0"/>
          <w:sz w:val="30"/>
          <w:szCs w:val="30"/>
          <w:highlight w:val="none"/>
          <w:lang w:val="en-US" w:eastAsia="zh-CN"/>
        </w:rPr>
        <w:t>1</w:t>
      </w:r>
      <w:bookmarkEnd w:id="5"/>
      <w:r>
        <w:rPr>
          <w:rFonts w:hint="eastAsia" w:eastAsia="楷体_GB2312" w:cs="Times New Roman"/>
          <w:b w:val="0"/>
          <w:bCs w:val="0"/>
          <w:sz w:val="30"/>
          <w:szCs w:val="30"/>
          <w:highlight w:val="none"/>
          <w:lang w:val="en-US" w:eastAsia="zh-CN"/>
        </w:rPr>
        <w:t>4</w:t>
      </w:r>
      <w:r>
        <w:rPr>
          <w:rFonts w:hint="eastAsia" w:ascii="楷体_GB2312" w:hAnsi="楷体_GB2312" w:eastAsia="楷体_GB2312" w:cs="楷体_GB2312"/>
          <w:b w:val="0"/>
          <w:bCs w:val="0"/>
          <w:sz w:val="30"/>
          <w:szCs w:val="30"/>
          <w:highlight w:val="none"/>
        </w:rPr>
        <w:fldChar w:fldCharType="end"/>
      </w:r>
    </w:p>
    <w:p w14:paraId="79F8EA78">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_Toc550743168_WPSOffice_Level2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（四）</w:t>
      </w:r>
      <w:r>
        <w:rPr>
          <w:rFonts w:hint="eastAsia" w:ascii="楷体_GB2312" w:hAnsi="楷体_GB2312" w:eastAsia="楷体_GB2312" w:cs="楷体_GB2312"/>
          <w:b w:val="0"/>
          <w:bCs w:val="0"/>
          <w:sz w:val="30"/>
          <w:szCs w:val="30"/>
          <w:highlight w:val="none"/>
          <w:lang w:val="en-US" w:eastAsia="zh-CN"/>
        </w:rPr>
        <w:t>全面建成</w:t>
      </w:r>
      <w:r>
        <w:rPr>
          <w:rFonts w:hint="eastAsia" w:ascii="楷体_GB2312" w:hAnsi="楷体_GB2312" w:eastAsia="楷体_GB2312" w:cs="楷体_GB2312"/>
          <w:b w:val="0"/>
          <w:bCs w:val="0"/>
          <w:sz w:val="30"/>
          <w:szCs w:val="30"/>
          <w:highlight w:val="none"/>
        </w:rPr>
        <w:t>普惠型儿童福利体系</w:t>
      </w:r>
      <w:r>
        <w:rPr>
          <w:rFonts w:hint="eastAsia" w:ascii="楷体_GB2312" w:hAnsi="楷体_GB2312" w:eastAsia="楷体_GB2312" w:cs="楷体_GB2312"/>
          <w:b w:val="0"/>
          <w:bCs w:val="0"/>
          <w:sz w:val="30"/>
          <w:szCs w:val="30"/>
          <w:highlight w:val="none"/>
        </w:rPr>
        <w:tab/>
      </w:r>
      <w:bookmarkStart w:id="6" w:name="_Toc550743168_WPSOffice_Level2Page"/>
      <w:r>
        <w:rPr>
          <w:rFonts w:hint="eastAsia" w:ascii="Times New Roman" w:hAnsi="Times New Roman" w:eastAsia="楷体_GB2312" w:cs="Times New Roman"/>
          <w:b w:val="0"/>
          <w:bCs w:val="0"/>
          <w:sz w:val="30"/>
          <w:szCs w:val="30"/>
          <w:highlight w:val="none"/>
          <w:lang w:val="en-US" w:eastAsia="zh-CN"/>
        </w:rPr>
        <w:t>1</w:t>
      </w:r>
      <w:bookmarkEnd w:id="6"/>
      <w:r>
        <w:rPr>
          <w:rFonts w:hint="eastAsia" w:eastAsia="楷体_GB2312" w:cs="Times New Roman"/>
          <w:b w:val="0"/>
          <w:bCs w:val="0"/>
          <w:sz w:val="30"/>
          <w:szCs w:val="30"/>
          <w:highlight w:val="none"/>
          <w:lang w:val="en-US" w:eastAsia="zh-CN"/>
        </w:rPr>
        <w:t>5</w:t>
      </w:r>
      <w:r>
        <w:rPr>
          <w:rFonts w:hint="eastAsia" w:ascii="楷体_GB2312" w:hAnsi="楷体_GB2312" w:eastAsia="楷体_GB2312" w:cs="楷体_GB2312"/>
          <w:b w:val="0"/>
          <w:bCs w:val="0"/>
          <w:sz w:val="30"/>
          <w:szCs w:val="30"/>
          <w:highlight w:val="none"/>
        </w:rPr>
        <w:fldChar w:fldCharType="end"/>
      </w:r>
    </w:p>
    <w:p w14:paraId="5272E27B">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_Toc1405605153_WPSOffice_Level2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（五）增强家庭养育教育功能</w:t>
      </w:r>
      <w:r>
        <w:rPr>
          <w:rFonts w:hint="eastAsia" w:ascii="楷体_GB2312" w:hAnsi="楷体_GB2312" w:eastAsia="楷体_GB2312" w:cs="楷体_GB2312"/>
          <w:b w:val="0"/>
          <w:bCs w:val="0"/>
          <w:sz w:val="30"/>
          <w:szCs w:val="30"/>
          <w:highlight w:val="none"/>
        </w:rPr>
        <w:tab/>
      </w:r>
      <w:bookmarkStart w:id="7" w:name="_Toc1405605153_WPSOffice_Level2Page"/>
      <w:r>
        <w:rPr>
          <w:rFonts w:hint="eastAsia" w:ascii="Times New Roman" w:hAnsi="Times New Roman" w:eastAsia="楷体_GB2312" w:cs="Times New Roman"/>
          <w:b w:val="0"/>
          <w:bCs w:val="0"/>
          <w:sz w:val="30"/>
          <w:szCs w:val="30"/>
          <w:highlight w:val="none"/>
          <w:lang w:val="en-US" w:eastAsia="zh-CN"/>
        </w:rPr>
        <w:t>1</w:t>
      </w:r>
      <w:bookmarkEnd w:id="7"/>
      <w:r>
        <w:rPr>
          <w:rFonts w:hint="eastAsia" w:eastAsia="楷体_GB2312" w:cs="Times New Roman"/>
          <w:b w:val="0"/>
          <w:bCs w:val="0"/>
          <w:sz w:val="30"/>
          <w:szCs w:val="30"/>
          <w:highlight w:val="none"/>
          <w:lang w:val="en-US" w:eastAsia="zh-CN"/>
        </w:rPr>
        <w:t>5</w:t>
      </w:r>
      <w:r>
        <w:rPr>
          <w:rFonts w:hint="eastAsia" w:ascii="楷体_GB2312" w:hAnsi="楷体_GB2312" w:eastAsia="楷体_GB2312" w:cs="楷体_GB2312"/>
          <w:b w:val="0"/>
          <w:bCs w:val="0"/>
          <w:sz w:val="30"/>
          <w:szCs w:val="30"/>
          <w:highlight w:val="none"/>
        </w:rPr>
        <w:fldChar w:fldCharType="end"/>
      </w:r>
    </w:p>
    <w:p w14:paraId="0F7429BF">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eastAsia" w:ascii="楷体_GB2312" w:hAnsi="楷体_GB2312" w:eastAsia="楷体_GB2312" w:cs="楷体_GB2312"/>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_Toc873725356_WPSOffice_Level2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（六）</w:t>
      </w:r>
      <w:r>
        <w:rPr>
          <w:rFonts w:hint="eastAsia" w:ascii="楷体_GB2312" w:hAnsi="楷体_GB2312" w:eastAsia="楷体_GB2312" w:cs="楷体_GB2312"/>
          <w:b w:val="0"/>
          <w:bCs w:val="0"/>
          <w:sz w:val="30"/>
          <w:szCs w:val="30"/>
          <w:highlight w:val="none"/>
          <w:lang w:val="en-US" w:eastAsia="zh-CN"/>
        </w:rPr>
        <w:t>全域</w:t>
      </w:r>
      <w:r>
        <w:rPr>
          <w:rFonts w:hint="eastAsia" w:ascii="楷体_GB2312" w:hAnsi="楷体_GB2312" w:eastAsia="楷体_GB2312" w:cs="楷体_GB2312"/>
          <w:b w:val="0"/>
          <w:bCs w:val="0"/>
          <w:sz w:val="30"/>
          <w:szCs w:val="30"/>
          <w:highlight w:val="none"/>
        </w:rPr>
        <w:t>建</w:t>
      </w:r>
      <w:r>
        <w:rPr>
          <w:rFonts w:hint="eastAsia" w:ascii="楷体_GB2312" w:hAnsi="楷体_GB2312" w:eastAsia="楷体_GB2312" w:cs="楷体_GB2312"/>
          <w:b w:val="0"/>
          <w:bCs w:val="0"/>
          <w:sz w:val="30"/>
          <w:szCs w:val="30"/>
          <w:highlight w:val="none"/>
          <w:lang w:val="en-US" w:eastAsia="zh-CN"/>
        </w:rPr>
        <w:t>设</w:t>
      </w:r>
      <w:r>
        <w:rPr>
          <w:rFonts w:hint="eastAsia" w:ascii="楷体_GB2312" w:hAnsi="楷体_GB2312" w:eastAsia="楷体_GB2312" w:cs="楷体_GB2312"/>
          <w:b w:val="0"/>
          <w:bCs w:val="0"/>
          <w:sz w:val="30"/>
          <w:szCs w:val="30"/>
          <w:highlight w:val="none"/>
        </w:rPr>
        <w:t>儿童友好城市</w:t>
      </w:r>
      <w:r>
        <w:rPr>
          <w:rFonts w:hint="eastAsia" w:ascii="楷体_GB2312" w:hAnsi="楷体_GB2312" w:eastAsia="楷体_GB2312" w:cs="楷体_GB2312"/>
          <w:b w:val="0"/>
          <w:bCs w:val="0"/>
          <w:sz w:val="30"/>
          <w:szCs w:val="30"/>
          <w:highlight w:val="none"/>
        </w:rPr>
        <w:tab/>
      </w:r>
      <w:bookmarkStart w:id="8" w:name="_Toc873725356_WPSOffice_Level2Page"/>
      <w:r>
        <w:rPr>
          <w:rFonts w:hint="eastAsia" w:ascii="Times New Roman" w:hAnsi="Times New Roman" w:eastAsia="楷体_GB2312" w:cs="Times New Roman"/>
          <w:b w:val="0"/>
          <w:bCs w:val="0"/>
          <w:sz w:val="30"/>
          <w:szCs w:val="30"/>
          <w:highlight w:val="none"/>
          <w:lang w:val="en-US" w:eastAsia="zh-CN"/>
        </w:rPr>
        <w:t>1</w:t>
      </w:r>
      <w:bookmarkEnd w:id="8"/>
      <w:r>
        <w:rPr>
          <w:rFonts w:hint="eastAsia" w:eastAsia="楷体_GB2312" w:cs="Times New Roman"/>
          <w:b w:val="0"/>
          <w:bCs w:val="0"/>
          <w:sz w:val="30"/>
          <w:szCs w:val="30"/>
          <w:highlight w:val="none"/>
          <w:lang w:val="en-US" w:eastAsia="zh-CN"/>
        </w:rPr>
        <w:t>6</w:t>
      </w:r>
      <w:r>
        <w:rPr>
          <w:rFonts w:hint="eastAsia" w:ascii="楷体_GB2312" w:hAnsi="楷体_GB2312" w:eastAsia="楷体_GB2312" w:cs="楷体_GB2312"/>
          <w:b w:val="0"/>
          <w:bCs w:val="0"/>
          <w:sz w:val="30"/>
          <w:szCs w:val="30"/>
          <w:highlight w:val="none"/>
        </w:rPr>
        <w:fldChar w:fldCharType="end"/>
      </w:r>
    </w:p>
    <w:p w14:paraId="34893918">
      <w:pPr>
        <w:pStyle w:val="46"/>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b w:val="0"/>
          <w:bCs w:val="0"/>
          <w:sz w:val="30"/>
          <w:szCs w:val="30"/>
          <w:highlight w:val="none"/>
        </w:rPr>
      </w:pPr>
      <w:r>
        <w:rPr>
          <w:rFonts w:hint="eastAsia" w:ascii="楷体_GB2312" w:hAnsi="楷体_GB2312" w:eastAsia="楷体_GB2312" w:cs="楷体_GB2312"/>
          <w:b w:val="0"/>
          <w:bCs w:val="0"/>
          <w:sz w:val="30"/>
          <w:szCs w:val="30"/>
          <w:highlight w:val="none"/>
        </w:rPr>
        <w:fldChar w:fldCharType="begin"/>
      </w:r>
      <w:r>
        <w:rPr>
          <w:rFonts w:hint="eastAsia" w:ascii="楷体_GB2312" w:hAnsi="楷体_GB2312" w:eastAsia="楷体_GB2312" w:cs="楷体_GB2312"/>
          <w:b w:val="0"/>
          <w:bCs w:val="0"/>
          <w:sz w:val="30"/>
          <w:szCs w:val="30"/>
          <w:highlight w:val="none"/>
        </w:rPr>
        <w:instrText xml:space="preserve"> HYPERLINK \l _Toc888437980_WPSOffice_Level2 </w:instrText>
      </w:r>
      <w:r>
        <w:rPr>
          <w:rFonts w:hint="eastAsia" w:ascii="楷体_GB2312" w:hAnsi="楷体_GB2312" w:eastAsia="楷体_GB2312" w:cs="楷体_GB2312"/>
          <w:b w:val="0"/>
          <w:bCs w:val="0"/>
          <w:sz w:val="30"/>
          <w:szCs w:val="30"/>
          <w:highlight w:val="none"/>
        </w:rPr>
        <w:fldChar w:fldCharType="separate"/>
      </w:r>
      <w:r>
        <w:rPr>
          <w:rFonts w:hint="eastAsia" w:ascii="楷体_GB2312" w:hAnsi="楷体_GB2312" w:eastAsia="楷体_GB2312" w:cs="楷体_GB2312"/>
          <w:b w:val="0"/>
          <w:bCs w:val="0"/>
          <w:sz w:val="30"/>
          <w:szCs w:val="30"/>
          <w:highlight w:val="none"/>
        </w:rPr>
        <w:t>（七）筑牢未成年人保护</w:t>
      </w:r>
      <w:r>
        <w:rPr>
          <w:rFonts w:hint="eastAsia" w:ascii="楷体_GB2312" w:hAnsi="楷体_GB2312" w:eastAsia="楷体_GB2312" w:cs="楷体_GB2312"/>
          <w:b w:val="0"/>
          <w:bCs w:val="0"/>
          <w:sz w:val="30"/>
          <w:szCs w:val="30"/>
          <w:highlight w:val="none"/>
          <w:lang w:val="en-US" w:eastAsia="zh-CN"/>
        </w:rPr>
        <w:t>的</w:t>
      </w:r>
      <w:r>
        <w:rPr>
          <w:rFonts w:hint="eastAsia" w:ascii="楷体_GB2312" w:hAnsi="楷体_GB2312" w:eastAsia="楷体_GB2312" w:cs="楷体_GB2312"/>
          <w:b w:val="0"/>
          <w:bCs w:val="0"/>
          <w:sz w:val="30"/>
          <w:szCs w:val="30"/>
          <w:highlight w:val="none"/>
        </w:rPr>
        <w:t>法治屏障</w:t>
      </w:r>
      <w:r>
        <w:rPr>
          <w:rFonts w:hint="eastAsia" w:ascii="楷体_GB2312" w:hAnsi="楷体_GB2312" w:eastAsia="楷体_GB2312" w:cs="楷体_GB2312"/>
          <w:b w:val="0"/>
          <w:bCs w:val="0"/>
          <w:sz w:val="30"/>
          <w:szCs w:val="30"/>
          <w:highlight w:val="none"/>
        </w:rPr>
        <w:tab/>
      </w:r>
      <w:bookmarkStart w:id="9" w:name="_Toc888437980_WPSOffice_Level2Page"/>
      <w:r>
        <w:rPr>
          <w:rFonts w:hint="eastAsia" w:ascii="Times New Roman" w:hAnsi="Times New Roman" w:eastAsia="楷体_GB2312" w:cs="Times New Roman"/>
          <w:b w:val="0"/>
          <w:bCs w:val="0"/>
          <w:sz w:val="30"/>
          <w:szCs w:val="30"/>
          <w:highlight w:val="none"/>
          <w:lang w:val="en-US" w:eastAsia="zh-CN"/>
        </w:rPr>
        <w:t>1</w:t>
      </w:r>
      <w:bookmarkEnd w:id="9"/>
      <w:r>
        <w:rPr>
          <w:rFonts w:hint="eastAsia" w:eastAsia="楷体_GB2312" w:cs="Times New Roman"/>
          <w:b w:val="0"/>
          <w:bCs w:val="0"/>
          <w:sz w:val="30"/>
          <w:szCs w:val="30"/>
          <w:highlight w:val="none"/>
          <w:lang w:val="en-US" w:eastAsia="zh-CN"/>
        </w:rPr>
        <w:t>7</w:t>
      </w:r>
      <w:r>
        <w:rPr>
          <w:rFonts w:hint="eastAsia" w:ascii="楷体_GB2312" w:hAnsi="楷体_GB2312" w:eastAsia="楷体_GB2312" w:cs="楷体_GB2312"/>
          <w:b w:val="0"/>
          <w:bCs w:val="0"/>
          <w:sz w:val="30"/>
          <w:szCs w:val="30"/>
          <w:highlight w:val="none"/>
        </w:rPr>
        <w:fldChar w:fldCharType="end"/>
      </w:r>
    </w:p>
    <w:p w14:paraId="6A25533D">
      <w:pPr>
        <w:pStyle w:val="45"/>
        <w:keepNext w:val="0"/>
        <w:keepLines w:val="0"/>
        <w:pageBreakBefore w:val="0"/>
        <w:widowControl/>
        <w:shd w:val="clear"/>
        <w:tabs>
          <w:tab w:val="right" w:leader="dot" w:pos="8715"/>
        </w:tabs>
        <w:kinsoku/>
        <w:wordWrap/>
        <w:overflowPunct/>
        <w:topLinePunct w:val="0"/>
        <w:autoSpaceDE/>
        <w:autoSpaceDN/>
        <w:bidi w:val="0"/>
        <w:adjustRightInd/>
        <w:snapToGrid/>
        <w:spacing w:line="520" w:lineRule="exact"/>
        <w:jc w:val="both"/>
        <w:textAlignment w:val="auto"/>
        <w:rPr>
          <w:rFonts w:hint="default" w:eastAsia="宋体"/>
          <w:b w:val="0"/>
          <w:bCs w:val="0"/>
          <w:sz w:val="30"/>
          <w:szCs w:val="30"/>
          <w:highlight w:val="none"/>
          <w:lang w:val="en-US" w:eastAsia="zh-CN"/>
        </w:rPr>
      </w:pPr>
      <w:r>
        <w:rPr>
          <w:b w:val="0"/>
          <w:bCs w:val="0"/>
          <w:sz w:val="30"/>
          <w:szCs w:val="30"/>
          <w:highlight w:val="none"/>
        </w:rPr>
        <w:fldChar w:fldCharType="begin"/>
      </w:r>
      <w:r>
        <w:rPr>
          <w:b w:val="0"/>
          <w:bCs w:val="0"/>
          <w:sz w:val="30"/>
          <w:szCs w:val="30"/>
          <w:highlight w:val="none"/>
        </w:rPr>
        <w:instrText xml:space="preserve"> HYPERLINK \l _Toc1945731008_WPSOffice_Level1 </w:instrText>
      </w:r>
      <w:r>
        <w:rPr>
          <w:b w:val="0"/>
          <w:bCs w:val="0"/>
          <w:sz w:val="30"/>
          <w:szCs w:val="30"/>
          <w:highlight w:val="none"/>
        </w:rPr>
        <w:fldChar w:fldCharType="separate"/>
      </w:r>
      <w:r>
        <w:rPr>
          <w:rFonts w:hint="eastAsia" w:ascii="方正黑体" w:hAnsi="方正黑体" w:eastAsia="方正黑体" w:cs="方正黑体"/>
          <w:b w:val="0"/>
          <w:bCs w:val="0"/>
          <w:sz w:val="30"/>
          <w:szCs w:val="30"/>
          <w:highlight w:val="none"/>
        </w:rPr>
        <w:t>四、规划实施保障</w:t>
      </w:r>
      <w:r>
        <w:rPr>
          <w:b w:val="0"/>
          <w:bCs w:val="0"/>
          <w:sz w:val="30"/>
          <w:szCs w:val="30"/>
          <w:highlight w:val="none"/>
        </w:rPr>
        <w:tab/>
      </w:r>
      <w:r>
        <w:rPr>
          <w:b w:val="0"/>
          <w:bCs w:val="0"/>
          <w:sz w:val="30"/>
          <w:szCs w:val="30"/>
          <w:highlight w:val="none"/>
        </w:rPr>
        <w:fldChar w:fldCharType="end"/>
      </w:r>
      <w:bookmarkEnd w:id="0"/>
      <w:r>
        <w:rPr>
          <w:rFonts w:hint="eastAsia" w:ascii="Times New Roman" w:hAnsi="Times New Roman" w:eastAsia="楷体_GB2312" w:cs="Times New Roman"/>
          <w:b w:val="0"/>
          <w:bCs w:val="0"/>
          <w:sz w:val="30"/>
          <w:szCs w:val="30"/>
          <w:highlight w:val="none"/>
          <w:lang w:val="en-US" w:eastAsia="zh-CN"/>
        </w:rPr>
        <w:t>1</w:t>
      </w:r>
      <w:r>
        <w:rPr>
          <w:rFonts w:hint="eastAsia" w:eastAsia="楷体_GB2312" w:cs="Times New Roman"/>
          <w:b w:val="0"/>
          <w:bCs w:val="0"/>
          <w:sz w:val="30"/>
          <w:szCs w:val="30"/>
          <w:highlight w:val="none"/>
          <w:lang w:val="en-US" w:eastAsia="zh-CN"/>
        </w:rPr>
        <w:t>9</w:t>
      </w:r>
    </w:p>
    <w:p w14:paraId="2DD95B36">
      <w:pPr>
        <w:pStyle w:val="1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500" w:lineRule="exact"/>
        <w:jc w:val="center"/>
        <w:textAlignment w:val="auto"/>
        <w:rPr>
          <w:rStyle w:val="23"/>
          <w:rFonts w:hint="eastAsia" w:ascii="方正黑体_GBK" w:hAnsi="方正黑体_GBK" w:eastAsia="方正黑体_GBK" w:cs="方正黑体_GBK"/>
          <w:b w:val="0"/>
          <w:bCs w:val="0"/>
          <w:color w:val="auto"/>
          <w:sz w:val="30"/>
          <w:szCs w:val="30"/>
          <w:highlight w:val="none"/>
        </w:rPr>
      </w:pPr>
    </w:p>
    <w:p w14:paraId="1993BC8A">
      <w:pPr>
        <w:pageBreakBefore w:val="0"/>
        <w:shd w:val="clear"/>
        <w:kinsoku/>
        <w:wordWrap/>
        <w:overflowPunct/>
        <w:topLinePunct w:val="0"/>
        <w:autoSpaceDN/>
        <w:bidi w:val="0"/>
        <w:adjustRightInd w:val="0"/>
        <w:snapToGrid w:val="0"/>
        <w:spacing w:line="360" w:lineRule="auto"/>
        <w:jc w:val="center"/>
        <w:rPr>
          <w:rFonts w:hint="eastAsia"/>
          <w:b/>
          <w:bCs w:val="0"/>
          <w:sz w:val="30"/>
          <w:szCs w:val="30"/>
          <w:highlight w:val="none"/>
        </w:rPr>
        <w:sectPr>
          <w:footerReference r:id="rId3" w:type="default"/>
          <w:pgSz w:w="11906" w:h="16838"/>
          <w:pgMar w:top="1701" w:right="1587" w:bottom="1587" w:left="1587" w:header="851" w:footer="992" w:gutter="0"/>
          <w:pgNumType w:start="1"/>
          <w:cols w:space="425" w:num="1"/>
          <w:docGrid w:type="lines" w:linePitch="312" w:charSpace="0"/>
        </w:sectPr>
      </w:pPr>
    </w:p>
    <w:p w14:paraId="6E440976">
      <w:pPr>
        <w:keepNext w:val="0"/>
        <w:keepLines w:val="0"/>
        <w:pageBreakBefore w:val="0"/>
        <w:shd w:val="clear"/>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rPr>
          <w:rFonts w:hint="eastAsia" w:ascii="仿宋_GB2312" w:hAnsi="仿宋_GB2312" w:eastAsia="仿宋_GB2312" w:cs="仿宋_GB2312"/>
          <w:sz w:val="32"/>
          <w:szCs w:val="32"/>
          <w:highlight w:val="none"/>
        </w:rPr>
      </w:pPr>
      <w:bookmarkStart w:id="10" w:name="OLE_LINK19"/>
      <w:bookmarkStart w:id="11" w:name="OLE_LINK20"/>
      <w:r>
        <w:rPr>
          <w:rFonts w:hint="eastAsia" w:ascii="仿宋_GB2312" w:hAnsi="仿宋_GB2312" w:eastAsia="仿宋_GB2312" w:cs="仿宋_GB2312"/>
          <w:color w:val="000000"/>
          <w:kern w:val="0"/>
          <w:sz w:val="32"/>
          <w:szCs w:val="32"/>
          <w:highlight w:val="none"/>
          <w:lang w:val="en-US" w:eastAsia="zh-CN" w:bidi="ar"/>
        </w:rPr>
        <w:t>根据</w:t>
      </w:r>
      <w:r>
        <w:rPr>
          <w:rFonts w:ascii="仿宋_GB2312" w:hAnsi="仿宋_GB2312" w:eastAsia="仿宋_GB2312" w:cs="仿宋_GB2312"/>
          <w:color w:val="000000"/>
          <w:kern w:val="0"/>
          <w:sz w:val="32"/>
          <w:szCs w:val="32"/>
          <w:highlight w:val="none"/>
          <w:lang w:bidi="ar"/>
        </w:rPr>
        <w:t>《北京市“十</w:t>
      </w:r>
      <w:r>
        <w:rPr>
          <w:rFonts w:hint="eastAsia" w:ascii="仿宋_GB2312" w:hAnsi="仿宋_GB2312" w:eastAsia="仿宋_GB2312" w:cs="仿宋_GB2312"/>
          <w:color w:val="000000"/>
          <w:kern w:val="0"/>
          <w:sz w:val="32"/>
          <w:szCs w:val="32"/>
          <w:highlight w:val="none"/>
          <w:lang w:bidi="ar"/>
        </w:rPr>
        <w:t>五</w:t>
      </w:r>
      <w:r>
        <w:rPr>
          <w:rFonts w:ascii="仿宋_GB2312" w:hAnsi="仿宋_GB2312" w:eastAsia="仿宋_GB2312" w:cs="仿宋_GB2312"/>
          <w:color w:val="000000"/>
          <w:kern w:val="0"/>
          <w:sz w:val="32"/>
          <w:szCs w:val="32"/>
          <w:highlight w:val="none"/>
          <w:lang w:bidi="ar"/>
        </w:rPr>
        <w:t>五”时期妇女儿童发展规划》《北京市昌平区国民经济和社会发展第十</w:t>
      </w:r>
      <w:r>
        <w:rPr>
          <w:rFonts w:hint="eastAsia" w:ascii="仿宋_GB2312" w:hAnsi="仿宋_GB2312" w:eastAsia="仿宋_GB2312" w:cs="仿宋_GB2312"/>
          <w:color w:val="000000"/>
          <w:kern w:val="0"/>
          <w:sz w:val="32"/>
          <w:szCs w:val="32"/>
          <w:highlight w:val="none"/>
          <w:lang w:bidi="ar"/>
        </w:rPr>
        <w:t>五</w:t>
      </w:r>
      <w:r>
        <w:rPr>
          <w:rFonts w:ascii="仿宋_GB2312" w:hAnsi="仿宋_GB2312" w:eastAsia="仿宋_GB2312" w:cs="仿宋_GB2312"/>
          <w:color w:val="000000"/>
          <w:kern w:val="0"/>
          <w:sz w:val="32"/>
          <w:szCs w:val="32"/>
          <w:highlight w:val="none"/>
          <w:lang w:bidi="ar"/>
        </w:rPr>
        <w:t>个五年规划纲要》</w:t>
      </w:r>
      <w:r>
        <w:rPr>
          <w:rFonts w:hint="eastAsia" w:ascii="仿宋_GB2312" w:hAnsi="仿宋_GB2312" w:eastAsia="仿宋_GB2312" w:cs="仿宋_GB2312"/>
          <w:color w:val="000000"/>
          <w:kern w:val="0"/>
          <w:sz w:val="32"/>
          <w:szCs w:val="32"/>
          <w:highlight w:val="none"/>
          <w:lang w:bidi="ar"/>
        </w:rPr>
        <w:t>总体</w:t>
      </w:r>
      <w:r>
        <w:rPr>
          <w:rFonts w:ascii="仿宋_GB2312" w:hAnsi="仿宋_GB2312" w:eastAsia="仿宋_GB2312" w:cs="仿宋_GB2312"/>
          <w:color w:val="000000"/>
          <w:kern w:val="0"/>
          <w:sz w:val="32"/>
          <w:szCs w:val="32"/>
          <w:highlight w:val="none"/>
          <w:lang w:bidi="ar"/>
        </w:rPr>
        <w:t>要求，结合</w:t>
      </w:r>
      <w:r>
        <w:rPr>
          <w:rFonts w:hint="eastAsia" w:ascii="仿宋_GB2312" w:hAnsi="仿宋_GB2312" w:eastAsia="仿宋_GB2312" w:cs="仿宋_GB2312"/>
          <w:color w:val="000000"/>
          <w:kern w:val="0"/>
          <w:sz w:val="32"/>
          <w:szCs w:val="32"/>
          <w:highlight w:val="none"/>
          <w:lang w:bidi="ar"/>
        </w:rPr>
        <w:t>昌平</w:t>
      </w:r>
      <w:r>
        <w:rPr>
          <w:rFonts w:ascii="仿宋_GB2312" w:hAnsi="仿宋_GB2312" w:eastAsia="仿宋_GB2312" w:cs="仿宋_GB2312"/>
          <w:color w:val="000000"/>
          <w:kern w:val="0"/>
          <w:sz w:val="32"/>
          <w:szCs w:val="32"/>
          <w:highlight w:val="none"/>
          <w:lang w:bidi="ar"/>
        </w:rPr>
        <w:t>区妇女儿童发展实际，制定本规划。</w:t>
      </w:r>
    </w:p>
    <w:bookmarkEnd w:id="10"/>
    <w:bookmarkEnd w:id="11"/>
    <w:p w14:paraId="3CAE648C">
      <w:pPr>
        <w:keepNext w:val="0"/>
        <w:keepLines w:val="0"/>
        <w:pageBreakBefore w:val="0"/>
        <w:numPr>
          <w:ilvl w:val="0"/>
          <w:numId w:val="0"/>
        </w:numPr>
        <w:shd w:val="clear"/>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rPr>
          <w:rFonts w:hint="eastAsia" w:ascii="黑体" w:hAnsi="黑体" w:eastAsia="黑体" w:cs="黑体"/>
          <w:b w:val="0"/>
          <w:bCs/>
          <w:sz w:val="32"/>
          <w:szCs w:val="32"/>
          <w:highlight w:val="none"/>
          <w:lang w:val="en-US" w:eastAsia="zh-CN"/>
        </w:rPr>
      </w:pPr>
      <w:r>
        <w:rPr>
          <w:rFonts w:hint="eastAsia" w:ascii="黑体" w:hAnsi="黑体" w:eastAsia="黑体" w:cs="黑体"/>
          <w:b w:val="0"/>
          <w:bCs/>
          <w:kern w:val="2"/>
          <w:sz w:val="32"/>
          <w:szCs w:val="32"/>
          <w:highlight w:val="none"/>
          <w:lang w:val="en-US" w:eastAsia="zh-CN" w:bidi="ar-SA"/>
        </w:rPr>
        <w:t>一、</w:t>
      </w:r>
      <w:r>
        <w:rPr>
          <w:rFonts w:hint="eastAsia" w:ascii="黑体" w:hAnsi="黑体" w:eastAsia="黑体" w:cs="黑体"/>
          <w:b w:val="0"/>
          <w:bCs/>
          <w:sz w:val="32"/>
          <w:szCs w:val="32"/>
          <w:highlight w:val="none"/>
          <w:lang w:val="en-US" w:eastAsia="zh-CN"/>
        </w:rPr>
        <w:t>总体目标</w:t>
      </w:r>
    </w:p>
    <w:p w14:paraId="2ED7063E">
      <w:pPr>
        <w:keepNext w:val="0"/>
        <w:keepLines w:val="0"/>
        <w:pageBreakBefore w:val="0"/>
        <w:widowControl/>
        <w:suppressLineNumbers w:val="0"/>
        <w:shd w:val="clear"/>
        <w:kinsoku/>
        <w:wordWrap/>
        <w:overflowPunct/>
        <w:topLinePunct w:val="0"/>
        <w:autoSpaceDE/>
        <w:autoSpaceDN/>
        <w:bidi w:val="0"/>
        <w:spacing w:line="560" w:lineRule="exact"/>
        <w:ind w:left="0" w:leftChars="0" w:right="0" w:rightChars="0"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在</w:t>
      </w:r>
      <w:r>
        <w:rPr>
          <w:rFonts w:hint="eastAsia" w:ascii="仿宋_GB2312" w:hAnsi="仿宋_GB2312" w:eastAsia="仿宋_GB2312" w:cs="仿宋_GB2312"/>
          <w:color w:val="000000"/>
          <w:kern w:val="0"/>
          <w:sz w:val="32"/>
          <w:szCs w:val="32"/>
          <w:highlight w:val="none"/>
          <w:lang w:val="en-US" w:eastAsia="zh-CN" w:bidi="ar"/>
        </w:rPr>
        <w:t>昌平实现经济社会跨越发展、加快建成国际一流现代化新城全局</w:t>
      </w:r>
      <w:r>
        <w:rPr>
          <w:rFonts w:hint="eastAsia" w:ascii="仿宋_GB2312" w:hAnsi="仿宋_GB2312" w:eastAsia="仿宋_GB2312" w:cs="仿宋_GB2312"/>
          <w:sz w:val="32"/>
          <w:szCs w:val="32"/>
          <w:highlight w:val="none"/>
          <w:lang w:val="en-US" w:eastAsia="zh-CN"/>
        </w:rPr>
        <w:t>发展中，深入</w:t>
      </w:r>
      <w:r>
        <w:rPr>
          <w:rFonts w:hint="eastAsia" w:ascii="仿宋_GB2312" w:hAnsi="仿宋_GB2312" w:eastAsia="仿宋_GB2312" w:cs="仿宋_GB2312"/>
          <w:sz w:val="32"/>
          <w:szCs w:val="32"/>
          <w:highlight w:val="none"/>
        </w:rPr>
        <w:t>贯彻落实男女平等基本国策和儿童优先原则，创新完善妇女儿童发展的制度机制</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全面优化妇女儿童发展的社会环境，有效保障妇女儿童合法权益，高水平提升</w:t>
      </w:r>
      <w:r>
        <w:rPr>
          <w:rFonts w:hint="eastAsia" w:ascii="仿宋_GB2312" w:hAnsi="仿宋_GB2312" w:eastAsia="仿宋_GB2312" w:cs="仿宋_GB2312"/>
          <w:sz w:val="32"/>
          <w:szCs w:val="32"/>
          <w:highlight w:val="none"/>
        </w:rPr>
        <w:t>妇女儿童获得感幸福感</w:t>
      </w:r>
      <w:r>
        <w:rPr>
          <w:rFonts w:hint="eastAsia" w:ascii="仿宋_GB2312" w:hAnsi="仿宋_GB2312" w:eastAsia="仿宋_GB2312" w:cs="仿宋_GB2312"/>
          <w:sz w:val="32"/>
          <w:szCs w:val="32"/>
          <w:highlight w:val="none"/>
          <w:lang w:val="en-US" w:eastAsia="zh-CN"/>
        </w:rPr>
        <w:t>安</w:t>
      </w:r>
      <w:r>
        <w:rPr>
          <w:rFonts w:hint="eastAsia" w:ascii="仿宋_GB2312" w:hAnsi="仿宋_GB2312" w:eastAsia="仿宋_GB2312" w:cs="仿宋_GB2312"/>
          <w:sz w:val="32"/>
          <w:szCs w:val="32"/>
          <w:highlight w:val="none"/>
        </w:rPr>
        <w:t>全感。</w:t>
      </w:r>
    </w:p>
    <w:p w14:paraId="3AABE273">
      <w:pPr>
        <w:pStyle w:val="2"/>
        <w:keepNext w:val="0"/>
        <w:keepLines w:val="0"/>
        <w:pageBreakBefore w:val="0"/>
        <w:shd w:val="clear"/>
        <w:kinsoku/>
        <w:wordWrap/>
        <w:overflowPunct/>
        <w:topLinePunct w:val="0"/>
        <w:autoSpaceDE/>
        <w:autoSpaceDN/>
        <w:bidi w:val="0"/>
        <w:spacing w:after="0" w:line="560" w:lineRule="exact"/>
        <w:ind w:left="0" w:leftChars="0" w:right="0" w:rightChars="0" w:firstLine="640" w:firstLineChars="200"/>
        <w:textAlignment w:val="auto"/>
        <w:rPr>
          <w:rFonts w:hint="eastAsia" w:ascii="仿宋_GB2312" w:hAnsi="仿宋_GB2312" w:eastAsia="仿宋_GB2312" w:cs="仿宋_GB2312"/>
          <w:sz w:val="32"/>
          <w:szCs w:val="32"/>
          <w:highlight w:val="none"/>
        </w:rPr>
      </w:pPr>
    </w:p>
    <w:tbl>
      <w:tblPr>
        <w:tblStyle w:val="21"/>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3"/>
      </w:tblGrid>
      <w:tr w14:paraId="7FDE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019" w:type="dxa"/>
            <w:noWrap w:val="0"/>
            <w:vAlign w:val="center"/>
          </w:tcPr>
          <w:p w14:paraId="63F705EB">
            <w:pPr>
              <w:pStyle w:val="19"/>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Autospacing="0" w:line="560" w:lineRule="exact"/>
              <w:ind w:left="0" w:leftChars="0" w:right="0" w:firstLine="0" w:firstLineChars="0"/>
              <w:jc w:val="center"/>
              <w:textAlignment w:val="auto"/>
              <w:rPr>
                <w:rFonts w:hint="eastAsia" w:ascii="仿宋_GB2312" w:hAnsi="仿宋_GB2312" w:eastAsia="仿宋_GB2312" w:cs="仿宋_GB2312"/>
                <w:i w:val="0"/>
                <w:color w:val="auto"/>
                <w:kern w:val="0"/>
                <w:sz w:val="32"/>
                <w:szCs w:val="32"/>
                <w:highlight w:val="none"/>
                <w:u w:val="none"/>
                <w:vertAlign w:val="baseline"/>
                <w:lang w:val="en-US" w:eastAsia="zh-CN" w:bidi="ar"/>
              </w:rPr>
            </w:pPr>
            <w:r>
              <w:rPr>
                <w:rFonts w:hint="eastAsia" w:ascii="黑体" w:hAnsi="黑体" w:eastAsia="黑体" w:cs="黑体"/>
                <w:b w:val="0"/>
                <w:bCs w:val="0"/>
                <w:sz w:val="32"/>
                <w:szCs w:val="32"/>
                <w:highlight w:val="none"/>
                <w:vertAlign w:val="baseline"/>
                <w:lang w:val="en-US" w:eastAsia="zh-CN"/>
              </w:rPr>
              <w:t>专栏1：妇女儿童发展主要目标</w:t>
            </w:r>
          </w:p>
        </w:tc>
      </w:tr>
      <w:tr w14:paraId="31697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019" w:type="dxa"/>
            <w:noWrap w:val="0"/>
            <w:tcMar>
              <w:top w:w="108" w:type="dxa"/>
              <w:left w:w="108" w:type="dxa"/>
              <w:bottom w:w="108" w:type="dxa"/>
              <w:right w:w="108" w:type="dxa"/>
            </w:tcMar>
            <w:vAlign w:val="center"/>
          </w:tcPr>
          <w:p w14:paraId="7018E329">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outlineLvl w:val="2"/>
              <w:rPr>
                <w:rFonts w:hint="eastAsia" w:ascii="仿宋_GB2312" w:hAnsi="仿宋_GB2312" w:eastAsia="仿宋_GB2312" w:cs="仿宋_GB2312"/>
                <w:smallCaps/>
                <w:spacing w:val="0"/>
                <w:w w:val="100"/>
                <w:kern w:val="2"/>
                <w:sz w:val="30"/>
                <w:szCs w:val="30"/>
                <w:highlight w:val="none"/>
                <w:lang w:val="en-US" w:eastAsia="zh-CN" w:bidi="ar-SA"/>
              </w:rPr>
            </w:pPr>
            <w:r>
              <w:rPr>
                <w:rFonts w:hint="eastAsia" w:ascii="仿宋_GB2312" w:hAnsi="仿宋_GB2312" w:eastAsia="仿宋_GB2312" w:cs="仿宋_GB2312"/>
                <w:smallCaps w:val="0"/>
                <w:spacing w:val="0"/>
                <w:w w:val="100"/>
                <w:kern w:val="0"/>
                <w:sz w:val="30"/>
                <w:szCs w:val="30"/>
                <w:highlight w:val="none"/>
                <w:lang w:val="en-US" w:eastAsia="zh-CN" w:bidi="ar"/>
              </w:rPr>
              <w:t>妇女儿童健康水平持续提升</w:t>
            </w:r>
            <w:r>
              <w:rPr>
                <w:rFonts w:hint="eastAsia" w:ascii="仿宋_GB2312" w:hAnsi="仿宋_GB2312" w:eastAsia="仿宋_GB2312" w:cs="仿宋_GB2312"/>
                <w:smallCaps/>
                <w:spacing w:val="0"/>
                <w:w w:val="100"/>
                <w:kern w:val="2"/>
                <w:sz w:val="30"/>
                <w:szCs w:val="30"/>
                <w:highlight w:val="none"/>
                <w:lang w:val="en-US" w:eastAsia="zh-CN" w:bidi="ar-SA"/>
              </w:rPr>
              <w:t>。妇女儿童充分享有优质健康服务，心理和体质健康水平明显提升。儿童近视有效防控。</w:t>
            </w:r>
          </w:p>
          <w:p w14:paraId="38279893">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outlineLvl w:val="2"/>
              <w:rPr>
                <w:rFonts w:hint="eastAsia" w:ascii="仿宋_GB2312" w:hAnsi="仿宋_GB2312" w:eastAsia="仿宋_GB2312" w:cs="仿宋_GB2312"/>
                <w:smallCaps/>
                <w:spacing w:val="0"/>
                <w:w w:val="100"/>
                <w:kern w:val="2"/>
                <w:sz w:val="30"/>
                <w:szCs w:val="30"/>
                <w:highlight w:val="none"/>
                <w:lang w:val="en-US" w:eastAsia="zh-CN" w:bidi="ar-SA"/>
              </w:rPr>
            </w:pPr>
            <w:r>
              <w:rPr>
                <w:rFonts w:hint="eastAsia" w:ascii="仿宋_GB2312" w:hAnsi="仿宋_GB2312" w:eastAsia="仿宋_GB2312" w:cs="仿宋_GB2312"/>
                <w:smallCaps w:val="0"/>
                <w:spacing w:val="0"/>
                <w:w w:val="100"/>
                <w:kern w:val="0"/>
                <w:sz w:val="30"/>
                <w:szCs w:val="30"/>
                <w:highlight w:val="none"/>
                <w:lang w:val="en-US" w:eastAsia="zh-CN" w:bidi="ar"/>
              </w:rPr>
              <w:t>妇女儿童综合素质能力全面提高</w:t>
            </w:r>
            <w:r>
              <w:rPr>
                <w:rFonts w:hint="eastAsia" w:ascii="仿宋_GB2312" w:hAnsi="仿宋_GB2312" w:eastAsia="仿宋_GB2312" w:cs="仿宋_GB2312"/>
                <w:smallCaps/>
                <w:spacing w:val="0"/>
                <w:w w:val="100"/>
                <w:kern w:val="2"/>
                <w:sz w:val="30"/>
                <w:szCs w:val="30"/>
                <w:highlight w:val="none"/>
                <w:lang w:val="en-US" w:eastAsia="zh-CN" w:bidi="ar-SA"/>
              </w:rPr>
              <w:t>。妇女平均受教育年限不断提高，高层次女性人才队伍不断壮大。妇女儿童科技素养和数智素养显著提升。儿童德智体美劳全面发展。</w:t>
            </w:r>
          </w:p>
          <w:p w14:paraId="538A76B3">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outlineLvl w:val="2"/>
              <w:rPr>
                <w:rFonts w:hint="eastAsia" w:ascii="仿宋_GB2312" w:hAnsi="仿宋_GB2312" w:eastAsia="仿宋_GB2312" w:cs="仿宋_GB2312"/>
                <w:smallCaps/>
                <w:spacing w:val="0"/>
                <w:w w:val="100"/>
                <w:kern w:val="0"/>
                <w:sz w:val="30"/>
                <w:szCs w:val="30"/>
                <w:highlight w:val="none"/>
                <w:lang w:val="en-US" w:eastAsia="zh-CN" w:bidi="ar"/>
              </w:rPr>
            </w:pPr>
            <w:r>
              <w:rPr>
                <w:rFonts w:hint="eastAsia" w:ascii="仿宋_GB2312" w:hAnsi="仿宋_GB2312" w:eastAsia="仿宋_GB2312" w:cs="仿宋_GB2312"/>
                <w:smallCaps/>
                <w:spacing w:val="0"/>
                <w:w w:val="100"/>
                <w:kern w:val="0"/>
                <w:sz w:val="30"/>
                <w:szCs w:val="30"/>
                <w:highlight w:val="none"/>
                <w:lang w:val="en-US" w:eastAsia="zh-CN" w:bidi="ar"/>
              </w:rPr>
              <w:t>妇女参与经济发展水平明显提高。妇女在高精尖产业、新兴产业就业的人数比例持续增长，高级专业技术和高技能人才中的女性比例稳步上升，参与乡村振兴的能力不断增强。</w:t>
            </w:r>
          </w:p>
          <w:p w14:paraId="73E95ECA">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outlineLvl w:val="2"/>
              <w:rPr>
                <w:rFonts w:hint="eastAsia" w:ascii="仿宋_GB2312" w:hAnsi="仿宋_GB2312" w:eastAsia="仿宋_GB2312" w:cs="仿宋_GB2312"/>
                <w:smallCaps/>
                <w:spacing w:val="0"/>
                <w:w w:val="100"/>
                <w:kern w:val="2"/>
                <w:sz w:val="30"/>
                <w:szCs w:val="30"/>
                <w:highlight w:val="none"/>
                <w:lang w:val="en-US" w:eastAsia="zh-CN" w:bidi="ar-SA"/>
              </w:rPr>
            </w:pPr>
            <w:r>
              <w:rPr>
                <w:rFonts w:hint="eastAsia" w:ascii="仿宋_GB2312" w:hAnsi="仿宋_GB2312" w:eastAsia="仿宋_GB2312" w:cs="仿宋_GB2312"/>
                <w:smallCaps w:val="0"/>
                <w:spacing w:val="0"/>
                <w:w w:val="100"/>
                <w:kern w:val="0"/>
                <w:sz w:val="30"/>
                <w:szCs w:val="30"/>
                <w:highlight w:val="none"/>
                <w:lang w:val="en-US" w:eastAsia="zh-CN" w:bidi="ar"/>
              </w:rPr>
              <w:t>妇</w:t>
            </w:r>
            <w:r>
              <w:rPr>
                <w:rFonts w:hint="eastAsia" w:ascii="仿宋_GB2312" w:hAnsi="仿宋_GB2312" w:eastAsia="仿宋_GB2312" w:cs="仿宋_GB2312"/>
                <w:smallCaps/>
                <w:spacing w:val="0"/>
                <w:w w:val="100"/>
                <w:kern w:val="0"/>
                <w:sz w:val="30"/>
                <w:szCs w:val="30"/>
                <w:highlight w:val="none"/>
                <w:lang w:val="en-US" w:eastAsia="zh-CN" w:bidi="ar"/>
              </w:rPr>
              <w:t>女在全过程人民民主和社会治理中的作用得到充分发挥。妇女参与国家社会事务管理的意识和能力增强，参与决策管理</w:t>
            </w:r>
            <w:r>
              <w:rPr>
                <w:rFonts w:hint="eastAsia" w:ascii="仿宋_GB2312" w:hAnsi="仿宋_GB2312" w:eastAsia="仿宋_GB2312" w:cs="仿宋_GB2312"/>
                <w:smallCaps/>
                <w:spacing w:val="0"/>
                <w:w w:val="100"/>
                <w:kern w:val="2"/>
                <w:sz w:val="30"/>
                <w:szCs w:val="30"/>
                <w:highlight w:val="none"/>
                <w:lang w:val="en-US" w:eastAsia="zh-CN" w:bidi="ar-SA"/>
              </w:rPr>
              <w:t>水平提高。</w:t>
            </w:r>
          </w:p>
          <w:p w14:paraId="74F55A08">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outlineLvl w:val="2"/>
              <w:rPr>
                <w:rFonts w:hint="eastAsia" w:ascii="仿宋_GB2312" w:hAnsi="仿宋_GB2312" w:eastAsia="仿宋_GB2312" w:cs="仿宋_GB2312"/>
                <w:smallCaps/>
                <w:spacing w:val="0"/>
                <w:w w:val="100"/>
                <w:kern w:val="2"/>
                <w:sz w:val="30"/>
                <w:szCs w:val="30"/>
                <w:highlight w:val="none"/>
                <w:lang w:val="en-US" w:eastAsia="zh-CN" w:bidi="ar-SA"/>
              </w:rPr>
            </w:pPr>
            <w:r>
              <w:rPr>
                <w:rFonts w:hint="eastAsia" w:ascii="仿宋_GB2312" w:hAnsi="仿宋_GB2312" w:eastAsia="仿宋_GB2312" w:cs="仿宋_GB2312"/>
                <w:smallCaps w:val="0"/>
                <w:spacing w:val="0"/>
                <w:w w:val="100"/>
                <w:kern w:val="0"/>
                <w:sz w:val="30"/>
                <w:szCs w:val="30"/>
                <w:highlight w:val="none"/>
                <w:lang w:val="en-US" w:eastAsia="zh-CN" w:bidi="ar"/>
              </w:rPr>
              <w:t>妇女儿童社会保障水平明显提升。</w:t>
            </w:r>
            <w:r>
              <w:rPr>
                <w:rFonts w:hint="eastAsia" w:ascii="仿宋_GB2312" w:hAnsi="仿宋_GB2312" w:eastAsia="仿宋_GB2312" w:cs="仿宋_GB2312"/>
                <w:smallCaps/>
                <w:spacing w:val="0"/>
                <w:w w:val="100"/>
                <w:kern w:val="2"/>
                <w:sz w:val="30"/>
                <w:szCs w:val="30"/>
                <w:highlight w:val="none"/>
                <w:lang w:val="en-US" w:eastAsia="zh-CN" w:bidi="ar-SA"/>
              </w:rPr>
              <w:t>妇女儿童平等享有多层次可持续的社会保障，</w:t>
            </w:r>
            <w:r>
              <w:rPr>
                <w:rFonts w:hint="eastAsia" w:ascii="仿宋_GB2312" w:hAnsi="仿宋_GB2312" w:eastAsia="仿宋_GB2312" w:cs="仿宋_GB2312"/>
                <w:i w:val="0"/>
                <w:color w:val="auto"/>
                <w:spacing w:val="0"/>
                <w:w w:val="100"/>
                <w:kern w:val="0"/>
                <w:sz w:val="30"/>
                <w:szCs w:val="30"/>
                <w:highlight w:val="none"/>
                <w:u w:val="none"/>
                <w:lang w:val="en-US" w:eastAsia="zh-CN" w:bidi="ar"/>
              </w:rPr>
              <w:t>生育保险保障功能不断增强，</w:t>
            </w:r>
            <w:r>
              <w:rPr>
                <w:rFonts w:hint="eastAsia" w:ascii="仿宋_GB2312" w:hAnsi="仿宋_GB2312" w:eastAsia="仿宋_GB2312" w:cs="仿宋_GB2312"/>
                <w:smallCaps/>
                <w:spacing w:val="0"/>
                <w:w w:val="100"/>
                <w:kern w:val="2"/>
                <w:sz w:val="30"/>
                <w:szCs w:val="30"/>
                <w:highlight w:val="none"/>
                <w:lang w:val="en-US" w:eastAsia="zh-CN" w:bidi="ar-SA"/>
              </w:rPr>
              <w:t>妇女儿童福利待遇水平稳步提高。</w:t>
            </w:r>
          </w:p>
          <w:p w14:paraId="215DCCFE">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outlineLvl w:val="2"/>
              <w:rPr>
                <w:rFonts w:hint="eastAsia" w:ascii="仿宋_GB2312" w:hAnsi="仿宋_GB2312" w:eastAsia="仿宋_GB2312" w:cs="仿宋_GB2312"/>
                <w:smallCaps/>
                <w:spacing w:val="0"/>
                <w:w w:val="100"/>
                <w:kern w:val="2"/>
                <w:sz w:val="30"/>
                <w:szCs w:val="30"/>
                <w:highlight w:val="none"/>
                <w:lang w:val="en-US" w:eastAsia="zh-CN" w:bidi="ar-SA"/>
              </w:rPr>
            </w:pPr>
            <w:r>
              <w:rPr>
                <w:rFonts w:hint="eastAsia" w:ascii="仿宋_GB2312" w:hAnsi="仿宋_GB2312" w:eastAsia="仿宋_GB2312" w:cs="仿宋_GB2312"/>
                <w:smallCaps w:val="0"/>
                <w:spacing w:val="0"/>
                <w:w w:val="100"/>
                <w:kern w:val="0"/>
                <w:sz w:val="30"/>
                <w:szCs w:val="30"/>
                <w:highlight w:val="none"/>
                <w:lang w:val="en-US" w:eastAsia="zh-CN" w:bidi="ar"/>
              </w:rPr>
              <w:t>家庭家教家风建设不断强化。</w:t>
            </w:r>
            <w:r>
              <w:rPr>
                <w:rFonts w:hint="eastAsia" w:ascii="仿宋_GB2312" w:hAnsi="仿宋_GB2312" w:eastAsia="仿宋_GB2312" w:cs="仿宋_GB2312"/>
                <w:smallCaps/>
                <w:spacing w:val="0"/>
                <w:w w:val="100"/>
                <w:kern w:val="2"/>
                <w:sz w:val="30"/>
                <w:szCs w:val="30"/>
                <w:highlight w:val="none"/>
                <w:lang w:val="en-US" w:eastAsia="zh-CN" w:bidi="ar-SA"/>
              </w:rPr>
              <w:t>新时代家庭观培育成长，支持生育和家庭发展的法规政策体系持续完善，社会主义家庭文明新风尚广泛弘扬，家庭家教家风在基层社会治理中的作用充分彰显。</w:t>
            </w:r>
          </w:p>
          <w:p w14:paraId="2E3019A5">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rPr>
                <w:rFonts w:hint="eastAsia" w:ascii="仿宋_GB2312" w:hAnsi="仿宋_GB2312" w:eastAsia="仿宋_GB2312" w:cs="仿宋_GB2312"/>
                <w:spacing w:val="0"/>
                <w:w w:val="100"/>
                <w:sz w:val="30"/>
                <w:szCs w:val="30"/>
                <w:highlight w:val="none"/>
              </w:rPr>
            </w:pPr>
            <w:r>
              <w:rPr>
                <w:rFonts w:hint="eastAsia" w:ascii="仿宋_GB2312" w:hAnsi="仿宋_GB2312" w:eastAsia="仿宋_GB2312" w:cs="仿宋_GB2312"/>
                <w:spacing w:val="0"/>
                <w:w w:val="100"/>
                <w:kern w:val="0"/>
                <w:sz w:val="30"/>
                <w:szCs w:val="30"/>
                <w:highlight w:val="none"/>
                <w:lang w:bidi="ar"/>
              </w:rPr>
              <w:t>儿童安全守护更加有力</w:t>
            </w:r>
            <w:r>
              <w:rPr>
                <w:rFonts w:hint="eastAsia" w:ascii="仿宋_GB2312" w:hAnsi="仿宋_GB2312" w:eastAsia="仿宋_GB2312" w:cs="仿宋_GB2312"/>
                <w:spacing w:val="0"/>
                <w:w w:val="100"/>
                <w:sz w:val="30"/>
                <w:szCs w:val="30"/>
                <w:highlight w:val="none"/>
              </w:rPr>
              <w:t>。儿童用品、食品、药品质量得到有力保障，校园安全水平持续提升，重点领域儿童保护有效落实，</w:t>
            </w:r>
            <w:r>
              <w:rPr>
                <w:rFonts w:hint="eastAsia" w:ascii="仿宋_GB2312" w:hAnsi="仿宋_GB2312" w:eastAsia="仿宋_GB2312" w:cs="仿宋_GB2312"/>
                <w:spacing w:val="0"/>
                <w:w w:val="100"/>
                <w:sz w:val="30"/>
                <w:szCs w:val="30"/>
                <w:highlight w:val="none"/>
                <w:lang w:val="en-US" w:eastAsia="zh-CN"/>
              </w:rPr>
              <w:t>未成年人</w:t>
            </w:r>
            <w:r>
              <w:rPr>
                <w:rFonts w:hint="eastAsia" w:ascii="仿宋_GB2312" w:hAnsi="仿宋_GB2312" w:eastAsia="仿宋_GB2312" w:cs="仿宋_GB2312"/>
                <w:spacing w:val="0"/>
                <w:w w:val="100"/>
                <w:sz w:val="30"/>
                <w:szCs w:val="30"/>
                <w:highlight w:val="none"/>
              </w:rPr>
              <w:t>网络安全水平</w:t>
            </w:r>
            <w:r>
              <w:rPr>
                <w:rFonts w:hint="eastAsia" w:ascii="仿宋_GB2312" w:hAnsi="仿宋_GB2312" w:eastAsia="仿宋_GB2312" w:cs="仿宋_GB2312"/>
                <w:spacing w:val="0"/>
                <w:w w:val="100"/>
                <w:sz w:val="30"/>
                <w:szCs w:val="30"/>
                <w:highlight w:val="none"/>
                <w:lang w:val="en-US" w:eastAsia="zh-CN"/>
              </w:rPr>
              <w:t>明显</w:t>
            </w:r>
            <w:r>
              <w:rPr>
                <w:rFonts w:hint="eastAsia" w:ascii="仿宋_GB2312" w:hAnsi="仿宋_GB2312" w:eastAsia="仿宋_GB2312" w:cs="仿宋_GB2312"/>
                <w:spacing w:val="0"/>
                <w:w w:val="100"/>
                <w:sz w:val="30"/>
                <w:szCs w:val="30"/>
                <w:highlight w:val="none"/>
              </w:rPr>
              <w:t>提升。</w:t>
            </w:r>
          </w:p>
          <w:p w14:paraId="6B47E959">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outlineLvl w:val="2"/>
              <w:rPr>
                <w:rFonts w:hint="eastAsia" w:ascii="仿宋_GB2312" w:hAnsi="仿宋_GB2312" w:eastAsia="仿宋_GB2312" w:cs="仿宋_GB2312"/>
                <w:spacing w:val="0"/>
                <w:w w:val="100"/>
                <w:sz w:val="30"/>
                <w:szCs w:val="30"/>
                <w:highlight w:val="none"/>
              </w:rPr>
            </w:pPr>
            <w:r>
              <w:rPr>
                <w:rFonts w:hint="eastAsia" w:ascii="仿宋_GB2312" w:hAnsi="仿宋_GB2312" w:eastAsia="仿宋_GB2312" w:cs="仿宋_GB2312"/>
                <w:smallCaps w:val="0"/>
                <w:spacing w:val="0"/>
                <w:w w:val="100"/>
                <w:kern w:val="0"/>
                <w:sz w:val="30"/>
                <w:szCs w:val="30"/>
                <w:highlight w:val="none"/>
                <w:lang w:val="en-US" w:eastAsia="zh-CN" w:bidi="ar"/>
              </w:rPr>
              <w:t>妇女儿童发展环境持续优化。</w:t>
            </w:r>
            <w:r>
              <w:rPr>
                <w:rFonts w:hint="eastAsia" w:ascii="仿宋_GB2312" w:hAnsi="仿宋_GB2312" w:eastAsia="仿宋_GB2312" w:cs="仿宋_GB2312"/>
                <w:smallCaps/>
                <w:spacing w:val="0"/>
                <w:w w:val="100"/>
                <w:kern w:val="2"/>
                <w:sz w:val="30"/>
                <w:szCs w:val="30"/>
                <w:highlight w:val="none"/>
                <w:lang w:val="en-US" w:eastAsia="zh-CN" w:bidi="ar-SA"/>
              </w:rPr>
              <w:t>男女平等和儿童优先理念更加深入人心，儿童友好城市全面建成，尊重妇女的社会文化蔚然成风。</w:t>
            </w:r>
          </w:p>
          <w:p w14:paraId="215DFDFB">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00" w:firstLineChars="200"/>
              <w:jc w:val="both"/>
              <w:textAlignment w:val="auto"/>
              <w:outlineLvl w:val="2"/>
              <w:rPr>
                <w:rFonts w:hint="eastAsia"/>
                <w:spacing w:val="0"/>
                <w:w w:val="100"/>
                <w:highlight w:val="none"/>
                <w:lang w:val="en-US" w:eastAsia="zh-CN"/>
              </w:rPr>
            </w:pPr>
            <w:r>
              <w:rPr>
                <w:rFonts w:hint="eastAsia" w:ascii="仿宋_GB2312" w:hAnsi="仿宋_GB2312" w:eastAsia="仿宋_GB2312" w:cs="仿宋_GB2312"/>
                <w:smallCaps w:val="0"/>
                <w:spacing w:val="0"/>
                <w:w w:val="100"/>
                <w:kern w:val="0"/>
                <w:sz w:val="30"/>
                <w:szCs w:val="30"/>
                <w:highlight w:val="none"/>
                <w:lang w:val="en-US" w:eastAsia="zh-CN" w:bidi="ar"/>
              </w:rPr>
              <w:t>妇女儿童合法权益得到保障。</w:t>
            </w:r>
            <w:r>
              <w:rPr>
                <w:rFonts w:hint="eastAsia" w:ascii="仿宋_GB2312" w:hAnsi="仿宋_GB2312" w:eastAsia="仿宋_GB2312" w:cs="仿宋_GB2312"/>
                <w:smallCaps w:val="0"/>
                <w:spacing w:val="0"/>
                <w:w w:val="100"/>
                <w:kern w:val="2"/>
                <w:sz w:val="30"/>
                <w:szCs w:val="30"/>
                <w:highlight w:val="none"/>
                <w:lang w:val="en-US" w:eastAsia="zh-CN" w:bidi="ar-SA"/>
              </w:rPr>
              <w:t>妇女儿童权益保障机制不断完善，严重侵害妇女儿童合法权益的违法犯罪行为得到有效防控，妇女儿童法治素养持续提升。</w:t>
            </w:r>
          </w:p>
        </w:tc>
      </w:tr>
    </w:tbl>
    <w:p w14:paraId="110F0CC4">
      <w:pPr>
        <w:keepNext w:val="0"/>
        <w:keepLines w:val="0"/>
        <w:pageBreakBefore w:val="0"/>
        <w:shd w:val="clear"/>
        <w:kinsoku/>
        <w:wordWrap/>
        <w:overflowPunct/>
        <w:topLinePunct w:val="0"/>
        <w:autoSpaceDN/>
        <w:bidi w:val="0"/>
        <w:adjustRightInd w:val="0"/>
        <w:snapToGrid w:val="0"/>
        <w:spacing w:line="560" w:lineRule="exact"/>
        <w:ind w:left="0" w:firstLine="640" w:firstLineChars="200"/>
        <w:rPr>
          <w:rFonts w:hint="eastAsia" w:ascii="黑体" w:hAnsi="黑体" w:eastAsia="黑体" w:cs="黑体"/>
          <w:b w:val="0"/>
          <w:bCs/>
          <w:sz w:val="32"/>
          <w:szCs w:val="32"/>
          <w:highlight w:val="none"/>
          <w:lang w:val="en-US" w:eastAsia="zh-CN"/>
        </w:rPr>
      </w:pPr>
    </w:p>
    <w:p w14:paraId="42FF2425">
      <w:pPr>
        <w:keepNext w:val="0"/>
        <w:keepLines w:val="0"/>
        <w:pageBreakBefore w:val="0"/>
        <w:shd w:val="clear"/>
        <w:kinsoku/>
        <w:wordWrap/>
        <w:overflowPunct/>
        <w:topLinePunct w:val="0"/>
        <w:autoSpaceDN/>
        <w:bidi w:val="0"/>
        <w:adjustRightInd w:val="0"/>
        <w:snapToGrid w:val="0"/>
        <w:spacing w:line="560" w:lineRule="exact"/>
        <w:ind w:left="0" w:firstLine="640" w:firstLineChars="200"/>
        <w:rPr>
          <w:rFonts w:hint="eastAsia" w:ascii="黑体" w:hAnsi="黑体" w:eastAsia="黑体" w:cs="黑体"/>
          <w:b w:val="0"/>
          <w:bCs/>
          <w:sz w:val="32"/>
          <w:szCs w:val="32"/>
          <w:highlight w:val="none"/>
          <w:lang w:val="en-US" w:eastAsia="zh-CN"/>
        </w:rPr>
      </w:pPr>
    </w:p>
    <w:p w14:paraId="204E74E9">
      <w:pPr>
        <w:shd w:val="clear"/>
        <w:jc w:val="center"/>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br w:type="page"/>
      </w:r>
      <w:r>
        <w:rPr>
          <w:rFonts w:hint="default" w:ascii="黑体" w:hAnsi="宋体" w:eastAsia="黑体" w:cs="黑体"/>
          <w:b w:val="0"/>
          <w:bCs w:val="0"/>
          <w:kern w:val="2"/>
          <w:sz w:val="32"/>
          <w:szCs w:val="32"/>
          <w:highlight w:val="none"/>
          <w:lang w:val="en-US" w:eastAsia="zh-CN" w:bidi="ar"/>
        </w:rPr>
        <w:t>专栏2：妇女儿童发展主要指标</w:t>
      </w:r>
    </w:p>
    <w:tbl>
      <w:tblPr>
        <w:tblStyle w:val="20"/>
        <w:tblW w:w="8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53"/>
        <w:gridCol w:w="5237"/>
        <w:gridCol w:w="1838"/>
      </w:tblGrid>
      <w:tr w14:paraId="5B85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14:paraId="7CE17FC3">
            <w:pPr>
              <w:keepNext w:val="0"/>
              <w:keepLines w:val="0"/>
              <w:widowControl w:val="0"/>
              <w:suppressLineNumbers w:val="0"/>
              <w:autoSpaceDE w:val="0"/>
              <w:autoSpaceDN/>
              <w:spacing w:before="0" w:beforeAutospacing="0" w:after="0" w:afterAutospacing="0" w:line="360" w:lineRule="exact"/>
              <w:ind w:left="0" w:right="0" w:firstLine="0" w:firstLineChars="0"/>
              <w:jc w:val="center"/>
              <w:rPr>
                <w:rFonts w:hint="default" w:ascii="等线" w:hAnsi="等线" w:eastAsia="等线" w:cs="Times New Roman"/>
                <w:kern w:val="2"/>
                <w:sz w:val="26"/>
                <w:szCs w:val="26"/>
                <w:highlight w:val="none"/>
              </w:rPr>
            </w:pPr>
            <w:r>
              <w:rPr>
                <w:rFonts w:hint="default" w:ascii="等线" w:hAnsi="等线" w:eastAsia="等线" w:cs="等线"/>
                <w:kern w:val="2"/>
                <w:sz w:val="26"/>
                <w:szCs w:val="26"/>
                <w:highlight w:val="none"/>
                <w:lang w:val="en-US" w:eastAsia="zh-CN" w:bidi="ar"/>
              </w:rPr>
              <w:t>领域</w:t>
            </w: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339EB878">
            <w:pPr>
              <w:keepNext w:val="0"/>
              <w:keepLines w:val="0"/>
              <w:widowControl w:val="0"/>
              <w:suppressLineNumbers w:val="0"/>
              <w:autoSpaceDE w:val="0"/>
              <w:autoSpaceDN/>
              <w:spacing w:before="0" w:beforeAutospacing="0" w:after="0" w:afterAutospacing="0" w:line="360" w:lineRule="exact"/>
              <w:ind w:left="0" w:right="0" w:firstLine="0" w:firstLineChars="0"/>
              <w:jc w:val="center"/>
              <w:rPr>
                <w:rFonts w:hint="default" w:ascii="等线" w:hAnsi="等线" w:eastAsia="等线" w:cs="Times New Roman"/>
                <w:kern w:val="2"/>
                <w:sz w:val="26"/>
                <w:szCs w:val="26"/>
                <w:highlight w:val="none"/>
              </w:rPr>
            </w:pPr>
            <w:r>
              <w:rPr>
                <w:rFonts w:hint="default" w:ascii="等线" w:hAnsi="等线" w:eastAsia="等线" w:cs="等线"/>
                <w:kern w:val="2"/>
                <w:sz w:val="26"/>
                <w:szCs w:val="26"/>
                <w:highlight w:val="none"/>
                <w:lang w:val="en-US" w:eastAsia="zh-CN" w:bidi="ar"/>
              </w:rPr>
              <w:t>指标</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341F38DA">
            <w:pPr>
              <w:keepNext w:val="0"/>
              <w:keepLines w:val="0"/>
              <w:widowControl w:val="0"/>
              <w:suppressLineNumbers w:val="0"/>
              <w:autoSpaceDE w:val="0"/>
              <w:autoSpaceDN/>
              <w:spacing w:before="0" w:beforeAutospacing="0" w:after="0" w:afterAutospacing="0" w:line="360" w:lineRule="exact"/>
              <w:ind w:left="0" w:right="0" w:firstLine="0" w:firstLineChars="0"/>
              <w:jc w:val="center"/>
              <w:rPr>
                <w:rFonts w:hint="default" w:ascii="等线" w:hAnsi="等线" w:eastAsia="等线" w:cs="Times New Roman"/>
                <w:kern w:val="2"/>
                <w:sz w:val="26"/>
                <w:szCs w:val="26"/>
                <w:highlight w:val="none"/>
              </w:rPr>
            </w:pPr>
            <w:r>
              <w:rPr>
                <w:rFonts w:hint="default" w:ascii="等线" w:hAnsi="等线" w:eastAsia="等线" w:cs="等线"/>
                <w:kern w:val="2"/>
                <w:sz w:val="26"/>
                <w:szCs w:val="26"/>
                <w:highlight w:val="none"/>
                <w:lang w:val="en-US" w:eastAsia="zh-CN" w:bidi="ar"/>
              </w:rPr>
              <w:t>2030年</w:t>
            </w:r>
          </w:p>
        </w:tc>
      </w:tr>
      <w:tr w14:paraId="4305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1" w:hRule="atLeast"/>
          <w:jc w:val="center"/>
        </w:trPr>
        <w:tc>
          <w:tcPr>
            <w:tcW w:w="105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078BDD9">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bookmarkStart w:id="12" w:name="OLE_LINK1"/>
            <w:r>
              <w:rPr>
                <w:rFonts w:hint="default" w:ascii="仿宋_GB2312" w:hAnsi="Calibri" w:eastAsia="仿宋_GB2312" w:cs="仿宋_GB2312"/>
                <w:kern w:val="2"/>
                <w:sz w:val="26"/>
                <w:szCs w:val="26"/>
                <w:highlight w:val="none"/>
                <w:lang w:val="en-US" w:eastAsia="zh-CN" w:bidi="ar"/>
              </w:rPr>
              <w:t>妇</w:t>
            </w:r>
            <w:bookmarkEnd w:id="12"/>
          </w:p>
          <w:p w14:paraId="01BBE97D">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女</w:t>
            </w:r>
          </w:p>
          <w:p w14:paraId="4097EE81">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发</w:t>
            </w:r>
          </w:p>
          <w:p w14:paraId="572696A7">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展</w:t>
            </w: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443D0D96">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1.孕产妇死亡率（1/10万）</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091FECFD">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国际先进水平</w:t>
            </w:r>
          </w:p>
        </w:tc>
      </w:tr>
      <w:tr w14:paraId="6C6E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5" w:hRule="atLeast"/>
          <w:jc w:val="center"/>
        </w:trPr>
        <w:tc>
          <w:tcPr>
            <w:tcW w:w="105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CEFF7D">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42B2D8F8">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2.适龄女性HPV疫苗接种覆盖率（%）</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6967AED6">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逐步扩大</w:t>
            </w:r>
          </w:p>
        </w:tc>
      </w:tr>
      <w:tr w14:paraId="46F7C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8"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0C154E08">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1D4077C6">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3.生育友好医院覆盖面（％）</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3953E430">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≥90</w:t>
            </w:r>
          </w:p>
        </w:tc>
      </w:tr>
      <w:tr w14:paraId="277A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10AA06EE">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47598286">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4.女性平均受教育年限（年）</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A4CBBD0">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进一步提高</w:t>
            </w:r>
          </w:p>
        </w:tc>
      </w:tr>
      <w:tr w14:paraId="07BB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7"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136E6F04">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5BF8362C">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5</w:t>
            </w:r>
            <w:r>
              <w:rPr>
                <w:rFonts w:hint="default" w:ascii="仿宋_GB2312" w:hAnsi="Calibri" w:eastAsia="仿宋_GB2312" w:cs="仿宋_GB2312"/>
                <w:kern w:val="2"/>
                <w:sz w:val="26"/>
                <w:szCs w:val="26"/>
                <w:highlight w:val="none"/>
                <w:lang w:val="en-US" w:eastAsia="zh-CN" w:bidi="ar"/>
              </w:rPr>
              <w:t>.城镇非私营单位就业人员中的女性比例（％）</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1525D300">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42左右</w:t>
            </w:r>
          </w:p>
        </w:tc>
      </w:tr>
      <w:tr w14:paraId="289A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5"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28DA7944">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1882E8A4">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6</w:t>
            </w:r>
            <w:r>
              <w:rPr>
                <w:rFonts w:hint="default" w:ascii="仿宋_GB2312" w:hAnsi="Calibri" w:eastAsia="仿宋_GB2312" w:cs="仿宋_GB2312"/>
                <w:kern w:val="2"/>
                <w:sz w:val="26"/>
                <w:szCs w:val="26"/>
                <w:highlight w:val="none"/>
                <w:lang w:val="en-US" w:eastAsia="zh-CN" w:bidi="ar"/>
              </w:rPr>
              <w:t>.公有经济企事业单位高级专业技术人员中女性比例（％）</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15CAE23">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保持稳定</w:t>
            </w:r>
          </w:p>
        </w:tc>
      </w:tr>
      <w:tr w14:paraId="3A44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3"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31105472">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5EFDD039">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7</w:t>
            </w:r>
            <w:r>
              <w:rPr>
                <w:rFonts w:hint="default" w:ascii="仿宋_GB2312" w:hAnsi="Calibri" w:eastAsia="仿宋_GB2312" w:cs="仿宋_GB2312"/>
                <w:kern w:val="2"/>
                <w:sz w:val="26"/>
                <w:szCs w:val="26"/>
                <w:highlight w:val="none"/>
                <w:lang w:val="en-US" w:eastAsia="zh-CN" w:bidi="ar"/>
              </w:rPr>
              <w:t>.村委会成员中女性比例（%）</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44611159">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保持稳定</w:t>
            </w:r>
          </w:p>
        </w:tc>
      </w:tr>
      <w:tr w14:paraId="4CE2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389E0CBF">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4C4B4EEC">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8</w:t>
            </w:r>
            <w:r>
              <w:rPr>
                <w:rFonts w:hint="default" w:ascii="仿宋_GB2312" w:hAnsi="Calibri" w:eastAsia="仿宋_GB2312" w:cs="仿宋_GB2312"/>
                <w:kern w:val="2"/>
                <w:sz w:val="26"/>
                <w:szCs w:val="26"/>
                <w:highlight w:val="none"/>
                <w:lang w:val="en-US" w:eastAsia="zh-CN" w:bidi="ar"/>
              </w:rPr>
              <w:t>.参加生育保险人数（万人）</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723DE54E">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应保尽保</w:t>
            </w:r>
          </w:p>
        </w:tc>
      </w:tr>
      <w:tr w14:paraId="157A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52DB6FD9">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55A49913">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其中：女性</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5014F9CF">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应保尽保</w:t>
            </w:r>
          </w:p>
        </w:tc>
      </w:tr>
      <w:tr w14:paraId="7CC7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6"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5FFB0B6B">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0D111A09">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9</w:t>
            </w:r>
            <w:r>
              <w:rPr>
                <w:rFonts w:hint="default" w:ascii="仿宋_GB2312" w:hAnsi="Calibri" w:eastAsia="仿宋_GB2312" w:cs="仿宋_GB2312"/>
                <w:kern w:val="2"/>
                <w:sz w:val="26"/>
                <w:szCs w:val="26"/>
                <w:highlight w:val="none"/>
                <w:lang w:val="en-US" w:eastAsia="zh-CN" w:bidi="ar"/>
              </w:rPr>
              <w:t>.3岁以下婴幼儿入托率（％）</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84E8C0D">
            <w:pPr>
              <w:keepNext w:val="0"/>
              <w:keepLines w:val="0"/>
              <w:widowControl w:val="0"/>
              <w:suppressLineNumbers w:val="0"/>
              <w:autoSpaceDE w:val="0"/>
              <w:autoSpaceDN/>
              <w:spacing w:before="0" w:beforeAutospacing="0" w:after="0" w:afterAutospacing="0" w:line="360" w:lineRule="exact"/>
              <w:ind w:left="0" w:right="0"/>
              <w:jc w:val="center"/>
              <w:rPr>
                <w:rFonts w:hint="eastAsia" w:ascii="仿宋_GB2312" w:eastAsia="仿宋_GB2312" w:cs="仿宋_GB2312"/>
                <w:kern w:val="2"/>
                <w:sz w:val="26"/>
                <w:szCs w:val="26"/>
                <w:highlight w:val="none"/>
                <w:lang w:val="en-US" w:eastAsia="zh-CN" w:bidi="ar"/>
              </w:rPr>
            </w:pPr>
            <w:r>
              <w:rPr>
                <w:rFonts w:hint="eastAsia" w:ascii="仿宋_GB2312" w:eastAsia="仿宋_GB2312" w:cs="仿宋_GB2312"/>
                <w:kern w:val="2"/>
                <w:sz w:val="26"/>
                <w:szCs w:val="26"/>
                <w:highlight w:val="none"/>
                <w:lang w:val="en-US" w:eastAsia="zh-CN" w:bidi="ar"/>
              </w:rPr>
              <w:t>五年累计</w:t>
            </w:r>
          </w:p>
          <w:p w14:paraId="49C2821B">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lang w:val="en-US"/>
              </w:rPr>
            </w:pPr>
            <w:r>
              <w:rPr>
                <w:rFonts w:hint="eastAsia" w:ascii="仿宋_GB2312" w:eastAsia="仿宋_GB2312" w:cs="仿宋_GB2312"/>
                <w:kern w:val="2"/>
                <w:sz w:val="26"/>
                <w:szCs w:val="26"/>
                <w:highlight w:val="none"/>
                <w:lang w:val="en-US" w:eastAsia="zh-CN" w:bidi="ar"/>
              </w:rPr>
              <w:t>15左右</w:t>
            </w:r>
          </w:p>
        </w:tc>
      </w:tr>
      <w:tr w14:paraId="7AD75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7"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481CCC71">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6A56A841">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w:t>
            </w:r>
            <w:r>
              <w:rPr>
                <w:rFonts w:hint="eastAsia" w:ascii="仿宋_GB2312" w:eastAsia="仿宋_GB2312" w:cs="仿宋_GB2312"/>
                <w:kern w:val="2"/>
                <w:sz w:val="26"/>
                <w:szCs w:val="26"/>
                <w:highlight w:val="none"/>
                <w:lang w:val="en-US" w:eastAsia="zh-CN" w:bidi="ar"/>
              </w:rPr>
              <w:t>0</w:t>
            </w:r>
            <w:r>
              <w:rPr>
                <w:rFonts w:hint="default" w:ascii="仿宋_GB2312" w:hAnsi="Calibri" w:eastAsia="仿宋_GB2312" w:cs="仿宋_GB2312"/>
                <w:kern w:val="2"/>
                <w:sz w:val="26"/>
                <w:szCs w:val="26"/>
                <w:highlight w:val="none"/>
                <w:lang w:val="en-US" w:eastAsia="zh-CN" w:bidi="ar"/>
              </w:rPr>
              <w:t>.旅游景区、文化场馆公厕中女厕位比例（％）</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4D7B59DE">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与实际需求</w:t>
            </w:r>
          </w:p>
          <w:p w14:paraId="29927A63">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相适应</w:t>
            </w:r>
          </w:p>
        </w:tc>
      </w:tr>
      <w:tr w14:paraId="12FA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jc w:val="center"/>
        </w:trPr>
        <w:tc>
          <w:tcPr>
            <w:tcW w:w="1053" w:type="dxa"/>
            <w:vMerge w:val="restart"/>
            <w:tcBorders>
              <w:top w:val="nil"/>
              <w:left w:val="single" w:color="auto" w:sz="4" w:space="0"/>
              <w:bottom w:val="single" w:color="auto" w:sz="4" w:space="0"/>
              <w:right w:val="single" w:color="auto" w:sz="4" w:space="0"/>
            </w:tcBorders>
            <w:shd w:val="clear" w:color="auto" w:fill="auto"/>
            <w:vAlign w:val="center"/>
          </w:tcPr>
          <w:p w14:paraId="53D98288">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儿</w:t>
            </w:r>
          </w:p>
          <w:p w14:paraId="3331F7D9">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童</w:t>
            </w:r>
          </w:p>
          <w:p w14:paraId="45C1D77C">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发</w:t>
            </w:r>
          </w:p>
          <w:p w14:paraId="1F344469">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展</w:t>
            </w:r>
          </w:p>
        </w:tc>
        <w:tc>
          <w:tcPr>
            <w:tcW w:w="5237" w:type="dxa"/>
            <w:vMerge w:val="restart"/>
            <w:tcBorders>
              <w:top w:val="nil"/>
              <w:left w:val="single" w:color="auto" w:sz="4" w:space="0"/>
              <w:bottom w:val="single" w:color="auto" w:sz="4" w:space="0"/>
              <w:right w:val="single" w:color="auto" w:sz="4" w:space="0"/>
            </w:tcBorders>
            <w:shd w:val="clear" w:color="auto" w:fill="auto"/>
            <w:vAlign w:val="center"/>
          </w:tcPr>
          <w:p w14:paraId="450B0CA3">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w:t>
            </w:r>
            <w:r>
              <w:rPr>
                <w:rFonts w:hint="eastAsia" w:ascii="仿宋_GB2312" w:eastAsia="仿宋_GB2312" w:cs="仿宋_GB2312"/>
                <w:kern w:val="2"/>
                <w:sz w:val="26"/>
                <w:szCs w:val="26"/>
                <w:highlight w:val="none"/>
                <w:lang w:val="en-US" w:eastAsia="zh-CN" w:bidi="ar"/>
              </w:rPr>
              <w:t>1</w:t>
            </w:r>
            <w:r>
              <w:rPr>
                <w:rFonts w:hint="default" w:ascii="仿宋_GB2312" w:hAnsi="Calibri" w:eastAsia="仿宋_GB2312" w:cs="仿宋_GB2312"/>
                <w:kern w:val="2"/>
                <w:sz w:val="26"/>
                <w:szCs w:val="26"/>
                <w:highlight w:val="none"/>
                <w:lang w:val="en-US" w:eastAsia="zh-CN" w:bidi="ar"/>
              </w:rPr>
              <w:t>.婴儿死亡率（‰）</w:t>
            </w:r>
          </w:p>
        </w:tc>
        <w:tc>
          <w:tcPr>
            <w:tcW w:w="1838" w:type="dxa"/>
            <w:vMerge w:val="restart"/>
            <w:tcBorders>
              <w:top w:val="nil"/>
              <w:left w:val="single" w:color="auto" w:sz="4" w:space="0"/>
              <w:bottom w:val="single" w:color="auto" w:sz="4" w:space="0"/>
              <w:right w:val="single" w:color="auto" w:sz="4" w:space="0"/>
            </w:tcBorders>
            <w:shd w:val="clear" w:color="auto" w:fill="auto"/>
            <w:vAlign w:val="center"/>
          </w:tcPr>
          <w:p w14:paraId="2D3626CD">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国际先进水平</w:t>
            </w:r>
          </w:p>
        </w:tc>
      </w:tr>
      <w:tr w14:paraId="3D4F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9"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1DF871F3">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vMerge w:val="continue"/>
            <w:tcBorders>
              <w:top w:val="nil"/>
              <w:left w:val="single" w:color="auto" w:sz="4" w:space="0"/>
              <w:bottom w:val="single" w:color="auto" w:sz="4" w:space="0"/>
              <w:right w:val="single" w:color="auto" w:sz="4" w:space="0"/>
            </w:tcBorders>
            <w:shd w:val="clear" w:color="auto" w:fill="auto"/>
            <w:vAlign w:val="center"/>
          </w:tcPr>
          <w:p w14:paraId="39F6262E">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1838" w:type="dxa"/>
            <w:vMerge w:val="continue"/>
            <w:tcBorders>
              <w:top w:val="nil"/>
              <w:left w:val="single" w:color="auto" w:sz="4" w:space="0"/>
              <w:bottom w:val="single" w:color="auto" w:sz="4" w:space="0"/>
              <w:right w:val="single" w:color="auto" w:sz="4" w:space="0"/>
            </w:tcBorders>
            <w:shd w:val="clear" w:color="auto" w:fill="auto"/>
            <w:vAlign w:val="center"/>
          </w:tcPr>
          <w:p w14:paraId="3AC4814B">
            <w:pPr>
              <w:keepNext w:val="0"/>
              <w:keepLines w:val="0"/>
              <w:suppressLineNumbers w:val="0"/>
              <w:spacing w:before="0" w:beforeAutospacing="0" w:after="0" w:afterAutospacing="0"/>
              <w:ind w:left="0" w:right="0"/>
              <w:jc w:val="center"/>
              <w:rPr>
                <w:rFonts w:hint="default" w:ascii="Times New Roman" w:hAnsi="Times New Roman" w:cs="Times New Roman"/>
                <w:sz w:val="20"/>
                <w:szCs w:val="20"/>
                <w:highlight w:val="none"/>
              </w:rPr>
            </w:pPr>
          </w:p>
        </w:tc>
      </w:tr>
      <w:tr w14:paraId="62C1F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1399889A">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vMerge w:val="continue"/>
            <w:tcBorders>
              <w:top w:val="nil"/>
              <w:left w:val="single" w:color="auto" w:sz="4" w:space="0"/>
              <w:bottom w:val="single" w:color="auto" w:sz="4" w:space="0"/>
              <w:right w:val="single" w:color="auto" w:sz="4" w:space="0"/>
            </w:tcBorders>
            <w:shd w:val="clear" w:color="auto" w:fill="auto"/>
            <w:vAlign w:val="center"/>
          </w:tcPr>
          <w:p w14:paraId="04C1C147">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1838" w:type="dxa"/>
            <w:vMerge w:val="continue"/>
            <w:tcBorders>
              <w:top w:val="nil"/>
              <w:left w:val="single" w:color="auto" w:sz="4" w:space="0"/>
              <w:bottom w:val="single" w:color="auto" w:sz="4" w:space="0"/>
              <w:right w:val="single" w:color="auto" w:sz="4" w:space="0"/>
            </w:tcBorders>
            <w:shd w:val="clear" w:color="auto" w:fill="auto"/>
            <w:vAlign w:val="center"/>
          </w:tcPr>
          <w:p w14:paraId="544E71C5">
            <w:pPr>
              <w:keepNext w:val="0"/>
              <w:keepLines w:val="0"/>
              <w:suppressLineNumbers w:val="0"/>
              <w:spacing w:before="0" w:beforeAutospacing="0" w:after="0" w:afterAutospacing="0"/>
              <w:ind w:left="0" w:right="0"/>
              <w:jc w:val="center"/>
              <w:rPr>
                <w:rFonts w:hint="default" w:ascii="Times New Roman" w:hAnsi="Times New Roman" w:cs="Times New Roman"/>
                <w:sz w:val="20"/>
                <w:szCs w:val="20"/>
                <w:highlight w:val="none"/>
              </w:rPr>
            </w:pPr>
          </w:p>
        </w:tc>
      </w:tr>
      <w:tr w14:paraId="4CDD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2DAAADE6">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652FD242">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w:t>
            </w:r>
            <w:r>
              <w:rPr>
                <w:rFonts w:hint="eastAsia" w:ascii="仿宋_GB2312" w:eastAsia="仿宋_GB2312" w:cs="仿宋_GB2312"/>
                <w:kern w:val="2"/>
                <w:sz w:val="26"/>
                <w:szCs w:val="26"/>
                <w:highlight w:val="none"/>
                <w:lang w:val="en-US" w:eastAsia="zh-CN" w:bidi="ar"/>
              </w:rPr>
              <w:t>2</w:t>
            </w:r>
            <w:r>
              <w:rPr>
                <w:rFonts w:hint="default" w:ascii="仿宋_GB2312" w:hAnsi="Calibri" w:eastAsia="仿宋_GB2312" w:cs="仿宋_GB2312"/>
                <w:kern w:val="2"/>
                <w:sz w:val="26"/>
                <w:szCs w:val="26"/>
                <w:highlight w:val="none"/>
                <w:lang w:val="en-US" w:eastAsia="zh-CN" w:bidi="ar"/>
              </w:rPr>
              <w:t>.7岁以下儿童健康服务率（％）</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7B881397">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color w:val="000000"/>
                <w:kern w:val="2"/>
                <w:sz w:val="26"/>
                <w:szCs w:val="26"/>
                <w:highlight w:val="none"/>
                <w:lang w:val="en-US" w:eastAsia="zh-CN" w:bidi="ar"/>
              </w:rPr>
              <w:t>≥99</w:t>
            </w:r>
          </w:p>
        </w:tc>
      </w:tr>
      <w:tr w14:paraId="3F46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7"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23738C1E">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vMerge w:val="restart"/>
            <w:tcBorders>
              <w:top w:val="nil"/>
              <w:left w:val="single" w:color="auto" w:sz="4" w:space="0"/>
              <w:bottom w:val="single" w:color="auto" w:sz="4" w:space="0"/>
              <w:right w:val="single" w:color="auto" w:sz="4" w:space="0"/>
            </w:tcBorders>
            <w:shd w:val="clear" w:color="auto" w:fill="auto"/>
            <w:vAlign w:val="center"/>
          </w:tcPr>
          <w:p w14:paraId="33BCB730">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w:t>
            </w:r>
            <w:r>
              <w:rPr>
                <w:rFonts w:hint="eastAsia" w:ascii="仿宋_GB2312" w:eastAsia="仿宋_GB2312" w:cs="仿宋_GB2312"/>
                <w:kern w:val="2"/>
                <w:sz w:val="26"/>
                <w:szCs w:val="26"/>
                <w:highlight w:val="none"/>
                <w:lang w:val="en-US" w:eastAsia="zh-CN" w:bidi="ar"/>
              </w:rPr>
              <w:t>3</w:t>
            </w:r>
            <w:r>
              <w:rPr>
                <w:rFonts w:hint="default" w:ascii="仿宋_GB2312" w:hAnsi="Calibri" w:eastAsia="仿宋_GB2312" w:cs="仿宋_GB2312"/>
                <w:kern w:val="2"/>
                <w:sz w:val="26"/>
                <w:szCs w:val="26"/>
                <w:highlight w:val="none"/>
                <w:lang w:val="en-US" w:eastAsia="zh-CN" w:bidi="ar"/>
              </w:rPr>
              <w:t>.小学生、初中生、高中生视力近视率（％）</w:t>
            </w:r>
          </w:p>
        </w:tc>
        <w:tc>
          <w:tcPr>
            <w:tcW w:w="1838" w:type="dxa"/>
            <w:vMerge w:val="restart"/>
            <w:tcBorders>
              <w:top w:val="nil"/>
              <w:left w:val="single" w:color="auto" w:sz="4" w:space="0"/>
              <w:bottom w:val="single" w:color="auto" w:sz="4" w:space="0"/>
              <w:right w:val="single" w:color="auto" w:sz="4" w:space="0"/>
            </w:tcBorders>
            <w:shd w:val="clear" w:color="auto" w:fill="auto"/>
            <w:vAlign w:val="center"/>
          </w:tcPr>
          <w:p w14:paraId="6879E24B">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保持稳定</w:t>
            </w:r>
          </w:p>
        </w:tc>
      </w:tr>
      <w:tr w14:paraId="0883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5"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4B5F0815">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vMerge w:val="continue"/>
            <w:tcBorders>
              <w:top w:val="nil"/>
              <w:left w:val="single" w:color="auto" w:sz="4" w:space="0"/>
              <w:bottom w:val="single" w:color="auto" w:sz="4" w:space="0"/>
              <w:right w:val="single" w:color="auto" w:sz="4" w:space="0"/>
            </w:tcBorders>
            <w:shd w:val="clear" w:color="auto" w:fill="auto"/>
            <w:vAlign w:val="center"/>
          </w:tcPr>
          <w:p w14:paraId="2115B3AC">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1838" w:type="dxa"/>
            <w:vMerge w:val="continue"/>
            <w:tcBorders>
              <w:top w:val="nil"/>
              <w:left w:val="single" w:color="auto" w:sz="4" w:space="0"/>
              <w:bottom w:val="single" w:color="auto" w:sz="4" w:space="0"/>
              <w:right w:val="single" w:color="auto" w:sz="4" w:space="0"/>
            </w:tcBorders>
            <w:shd w:val="clear" w:color="auto" w:fill="auto"/>
            <w:vAlign w:val="center"/>
          </w:tcPr>
          <w:p w14:paraId="11FC232C">
            <w:pPr>
              <w:keepNext w:val="0"/>
              <w:keepLines w:val="0"/>
              <w:suppressLineNumbers w:val="0"/>
              <w:spacing w:before="0" w:beforeAutospacing="0" w:after="0" w:afterAutospacing="0"/>
              <w:ind w:left="0" w:right="0"/>
              <w:jc w:val="center"/>
              <w:rPr>
                <w:rFonts w:hint="default" w:ascii="Times New Roman" w:hAnsi="Times New Roman" w:cs="Times New Roman"/>
                <w:sz w:val="20"/>
                <w:szCs w:val="20"/>
                <w:highlight w:val="none"/>
              </w:rPr>
            </w:pPr>
          </w:p>
        </w:tc>
      </w:tr>
      <w:tr w14:paraId="0E4BB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7"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29BD5EAB">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vMerge w:val="continue"/>
            <w:tcBorders>
              <w:top w:val="nil"/>
              <w:left w:val="single" w:color="auto" w:sz="4" w:space="0"/>
              <w:bottom w:val="single" w:color="auto" w:sz="4" w:space="0"/>
              <w:right w:val="single" w:color="auto" w:sz="4" w:space="0"/>
            </w:tcBorders>
            <w:shd w:val="clear" w:color="auto" w:fill="auto"/>
            <w:vAlign w:val="center"/>
          </w:tcPr>
          <w:p w14:paraId="69EC3A3F">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1838" w:type="dxa"/>
            <w:vMerge w:val="continue"/>
            <w:tcBorders>
              <w:top w:val="nil"/>
              <w:left w:val="single" w:color="auto" w:sz="4" w:space="0"/>
              <w:bottom w:val="single" w:color="auto" w:sz="4" w:space="0"/>
              <w:right w:val="single" w:color="auto" w:sz="4" w:space="0"/>
            </w:tcBorders>
            <w:shd w:val="clear" w:color="auto" w:fill="auto"/>
            <w:vAlign w:val="center"/>
          </w:tcPr>
          <w:p w14:paraId="1CC47D65">
            <w:pPr>
              <w:keepNext w:val="0"/>
              <w:keepLines w:val="0"/>
              <w:suppressLineNumbers w:val="0"/>
              <w:spacing w:before="0" w:beforeAutospacing="0" w:after="0" w:afterAutospacing="0"/>
              <w:ind w:left="0" w:right="0"/>
              <w:jc w:val="center"/>
              <w:rPr>
                <w:rFonts w:hint="default" w:ascii="Times New Roman" w:hAnsi="Times New Roman" w:cs="Times New Roman"/>
                <w:sz w:val="20"/>
                <w:szCs w:val="20"/>
                <w:highlight w:val="none"/>
              </w:rPr>
            </w:pPr>
          </w:p>
        </w:tc>
      </w:tr>
      <w:tr w14:paraId="3E232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27A63852">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1272E9CD">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w:t>
            </w:r>
            <w:r>
              <w:rPr>
                <w:rFonts w:hint="eastAsia" w:ascii="仿宋_GB2312" w:eastAsia="仿宋_GB2312" w:cs="仿宋_GB2312"/>
                <w:kern w:val="2"/>
                <w:sz w:val="26"/>
                <w:szCs w:val="26"/>
                <w:highlight w:val="none"/>
                <w:lang w:val="en-US" w:eastAsia="zh-CN" w:bidi="ar"/>
              </w:rPr>
              <w:t>4</w:t>
            </w:r>
            <w:r>
              <w:rPr>
                <w:rFonts w:hint="default" w:ascii="仿宋_GB2312" w:hAnsi="Calibri" w:eastAsia="仿宋_GB2312" w:cs="仿宋_GB2312"/>
                <w:kern w:val="2"/>
                <w:sz w:val="26"/>
                <w:szCs w:val="26"/>
                <w:highlight w:val="none"/>
                <w:lang w:val="en-US" w:eastAsia="zh-CN" w:bidi="ar"/>
              </w:rPr>
              <w:t>.中小学配备专兼职心理健康教育教师学校比例（％）</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B2DFD46">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color w:val="C00000"/>
                <w:kern w:val="2"/>
                <w:sz w:val="26"/>
                <w:szCs w:val="26"/>
                <w:highlight w:val="none"/>
              </w:rPr>
            </w:pPr>
            <w:r>
              <w:rPr>
                <w:rFonts w:hint="default" w:ascii="仿宋_GB2312" w:hAnsi="Calibri" w:eastAsia="仿宋_GB2312" w:cs="仿宋_GB2312"/>
                <w:kern w:val="2"/>
                <w:sz w:val="26"/>
                <w:szCs w:val="26"/>
                <w:highlight w:val="none"/>
                <w:lang w:val="en-US" w:eastAsia="zh-CN" w:bidi="ar"/>
              </w:rPr>
              <w:t>100</w:t>
            </w:r>
          </w:p>
        </w:tc>
      </w:tr>
      <w:tr w14:paraId="1CDC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151E3319">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07DEDC8B">
            <w:pPr>
              <w:keepNext w:val="0"/>
              <w:keepLines w:val="0"/>
              <w:widowControl w:val="0"/>
              <w:suppressLineNumbers w:val="0"/>
              <w:autoSpaceDE w:val="0"/>
              <w:autoSpaceDN/>
              <w:spacing w:before="0" w:beforeAutospacing="0" w:after="0" w:afterAutospacing="0" w:line="360" w:lineRule="exact"/>
              <w:ind w:left="0" w:leftChars="0" w:right="0" w:rightChars="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w:t>
            </w:r>
            <w:r>
              <w:rPr>
                <w:rFonts w:hint="eastAsia" w:ascii="仿宋_GB2312" w:eastAsia="仿宋_GB2312" w:cs="仿宋_GB2312"/>
                <w:kern w:val="2"/>
                <w:sz w:val="26"/>
                <w:szCs w:val="26"/>
                <w:highlight w:val="none"/>
                <w:lang w:val="en-US" w:eastAsia="zh-CN" w:bidi="ar"/>
              </w:rPr>
              <w:t>5</w:t>
            </w:r>
            <w:r>
              <w:rPr>
                <w:rFonts w:hint="default" w:ascii="仿宋_GB2312" w:hAnsi="Calibri" w:eastAsia="仿宋_GB2312" w:cs="仿宋_GB2312"/>
                <w:kern w:val="2"/>
                <w:sz w:val="26"/>
                <w:szCs w:val="26"/>
                <w:highlight w:val="none"/>
                <w:lang w:val="en-US" w:eastAsia="zh-CN" w:bidi="ar"/>
              </w:rPr>
              <w:t>.中小学生体质健康测试达标优良率（％）</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6DBA64C1">
            <w:pPr>
              <w:keepNext w:val="0"/>
              <w:keepLines w:val="0"/>
              <w:widowControl w:val="0"/>
              <w:suppressLineNumbers w:val="0"/>
              <w:autoSpaceDE w:val="0"/>
              <w:autoSpaceDN/>
              <w:spacing w:before="0" w:beforeAutospacing="0" w:after="0" w:afterAutospacing="0" w:line="360" w:lineRule="exact"/>
              <w:ind w:left="0" w:leftChars="0" w:right="0" w:rightChars="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保持稳定</w:t>
            </w:r>
          </w:p>
        </w:tc>
      </w:tr>
      <w:tr w14:paraId="202B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6FBCAD0B">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34DAED53">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w:t>
            </w:r>
            <w:r>
              <w:rPr>
                <w:rFonts w:hint="eastAsia" w:ascii="仿宋_GB2312" w:eastAsia="仿宋_GB2312" w:cs="仿宋_GB2312"/>
                <w:kern w:val="2"/>
                <w:sz w:val="26"/>
                <w:szCs w:val="26"/>
                <w:highlight w:val="none"/>
                <w:lang w:val="en-US" w:eastAsia="zh-CN" w:bidi="ar"/>
              </w:rPr>
              <w:t>6</w:t>
            </w:r>
            <w:r>
              <w:rPr>
                <w:rFonts w:hint="default" w:ascii="仿宋_GB2312" w:hAnsi="Calibri" w:eastAsia="仿宋_GB2312" w:cs="仿宋_GB2312"/>
                <w:kern w:val="2"/>
                <w:sz w:val="26"/>
                <w:szCs w:val="26"/>
                <w:highlight w:val="none"/>
                <w:lang w:val="en-US" w:eastAsia="zh-CN" w:bidi="ar"/>
              </w:rPr>
              <w:t>.儿童药品监督抽验合格率（％）</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0C9D96CF">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color w:val="C00000"/>
                <w:kern w:val="2"/>
                <w:sz w:val="26"/>
                <w:szCs w:val="26"/>
                <w:highlight w:val="none"/>
              </w:rPr>
            </w:pPr>
            <w:r>
              <w:rPr>
                <w:rFonts w:hint="default" w:ascii="仿宋_GB2312" w:hAnsi="Calibri" w:eastAsia="仿宋_GB2312" w:cs="仿宋_GB2312"/>
                <w:color w:val="000000"/>
                <w:kern w:val="2"/>
                <w:sz w:val="26"/>
                <w:szCs w:val="26"/>
                <w:highlight w:val="none"/>
                <w:lang w:val="en-US" w:eastAsia="zh-CN" w:bidi="ar"/>
              </w:rPr>
              <w:t>&gt;99</w:t>
            </w:r>
          </w:p>
        </w:tc>
      </w:tr>
      <w:tr w14:paraId="326F3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3"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6234686D">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2C589D96">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17</w:t>
            </w:r>
            <w:r>
              <w:rPr>
                <w:rFonts w:hint="default" w:ascii="仿宋_GB2312" w:hAnsi="Calibri" w:eastAsia="仿宋_GB2312" w:cs="仿宋_GB2312"/>
                <w:kern w:val="2"/>
                <w:sz w:val="26"/>
                <w:szCs w:val="26"/>
                <w:highlight w:val="none"/>
                <w:lang w:val="en-US" w:eastAsia="zh-CN" w:bidi="ar"/>
              </w:rPr>
              <w:t>.义务教育质量监测八年级学生学业水平优良率（％）</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15600907">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color w:val="C00000"/>
                <w:kern w:val="2"/>
                <w:sz w:val="26"/>
                <w:szCs w:val="26"/>
                <w:highlight w:val="none"/>
              </w:rPr>
            </w:pPr>
            <w:r>
              <w:rPr>
                <w:rFonts w:hint="default" w:ascii="仿宋_GB2312" w:hAnsi="Calibri" w:eastAsia="仿宋_GB2312" w:cs="仿宋_GB2312"/>
                <w:kern w:val="2"/>
                <w:sz w:val="26"/>
                <w:szCs w:val="26"/>
                <w:highlight w:val="none"/>
                <w:lang w:val="en-US" w:eastAsia="zh-CN" w:bidi="ar"/>
              </w:rPr>
              <w:t>&gt;78</w:t>
            </w:r>
          </w:p>
        </w:tc>
      </w:tr>
      <w:tr w14:paraId="1C8C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1EB30F46">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5B8BEAF0">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18</w:t>
            </w:r>
            <w:r>
              <w:rPr>
                <w:rFonts w:hint="default" w:ascii="仿宋_GB2312" w:hAnsi="Calibri" w:eastAsia="仿宋_GB2312" w:cs="仿宋_GB2312"/>
                <w:kern w:val="2"/>
                <w:sz w:val="26"/>
                <w:szCs w:val="26"/>
                <w:highlight w:val="none"/>
                <w:lang w:val="en-US" w:eastAsia="zh-CN" w:bidi="ar"/>
              </w:rPr>
              <w:t>.中小学开展数字素养教育的比例（％）</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4BD26366">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100</w:t>
            </w:r>
          </w:p>
        </w:tc>
      </w:tr>
      <w:tr w14:paraId="31F22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281C1772">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4EC810B7">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lang w:val="en-US"/>
              </w:rPr>
            </w:pPr>
            <w:r>
              <w:rPr>
                <w:rFonts w:hint="eastAsia" w:ascii="仿宋_GB2312" w:eastAsia="仿宋_GB2312" w:cs="仿宋_GB2312"/>
                <w:kern w:val="2"/>
                <w:sz w:val="26"/>
                <w:szCs w:val="26"/>
                <w:highlight w:val="none"/>
                <w:lang w:val="en-US" w:eastAsia="zh-CN" w:bidi="ar"/>
              </w:rPr>
              <w:t>19</w:t>
            </w:r>
            <w:r>
              <w:rPr>
                <w:rFonts w:hint="default" w:ascii="仿宋_GB2312" w:hAnsi="Calibri" w:eastAsia="仿宋_GB2312" w:cs="仿宋_GB2312"/>
                <w:kern w:val="2"/>
                <w:sz w:val="26"/>
                <w:szCs w:val="26"/>
                <w:highlight w:val="none"/>
                <w:lang w:val="en-US" w:eastAsia="zh-CN" w:bidi="ar"/>
              </w:rPr>
              <w:t>.</w:t>
            </w:r>
            <w:r>
              <w:rPr>
                <w:rFonts w:hint="eastAsia" w:ascii="仿宋_GB2312" w:eastAsia="仿宋_GB2312" w:cs="仿宋_GB2312"/>
                <w:kern w:val="2"/>
                <w:sz w:val="26"/>
                <w:szCs w:val="26"/>
                <w:highlight w:val="none"/>
                <w:lang w:val="en-US" w:eastAsia="zh-CN" w:bidi="ar"/>
              </w:rPr>
              <w:t>困境儿童生活费保障</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63CD76CD">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eastAsia" w:ascii="仿宋_GB2312" w:eastAsia="仿宋_GB2312" w:cs="仿宋_GB2312"/>
                <w:kern w:val="2"/>
                <w:sz w:val="26"/>
                <w:szCs w:val="26"/>
                <w:highlight w:val="none"/>
                <w:lang w:val="en-US" w:eastAsia="zh-CN" w:bidi="ar"/>
              </w:rPr>
              <w:t>应保尽保</w:t>
            </w:r>
          </w:p>
        </w:tc>
      </w:tr>
      <w:tr w14:paraId="51B1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00CF4295">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747D21E4">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2</w:t>
            </w:r>
            <w:r>
              <w:rPr>
                <w:rFonts w:hint="eastAsia" w:ascii="仿宋_GB2312" w:eastAsia="仿宋_GB2312" w:cs="仿宋_GB2312"/>
                <w:kern w:val="2"/>
                <w:sz w:val="26"/>
                <w:szCs w:val="26"/>
                <w:highlight w:val="none"/>
                <w:lang w:val="en-US" w:eastAsia="zh-CN" w:bidi="ar"/>
              </w:rPr>
              <w:t>0</w:t>
            </w:r>
            <w:r>
              <w:rPr>
                <w:rFonts w:hint="default" w:ascii="仿宋_GB2312" w:hAnsi="Calibri" w:eastAsia="仿宋_GB2312" w:cs="仿宋_GB2312"/>
                <w:kern w:val="2"/>
                <w:sz w:val="26"/>
                <w:szCs w:val="26"/>
                <w:highlight w:val="none"/>
                <w:lang w:val="en-US" w:eastAsia="zh-CN" w:bidi="ar"/>
              </w:rPr>
              <w:t>.中小学每学期开展家庭教育指导次数（次）</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237108B3">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2</w:t>
            </w:r>
          </w:p>
        </w:tc>
      </w:tr>
      <w:tr w14:paraId="4AB8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1053" w:type="dxa"/>
            <w:vMerge w:val="continue"/>
            <w:tcBorders>
              <w:top w:val="nil"/>
              <w:left w:val="single" w:color="auto" w:sz="4" w:space="0"/>
              <w:bottom w:val="single" w:color="auto" w:sz="4" w:space="0"/>
              <w:right w:val="single" w:color="auto" w:sz="4" w:space="0"/>
            </w:tcBorders>
            <w:shd w:val="clear" w:color="auto" w:fill="auto"/>
            <w:vAlign w:val="center"/>
          </w:tcPr>
          <w:p w14:paraId="33B9F84C">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5237" w:type="dxa"/>
            <w:tcBorders>
              <w:top w:val="single" w:color="auto" w:sz="4" w:space="0"/>
              <w:left w:val="single" w:color="auto" w:sz="4" w:space="0"/>
              <w:bottom w:val="single" w:color="auto" w:sz="4" w:space="0"/>
              <w:right w:val="single" w:color="auto" w:sz="4" w:space="0"/>
            </w:tcBorders>
            <w:shd w:val="clear" w:color="auto" w:fill="auto"/>
            <w:vAlign w:val="center"/>
          </w:tcPr>
          <w:p w14:paraId="70C40A83">
            <w:pPr>
              <w:keepNext w:val="0"/>
              <w:keepLines w:val="0"/>
              <w:widowControl w:val="0"/>
              <w:suppressLineNumbers w:val="0"/>
              <w:autoSpaceDE w:val="0"/>
              <w:autoSpaceDN/>
              <w:spacing w:before="0" w:beforeAutospacing="0" w:after="0" w:afterAutospacing="0" w:line="360" w:lineRule="exact"/>
              <w:ind w:left="0" w:right="0"/>
              <w:jc w:val="both"/>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2</w:t>
            </w:r>
            <w:r>
              <w:rPr>
                <w:rFonts w:hint="eastAsia" w:ascii="仿宋_GB2312" w:eastAsia="仿宋_GB2312" w:cs="仿宋_GB2312"/>
                <w:kern w:val="2"/>
                <w:sz w:val="26"/>
                <w:szCs w:val="26"/>
                <w:highlight w:val="none"/>
                <w:lang w:val="en-US" w:eastAsia="zh-CN" w:bidi="ar"/>
              </w:rPr>
              <w:t>1</w:t>
            </w:r>
            <w:r>
              <w:rPr>
                <w:rFonts w:hint="default" w:ascii="仿宋_GB2312" w:hAnsi="Calibri" w:eastAsia="仿宋_GB2312" w:cs="仿宋_GB2312"/>
                <w:kern w:val="2"/>
                <w:sz w:val="26"/>
                <w:szCs w:val="26"/>
                <w:highlight w:val="none"/>
                <w:lang w:val="en-US" w:eastAsia="zh-CN" w:bidi="ar"/>
              </w:rPr>
              <w:t>.全龄友好型公园数量 （个）</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14:paraId="337F7451">
            <w:pPr>
              <w:keepNext w:val="0"/>
              <w:keepLines w:val="0"/>
              <w:widowControl w:val="0"/>
              <w:suppressLineNumbers w:val="0"/>
              <w:autoSpaceDE w:val="0"/>
              <w:autoSpaceDN/>
              <w:spacing w:before="0" w:beforeAutospacing="0" w:after="0" w:afterAutospacing="0" w:line="360" w:lineRule="exact"/>
              <w:ind w:left="0" w:right="0"/>
              <w:jc w:val="center"/>
              <w:rPr>
                <w:rFonts w:hint="default" w:ascii="仿宋_GB2312" w:eastAsia="仿宋_GB2312" w:cs="仿宋_GB2312"/>
                <w:kern w:val="2"/>
                <w:sz w:val="26"/>
                <w:szCs w:val="26"/>
                <w:highlight w:val="none"/>
              </w:rPr>
            </w:pPr>
            <w:r>
              <w:rPr>
                <w:rFonts w:hint="default" w:ascii="仿宋_GB2312" w:hAnsi="Calibri" w:eastAsia="仿宋_GB2312" w:cs="仿宋_GB2312"/>
                <w:kern w:val="2"/>
                <w:sz w:val="26"/>
                <w:szCs w:val="26"/>
                <w:highlight w:val="none"/>
                <w:lang w:val="en-US" w:eastAsia="zh-CN" w:bidi="ar"/>
              </w:rPr>
              <w:t>提高</w:t>
            </w:r>
          </w:p>
        </w:tc>
      </w:tr>
    </w:tbl>
    <w:p w14:paraId="060B4A09">
      <w:pPr>
        <w:shd w:val="clear"/>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br w:type="page"/>
      </w:r>
    </w:p>
    <w:p w14:paraId="181777BD">
      <w:pPr>
        <w:keepNext w:val="0"/>
        <w:keepLines w:val="0"/>
        <w:pageBreakBefore w:val="0"/>
        <w:widowControl w:val="0"/>
        <w:shd w:val="clear"/>
        <w:kinsoku/>
        <w:wordWrap/>
        <w:overflowPunct/>
        <w:topLinePunct w:val="0"/>
        <w:autoSpaceDN/>
        <w:bidi w:val="0"/>
        <w:adjustRightInd w:val="0"/>
        <w:snapToGrid w:val="0"/>
        <w:spacing w:line="580" w:lineRule="exact"/>
        <w:ind w:left="0" w:firstLine="640" w:firstLineChars="200"/>
        <w:jc w:val="both"/>
        <w:textAlignment w:val="auto"/>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二</w:t>
      </w:r>
      <w:r>
        <w:rPr>
          <w:rFonts w:hint="eastAsia" w:ascii="黑体" w:hAnsi="黑体" w:eastAsia="黑体" w:cs="黑体"/>
          <w:b w:val="0"/>
          <w:bCs/>
          <w:sz w:val="32"/>
          <w:szCs w:val="32"/>
          <w:highlight w:val="none"/>
        </w:rPr>
        <w:t>、促进妇女全面发展的重点</w:t>
      </w:r>
      <w:r>
        <w:rPr>
          <w:rFonts w:hint="eastAsia" w:ascii="黑体" w:hAnsi="黑体" w:eastAsia="黑体" w:cs="黑体"/>
          <w:b w:val="0"/>
          <w:bCs/>
          <w:sz w:val="32"/>
          <w:szCs w:val="32"/>
          <w:highlight w:val="none"/>
          <w:lang w:val="en-US" w:eastAsia="zh-CN"/>
        </w:rPr>
        <w:t>任务</w:t>
      </w:r>
    </w:p>
    <w:p w14:paraId="21093326">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sz w:val="32"/>
          <w:szCs w:val="32"/>
          <w:highlight w:val="none"/>
        </w:rPr>
      </w:pPr>
      <w:r>
        <w:rPr>
          <w:rFonts w:hint="eastAsia" w:ascii="方正楷体_GB2312" w:hAnsi="方正楷体_GB2312" w:eastAsia="方正楷体_GB2312" w:cs="方正楷体_GB2312"/>
          <w:b/>
          <w:sz w:val="32"/>
          <w:szCs w:val="32"/>
          <w:highlight w:val="none"/>
        </w:rPr>
        <w:t>（一）</w:t>
      </w:r>
      <w:r>
        <w:rPr>
          <w:rFonts w:hint="eastAsia" w:ascii="方正楷体_GB2312" w:hAnsi="方正楷体_GB2312" w:eastAsia="方正楷体_GB2312" w:cs="方正楷体_GB2312"/>
          <w:b/>
          <w:bCs/>
          <w:sz w:val="32"/>
          <w:szCs w:val="32"/>
          <w:highlight w:val="none"/>
        </w:rPr>
        <w:t>优化妇女全方位全周期健康服务链条</w:t>
      </w:r>
    </w:p>
    <w:p w14:paraId="6158219A">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rPr>
        <w:t>1.</w:t>
      </w:r>
      <w:r>
        <w:rPr>
          <w:rFonts w:hint="eastAsia" w:ascii="仿宋_GB2312" w:hAnsi="仿宋_GB2312" w:eastAsia="仿宋_GB2312" w:cs="仿宋_GB2312"/>
          <w:b/>
          <w:sz w:val="32"/>
          <w:szCs w:val="32"/>
          <w:highlight w:val="none"/>
          <w:lang w:val="en-US" w:eastAsia="zh-CN"/>
        </w:rPr>
        <w:t>完善</w:t>
      </w:r>
      <w:r>
        <w:rPr>
          <w:rFonts w:hint="eastAsia" w:ascii="仿宋_GB2312" w:hAnsi="仿宋_GB2312" w:eastAsia="仿宋_GB2312" w:cs="仿宋_GB2312"/>
          <w:b/>
          <w:sz w:val="32"/>
          <w:szCs w:val="32"/>
          <w:highlight w:val="none"/>
        </w:rPr>
        <w:t>妇幼健康</w:t>
      </w:r>
      <w:r>
        <w:rPr>
          <w:rFonts w:hint="eastAsia" w:ascii="仿宋_GB2312" w:hAnsi="仿宋_GB2312" w:eastAsia="仿宋_GB2312" w:cs="仿宋_GB2312"/>
          <w:b/>
          <w:sz w:val="32"/>
          <w:szCs w:val="32"/>
          <w:highlight w:val="none"/>
          <w:lang w:val="en-US" w:eastAsia="zh-CN"/>
        </w:rPr>
        <w:t>服务体系</w:t>
      </w:r>
      <w:r>
        <w:rPr>
          <w:rFonts w:hint="eastAsia" w:ascii="仿宋_GB2312" w:hAnsi="仿宋_GB2312" w:eastAsia="仿宋_GB2312" w:cs="仿宋_GB2312"/>
          <w:b/>
          <w:sz w:val="32"/>
          <w:szCs w:val="32"/>
          <w:highlight w:val="none"/>
        </w:rPr>
        <w:t>。</w:t>
      </w:r>
      <w:r>
        <w:rPr>
          <w:rFonts w:hint="eastAsia" w:ascii="仿宋_GB2312" w:hAnsi="仿宋_GB2312" w:eastAsia="仿宋_GB2312" w:cs="仿宋_GB2312"/>
          <w:color w:val="auto"/>
          <w:sz w:val="32"/>
          <w:szCs w:val="32"/>
          <w:highlight w:val="none"/>
          <w:lang w:val="en-US" w:eastAsia="zh-CN"/>
        </w:rPr>
        <w:t>健全妇幼健康保障工作机制，加强妇幼人才培养，依托北京市妇幼健康专科联合平台，促进我区妇幼健康服务能力提升。加快建设生育友好医院。</w:t>
      </w:r>
      <w:r>
        <w:rPr>
          <w:rFonts w:hint="eastAsia" w:ascii="仿宋_GB2312" w:hAnsi="仿宋_GB2312" w:eastAsia="仿宋_GB2312" w:cs="仿宋_GB2312"/>
          <w:sz w:val="32"/>
          <w:szCs w:val="32"/>
          <w:highlight w:val="none"/>
        </w:rPr>
        <w:t>发挥中医药在妇女保健和疾病防治中作用。推进妇幼健康智慧医疗信息化建设。</w:t>
      </w:r>
    </w:p>
    <w:p w14:paraId="7551B21F">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2</w:t>
      </w:r>
      <w:r>
        <w:rPr>
          <w:rFonts w:hint="eastAsia" w:ascii="仿宋_GB2312" w:hAnsi="仿宋_GB2312" w:eastAsia="仿宋_GB2312" w:cs="仿宋_GB2312"/>
          <w:b/>
          <w:sz w:val="32"/>
          <w:szCs w:val="32"/>
          <w:highlight w:val="none"/>
        </w:rPr>
        <w:t>.提升生殖健康服务能力。</w:t>
      </w:r>
      <w:r>
        <w:rPr>
          <w:rFonts w:hint="eastAsia" w:ascii="仿宋_GB2312" w:hAnsi="仿宋_GB2312" w:eastAsia="仿宋_GB2312" w:cs="仿宋_GB2312"/>
          <w:sz w:val="32"/>
          <w:szCs w:val="32"/>
          <w:highlight w:val="none"/>
          <w:lang w:val="en-US" w:eastAsia="zh-CN"/>
        </w:rPr>
        <w:t>推进生殖健康促进工作，以区域生殖健康中心为引领，围绕生育服务全链条，完善生殖健康服务网络。</w:t>
      </w:r>
      <w:r>
        <w:rPr>
          <w:rFonts w:hint="eastAsia" w:ascii="仿宋_GB2312" w:hAnsi="仿宋_GB2312" w:eastAsia="仿宋_GB2312" w:cs="仿宋_GB2312"/>
          <w:sz w:val="32"/>
          <w:szCs w:val="32"/>
          <w:highlight w:val="none"/>
        </w:rPr>
        <w:t>保护妇女孕育能力。</w:t>
      </w:r>
      <w:r>
        <w:rPr>
          <w:rFonts w:hint="eastAsia" w:ascii="仿宋_GB2312" w:hAnsi="仿宋_GB2312" w:eastAsia="仿宋_GB2312" w:cs="仿宋_GB2312"/>
          <w:sz w:val="32"/>
          <w:szCs w:val="32"/>
          <w:highlight w:val="none"/>
          <w:lang w:val="en-US" w:eastAsia="zh-CN"/>
        </w:rPr>
        <w:t>提高</w:t>
      </w:r>
      <w:r>
        <w:rPr>
          <w:rFonts w:hint="eastAsia" w:ascii="仿宋_GB2312" w:hAnsi="仿宋_GB2312" w:eastAsia="仿宋_GB2312" w:cs="仿宋_GB2312"/>
          <w:sz w:val="32"/>
          <w:szCs w:val="32"/>
          <w:highlight w:val="none"/>
        </w:rPr>
        <w:t>婚前孕前</w:t>
      </w:r>
      <w:r>
        <w:rPr>
          <w:rFonts w:hint="eastAsia" w:ascii="仿宋_GB2312" w:hAnsi="仿宋_GB2312" w:eastAsia="仿宋_GB2312" w:cs="仿宋_GB2312"/>
          <w:sz w:val="32"/>
          <w:szCs w:val="32"/>
          <w:highlight w:val="none"/>
          <w:lang w:val="en-US" w:eastAsia="zh-CN"/>
        </w:rPr>
        <w:t>保健和生育评估分级</w:t>
      </w:r>
      <w:r>
        <w:rPr>
          <w:rFonts w:hint="eastAsia" w:ascii="仿宋_GB2312" w:hAnsi="仿宋_GB2312" w:eastAsia="仿宋_GB2312" w:cs="仿宋_GB2312"/>
          <w:sz w:val="32"/>
          <w:szCs w:val="32"/>
          <w:highlight w:val="none"/>
        </w:rPr>
        <w:t>服务</w:t>
      </w:r>
      <w:r>
        <w:rPr>
          <w:rFonts w:hint="eastAsia" w:ascii="仿宋_GB2312" w:hAnsi="仿宋_GB2312" w:eastAsia="仿宋_GB2312" w:cs="仿宋_GB2312"/>
          <w:sz w:val="32"/>
          <w:szCs w:val="32"/>
          <w:highlight w:val="none"/>
          <w:lang w:val="en-US" w:eastAsia="zh-CN"/>
        </w:rPr>
        <w:t>水平</w:t>
      </w:r>
      <w:r>
        <w:rPr>
          <w:rFonts w:hint="eastAsia" w:ascii="仿宋_GB2312" w:hAnsi="仿宋_GB2312" w:eastAsia="仿宋_GB2312" w:cs="仿宋_GB2312"/>
          <w:sz w:val="32"/>
          <w:szCs w:val="32"/>
          <w:highlight w:val="none"/>
        </w:rPr>
        <w:t>。开展早孕关爱行动。推进生殖健康教育融入诊疗和业务工作全过程。</w:t>
      </w:r>
    </w:p>
    <w:p w14:paraId="050F253A">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3</w:t>
      </w:r>
      <w:r>
        <w:rPr>
          <w:rFonts w:hint="eastAsia" w:ascii="仿宋_GB2312" w:hAnsi="仿宋_GB2312" w:eastAsia="仿宋_GB2312" w:cs="仿宋_GB2312"/>
          <w:b/>
          <w:sz w:val="32"/>
          <w:szCs w:val="32"/>
          <w:highlight w:val="none"/>
        </w:rPr>
        <w:t>.加强母婴安全保障。</w:t>
      </w:r>
      <w:r>
        <w:rPr>
          <w:rFonts w:hint="eastAsia" w:ascii="仿宋_GB2312" w:hAnsi="仿宋_GB2312" w:eastAsia="仿宋_GB2312" w:cs="仿宋_GB2312"/>
          <w:sz w:val="32"/>
          <w:szCs w:val="32"/>
          <w:highlight w:val="none"/>
          <w:lang w:val="en-US" w:eastAsia="zh-CN"/>
        </w:rPr>
        <w:t>探索基于人工智能的妊娠风险预警，优化高危孕产妇全程服务。</w:t>
      </w:r>
      <w:r>
        <w:rPr>
          <w:rFonts w:hint="eastAsia" w:ascii="仿宋_GB2312" w:hAnsi="仿宋_GB2312" w:eastAsia="仿宋_GB2312" w:cs="仿宋_GB2312"/>
          <w:sz w:val="32"/>
          <w:szCs w:val="32"/>
          <w:highlight w:val="none"/>
        </w:rPr>
        <w:t>推广“医疗机构+社区+家庭”三位一体专病服务模式。合理控制剖宫产率。</w:t>
      </w:r>
      <w:r>
        <w:rPr>
          <w:rFonts w:hint="eastAsia" w:ascii="仿宋_GB2312" w:hAnsi="仿宋_GB2312" w:eastAsia="仿宋_GB2312" w:cs="仿宋_GB2312"/>
          <w:sz w:val="32"/>
          <w:szCs w:val="32"/>
          <w:highlight w:val="none"/>
          <w:lang w:val="en-US" w:eastAsia="zh-CN"/>
        </w:rPr>
        <w:t>积极推进消除艾滋病、梅毒和乙肝母婴传播工作。</w:t>
      </w:r>
    </w:p>
    <w:p w14:paraId="23D5DB5F">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sz w:val="32"/>
          <w:szCs w:val="32"/>
          <w:highlight w:val="none"/>
        </w:rPr>
        <w:t>4.</w:t>
      </w:r>
      <w:r>
        <w:rPr>
          <w:rFonts w:hint="eastAsia" w:ascii="仿宋_GB2312" w:hAnsi="仿宋_GB2312" w:eastAsia="仿宋_GB2312" w:cs="仿宋_GB2312"/>
          <w:b/>
          <w:sz w:val="32"/>
          <w:szCs w:val="32"/>
          <w:highlight w:val="none"/>
          <w:lang w:val="en-US" w:eastAsia="zh-CN"/>
        </w:rPr>
        <w:t>优化妇女全生命周期健康服务。</w:t>
      </w:r>
      <w:r>
        <w:rPr>
          <w:rFonts w:hint="eastAsia" w:ascii="仿宋_GB2312" w:hAnsi="仿宋_GB2312" w:eastAsia="仿宋_GB2312" w:cs="仿宋_GB2312"/>
          <w:sz w:val="32"/>
          <w:szCs w:val="32"/>
          <w:highlight w:val="none"/>
          <w:lang w:val="en-US" w:eastAsia="zh-CN"/>
        </w:rPr>
        <w:t>强化</w:t>
      </w:r>
      <w:r>
        <w:rPr>
          <w:rFonts w:hint="eastAsia" w:ascii="仿宋_GB2312" w:hAnsi="仿宋_GB2312" w:eastAsia="仿宋_GB2312" w:cs="仿宋_GB2312"/>
          <w:sz w:val="32"/>
          <w:szCs w:val="32"/>
          <w:highlight w:val="none"/>
        </w:rPr>
        <w:t>青春期、育龄期</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更老年期</w:t>
      </w:r>
      <w:r>
        <w:rPr>
          <w:rFonts w:hint="eastAsia" w:ascii="仿宋_GB2312" w:hAnsi="仿宋_GB2312" w:eastAsia="仿宋_GB2312" w:cs="仿宋_GB2312"/>
          <w:sz w:val="32"/>
          <w:szCs w:val="32"/>
          <w:highlight w:val="none"/>
          <w:lang w:val="en-US" w:eastAsia="zh-CN"/>
        </w:rPr>
        <w:t>保健。实施加速消除宫颈癌行动，全面实施适龄女童国家免疫规划HPV疫苗免费接种。深化落实宫颈癌、乳腺癌、子宫内膜癌筛查服务。</w:t>
      </w:r>
      <w:r>
        <w:rPr>
          <w:rFonts w:hint="eastAsia" w:ascii="仿宋_GB2312" w:hAnsi="仿宋_GB2312" w:eastAsia="仿宋_GB2312" w:cs="仿宋_GB2312"/>
          <w:sz w:val="32"/>
          <w:szCs w:val="32"/>
          <w:highlight w:val="none"/>
        </w:rPr>
        <w:t>改善妇女营养状况，控制营养不</w:t>
      </w:r>
      <w:r>
        <w:rPr>
          <w:rFonts w:hint="eastAsia" w:ascii="仿宋_GB2312" w:hAnsi="仿宋_GB2312" w:eastAsia="仿宋_GB2312" w:cs="仿宋_GB2312"/>
          <w:sz w:val="32"/>
          <w:szCs w:val="32"/>
          <w:highlight w:val="none"/>
          <w:lang w:val="en-US" w:eastAsia="zh-CN"/>
        </w:rPr>
        <w:t>良</w:t>
      </w:r>
      <w:r>
        <w:rPr>
          <w:rFonts w:hint="eastAsia" w:ascii="仿宋_GB2312" w:hAnsi="仿宋_GB2312" w:eastAsia="仿宋_GB2312" w:cs="仿宋_GB2312"/>
          <w:sz w:val="32"/>
          <w:szCs w:val="32"/>
          <w:highlight w:val="none"/>
        </w:rPr>
        <w:t>和肥胖。鼓励妇女积极参加全民健身活动</w:t>
      </w:r>
      <w:r>
        <w:rPr>
          <w:rFonts w:hint="eastAsia" w:ascii="仿宋_GB2312" w:hAnsi="仿宋_GB2312" w:eastAsia="仿宋_GB2312" w:cs="仿宋_GB2312"/>
          <w:sz w:val="32"/>
          <w:szCs w:val="32"/>
          <w:highlight w:val="none"/>
          <w:lang w:eastAsia="zh-CN"/>
        </w:rPr>
        <w:t>。</w:t>
      </w:r>
    </w:p>
    <w:p w14:paraId="1F967566">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lang w:val="en-US" w:eastAsia="zh-CN"/>
        </w:rPr>
      </w:pPr>
      <w:r>
        <w:rPr>
          <w:rFonts w:hint="eastAsia" w:ascii="方正楷体_GB2312" w:hAnsi="方正楷体_GB2312" w:eastAsia="方正楷体_GB2312" w:cs="方正楷体_GB2312"/>
          <w:b/>
          <w:sz w:val="32"/>
          <w:szCs w:val="32"/>
          <w:highlight w:val="none"/>
        </w:rPr>
        <w:t>（二）</w:t>
      </w:r>
      <w:r>
        <w:rPr>
          <w:rFonts w:hint="eastAsia" w:ascii="方正楷体_GB2312" w:hAnsi="方正楷体_GB2312" w:eastAsia="方正楷体_GB2312" w:cs="方正楷体_GB2312"/>
          <w:b/>
          <w:sz w:val="32"/>
          <w:szCs w:val="32"/>
          <w:highlight w:val="none"/>
          <w:lang w:val="en-US" w:eastAsia="zh-CN"/>
        </w:rPr>
        <w:t>推动妇女</w:t>
      </w:r>
      <w:r>
        <w:rPr>
          <w:rFonts w:hint="eastAsia" w:ascii="方正楷体_GB2312" w:hAnsi="方正楷体_GB2312" w:eastAsia="方正楷体_GB2312" w:cs="方正楷体_GB2312"/>
          <w:b/>
          <w:sz w:val="32"/>
          <w:szCs w:val="32"/>
          <w:highlight w:val="none"/>
        </w:rPr>
        <w:t>教育高质量</w:t>
      </w:r>
      <w:r>
        <w:rPr>
          <w:rFonts w:hint="eastAsia" w:ascii="方正楷体_GB2312" w:hAnsi="方正楷体_GB2312" w:eastAsia="方正楷体_GB2312" w:cs="方正楷体_GB2312"/>
          <w:b/>
          <w:sz w:val="32"/>
          <w:szCs w:val="32"/>
          <w:highlight w:val="none"/>
          <w:lang w:val="en-US" w:eastAsia="zh-CN"/>
        </w:rPr>
        <w:t>发展</w:t>
      </w:r>
    </w:p>
    <w:p w14:paraId="674AB181">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1</w:t>
      </w:r>
      <w:r>
        <w:rPr>
          <w:rFonts w:hint="eastAsia" w:ascii="仿宋_GB2312" w:hAnsi="仿宋_GB2312" w:eastAsia="仿宋_GB2312" w:cs="仿宋_GB2312"/>
          <w:b/>
          <w:sz w:val="32"/>
          <w:szCs w:val="32"/>
          <w:highlight w:val="none"/>
        </w:rPr>
        <w:t>.加强妇女思想政治引领</w:t>
      </w:r>
      <w:r>
        <w:rPr>
          <w:rFonts w:hint="eastAsia" w:ascii="仿宋_GB2312" w:hAnsi="仿宋_GB2312" w:eastAsia="仿宋_GB2312" w:cs="仿宋_GB2312"/>
          <w:b/>
          <w:sz w:val="32"/>
          <w:szCs w:val="32"/>
          <w:highlight w:val="none"/>
          <w:lang w:val="en-US" w:eastAsia="zh-CN"/>
        </w:rPr>
        <w:t>和男女平等基本国策教育</w:t>
      </w:r>
      <w:r>
        <w:rPr>
          <w:rFonts w:hint="eastAsia" w:ascii="仿宋_GB2312" w:hAnsi="仿宋_GB2312" w:eastAsia="仿宋_GB2312" w:cs="仿宋_GB2312"/>
          <w:b/>
          <w:sz w:val="32"/>
          <w:szCs w:val="32"/>
          <w:highlight w:val="none"/>
        </w:rPr>
        <w:t>。</w:t>
      </w:r>
      <w:r>
        <w:rPr>
          <w:rFonts w:hint="eastAsia" w:ascii="仿宋_GB2312" w:hAnsi="仿宋_GB2312" w:eastAsia="仿宋_GB2312" w:cs="仿宋_GB2312"/>
          <w:sz w:val="32"/>
          <w:szCs w:val="32"/>
          <w:highlight w:val="none"/>
        </w:rPr>
        <w:t>坚持用习近平新时代中国特色社会主义思想凝心铸魂，深化“巾帼心向党引领行动”，引导妇女厚植爱国情怀，筑牢信仰根基。创新网上引领服务联系妇女群众方式</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将男女平等基本国策教育融入教育工作全过程。</w:t>
      </w:r>
    </w:p>
    <w:p w14:paraId="386F3C85">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2.提</w:t>
      </w:r>
      <w:r>
        <w:rPr>
          <w:rFonts w:hint="eastAsia" w:ascii="仿宋_GB2312" w:hAnsi="仿宋_GB2312" w:eastAsia="仿宋_GB2312" w:cs="仿宋_GB2312"/>
          <w:b/>
          <w:sz w:val="32"/>
          <w:szCs w:val="32"/>
          <w:highlight w:val="none"/>
        </w:rPr>
        <w:t>高女性受教育年限</w:t>
      </w:r>
      <w:r>
        <w:rPr>
          <w:rFonts w:hint="eastAsia" w:ascii="仿宋_GB2312" w:hAnsi="仿宋_GB2312" w:eastAsia="仿宋_GB2312" w:cs="仿宋_GB2312"/>
          <w:b/>
          <w:sz w:val="32"/>
          <w:szCs w:val="32"/>
          <w:highlight w:val="none"/>
          <w:lang w:eastAsia="zh-CN"/>
        </w:rPr>
        <w:t>。</w:t>
      </w:r>
      <w:r>
        <w:rPr>
          <w:rFonts w:hint="eastAsia" w:ascii="仿宋_GB2312" w:hAnsi="仿宋_GB2312" w:eastAsia="仿宋_GB2312" w:cs="仿宋_GB2312"/>
          <w:sz w:val="32"/>
          <w:szCs w:val="32"/>
          <w:highlight w:val="none"/>
        </w:rPr>
        <w:t>高水平实现义务教育优质均衡，保障</w:t>
      </w:r>
      <w:r>
        <w:rPr>
          <w:rFonts w:hint="eastAsia" w:ascii="仿宋_GB2312" w:hAnsi="仿宋_GB2312" w:eastAsia="仿宋_GB2312" w:cs="仿宋_GB2312"/>
          <w:sz w:val="32"/>
          <w:szCs w:val="32"/>
          <w:highlight w:val="none"/>
          <w:lang w:val="en-US" w:eastAsia="zh-CN"/>
        </w:rPr>
        <w:t>妇</w:t>
      </w:r>
      <w:r>
        <w:rPr>
          <w:rFonts w:hint="eastAsia" w:ascii="仿宋_GB2312" w:hAnsi="仿宋_GB2312" w:eastAsia="仿宋_GB2312" w:cs="仿宋_GB2312"/>
          <w:sz w:val="32"/>
          <w:szCs w:val="32"/>
          <w:highlight w:val="none"/>
        </w:rPr>
        <w:t>女平等享有优质教育资源</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提高职业教育质量和吸引力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拓宽职普融通女学生成长成才通道</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提高妇女</w:t>
      </w:r>
      <w:r>
        <w:rPr>
          <w:rFonts w:hint="eastAsia" w:ascii="仿宋_GB2312" w:hAnsi="仿宋_GB2312" w:eastAsia="仿宋_GB2312" w:cs="仿宋_GB2312"/>
          <w:sz w:val="32"/>
          <w:szCs w:val="32"/>
          <w:highlight w:val="none"/>
        </w:rPr>
        <w:t>高等教育</w:t>
      </w:r>
      <w:r>
        <w:rPr>
          <w:rFonts w:hint="eastAsia" w:ascii="仿宋_GB2312" w:hAnsi="仿宋_GB2312" w:eastAsia="仿宋_GB2312" w:cs="仿宋_GB2312"/>
          <w:sz w:val="32"/>
          <w:szCs w:val="32"/>
          <w:highlight w:val="none"/>
          <w:lang w:val="en-US" w:eastAsia="zh-CN"/>
        </w:rPr>
        <w:t>水平</w:t>
      </w:r>
      <w:r>
        <w:rPr>
          <w:rFonts w:hint="eastAsia" w:ascii="仿宋_GB2312" w:hAnsi="仿宋_GB2312" w:eastAsia="仿宋_GB2312" w:cs="仿宋_GB2312"/>
          <w:sz w:val="32"/>
          <w:szCs w:val="32"/>
          <w:highlight w:val="none"/>
        </w:rPr>
        <w:t>。</w:t>
      </w:r>
    </w:p>
    <w:p w14:paraId="3DA7E5CB">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3</w:t>
      </w:r>
      <w:r>
        <w:rPr>
          <w:rFonts w:hint="eastAsia" w:ascii="仿宋_GB2312" w:hAnsi="仿宋_GB2312" w:eastAsia="仿宋_GB2312" w:cs="仿宋_GB2312"/>
          <w:b/>
          <w:sz w:val="32"/>
          <w:szCs w:val="32"/>
          <w:highlight w:val="none"/>
        </w:rPr>
        <w:t>.加强女性创新人才培养。</w:t>
      </w:r>
      <w:r>
        <w:rPr>
          <w:rFonts w:hint="eastAsia" w:ascii="仿宋_GB2312" w:hAnsi="仿宋_GB2312" w:eastAsia="仿宋_GB2312" w:cs="仿宋_GB2312"/>
          <w:sz w:val="32"/>
          <w:szCs w:val="32"/>
          <w:highlight w:val="none"/>
        </w:rPr>
        <w:t>探索实施女性人才专项培养计划。</w:t>
      </w:r>
      <w:r>
        <w:rPr>
          <w:rFonts w:hint="eastAsia" w:ascii="仿宋_GB2312" w:hAnsi="仿宋_GB2312" w:eastAsia="仿宋_GB2312" w:cs="仿宋_GB2312"/>
          <w:sz w:val="32"/>
          <w:szCs w:val="32"/>
          <w:highlight w:val="none"/>
          <w:lang w:val="en-US" w:eastAsia="zh-CN"/>
        </w:rPr>
        <w:t>完善</w:t>
      </w:r>
      <w:r>
        <w:rPr>
          <w:rFonts w:hint="eastAsia" w:ascii="仿宋_GB2312" w:hAnsi="仿宋_GB2312" w:eastAsia="仿宋_GB2312" w:cs="仿宋_GB2312"/>
          <w:sz w:val="32"/>
          <w:szCs w:val="32"/>
          <w:highlight w:val="none"/>
        </w:rPr>
        <w:t>女性科技人才评价机制</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完善女性科技人才库。推进教育与人工智能深度融合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赋能</w:t>
      </w:r>
      <w:r>
        <w:rPr>
          <w:rFonts w:hint="eastAsia" w:ascii="仿宋_GB2312" w:hAnsi="仿宋_GB2312" w:eastAsia="仿宋_GB2312" w:cs="仿宋_GB2312"/>
          <w:sz w:val="32"/>
          <w:szCs w:val="32"/>
          <w:highlight w:val="none"/>
          <w:lang w:val="en-US" w:eastAsia="zh-CN"/>
        </w:rPr>
        <w:t>女性</w:t>
      </w:r>
      <w:r>
        <w:rPr>
          <w:rFonts w:hint="eastAsia" w:ascii="仿宋_GB2312" w:hAnsi="仿宋_GB2312" w:eastAsia="仿宋_GB2312" w:cs="仿宋_GB2312"/>
          <w:sz w:val="32"/>
          <w:szCs w:val="32"/>
          <w:highlight w:val="none"/>
        </w:rPr>
        <w:t>数智技能引导与实践。深入实施城乡妇女素质提升计划</w:t>
      </w:r>
      <w:r>
        <w:rPr>
          <w:rFonts w:hint="eastAsia" w:ascii="仿宋_GB2312" w:hAnsi="仿宋_GB2312" w:eastAsia="仿宋_GB2312" w:cs="仿宋_GB2312"/>
          <w:sz w:val="32"/>
          <w:szCs w:val="32"/>
          <w:highlight w:val="none"/>
          <w:lang w:eastAsia="zh-CN"/>
        </w:rPr>
        <w:t>。</w:t>
      </w:r>
    </w:p>
    <w:p w14:paraId="44F11937">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
          <w:sz w:val="32"/>
          <w:szCs w:val="32"/>
          <w:highlight w:val="none"/>
          <w:lang w:val="en-US" w:eastAsia="zh-CN"/>
        </w:rPr>
        <w:t>4</w:t>
      </w:r>
      <w:r>
        <w:rPr>
          <w:rFonts w:hint="eastAsia" w:ascii="仿宋_GB2312" w:hAnsi="仿宋_GB2312" w:eastAsia="仿宋_GB2312" w:cs="仿宋_GB2312"/>
          <w:b/>
          <w:sz w:val="32"/>
          <w:szCs w:val="32"/>
          <w:highlight w:val="none"/>
        </w:rPr>
        <w:t>.打造泛在可及的</w:t>
      </w:r>
      <w:r>
        <w:rPr>
          <w:rFonts w:hint="eastAsia" w:ascii="仿宋_GB2312" w:hAnsi="仿宋_GB2312" w:eastAsia="仿宋_GB2312" w:cs="仿宋_GB2312"/>
          <w:b/>
          <w:sz w:val="32"/>
          <w:szCs w:val="32"/>
          <w:highlight w:val="none"/>
          <w:lang w:val="en-US" w:eastAsia="zh-CN"/>
        </w:rPr>
        <w:t>女性</w:t>
      </w:r>
      <w:r>
        <w:rPr>
          <w:rFonts w:hint="eastAsia" w:ascii="仿宋_GB2312" w:hAnsi="仿宋_GB2312" w:eastAsia="仿宋_GB2312" w:cs="仿宋_GB2312"/>
          <w:b/>
          <w:sz w:val="32"/>
          <w:szCs w:val="32"/>
          <w:highlight w:val="none"/>
        </w:rPr>
        <w:t>终身教育体系。</w:t>
      </w:r>
      <w:r>
        <w:rPr>
          <w:rFonts w:hint="eastAsia" w:ascii="仿宋_GB2312" w:hAnsi="仿宋_GB2312" w:eastAsia="仿宋_GB2312" w:cs="仿宋_GB2312"/>
          <w:sz w:val="32"/>
          <w:szCs w:val="32"/>
          <w:highlight w:val="none"/>
        </w:rPr>
        <w:t>依托未来科学城和高校集聚优势，</w:t>
      </w:r>
      <w:r>
        <w:rPr>
          <w:rFonts w:hint="eastAsia" w:ascii="仿宋_GB2312" w:hAnsi="仿宋_GB2312" w:eastAsia="仿宋_GB2312" w:cs="仿宋_GB2312"/>
          <w:sz w:val="32"/>
          <w:szCs w:val="32"/>
          <w:highlight w:val="none"/>
          <w:lang w:val="en-US" w:eastAsia="zh-CN"/>
        </w:rPr>
        <w:t>增加</w:t>
      </w:r>
      <w:r>
        <w:rPr>
          <w:rFonts w:hint="eastAsia" w:ascii="仿宋_GB2312" w:hAnsi="仿宋_GB2312" w:eastAsia="仿宋_GB2312" w:cs="仿宋_GB2312"/>
          <w:sz w:val="32"/>
          <w:szCs w:val="32"/>
          <w:highlight w:val="none"/>
        </w:rPr>
        <w:t>多样化终身教育资源供给</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为女</w:t>
      </w:r>
      <w:r>
        <w:rPr>
          <w:rFonts w:hint="eastAsia" w:ascii="仿宋_GB2312" w:hAnsi="仿宋_GB2312" w:eastAsia="仿宋_GB2312" w:cs="仿宋_GB2312"/>
          <w:sz w:val="32"/>
          <w:szCs w:val="32"/>
          <w:highlight w:val="none"/>
          <w:lang w:val="en-US" w:eastAsia="zh-CN"/>
        </w:rPr>
        <w:t>性</w:t>
      </w:r>
      <w:r>
        <w:rPr>
          <w:rFonts w:hint="eastAsia" w:ascii="仿宋_GB2312" w:hAnsi="仿宋_GB2312" w:eastAsia="仿宋_GB2312" w:cs="仿宋_GB2312"/>
          <w:sz w:val="32"/>
          <w:szCs w:val="32"/>
          <w:highlight w:val="none"/>
        </w:rPr>
        <w:t>提供</w:t>
      </w:r>
      <w:r>
        <w:rPr>
          <w:rFonts w:hint="eastAsia" w:ascii="仿宋_GB2312" w:hAnsi="仿宋_GB2312" w:eastAsia="仿宋_GB2312" w:cs="仿宋_GB2312"/>
          <w:sz w:val="32"/>
          <w:szCs w:val="32"/>
          <w:highlight w:val="none"/>
          <w:lang w:val="en-US" w:eastAsia="zh-CN"/>
        </w:rPr>
        <w:t>更多</w:t>
      </w:r>
      <w:r>
        <w:rPr>
          <w:rFonts w:hint="eastAsia" w:ascii="仿宋_GB2312" w:hAnsi="仿宋_GB2312" w:eastAsia="仿宋_GB2312" w:cs="仿宋_GB2312"/>
          <w:sz w:val="32"/>
          <w:szCs w:val="32"/>
          <w:highlight w:val="none"/>
        </w:rPr>
        <w:t>继续教育机会。加强人工智能教育实践基地与社区学习中心建设，拓展老年教育场景</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支持社会力量</w:t>
      </w:r>
      <w:r>
        <w:rPr>
          <w:rFonts w:hint="eastAsia" w:ascii="仿宋_GB2312" w:hAnsi="仿宋_GB2312" w:eastAsia="仿宋_GB2312" w:cs="仿宋_GB2312"/>
          <w:sz w:val="32"/>
          <w:szCs w:val="32"/>
          <w:highlight w:val="none"/>
          <w:lang w:val="en-US" w:eastAsia="zh-CN"/>
        </w:rPr>
        <w:t>开展</w:t>
      </w:r>
      <w:r>
        <w:rPr>
          <w:rFonts w:hint="eastAsia" w:ascii="仿宋_GB2312" w:hAnsi="仿宋_GB2312" w:eastAsia="仿宋_GB2312" w:cs="仿宋_GB2312"/>
          <w:sz w:val="32"/>
          <w:szCs w:val="32"/>
          <w:highlight w:val="none"/>
        </w:rPr>
        <w:t>老年教育服务。</w:t>
      </w:r>
    </w:p>
    <w:p w14:paraId="7C33D932">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（三）全面提升妇女参与经济发展</w:t>
      </w:r>
      <w:r>
        <w:rPr>
          <w:rFonts w:hint="eastAsia" w:ascii="方正楷体_GB2312" w:hAnsi="方正楷体_GB2312" w:eastAsia="方正楷体_GB2312" w:cs="方正楷体_GB2312"/>
          <w:b/>
          <w:sz w:val="32"/>
          <w:szCs w:val="32"/>
          <w:highlight w:val="none"/>
          <w:lang w:val="en-US" w:eastAsia="zh-CN"/>
        </w:rPr>
        <w:t>的</w:t>
      </w:r>
      <w:r>
        <w:rPr>
          <w:rFonts w:hint="eastAsia" w:ascii="方正楷体_GB2312" w:hAnsi="方正楷体_GB2312" w:eastAsia="方正楷体_GB2312" w:cs="方正楷体_GB2312"/>
          <w:b/>
          <w:sz w:val="32"/>
          <w:szCs w:val="32"/>
          <w:highlight w:val="none"/>
        </w:rPr>
        <w:t>水平</w:t>
      </w:r>
    </w:p>
    <w:p w14:paraId="2ABB7D8A">
      <w:pPr>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lang w:bidi="ar"/>
        </w:rPr>
      </w:pPr>
      <w:r>
        <w:rPr>
          <w:rFonts w:hint="eastAsia" w:ascii="仿宋_GB2312" w:hAnsi="仿宋_GB2312" w:eastAsia="仿宋_GB2312" w:cs="仿宋_GB2312"/>
          <w:b/>
          <w:bCs/>
          <w:color w:val="000000"/>
          <w:kern w:val="0"/>
          <w:sz w:val="32"/>
          <w:szCs w:val="32"/>
          <w:highlight w:val="none"/>
          <w:lang w:bidi="ar"/>
        </w:rPr>
        <w:t>1.促进妇女高质量充分就业。</w:t>
      </w:r>
      <w:r>
        <w:rPr>
          <w:rFonts w:hint="eastAsia" w:ascii="仿宋_GB2312" w:hAnsi="仿宋_GB2312" w:eastAsia="仿宋_GB2312" w:cs="仿宋_GB2312"/>
          <w:sz w:val="32"/>
          <w:szCs w:val="32"/>
          <w:highlight w:val="none"/>
        </w:rPr>
        <w:t>实施就业岗位开发计划，</w:t>
      </w:r>
      <w:r>
        <w:rPr>
          <w:rFonts w:hint="eastAsia" w:ascii="仿宋_GB2312" w:hAnsi="仿宋_GB2312" w:eastAsia="仿宋_GB2312" w:cs="仿宋_GB2312"/>
          <w:bCs/>
          <w:sz w:val="32"/>
          <w:szCs w:val="32"/>
          <w:highlight w:val="none"/>
        </w:rPr>
        <w:t>围绕支柱产业培育就业新增量，</w:t>
      </w:r>
      <w:r>
        <w:rPr>
          <w:rFonts w:hint="eastAsia" w:ascii="仿宋_GB2312" w:hAnsi="仿宋_GB2312" w:eastAsia="仿宋_GB2312" w:cs="仿宋_GB2312"/>
          <w:kern w:val="0"/>
          <w:sz w:val="32"/>
          <w:szCs w:val="32"/>
          <w:highlight w:val="none"/>
          <w:lang w:bidi="ar"/>
        </w:rPr>
        <w:t>开发数字技术、育幼养老、健康服务等实用性、兜底性就业岗位，拓展妇女就业空间。增强创业带动就业效应。实施巾帼就业创业促进行动，加</w:t>
      </w:r>
      <w:r>
        <w:rPr>
          <w:rFonts w:hint="eastAsia" w:ascii="仿宋_GB2312" w:hAnsi="仿宋_GB2312" w:eastAsia="仿宋_GB2312" w:cs="仿宋_GB2312"/>
          <w:kern w:val="0"/>
          <w:sz w:val="32"/>
          <w:szCs w:val="32"/>
          <w:highlight w:val="none"/>
          <w:lang w:val="en-US" w:eastAsia="zh-CN" w:bidi="ar"/>
        </w:rPr>
        <w:t>强</w:t>
      </w:r>
      <w:r>
        <w:rPr>
          <w:rFonts w:hint="eastAsia" w:ascii="仿宋_GB2312" w:hAnsi="仿宋_GB2312" w:eastAsia="仿宋_GB2312" w:cs="仿宋_GB2312"/>
          <w:kern w:val="0"/>
          <w:sz w:val="32"/>
          <w:szCs w:val="32"/>
          <w:highlight w:val="none"/>
          <w:lang w:bidi="ar"/>
        </w:rPr>
        <w:t>女大学生就业创业指导服务。提</w:t>
      </w:r>
      <w:r>
        <w:rPr>
          <w:rFonts w:hint="eastAsia" w:ascii="仿宋_GB2312" w:hAnsi="仿宋_GB2312" w:eastAsia="仿宋_GB2312" w:cs="仿宋_GB2312"/>
          <w:kern w:val="0"/>
          <w:sz w:val="32"/>
          <w:szCs w:val="32"/>
          <w:highlight w:val="none"/>
          <w:lang w:val="en-US" w:eastAsia="zh-CN" w:bidi="ar"/>
        </w:rPr>
        <w:t>升</w:t>
      </w:r>
      <w:r>
        <w:rPr>
          <w:rFonts w:hint="eastAsia" w:ascii="仿宋_GB2312" w:hAnsi="仿宋_GB2312" w:eastAsia="仿宋_GB2312" w:cs="仿宋_GB2312"/>
          <w:kern w:val="0"/>
          <w:sz w:val="32"/>
          <w:szCs w:val="32"/>
          <w:highlight w:val="none"/>
          <w:lang w:bidi="ar"/>
        </w:rPr>
        <w:t>就业公共服务</w:t>
      </w:r>
      <w:r>
        <w:rPr>
          <w:rFonts w:hint="eastAsia" w:ascii="仿宋_GB2312" w:hAnsi="仿宋_GB2312" w:eastAsia="仿宋_GB2312" w:cs="仿宋_GB2312"/>
          <w:kern w:val="0"/>
          <w:sz w:val="32"/>
          <w:szCs w:val="32"/>
          <w:highlight w:val="none"/>
          <w:lang w:val="en-US" w:eastAsia="zh-CN" w:bidi="ar"/>
        </w:rPr>
        <w:t>和</w:t>
      </w:r>
      <w:r>
        <w:rPr>
          <w:rFonts w:hint="eastAsia" w:ascii="仿宋_GB2312" w:hAnsi="仿宋_GB2312" w:eastAsia="仿宋_GB2312" w:cs="仿宋_GB2312"/>
          <w:kern w:val="0"/>
          <w:sz w:val="32"/>
          <w:szCs w:val="32"/>
          <w:highlight w:val="none"/>
          <w:lang w:bidi="ar"/>
        </w:rPr>
        <w:t>精准服务水平，帮助</w:t>
      </w:r>
      <w:r>
        <w:rPr>
          <w:rFonts w:hint="eastAsia" w:ascii="仿宋_GB2312" w:hAnsi="仿宋_GB2312" w:eastAsia="仿宋_GB2312" w:cs="仿宋_GB2312"/>
          <w:color w:val="000000"/>
          <w:kern w:val="0"/>
          <w:sz w:val="32"/>
          <w:szCs w:val="32"/>
          <w:highlight w:val="none"/>
          <w:lang w:bidi="ar"/>
        </w:rPr>
        <w:t>就业困难妇女就业。</w:t>
      </w:r>
    </w:p>
    <w:p w14:paraId="1FEDD017">
      <w:pPr>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lang w:bidi="ar"/>
        </w:rPr>
      </w:pPr>
      <w:r>
        <w:rPr>
          <w:rFonts w:hint="eastAsia" w:ascii="仿宋_GB2312" w:hAnsi="仿宋_GB2312" w:eastAsia="仿宋_GB2312" w:cs="仿宋_GB2312"/>
          <w:b/>
          <w:bCs/>
          <w:color w:val="000000"/>
          <w:kern w:val="0"/>
          <w:sz w:val="32"/>
          <w:szCs w:val="32"/>
          <w:highlight w:val="none"/>
          <w:lang w:bidi="ar"/>
        </w:rPr>
        <w:t>2.全面提升妇女职业素质。</w:t>
      </w:r>
      <w:r>
        <w:rPr>
          <w:rFonts w:hint="eastAsia" w:ascii="仿宋_GB2312" w:hAnsi="仿宋_GB2312" w:eastAsia="仿宋_GB2312" w:cs="仿宋_GB2312"/>
          <w:color w:val="000000"/>
          <w:kern w:val="0"/>
          <w:sz w:val="32"/>
          <w:szCs w:val="32"/>
          <w:highlight w:val="none"/>
          <w:lang w:bidi="ar"/>
        </w:rPr>
        <w:t>建立贯穿终身的职业技能培训制度，</w:t>
      </w:r>
      <w:r>
        <w:rPr>
          <w:rFonts w:hint="eastAsia" w:ascii="仿宋_GB2312" w:hAnsi="仿宋_GB2312" w:eastAsia="仿宋_GB2312" w:cs="仿宋_GB2312"/>
          <w:sz w:val="32"/>
          <w:szCs w:val="32"/>
          <w:highlight w:val="none"/>
        </w:rPr>
        <w:t>支持女职工参与生产竞赛、技术攻关、技能比武</w:t>
      </w:r>
      <w:r>
        <w:rPr>
          <w:rFonts w:hint="eastAsia" w:ascii="仿宋_GB2312" w:hAnsi="仿宋_GB2312" w:eastAsia="仿宋_GB2312" w:cs="仿宋_GB2312"/>
          <w:kern w:val="0"/>
          <w:sz w:val="32"/>
          <w:szCs w:val="32"/>
          <w:highlight w:val="none"/>
          <w:lang w:bidi="ar"/>
        </w:rPr>
        <w:t>。加强人工智能通识及应用培训</w:t>
      </w:r>
      <w:r>
        <w:rPr>
          <w:rFonts w:hint="eastAsia" w:ascii="仿宋_GB2312" w:hAnsi="仿宋_GB2312" w:eastAsia="仿宋_GB2312" w:cs="仿宋_GB2312"/>
          <w:kern w:val="0"/>
          <w:sz w:val="32"/>
          <w:szCs w:val="32"/>
          <w:highlight w:val="none"/>
          <w:lang w:eastAsia="zh-CN" w:bidi="ar"/>
        </w:rPr>
        <w:t>，</w:t>
      </w:r>
      <w:r>
        <w:rPr>
          <w:rFonts w:hint="eastAsia" w:ascii="仿宋_GB2312" w:hAnsi="仿宋_GB2312" w:eastAsia="仿宋_GB2312" w:cs="仿宋_GB2312"/>
          <w:kern w:val="0"/>
          <w:sz w:val="32"/>
          <w:szCs w:val="32"/>
          <w:highlight w:val="none"/>
          <w:lang w:bidi="ar"/>
        </w:rPr>
        <w:t>提升女性职业竞争力。</w:t>
      </w:r>
      <w:r>
        <w:rPr>
          <w:rFonts w:hint="eastAsia" w:ascii="仿宋_GB2312" w:hAnsi="仿宋_GB2312" w:eastAsia="仿宋_GB2312" w:cs="仿宋_GB2312"/>
          <w:color w:val="000000"/>
          <w:kern w:val="0"/>
          <w:sz w:val="32"/>
          <w:szCs w:val="32"/>
          <w:highlight w:val="none"/>
          <w:lang w:bidi="ar"/>
        </w:rPr>
        <w:t>培养女性科技创新领军人才，</w:t>
      </w:r>
      <w:r>
        <w:rPr>
          <w:rFonts w:hint="eastAsia" w:ascii="仿宋_GB2312" w:hAnsi="仿宋_GB2312" w:eastAsia="仿宋_GB2312" w:cs="仿宋_GB2312"/>
          <w:kern w:val="0"/>
          <w:sz w:val="32"/>
          <w:szCs w:val="32"/>
          <w:highlight w:val="none"/>
          <w:lang w:bidi="ar"/>
        </w:rPr>
        <w:t>培育壮大高素质女性技能人才队伍。支持妇女参与乡村全面振兴，培养具备新理念、新技术的巾帼新农人，</w:t>
      </w:r>
      <w:r>
        <w:rPr>
          <w:rFonts w:hint="eastAsia" w:ascii="仿宋_GB2312" w:hAnsi="仿宋_GB2312" w:eastAsia="仿宋_GB2312" w:cs="仿宋_GB2312"/>
          <w:bCs/>
          <w:sz w:val="32"/>
          <w:szCs w:val="32"/>
          <w:highlight w:val="none"/>
          <w:lang w:val="en-US" w:eastAsia="zh-CN"/>
        </w:rPr>
        <w:t>提升</w:t>
      </w:r>
      <w:r>
        <w:rPr>
          <w:rFonts w:hint="eastAsia" w:ascii="仿宋_GB2312" w:hAnsi="仿宋_GB2312" w:eastAsia="仿宋_GB2312" w:cs="仿宋_GB2312"/>
          <w:bCs/>
          <w:sz w:val="32"/>
          <w:szCs w:val="32"/>
          <w:highlight w:val="none"/>
        </w:rPr>
        <w:t>农村妇女</w:t>
      </w:r>
      <w:r>
        <w:rPr>
          <w:rFonts w:hint="eastAsia" w:ascii="仿宋_GB2312" w:hAnsi="仿宋_GB2312" w:eastAsia="仿宋_GB2312" w:cs="仿宋_GB2312"/>
          <w:bCs/>
          <w:sz w:val="32"/>
          <w:szCs w:val="32"/>
          <w:highlight w:val="none"/>
          <w:lang w:val="en-US" w:eastAsia="zh-CN"/>
        </w:rPr>
        <w:t>的</w:t>
      </w:r>
      <w:r>
        <w:rPr>
          <w:rFonts w:hint="eastAsia" w:ascii="仿宋_GB2312" w:hAnsi="仿宋_GB2312" w:eastAsia="仿宋_GB2312" w:cs="仿宋_GB2312"/>
          <w:bCs/>
          <w:sz w:val="32"/>
          <w:szCs w:val="32"/>
          <w:highlight w:val="none"/>
        </w:rPr>
        <w:t>经济能力。</w:t>
      </w:r>
    </w:p>
    <w:p w14:paraId="778E0CFA">
      <w:pPr>
        <w:pStyle w:val="19"/>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kern w:val="0"/>
          <w:sz w:val="32"/>
          <w:szCs w:val="32"/>
          <w:highlight w:val="none"/>
          <w:lang w:bidi="ar"/>
        </w:rPr>
        <w:t>3.充分保障妇女劳动权益。</w:t>
      </w:r>
      <w:r>
        <w:rPr>
          <w:rFonts w:hint="eastAsia" w:ascii="仿宋_GB2312" w:hAnsi="仿宋_GB2312" w:eastAsia="仿宋_GB2312" w:cs="仿宋_GB2312"/>
          <w:sz w:val="32"/>
          <w:szCs w:val="32"/>
          <w:highlight w:val="none"/>
          <w:lang w:bidi="ar"/>
        </w:rPr>
        <w:t>完善性别平等的就业机制和市场环境，</w:t>
      </w:r>
      <w:r>
        <w:rPr>
          <w:rFonts w:hint="eastAsia" w:ascii="仿宋_GB2312" w:hAnsi="仿宋_GB2312" w:eastAsia="仿宋_GB2312" w:cs="仿宋_GB2312"/>
          <w:kern w:val="0"/>
          <w:sz w:val="32"/>
          <w:szCs w:val="32"/>
          <w:highlight w:val="none"/>
          <w:lang w:bidi="ar"/>
        </w:rPr>
        <w:t>消除就业性别歧视，</w:t>
      </w:r>
      <w:r>
        <w:rPr>
          <w:rFonts w:hint="eastAsia" w:ascii="仿宋_GB2312" w:hAnsi="仿宋_GB2312" w:eastAsia="仿宋_GB2312" w:cs="仿宋_GB2312"/>
          <w:sz w:val="32"/>
          <w:szCs w:val="32"/>
          <w:highlight w:val="none"/>
          <w:lang w:bidi="ar"/>
        </w:rPr>
        <w:t>全面落实男女同工同酬。</w:t>
      </w:r>
      <w:r>
        <w:rPr>
          <w:rFonts w:hint="eastAsia" w:ascii="仿宋_GB2312" w:hAnsi="仿宋_GB2312" w:eastAsia="仿宋_GB2312" w:cs="仿宋_GB2312"/>
          <w:kern w:val="0"/>
          <w:sz w:val="32"/>
          <w:szCs w:val="32"/>
          <w:highlight w:val="none"/>
          <w:lang w:bidi="ar"/>
        </w:rPr>
        <w:t>推动签订女职工权益保护专项集体合同，引导平台企业与新就业形态女性劳动者开展集体协商。</w:t>
      </w:r>
      <w:r>
        <w:rPr>
          <w:rFonts w:hint="eastAsia" w:ascii="仿宋_GB2312" w:hAnsi="仿宋_GB2312" w:eastAsia="仿宋_GB2312" w:cs="仿宋_GB2312"/>
          <w:color w:val="000000"/>
          <w:kern w:val="0"/>
          <w:sz w:val="32"/>
          <w:szCs w:val="32"/>
          <w:highlight w:val="none"/>
          <w:lang w:bidi="ar"/>
        </w:rPr>
        <w:t>保障女性从业人员劳动安全与健康，</w:t>
      </w:r>
      <w:r>
        <w:rPr>
          <w:rFonts w:hint="eastAsia" w:ascii="仿宋_GB2312" w:hAnsi="仿宋_GB2312" w:eastAsia="仿宋_GB2312" w:cs="仿宋_GB2312"/>
          <w:kern w:val="0"/>
          <w:sz w:val="32"/>
          <w:szCs w:val="32"/>
          <w:highlight w:val="none"/>
          <w:lang w:bidi="ar"/>
        </w:rPr>
        <w:t>强</w:t>
      </w:r>
      <w:r>
        <w:rPr>
          <w:rFonts w:hint="eastAsia" w:ascii="仿宋_GB2312" w:hAnsi="仿宋_GB2312" w:eastAsia="仿宋_GB2312" w:cs="仿宋_GB2312"/>
          <w:kern w:val="0"/>
          <w:sz w:val="32"/>
          <w:szCs w:val="32"/>
          <w:highlight w:val="none"/>
          <w:lang w:val="en-US" w:eastAsia="zh-CN" w:bidi="ar"/>
        </w:rPr>
        <w:t>化</w:t>
      </w:r>
      <w:r>
        <w:rPr>
          <w:rFonts w:hint="eastAsia" w:ascii="仿宋_GB2312" w:hAnsi="仿宋_GB2312" w:eastAsia="仿宋_GB2312" w:cs="仿宋_GB2312"/>
          <w:kern w:val="0"/>
          <w:sz w:val="32"/>
          <w:szCs w:val="32"/>
          <w:highlight w:val="none"/>
          <w:lang w:bidi="ar"/>
        </w:rPr>
        <w:t>女职工经期、孕期、产期、哺乳期</w:t>
      </w:r>
      <w:r>
        <w:rPr>
          <w:rFonts w:hint="eastAsia" w:ascii="仿宋_GB2312" w:hAnsi="仿宋_GB2312" w:eastAsia="仿宋_GB2312" w:cs="仿宋_GB2312"/>
          <w:kern w:val="0"/>
          <w:sz w:val="32"/>
          <w:szCs w:val="32"/>
          <w:highlight w:val="none"/>
          <w:lang w:val="en-US" w:eastAsia="zh-CN" w:bidi="ar"/>
        </w:rPr>
        <w:t>特</w:t>
      </w:r>
      <w:r>
        <w:rPr>
          <w:rFonts w:hint="eastAsia" w:ascii="仿宋_GB2312" w:hAnsi="仿宋_GB2312" w:eastAsia="仿宋_GB2312" w:cs="仿宋_GB2312"/>
          <w:kern w:val="0"/>
          <w:sz w:val="32"/>
          <w:szCs w:val="32"/>
          <w:highlight w:val="none"/>
          <w:lang w:bidi="ar"/>
        </w:rPr>
        <w:t>殊保护。</w:t>
      </w:r>
    </w:p>
    <w:p w14:paraId="5E069A43">
      <w:pPr>
        <w:keepNext w:val="0"/>
        <w:keepLines w:val="0"/>
        <w:pageBreakBefore w:val="0"/>
        <w:widowControl w:val="0"/>
        <w:shd w:val="clear"/>
        <w:tabs>
          <w:tab w:val="left" w:pos="5250"/>
        </w:tabs>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b/>
          <w:bCs/>
          <w:kern w:val="0"/>
          <w:sz w:val="32"/>
          <w:szCs w:val="32"/>
          <w:highlight w:val="none"/>
          <w:lang w:bidi="ar"/>
        </w:rPr>
        <w:t>4.</w:t>
      </w:r>
      <w:r>
        <w:rPr>
          <w:rFonts w:hint="eastAsia" w:ascii="仿宋_GB2312" w:hAnsi="仿宋_GB2312" w:eastAsia="仿宋_GB2312" w:cs="仿宋_GB2312"/>
          <w:b/>
          <w:bCs/>
          <w:sz w:val="32"/>
          <w:szCs w:val="32"/>
          <w:highlight w:val="none"/>
        </w:rPr>
        <w:t>推进生育友好、家庭友好的职场环境建设。</w:t>
      </w:r>
      <w:r>
        <w:rPr>
          <w:rFonts w:hint="eastAsia" w:ascii="仿宋_GB2312" w:hAnsi="仿宋_GB2312" w:eastAsia="仿宋_GB2312" w:cs="仿宋_GB2312"/>
          <w:color w:val="000000"/>
          <w:kern w:val="0"/>
          <w:sz w:val="32"/>
          <w:szCs w:val="32"/>
          <w:highlight w:val="none"/>
          <w:lang w:bidi="ar"/>
        </w:rPr>
        <w:t>保障生育妇女劳动权益，严格落实生育休假制度，为女性生育后回归岗位或再就业提供保障。推动生育友好型企事业单位建设，探索推广弹性上下班、居家办公等工作模式，</w:t>
      </w:r>
      <w:r>
        <w:rPr>
          <w:rFonts w:hint="eastAsia" w:ascii="仿宋_GB2312" w:hAnsi="仿宋_GB2312" w:eastAsia="仿宋_GB2312" w:cs="仿宋_GB2312"/>
          <w:color w:val="000000"/>
          <w:kern w:val="0"/>
          <w:sz w:val="32"/>
          <w:szCs w:val="32"/>
          <w:highlight w:val="none"/>
          <w:lang w:val="en-US" w:eastAsia="zh-CN" w:bidi="ar"/>
        </w:rPr>
        <w:t>完善</w:t>
      </w:r>
      <w:r>
        <w:rPr>
          <w:rFonts w:hint="eastAsia" w:ascii="仿宋_GB2312" w:hAnsi="仿宋_GB2312" w:eastAsia="仿宋_GB2312" w:cs="仿宋_GB2312"/>
          <w:color w:val="000000"/>
          <w:kern w:val="0"/>
          <w:sz w:val="32"/>
          <w:szCs w:val="32"/>
          <w:highlight w:val="none"/>
          <w:lang w:bidi="ar"/>
        </w:rPr>
        <w:t>母婴服务设施，</w:t>
      </w:r>
      <w:r>
        <w:rPr>
          <w:rFonts w:hint="eastAsia" w:ascii="仿宋_GB2312" w:hAnsi="仿宋_GB2312" w:eastAsia="仿宋_GB2312" w:cs="仿宋_GB2312"/>
          <w:color w:val="000000"/>
          <w:kern w:val="0"/>
          <w:sz w:val="32"/>
          <w:szCs w:val="32"/>
          <w:highlight w:val="none"/>
          <w:lang w:val="en-US" w:eastAsia="zh-CN" w:bidi="ar"/>
        </w:rPr>
        <w:t>提供</w:t>
      </w:r>
      <w:r>
        <w:rPr>
          <w:rFonts w:hint="eastAsia" w:ascii="仿宋_GB2312" w:hAnsi="仿宋_GB2312" w:eastAsia="仿宋_GB2312" w:cs="仿宋_GB2312"/>
          <w:color w:val="000000"/>
          <w:kern w:val="0"/>
          <w:sz w:val="32"/>
          <w:szCs w:val="32"/>
          <w:highlight w:val="none"/>
          <w:lang w:bidi="ar"/>
        </w:rPr>
        <w:t>托幼、寒暑假儿童照料等支持服务。</w:t>
      </w:r>
    </w:p>
    <w:p w14:paraId="070DAA61">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（四）</w:t>
      </w:r>
      <w:r>
        <w:rPr>
          <w:rFonts w:hint="eastAsia" w:ascii="方正楷体_GB2312" w:hAnsi="方正楷体_GB2312" w:eastAsia="方正楷体_GB2312" w:cs="方正楷体_GB2312"/>
          <w:b/>
          <w:sz w:val="32"/>
          <w:szCs w:val="32"/>
          <w:highlight w:val="none"/>
          <w:lang w:val="en-US" w:eastAsia="zh-CN"/>
        </w:rPr>
        <w:t>提高</w:t>
      </w:r>
      <w:r>
        <w:rPr>
          <w:rFonts w:hint="eastAsia" w:ascii="方正楷体_GB2312" w:hAnsi="方正楷体_GB2312" w:eastAsia="方正楷体_GB2312" w:cs="方正楷体_GB2312"/>
          <w:b/>
          <w:sz w:val="32"/>
          <w:szCs w:val="32"/>
          <w:highlight w:val="none"/>
        </w:rPr>
        <w:t>妇女</w:t>
      </w:r>
      <w:r>
        <w:rPr>
          <w:rFonts w:hint="eastAsia" w:ascii="方正楷体_GB2312" w:hAnsi="方正楷体_GB2312" w:eastAsia="方正楷体_GB2312" w:cs="方正楷体_GB2312"/>
          <w:b/>
          <w:sz w:val="32"/>
          <w:szCs w:val="32"/>
          <w:highlight w:val="none"/>
          <w:lang w:val="en-US" w:eastAsia="zh-CN"/>
        </w:rPr>
        <w:t>参与决策管理的程度</w:t>
      </w:r>
    </w:p>
    <w:p w14:paraId="4A694276">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rPr>
        <w:t>1.</w:t>
      </w:r>
      <w:r>
        <w:rPr>
          <w:rFonts w:hint="eastAsia" w:ascii="仿宋_GB2312" w:hAnsi="仿宋_GB2312" w:eastAsia="仿宋_GB2312" w:cs="仿宋_GB2312"/>
          <w:b/>
          <w:sz w:val="32"/>
          <w:szCs w:val="32"/>
          <w:highlight w:val="none"/>
          <w:lang w:val="en-US" w:eastAsia="zh-CN"/>
        </w:rPr>
        <w:t>提升</w:t>
      </w:r>
      <w:r>
        <w:rPr>
          <w:rFonts w:hint="eastAsia" w:ascii="仿宋_GB2312" w:hAnsi="仿宋_GB2312" w:eastAsia="仿宋_GB2312" w:cs="仿宋_GB2312"/>
          <w:b/>
          <w:sz w:val="32"/>
          <w:szCs w:val="32"/>
          <w:highlight w:val="none"/>
        </w:rPr>
        <w:t>妇女参与决策管理</w:t>
      </w:r>
      <w:r>
        <w:rPr>
          <w:rFonts w:hint="eastAsia" w:ascii="仿宋_GB2312" w:hAnsi="仿宋_GB2312" w:eastAsia="仿宋_GB2312" w:cs="仿宋_GB2312"/>
          <w:b/>
          <w:sz w:val="32"/>
          <w:szCs w:val="32"/>
          <w:highlight w:val="none"/>
          <w:lang w:val="en-US" w:eastAsia="zh-CN"/>
        </w:rPr>
        <w:t>的水平</w:t>
      </w:r>
      <w:r>
        <w:rPr>
          <w:rFonts w:hint="eastAsia" w:ascii="仿宋_GB2312" w:hAnsi="仿宋_GB2312" w:eastAsia="仿宋_GB2312" w:cs="仿宋_GB2312"/>
          <w:b/>
          <w:sz w:val="32"/>
          <w:szCs w:val="32"/>
          <w:highlight w:val="none"/>
        </w:rPr>
        <w:t>。</w:t>
      </w:r>
      <w:r>
        <w:rPr>
          <w:rFonts w:hint="eastAsia" w:ascii="仿宋_GB2312" w:hAnsi="仿宋_GB2312" w:eastAsia="仿宋_GB2312" w:cs="仿宋_GB2312"/>
          <w:sz w:val="32"/>
          <w:szCs w:val="32"/>
          <w:highlight w:val="none"/>
        </w:rPr>
        <w:t>拓宽妇女参政议政渠道，保证妇女依法实行民主选举、民主协商、民主决策、民主管理、民主监督。提高各级领导干部贯彻落实男女平等基本国策的意识。</w:t>
      </w:r>
      <w:r>
        <w:rPr>
          <w:rFonts w:hint="eastAsia" w:ascii="仿宋_GB2312" w:hAnsi="仿宋_GB2312" w:eastAsia="仿宋_GB2312" w:cs="仿宋_GB2312"/>
          <w:color w:val="000000"/>
          <w:kern w:val="0"/>
          <w:sz w:val="32"/>
          <w:szCs w:val="32"/>
          <w:highlight w:val="none"/>
          <w:lang w:val="en-US" w:eastAsia="zh-CN" w:bidi="ar"/>
        </w:rPr>
        <w:t>保障</w:t>
      </w:r>
      <w:r>
        <w:rPr>
          <w:rFonts w:hint="eastAsia" w:ascii="仿宋_GB2312" w:hAnsi="仿宋_GB2312" w:eastAsia="仿宋_GB2312" w:cs="仿宋_GB2312"/>
          <w:color w:val="000000"/>
          <w:kern w:val="0"/>
          <w:sz w:val="32"/>
          <w:szCs w:val="32"/>
          <w:highlight w:val="none"/>
          <w:lang w:bidi="ar"/>
        </w:rPr>
        <w:t>党代会女代表、人大女代表、政协女委员比例。</w:t>
      </w:r>
      <w:r>
        <w:rPr>
          <w:rFonts w:hint="eastAsia" w:ascii="仿宋_GB2312" w:hAnsi="仿宋_GB2312" w:eastAsia="仿宋_GB2312" w:cs="仿宋_GB2312"/>
          <w:color w:val="000000"/>
          <w:kern w:val="0"/>
          <w:sz w:val="32"/>
          <w:szCs w:val="32"/>
          <w:highlight w:val="none"/>
          <w:lang w:val="en-US" w:eastAsia="zh-CN" w:bidi="ar"/>
        </w:rPr>
        <w:t>持续</w:t>
      </w:r>
      <w:r>
        <w:rPr>
          <w:rFonts w:hint="eastAsia" w:ascii="仿宋_GB2312" w:hAnsi="仿宋_GB2312" w:eastAsia="仿宋_GB2312" w:cs="仿宋_GB2312"/>
          <w:color w:val="000000"/>
          <w:kern w:val="0"/>
          <w:sz w:val="32"/>
          <w:szCs w:val="32"/>
          <w:highlight w:val="none"/>
          <w:lang w:bidi="ar"/>
        </w:rPr>
        <w:t>开展“女性领导力提升”培训。</w:t>
      </w:r>
    </w:p>
    <w:p w14:paraId="23A94676">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2</w:t>
      </w:r>
      <w:r>
        <w:rPr>
          <w:rFonts w:hint="eastAsia" w:ascii="仿宋_GB2312" w:hAnsi="仿宋_GB2312" w:eastAsia="仿宋_GB2312" w:cs="仿宋_GB2312"/>
          <w:b/>
          <w:sz w:val="32"/>
          <w:szCs w:val="32"/>
          <w:highlight w:val="none"/>
        </w:rPr>
        <w:t>.加大女干部选拔任用工作力度。</w:t>
      </w:r>
      <w:r>
        <w:rPr>
          <w:rFonts w:hint="eastAsia" w:ascii="仿宋_GB2312" w:hAnsi="仿宋_GB2312" w:eastAsia="仿宋_GB2312" w:cs="仿宋_GB2312"/>
          <w:sz w:val="32"/>
          <w:szCs w:val="32"/>
          <w:highlight w:val="none"/>
        </w:rPr>
        <w:t>把女干部工作纳入中心任务研究推进，完善培养选拔女干部的制度机制</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健全培养锻炼机制，畅通女干部晋升通道。加大优秀年轻女干部</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基层一线</w:t>
      </w:r>
      <w:r>
        <w:rPr>
          <w:rFonts w:hint="eastAsia" w:ascii="仿宋_GB2312" w:hAnsi="仿宋_GB2312" w:eastAsia="仿宋_GB2312" w:cs="仿宋_GB2312"/>
          <w:sz w:val="32"/>
          <w:szCs w:val="32"/>
          <w:highlight w:val="none"/>
          <w:lang w:val="en-US" w:eastAsia="zh-CN"/>
        </w:rPr>
        <w:t>女干部</w:t>
      </w:r>
      <w:r>
        <w:rPr>
          <w:rFonts w:hint="eastAsia" w:ascii="仿宋_GB2312" w:hAnsi="仿宋_GB2312" w:eastAsia="仿宋_GB2312" w:cs="仿宋_GB2312"/>
          <w:sz w:val="32"/>
          <w:szCs w:val="32"/>
          <w:highlight w:val="none"/>
        </w:rPr>
        <w:t>的培养选拔力度。</w:t>
      </w:r>
    </w:p>
    <w:p w14:paraId="077991EA">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3</w:t>
      </w:r>
      <w:r>
        <w:rPr>
          <w:rFonts w:hint="eastAsia" w:ascii="仿宋_GB2312" w:hAnsi="仿宋_GB2312" w:eastAsia="仿宋_GB2312" w:cs="仿宋_GB2312"/>
          <w:b/>
          <w:sz w:val="32"/>
          <w:szCs w:val="32"/>
          <w:highlight w:val="none"/>
        </w:rPr>
        <w:t>.</w:t>
      </w:r>
      <w:r>
        <w:rPr>
          <w:rFonts w:hint="eastAsia" w:ascii="仿宋_GB2312" w:hAnsi="仿宋_GB2312" w:eastAsia="仿宋_GB2312" w:cs="仿宋_GB2312"/>
          <w:b/>
          <w:sz w:val="32"/>
          <w:szCs w:val="32"/>
          <w:highlight w:val="none"/>
          <w:lang w:val="en-US" w:eastAsia="zh-CN"/>
        </w:rPr>
        <w:t>积极</w:t>
      </w:r>
      <w:r>
        <w:rPr>
          <w:rFonts w:hint="eastAsia" w:ascii="仿宋_GB2312" w:hAnsi="仿宋_GB2312" w:eastAsia="仿宋_GB2312" w:cs="仿宋_GB2312"/>
          <w:b/>
          <w:sz w:val="32"/>
          <w:szCs w:val="32"/>
          <w:highlight w:val="none"/>
        </w:rPr>
        <w:t>促进妇女参与</w:t>
      </w:r>
      <w:r>
        <w:rPr>
          <w:rFonts w:hint="eastAsia" w:ascii="仿宋_GB2312" w:hAnsi="仿宋_GB2312" w:eastAsia="仿宋_GB2312" w:cs="仿宋_GB2312"/>
          <w:b/>
          <w:sz w:val="32"/>
          <w:szCs w:val="32"/>
          <w:highlight w:val="none"/>
          <w:lang w:val="en-US" w:eastAsia="zh-CN"/>
        </w:rPr>
        <w:t>企事业管理</w:t>
      </w:r>
      <w:r>
        <w:rPr>
          <w:rFonts w:hint="eastAsia" w:ascii="仿宋_GB2312" w:hAnsi="仿宋_GB2312" w:eastAsia="仿宋_GB2312" w:cs="仿宋_GB2312"/>
          <w:b/>
          <w:sz w:val="32"/>
          <w:szCs w:val="32"/>
          <w:highlight w:val="none"/>
        </w:rPr>
        <w:t>。</w:t>
      </w:r>
      <w:r>
        <w:rPr>
          <w:rFonts w:hint="eastAsia" w:ascii="仿宋_GB2312" w:hAnsi="仿宋_GB2312" w:eastAsia="仿宋_GB2312" w:cs="仿宋_GB2312"/>
          <w:sz w:val="32"/>
          <w:szCs w:val="32"/>
          <w:highlight w:val="none"/>
        </w:rPr>
        <w:t>在深化事业单位改革中，确保妇女在岗位晋升、职员晋级、职称评聘等方面享有平等权利和机会。做好区属国有企业领导班子中女干部选拔任用工作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推动</w:t>
      </w:r>
      <w:r>
        <w:rPr>
          <w:rFonts w:hint="eastAsia" w:ascii="仿宋_GB2312" w:hAnsi="仿宋_GB2312" w:eastAsia="仿宋_GB2312" w:cs="仿宋_GB2312"/>
          <w:sz w:val="32"/>
          <w:szCs w:val="32"/>
          <w:highlight w:val="none"/>
        </w:rPr>
        <w:t>更多妇女进入国有企业董事会、监事会和管理层。</w:t>
      </w:r>
    </w:p>
    <w:p w14:paraId="4A6B9FF1">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4.充分发挥妇女在</w:t>
      </w:r>
      <w:r>
        <w:rPr>
          <w:rFonts w:hint="eastAsia" w:ascii="仿宋_GB2312" w:hAnsi="仿宋_GB2312" w:eastAsia="仿宋_GB2312" w:cs="仿宋_GB2312"/>
          <w:b/>
          <w:sz w:val="32"/>
          <w:szCs w:val="32"/>
          <w:highlight w:val="none"/>
        </w:rPr>
        <w:t>基层社会治理</w:t>
      </w:r>
      <w:r>
        <w:rPr>
          <w:rFonts w:hint="eastAsia" w:ascii="仿宋_GB2312" w:hAnsi="仿宋_GB2312" w:eastAsia="仿宋_GB2312" w:cs="仿宋_GB2312"/>
          <w:b/>
          <w:sz w:val="32"/>
          <w:szCs w:val="32"/>
          <w:highlight w:val="none"/>
          <w:lang w:val="en-US" w:eastAsia="zh-CN"/>
        </w:rPr>
        <w:t>中的作用。</w:t>
      </w:r>
      <w:r>
        <w:rPr>
          <w:rFonts w:hint="eastAsia" w:ascii="仿宋_GB2312" w:hAnsi="仿宋_GB2312" w:eastAsia="仿宋_GB2312" w:cs="仿宋_GB2312"/>
          <w:sz w:val="32"/>
          <w:szCs w:val="32"/>
          <w:highlight w:val="none"/>
        </w:rPr>
        <w:t>认真做好</w:t>
      </w:r>
      <w:r>
        <w:rPr>
          <w:rFonts w:hint="eastAsia" w:ascii="仿宋_GB2312" w:hAnsi="仿宋_GB2312" w:eastAsia="仿宋_GB2312" w:cs="仿宋_GB2312"/>
          <w:sz w:val="32"/>
          <w:szCs w:val="32"/>
          <w:highlight w:val="none"/>
          <w:lang w:eastAsia="zh-CN"/>
        </w:rPr>
        <w:t>村</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社区</w:t>
      </w:r>
      <w:r>
        <w:rPr>
          <w:rFonts w:hint="eastAsia" w:ascii="仿宋_GB2312" w:hAnsi="仿宋_GB2312" w:eastAsia="仿宋_GB2312" w:cs="仿宋_GB2312"/>
          <w:sz w:val="32"/>
          <w:szCs w:val="32"/>
          <w:highlight w:val="none"/>
        </w:rPr>
        <w:t>）“两委”换届选举工作。</w:t>
      </w:r>
      <w:r>
        <w:rPr>
          <w:rFonts w:hint="eastAsia" w:ascii="仿宋_GB2312" w:hAnsi="仿宋_GB2312" w:eastAsia="仿宋_GB2312" w:cs="仿宋_GB2312"/>
          <w:color w:val="000000"/>
          <w:kern w:val="0"/>
          <w:sz w:val="32"/>
          <w:szCs w:val="32"/>
          <w:highlight w:val="none"/>
          <w:lang w:bidi="ar"/>
        </w:rPr>
        <w:t>鼓励妇女积极参与居民议事会等自治组织</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color w:val="000000"/>
          <w:kern w:val="0"/>
          <w:sz w:val="32"/>
          <w:szCs w:val="32"/>
          <w:highlight w:val="none"/>
          <w:lang w:bidi="ar"/>
        </w:rPr>
        <w:t>探索打造妇女网上议事平台。</w:t>
      </w:r>
      <w:r>
        <w:rPr>
          <w:rFonts w:hint="eastAsia" w:ascii="仿宋_GB2312" w:hAnsi="仿宋_GB2312" w:eastAsia="仿宋_GB2312" w:cs="仿宋_GB2312"/>
          <w:sz w:val="32"/>
          <w:szCs w:val="32"/>
          <w:highlight w:val="none"/>
        </w:rPr>
        <w:t>建强巾帼志愿服务队伍。加强社会组织女性人才和管理人员培养，注重发现培养社会组织女性负责人。充分发挥妇联组织在全过程人民民主中的作用。</w:t>
      </w:r>
    </w:p>
    <w:p w14:paraId="0FD88C18">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（五）提高妇女多层次社会保障水平</w:t>
      </w:r>
    </w:p>
    <w:p w14:paraId="1F7BB881">
      <w:pPr>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lang w:bidi="ar"/>
        </w:rPr>
      </w:pPr>
      <w:r>
        <w:rPr>
          <w:rFonts w:hint="eastAsia" w:ascii="仿宋_GB2312" w:hAnsi="仿宋_GB2312" w:eastAsia="仿宋_GB2312" w:cs="仿宋_GB2312"/>
          <w:b/>
          <w:bCs/>
          <w:color w:val="000000"/>
          <w:kern w:val="0"/>
          <w:sz w:val="32"/>
          <w:szCs w:val="32"/>
          <w:highlight w:val="none"/>
          <w:lang w:bidi="ar"/>
        </w:rPr>
        <w:t>1.增强生育保险保障功能。</w:t>
      </w:r>
      <w:r>
        <w:rPr>
          <w:rFonts w:hint="eastAsia" w:ascii="仿宋_GB2312" w:hAnsi="仿宋_GB2312" w:eastAsia="仿宋_GB2312" w:cs="仿宋_GB2312"/>
          <w:bCs/>
          <w:sz w:val="32"/>
          <w:szCs w:val="32"/>
          <w:highlight w:val="none"/>
        </w:rPr>
        <w:t>巩固扩大生育保险覆盖面，</w:t>
      </w:r>
      <w:r>
        <w:rPr>
          <w:rFonts w:hint="eastAsia" w:ascii="仿宋_GB2312" w:hAnsi="仿宋_GB2312" w:eastAsia="仿宋_GB2312" w:cs="仿宋_GB2312"/>
          <w:color w:val="000000"/>
          <w:kern w:val="0"/>
          <w:sz w:val="32"/>
          <w:szCs w:val="32"/>
          <w:highlight w:val="none"/>
          <w:lang w:bidi="ar"/>
        </w:rPr>
        <w:t>确保领取失业保险金人员参加生育保险</w:t>
      </w:r>
      <w:r>
        <w:rPr>
          <w:rFonts w:hint="eastAsia" w:ascii="仿宋_GB2312" w:hAnsi="仿宋_GB2312" w:eastAsia="仿宋_GB2312" w:cs="仿宋_GB2312"/>
          <w:bCs/>
          <w:sz w:val="32"/>
          <w:szCs w:val="32"/>
          <w:highlight w:val="none"/>
        </w:rPr>
        <w:t>。完善生育保险生育医疗费用支付及生育津贴政策。完善参加基本医疗保险的灵活就业人员、城乡未就业人员生育医疗费用保障措施，提高生育医疗费用报销比例。</w:t>
      </w:r>
    </w:p>
    <w:p w14:paraId="096411B4">
      <w:pPr>
        <w:keepNext w:val="0"/>
        <w:keepLines w:val="0"/>
        <w:pageBreakBefore w:val="0"/>
        <w:widowControl w:val="0"/>
        <w:shd w:val="clear"/>
        <w:kinsoku/>
        <w:wordWrap/>
        <w:overflowPunct/>
        <w:topLinePunct w:val="0"/>
        <w:autoSpaceDE/>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color w:val="000000"/>
          <w:kern w:val="0"/>
          <w:sz w:val="32"/>
          <w:szCs w:val="32"/>
          <w:highlight w:val="none"/>
          <w:lang w:bidi="ar"/>
        </w:rPr>
        <w:t>2.稳步提高妇女社会保障水平。</w:t>
      </w:r>
      <w:r>
        <w:rPr>
          <w:rFonts w:hint="eastAsia" w:ascii="仿宋_GB2312" w:hAnsi="仿宋_GB2312" w:eastAsia="仿宋_GB2312" w:cs="仿宋_GB2312"/>
          <w:color w:val="000000"/>
          <w:kern w:val="0"/>
          <w:sz w:val="32"/>
          <w:szCs w:val="32"/>
          <w:highlight w:val="none"/>
          <w:lang w:bidi="ar"/>
        </w:rPr>
        <w:t>实施高质量参保行动，扩大妇女各项社会保险覆盖率。提高新业态女性参加各项社会保险的比例。强化基本医疗保险、大病保险和医疗救助综合保障功能。探索灵活就业人员参加失业保险新模式。保障妇女公平享有社会保险权益。</w:t>
      </w:r>
    </w:p>
    <w:p w14:paraId="44BB269B">
      <w:pPr>
        <w:pStyle w:val="17"/>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580" w:lineRule="exact"/>
        <w:ind w:left="0" w:firstLine="643" w:firstLineChars="200"/>
        <w:jc w:val="both"/>
        <w:textAlignment w:val="auto"/>
        <w:rPr>
          <w:rFonts w:hint="eastAsia" w:ascii="仿宋_GB2312" w:hAnsi="仿宋_GB2312" w:eastAsia="仿宋_GB2312" w:cs="仿宋_GB2312"/>
          <w:color w:val="000000"/>
          <w:sz w:val="32"/>
          <w:szCs w:val="32"/>
          <w:highlight w:val="none"/>
          <w:lang w:bidi="ar"/>
        </w:rPr>
      </w:pPr>
      <w:r>
        <w:rPr>
          <w:rFonts w:hint="eastAsia" w:ascii="仿宋_GB2312" w:hAnsi="仿宋_GB2312" w:eastAsia="仿宋_GB2312" w:cs="仿宋_GB2312"/>
          <w:b/>
          <w:bCs/>
          <w:color w:val="000000"/>
          <w:sz w:val="32"/>
          <w:szCs w:val="32"/>
          <w:highlight w:val="none"/>
          <w:lang w:bidi="ar"/>
        </w:rPr>
        <w:t>3.优化养老服务与长期护理保障。</w:t>
      </w:r>
      <w:r>
        <w:rPr>
          <w:rFonts w:hint="eastAsia" w:ascii="仿宋_GB2312" w:hAnsi="仿宋_GB2312" w:eastAsia="仿宋_GB2312" w:cs="仿宋_GB2312"/>
          <w:color w:val="000000"/>
          <w:sz w:val="32"/>
          <w:szCs w:val="32"/>
          <w:highlight w:val="none"/>
          <w:lang w:bidi="ar"/>
        </w:rPr>
        <w:t>加强普惠性、基础性、兜底性养老服务供给</w:t>
      </w:r>
      <w:r>
        <w:rPr>
          <w:rFonts w:hint="eastAsia" w:ascii="仿宋_GB2312" w:hAnsi="仿宋_GB2312" w:eastAsia="仿宋_GB2312" w:cs="仿宋_GB2312"/>
          <w:color w:val="000000"/>
          <w:sz w:val="32"/>
          <w:szCs w:val="32"/>
          <w:highlight w:val="none"/>
          <w:lang w:eastAsia="zh-CN" w:bidi="ar"/>
        </w:rPr>
        <w:t>，</w:t>
      </w:r>
      <w:r>
        <w:rPr>
          <w:rFonts w:hint="eastAsia" w:ascii="仿宋_GB2312" w:hAnsi="仿宋_GB2312" w:eastAsia="仿宋_GB2312" w:cs="仿宋_GB2312"/>
          <w:color w:val="000000"/>
          <w:sz w:val="32"/>
          <w:szCs w:val="32"/>
          <w:highlight w:val="none"/>
          <w:lang w:bidi="ar"/>
        </w:rPr>
        <w:t>强化居家养老基础作用，</w:t>
      </w:r>
      <w:r>
        <w:rPr>
          <w:rFonts w:hint="eastAsia" w:ascii="仿宋_GB2312" w:hAnsi="仿宋_GB2312" w:eastAsia="仿宋_GB2312" w:cs="仿宋_GB2312"/>
          <w:color w:val="000000"/>
          <w:sz w:val="32"/>
          <w:szCs w:val="32"/>
          <w:highlight w:val="none"/>
          <w:lang w:val="en-US" w:eastAsia="zh-CN" w:bidi="ar"/>
        </w:rPr>
        <w:t>推进</w:t>
      </w:r>
      <w:r>
        <w:rPr>
          <w:rFonts w:hint="eastAsia" w:ascii="仿宋_GB2312" w:hAnsi="仿宋_GB2312" w:eastAsia="仿宋_GB2312" w:cs="仿宋_GB2312"/>
          <w:color w:val="000000"/>
          <w:sz w:val="32"/>
          <w:szCs w:val="32"/>
          <w:highlight w:val="none"/>
          <w:lang w:bidi="ar"/>
        </w:rPr>
        <w:t>居家适老化改造、助餐配送、就医陪诊等服务。加强失能失智老年人专业照护供给</w:t>
      </w:r>
      <w:r>
        <w:rPr>
          <w:rFonts w:hint="eastAsia" w:ascii="仿宋_GB2312" w:hAnsi="仿宋_GB2312" w:eastAsia="仿宋_GB2312" w:cs="仿宋_GB2312"/>
          <w:color w:val="000000"/>
          <w:sz w:val="32"/>
          <w:szCs w:val="32"/>
          <w:highlight w:val="none"/>
          <w:lang w:eastAsia="zh-CN" w:bidi="ar"/>
        </w:rPr>
        <w:t>，</w:t>
      </w:r>
      <w:r>
        <w:rPr>
          <w:rFonts w:hint="eastAsia" w:ascii="仿宋_GB2312" w:hAnsi="仿宋_GB2312" w:eastAsia="仿宋_GB2312" w:cs="仿宋_GB2312"/>
          <w:color w:val="000000"/>
          <w:sz w:val="32"/>
          <w:szCs w:val="32"/>
          <w:highlight w:val="none"/>
          <w:lang w:bidi="ar"/>
        </w:rPr>
        <w:t>推进长期护理保险制度落地。落实老年优待政策，</w:t>
      </w:r>
      <w:r>
        <w:rPr>
          <w:rFonts w:hint="eastAsia" w:ascii="仿宋_GB2312" w:hAnsi="仿宋_GB2312" w:eastAsia="仿宋_GB2312" w:cs="仿宋_GB2312"/>
          <w:bCs/>
          <w:sz w:val="32"/>
          <w:szCs w:val="32"/>
          <w:highlight w:val="none"/>
        </w:rPr>
        <w:t>不断提高老年妇女生活质量</w:t>
      </w:r>
      <w:r>
        <w:rPr>
          <w:rFonts w:hint="eastAsia" w:ascii="仿宋_GB2312" w:hAnsi="仿宋_GB2312" w:eastAsia="仿宋_GB2312" w:cs="仿宋_GB2312"/>
          <w:color w:val="000000"/>
          <w:sz w:val="32"/>
          <w:szCs w:val="32"/>
          <w:highlight w:val="none"/>
          <w:lang w:bidi="ar"/>
        </w:rPr>
        <w:t>。</w:t>
      </w:r>
      <w:bookmarkStart w:id="13" w:name="OLE_LINK10"/>
    </w:p>
    <w:bookmarkEnd w:id="13"/>
    <w:p w14:paraId="390EC839">
      <w:pPr>
        <w:keepNext w:val="0"/>
        <w:keepLines w:val="0"/>
        <w:pageBreakBefore w:val="0"/>
        <w:widowControl w:val="0"/>
        <w:shd w:val="clear"/>
        <w:kinsoku/>
        <w:wordWrap/>
        <w:overflowPunct/>
        <w:topLinePunct w:val="0"/>
        <w:autoSpaceDE/>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lang w:bidi="ar"/>
        </w:rPr>
      </w:pPr>
      <w:r>
        <w:rPr>
          <w:rFonts w:hint="eastAsia" w:ascii="仿宋_GB2312" w:hAnsi="仿宋_GB2312" w:eastAsia="仿宋_GB2312" w:cs="仿宋_GB2312"/>
          <w:b/>
          <w:bCs/>
          <w:color w:val="000000"/>
          <w:kern w:val="0"/>
          <w:sz w:val="32"/>
          <w:szCs w:val="32"/>
          <w:highlight w:val="none"/>
          <w:lang w:bidi="ar"/>
        </w:rPr>
        <w:t>4.提高残疾妇女和困境妇女保障水平。</w:t>
      </w:r>
      <w:r>
        <w:rPr>
          <w:rFonts w:hint="eastAsia" w:ascii="仿宋_GB2312" w:hAnsi="仿宋_GB2312" w:eastAsia="仿宋_GB2312" w:cs="仿宋_GB2312"/>
          <w:color w:val="000000"/>
          <w:kern w:val="0"/>
          <w:sz w:val="32"/>
          <w:szCs w:val="32"/>
          <w:highlight w:val="none"/>
          <w:lang w:bidi="ar"/>
        </w:rPr>
        <w:t>加强困难残疾人生活补贴和重度残疾人护理补贴精准管理，为有需求的残疾妇女提供基本康复服务，为困难残疾妇女提供权益保护、生活帮扶、精神抚慰等关爱服务。加大困境妇女救助帮扶力度，强化统筹衔接，形成“物质+服务”综合救助模式。</w:t>
      </w:r>
    </w:p>
    <w:p w14:paraId="7545BAA7">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（六）完善有利于妇女发展的家庭政策体系</w:t>
      </w:r>
    </w:p>
    <w:p w14:paraId="38649AC0">
      <w:pPr>
        <w:keepNext w:val="0"/>
        <w:keepLines w:val="0"/>
        <w:pageBreakBefore w:val="0"/>
        <w:widowControl w:val="0"/>
        <w:shd w:val="clear"/>
        <w:kinsoku/>
        <w:wordWrap/>
        <w:overflowPunct/>
        <w:topLinePunct w:val="0"/>
        <w:autoSpaceDE/>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b/>
          <w:bCs/>
          <w:kern w:val="0"/>
          <w:sz w:val="32"/>
          <w:szCs w:val="32"/>
          <w:highlight w:val="none"/>
          <w:lang w:bidi="ar"/>
        </w:rPr>
        <w:t>1.树立社会主义家庭文明新风尚。</w:t>
      </w:r>
      <w:r>
        <w:rPr>
          <w:rFonts w:hint="eastAsia" w:ascii="仿宋_GB2312" w:hAnsi="仿宋_GB2312" w:eastAsia="仿宋_GB2312" w:cs="仿宋_GB2312"/>
          <w:kern w:val="0"/>
          <w:sz w:val="32"/>
          <w:szCs w:val="32"/>
          <w:highlight w:val="none"/>
          <w:lang w:bidi="ar"/>
        </w:rPr>
        <w:t>引导广大妇女和家庭成员树立正确的婚恋观、生育观、家庭观，</w:t>
      </w:r>
      <w:r>
        <w:rPr>
          <w:rFonts w:hint="eastAsia" w:ascii="仿宋_GB2312" w:hAnsi="仿宋_GB2312" w:eastAsia="仿宋_GB2312" w:cs="仿宋_GB2312"/>
          <w:sz w:val="32"/>
          <w:szCs w:val="32"/>
          <w:highlight w:val="none"/>
        </w:rPr>
        <w:t>大力</w:t>
      </w:r>
      <w:r>
        <w:rPr>
          <w:rFonts w:hint="eastAsia" w:ascii="仿宋_GB2312" w:hAnsi="仿宋_GB2312" w:eastAsia="仿宋_GB2312" w:cs="仿宋_GB2312"/>
          <w:kern w:val="0"/>
          <w:sz w:val="32"/>
          <w:szCs w:val="32"/>
          <w:highlight w:val="none"/>
          <w:lang w:bidi="ar"/>
        </w:rPr>
        <w:t>倡扬先进性别文化。加强家庭家教家风建设，深化文明家庭创建。</w:t>
      </w:r>
      <w:r>
        <w:rPr>
          <w:rFonts w:hint="eastAsia" w:ascii="仿宋_GB2312" w:hAnsi="仿宋_GB2312" w:eastAsia="仿宋_GB2312" w:cs="仿宋_GB2312"/>
          <w:bCs/>
          <w:sz w:val="32"/>
          <w:szCs w:val="32"/>
          <w:highlight w:val="none"/>
        </w:rPr>
        <w:t>推动家庭家教家风建设与基层治理深度融合，</w:t>
      </w:r>
      <w:r>
        <w:rPr>
          <w:rFonts w:hint="eastAsia" w:ascii="仿宋_GB2312" w:hAnsi="仿宋_GB2312" w:eastAsia="仿宋_GB2312" w:cs="仿宋_GB2312"/>
          <w:kern w:val="0"/>
          <w:sz w:val="32"/>
          <w:szCs w:val="32"/>
          <w:highlight w:val="none"/>
          <w:lang w:bidi="ar"/>
        </w:rPr>
        <w:t>发挥家庭家教家风在基层社会治理中的重要作用。</w:t>
      </w:r>
    </w:p>
    <w:p w14:paraId="4A2A10D2">
      <w:pPr>
        <w:keepNext w:val="0"/>
        <w:keepLines w:val="0"/>
        <w:pageBreakBefore w:val="0"/>
        <w:widowControl w:val="0"/>
        <w:shd w:val="clear"/>
        <w:kinsoku/>
        <w:wordWrap/>
        <w:overflowPunct/>
        <w:topLinePunct w:val="0"/>
        <w:autoSpaceDE/>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b/>
          <w:bCs/>
          <w:kern w:val="0"/>
          <w:sz w:val="32"/>
          <w:szCs w:val="32"/>
          <w:highlight w:val="none"/>
          <w:lang w:bidi="ar"/>
        </w:rPr>
        <w:t>2.</w:t>
      </w:r>
      <w:r>
        <w:rPr>
          <w:rFonts w:hint="eastAsia" w:ascii="仿宋_GB2312" w:hAnsi="仿宋_GB2312" w:eastAsia="仿宋_GB2312" w:cs="仿宋_GB2312"/>
          <w:b/>
          <w:bCs/>
          <w:sz w:val="32"/>
          <w:szCs w:val="32"/>
          <w:highlight w:val="none"/>
        </w:rPr>
        <w:t>完善促进妇女发展的家庭政策措施。</w:t>
      </w:r>
      <w:r>
        <w:rPr>
          <w:rFonts w:hint="eastAsia" w:ascii="仿宋_GB2312" w:hAnsi="仿宋_GB2312" w:eastAsia="仿宋_GB2312" w:cs="仿宋_GB2312"/>
          <w:color w:val="000000"/>
          <w:kern w:val="0"/>
          <w:sz w:val="32"/>
          <w:szCs w:val="32"/>
          <w:highlight w:val="none"/>
          <w:lang w:bidi="ar"/>
        </w:rPr>
        <w:t>强化对家庭生育、养育、教育和养老的政策支持。</w:t>
      </w:r>
      <w:r>
        <w:rPr>
          <w:rFonts w:hint="eastAsia" w:ascii="仿宋_GB2312" w:hAnsi="仿宋_GB2312" w:eastAsia="仿宋_GB2312" w:cs="仿宋_GB2312"/>
          <w:kern w:val="0"/>
          <w:sz w:val="32"/>
          <w:szCs w:val="32"/>
          <w:highlight w:val="none"/>
          <w:lang w:bidi="ar"/>
        </w:rPr>
        <w:t>落实生育津贴直接发放和育儿补贴政策措施，提供便捷申领服务。落实3岁以下婴幼儿照护、子女教育个人所得税专项附加扣除等政策。逐步推行免费学前教育。积极落实多子女家庭“长幼随学”等倾斜支持措施。</w:t>
      </w:r>
    </w:p>
    <w:p w14:paraId="40182CD9">
      <w:pPr>
        <w:pStyle w:val="17"/>
        <w:keepNext w:val="0"/>
        <w:keepLines w:val="0"/>
        <w:pageBreakBefore w:val="0"/>
        <w:widowControl w:val="0"/>
        <w:shd w:val="clear"/>
        <w:kinsoku/>
        <w:wordWrap/>
        <w:overflowPunct/>
        <w:topLinePunct w:val="0"/>
        <w:autoSpaceDN/>
        <w:bidi w:val="0"/>
        <w:adjustRightInd w:val="0"/>
        <w:snapToGrid w:val="0"/>
        <w:spacing w:before="0" w:beforeAutospacing="0" w:after="0" w:afterAutospacing="0" w:line="580" w:lineRule="exact"/>
        <w:ind w:left="0" w:firstLine="643" w:firstLineChars="200"/>
        <w:jc w:val="both"/>
        <w:textAlignment w:val="auto"/>
        <w:rPr>
          <w:rFonts w:hint="eastAsia" w:ascii="仿宋_GB2312" w:hAnsi="仿宋_GB2312" w:eastAsia="仿宋_GB2312" w:cs="仿宋_GB2312"/>
          <w:sz w:val="32"/>
          <w:szCs w:val="32"/>
          <w:highlight w:val="none"/>
          <w:lang w:bidi="ar"/>
        </w:rPr>
      </w:pPr>
      <w:r>
        <w:rPr>
          <w:rFonts w:hint="eastAsia" w:ascii="仿宋_GB2312" w:hAnsi="仿宋_GB2312" w:eastAsia="仿宋_GB2312" w:cs="仿宋_GB2312"/>
          <w:b/>
          <w:bCs/>
          <w:sz w:val="32"/>
          <w:szCs w:val="32"/>
          <w:highlight w:val="none"/>
          <w:lang w:bidi="ar"/>
        </w:rPr>
        <w:t>3.</w:t>
      </w:r>
      <w:r>
        <w:rPr>
          <w:rFonts w:hint="eastAsia" w:ascii="仿宋_GB2312" w:hAnsi="仿宋_GB2312" w:eastAsia="仿宋_GB2312" w:cs="仿宋_GB2312"/>
          <w:b/>
          <w:bCs/>
          <w:sz w:val="32"/>
          <w:szCs w:val="32"/>
          <w:highlight w:val="none"/>
        </w:rPr>
        <w:t>扩大面向家庭的公共服务供给。</w:t>
      </w:r>
      <w:r>
        <w:rPr>
          <w:rFonts w:hint="eastAsia" w:ascii="仿宋_GB2312" w:hAnsi="仿宋_GB2312" w:eastAsia="仿宋_GB2312" w:cs="仿宋_GB2312"/>
          <w:sz w:val="32"/>
          <w:szCs w:val="32"/>
          <w:highlight w:val="none"/>
          <w:lang w:bidi="ar"/>
        </w:rPr>
        <w:t>推进托幼一体化优质普惠发展，推动公办园开办托班。提升托育服务水平</w:t>
      </w:r>
      <w:r>
        <w:rPr>
          <w:rFonts w:hint="eastAsia" w:ascii="仿宋_GB2312" w:hAnsi="仿宋_GB2312" w:eastAsia="仿宋_GB2312" w:cs="仿宋_GB2312"/>
          <w:sz w:val="32"/>
          <w:szCs w:val="32"/>
          <w:highlight w:val="none"/>
          <w:lang w:eastAsia="zh-CN" w:bidi="ar"/>
        </w:rPr>
        <w:t>，</w:t>
      </w:r>
      <w:r>
        <w:rPr>
          <w:rFonts w:hint="eastAsia" w:ascii="仿宋_GB2312" w:hAnsi="仿宋_GB2312" w:eastAsia="仿宋_GB2312" w:cs="仿宋_GB2312"/>
          <w:sz w:val="32"/>
          <w:szCs w:val="32"/>
          <w:highlight w:val="none"/>
        </w:rPr>
        <w:t>提高托位使用率。加强科学育儿指导。</w:t>
      </w:r>
      <w:r>
        <w:rPr>
          <w:rFonts w:hint="eastAsia" w:ascii="仿宋_GB2312" w:hAnsi="仿宋_GB2312" w:eastAsia="仿宋_GB2312" w:cs="仿宋_GB2312"/>
          <w:sz w:val="32"/>
          <w:szCs w:val="32"/>
          <w:highlight w:val="none"/>
          <w:lang w:bidi="ar"/>
        </w:rPr>
        <w:t>实施城市社区嵌入式服务设施建设工程，提供养老托育、社区助餐、家政便民、健康支持等服务。培育“互联网+家政”等新模式，</w:t>
      </w:r>
      <w:r>
        <w:rPr>
          <w:rFonts w:hint="eastAsia" w:ascii="仿宋_GB2312" w:hAnsi="仿宋_GB2312" w:eastAsia="仿宋_GB2312" w:cs="仿宋_GB2312"/>
          <w:kern w:val="2"/>
          <w:sz w:val="32"/>
          <w:szCs w:val="32"/>
          <w:highlight w:val="none"/>
          <w:lang w:bidi="ar"/>
        </w:rPr>
        <w:t>扩大家政服务供给。</w:t>
      </w:r>
    </w:p>
    <w:p w14:paraId="3C5D43BB">
      <w:pPr>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b/>
          <w:bCs/>
          <w:kern w:val="0"/>
          <w:sz w:val="32"/>
          <w:szCs w:val="32"/>
          <w:highlight w:val="none"/>
          <w:lang w:bidi="ar"/>
        </w:rPr>
        <w:t>4.促进婚姻家庭关系健康发展。</w:t>
      </w:r>
      <w:r>
        <w:rPr>
          <w:rFonts w:hint="eastAsia" w:ascii="仿宋_GB2312" w:hAnsi="仿宋_GB2312" w:eastAsia="仿宋_GB2312" w:cs="仿宋_GB2312"/>
          <w:kern w:val="0"/>
          <w:sz w:val="32"/>
          <w:szCs w:val="32"/>
          <w:highlight w:val="none"/>
          <w:lang w:bidi="ar"/>
        </w:rPr>
        <w:t>加强婚恋指导，</w:t>
      </w:r>
      <w:r>
        <w:rPr>
          <w:rFonts w:hint="eastAsia" w:ascii="仿宋_GB2312" w:hAnsi="仿宋_GB2312" w:eastAsia="仿宋_GB2312" w:cs="仿宋_GB2312"/>
          <w:bCs/>
          <w:sz w:val="32"/>
          <w:szCs w:val="32"/>
          <w:highlight w:val="none"/>
        </w:rPr>
        <w:t>建立“婚前辅导+婚姻关系调适+危机干预”服务模式。</w:t>
      </w:r>
      <w:r>
        <w:rPr>
          <w:rFonts w:hint="eastAsia" w:ascii="仿宋_GB2312" w:hAnsi="仿宋_GB2312" w:eastAsia="仿宋_GB2312" w:cs="仿宋_GB2312"/>
          <w:kern w:val="0"/>
          <w:sz w:val="32"/>
          <w:szCs w:val="32"/>
          <w:highlight w:val="none"/>
          <w:lang w:bidi="ar"/>
        </w:rPr>
        <w:t>建实镇(街道)婚姻家庭纠纷人民调解工作室。</w:t>
      </w:r>
      <w:r>
        <w:rPr>
          <w:rFonts w:hint="eastAsia" w:ascii="仿宋_GB2312" w:hAnsi="仿宋_GB2312" w:eastAsia="仿宋_GB2312" w:cs="仿宋_GB2312"/>
          <w:sz w:val="32"/>
          <w:szCs w:val="32"/>
          <w:highlight w:val="none"/>
        </w:rPr>
        <w:t>探索婚姻家庭指导服务与婚姻家庭纠纷调解工作资源共享与多方联动。进一步</w:t>
      </w:r>
      <w:r>
        <w:rPr>
          <w:rFonts w:hint="eastAsia" w:ascii="仿宋_GB2312" w:hAnsi="仿宋_GB2312" w:eastAsia="仿宋_GB2312" w:cs="仿宋_GB2312"/>
          <w:kern w:val="0"/>
          <w:sz w:val="32"/>
          <w:szCs w:val="32"/>
          <w:highlight w:val="none"/>
          <w:lang w:bidi="ar"/>
        </w:rPr>
        <w:t>推进移风易俗。</w:t>
      </w:r>
    </w:p>
    <w:p w14:paraId="5DD1A09D">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（七）</w:t>
      </w:r>
      <w:r>
        <w:rPr>
          <w:rFonts w:hint="eastAsia" w:ascii="方正楷体_GB2312" w:hAnsi="方正楷体_GB2312" w:eastAsia="方正楷体_GB2312" w:cs="方正楷体_GB2312"/>
          <w:b/>
          <w:sz w:val="32"/>
          <w:szCs w:val="32"/>
          <w:highlight w:val="none"/>
          <w:lang w:val="en-US" w:eastAsia="zh-CN"/>
        </w:rPr>
        <w:t>优化</w:t>
      </w:r>
      <w:r>
        <w:rPr>
          <w:rFonts w:hint="eastAsia" w:ascii="方正楷体_GB2312" w:hAnsi="方正楷体_GB2312" w:eastAsia="方正楷体_GB2312" w:cs="方正楷体_GB2312"/>
          <w:b/>
          <w:sz w:val="32"/>
          <w:szCs w:val="32"/>
          <w:highlight w:val="none"/>
        </w:rPr>
        <w:t>促进男女平等的社会环境</w:t>
      </w:r>
    </w:p>
    <w:p w14:paraId="37F84B8D">
      <w:pPr>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lang w:bidi="ar"/>
        </w:rPr>
      </w:pPr>
      <w:r>
        <w:rPr>
          <w:rFonts w:hint="eastAsia" w:ascii="仿宋_GB2312" w:hAnsi="仿宋_GB2312" w:eastAsia="仿宋_GB2312" w:cs="仿宋_GB2312"/>
          <w:b/>
          <w:bCs/>
          <w:kern w:val="0"/>
          <w:sz w:val="32"/>
          <w:szCs w:val="32"/>
          <w:highlight w:val="none"/>
          <w:lang w:bidi="ar"/>
        </w:rPr>
        <w:t>1.弘扬社会主义先进性别文化。</w:t>
      </w:r>
      <w:r>
        <w:rPr>
          <w:rFonts w:hint="eastAsia" w:ascii="仿宋_GB2312" w:hAnsi="仿宋_GB2312" w:eastAsia="仿宋_GB2312" w:cs="仿宋_GB2312"/>
          <w:kern w:val="0"/>
          <w:sz w:val="32"/>
          <w:szCs w:val="32"/>
          <w:highlight w:val="none"/>
          <w:lang w:bidi="ar"/>
        </w:rPr>
        <w:t>开展男女平等基本国策宣传教育，推动男女平等基本国策进党校、机关、学校、企业、社区、家庭。加强文化和传媒领域性别平等动态评估与监管，建立跨平台监测网络，</w:t>
      </w:r>
      <w:r>
        <w:rPr>
          <w:rFonts w:hint="eastAsia" w:ascii="仿宋_GB2312" w:hAnsi="仿宋_GB2312" w:eastAsia="仿宋_GB2312" w:cs="仿宋_GB2312"/>
          <w:bCs/>
          <w:sz w:val="32"/>
          <w:szCs w:val="32"/>
          <w:highlight w:val="none"/>
        </w:rPr>
        <w:t>持续净化妇女发展舆论环境。</w:t>
      </w:r>
      <w:r>
        <w:rPr>
          <w:rFonts w:hint="eastAsia" w:ascii="仿宋_GB2312" w:hAnsi="仿宋_GB2312" w:eastAsia="仿宋_GB2312" w:cs="仿宋_GB2312"/>
          <w:kern w:val="0"/>
          <w:sz w:val="32"/>
          <w:szCs w:val="32"/>
          <w:highlight w:val="none"/>
          <w:lang w:bidi="ar"/>
        </w:rPr>
        <w:t>提升文化与传媒领域性别平等传播能力与宣传力度</w:t>
      </w:r>
      <w:r>
        <w:rPr>
          <w:rFonts w:hint="eastAsia" w:ascii="仿宋_GB2312" w:hAnsi="仿宋_GB2312" w:eastAsia="仿宋_GB2312" w:cs="仿宋_GB2312"/>
          <w:color w:val="000000"/>
          <w:kern w:val="0"/>
          <w:sz w:val="32"/>
          <w:szCs w:val="32"/>
          <w:highlight w:val="none"/>
          <w:lang w:bidi="ar"/>
        </w:rPr>
        <w:t>。</w:t>
      </w:r>
    </w:p>
    <w:p w14:paraId="31368143">
      <w:pPr>
        <w:pStyle w:val="17"/>
        <w:keepNext w:val="0"/>
        <w:keepLines w:val="0"/>
        <w:pageBreakBefore w:val="0"/>
        <w:widowControl w:val="0"/>
        <w:shd w:val="clear"/>
        <w:kinsoku/>
        <w:wordWrap/>
        <w:overflowPunct/>
        <w:topLinePunct w:val="0"/>
        <w:autoSpaceDN/>
        <w:bidi w:val="0"/>
        <w:adjustRightInd w:val="0"/>
        <w:snapToGrid w:val="0"/>
        <w:spacing w:before="0" w:beforeAutospacing="0" w:after="0" w:afterAutospacing="0" w:line="580" w:lineRule="exact"/>
        <w:ind w:left="0" w:firstLine="643" w:firstLineChars="200"/>
        <w:jc w:val="both"/>
        <w:textAlignment w:val="auto"/>
        <w:rPr>
          <w:rFonts w:hint="eastAsia" w:ascii="仿宋_GB2312" w:hAnsi="仿宋_GB2312" w:eastAsia="仿宋_GB2312" w:cs="仿宋_GB2312"/>
          <w:sz w:val="32"/>
          <w:szCs w:val="32"/>
          <w:highlight w:val="none"/>
          <w:lang w:bidi="ar"/>
        </w:rPr>
      </w:pPr>
      <w:r>
        <w:rPr>
          <w:rFonts w:hint="eastAsia" w:ascii="仿宋_GB2312" w:hAnsi="仿宋_GB2312" w:eastAsia="仿宋_GB2312" w:cs="仿宋_GB2312"/>
          <w:b/>
          <w:bCs/>
          <w:sz w:val="32"/>
          <w:szCs w:val="32"/>
          <w:highlight w:val="none"/>
          <w:lang w:bidi="ar"/>
        </w:rPr>
        <w:t>2.</w:t>
      </w:r>
      <w:r>
        <w:rPr>
          <w:rFonts w:hint="eastAsia" w:ascii="仿宋_GB2312" w:hAnsi="仿宋_GB2312" w:eastAsia="仿宋_GB2312" w:cs="仿宋_GB2312"/>
          <w:b/>
          <w:bCs/>
          <w:sz w:val="32"/>
          <w:szCs w:val="32"/>
          <w:highlight w:val="none"/>
          <w:lang w:val="en-US" w:eastAsia="zh-CN" w:bidi="ar"/>
        </w:rPr>
        <w:t>扩大</w:t>
      </w:r>
      <w:r>
        <w:rPr>
          <w:rFonts w:hint="eastAsia" w:ascii="仿宋_GB2312" w:hAnsi="仿宋_GB2312" w:eastAsia="仿宋_GB2312" w:cs="仿宋_GB2312"/>
          <w:b/>
          <w:bCs/>
          <w:sz w:val="32"/>
          <w:szCs w:val="32"/>
          <w:highlight w:val="none"/>
          <w:lang w:bidi="ar"/>
        </w:rPr>
        <w:t>妇女</w:t>
      </w:r>
      <w:r>
        <w:rPr>
          <w:rFonts w:hint="eastAsia" w:ascii="仿宋_GB2312" w:hAnsi="仿宋_GB2312" w:eastAsia="仿宋_GB2312" w:cs="仿宋_GB2312"/>
          <w:b/>
          <w:bCs/>
          <w:sz w:val="32"/>
          <w:szCs w:val="32"/>
          <w:highlight w:val="none"/>
          <w:lang w:val="en-US" w:eastAsia="zh-CN" w:bidi="ar"/>
        </w:rPr>
        <w:t>需求的</w:t>
      </w:r>
      <w:r>
        <w:rPr>
          <w:rFonts w:hint="eastAsia" w:ascii="仿宋_GB2312" w:hAnsi="仿宋_GB2312" w:eastAsia="仿宋_GB2312" w:cs="仿宋_GB2312"/>
          <w:b/>
          <w:bCs/>
          <w:sz w:val="32"/>
          <w:szCs w:val="32"/>
          <w:highlight w:val="none"/>
          <w:lang w:bidi="ar"/>
        </w:rPr>
        <w:t>公共设施建设和优质服务供给。</w:t>
      </w:r>
      <w:r>
        <w:rPr>
          <w:rFonts w:hint="eastAsia" w:ascii="仿宋_GB2312" w:hAnsi="仿宋_GB2312" w:eastAsia="仿宋_GB2312" w:cs="仿宋_GB2312"/>
          <w:b w:val="0"/>
          <w:bCs w:val="0"/>
          <w:sz w:val="32"/>
          <w:szCs w:val="32"/>
          <w:highlight w:val="none"/>
          <w:lang w:val="en-US" w:eastAsia="zh-CN" w:bidi="ar"/>
        </w:rPr>
        <w:t>宣传推广公共场所设置母婴设施，引导用人单位设置母婴室，落实市级卫生健康部门相关工作要求。</w:t>
      </w:r>
      <w:r>
        <w:rPr>
          <w:rFonts w:hint="eastAsia" w:ascii="仿宋_GB2312" w:hAnsi="仿宋_GB2312" w:eastAsia="仿宋_GB2312" w:cs="仿宋_GB2312"/>
          <w:sz w:val="32"/>
          <w:szCs w:val="32"/>
          <w:highlight w:val="none"/>
        </w:rPr>
        <w:t>推</w:t>
      </w:r>
      <w:r>
        <w:rPr>
          <w:rFonts w:hint="eastAsia" w:ascii="仿宋_GB2312" w:hAnsi="仿宋_GB2312" w:eastAsia="仿宋_GB2312" w:cs="仿宋_GB2312"/>
          <w:sz w:val="32"/>
          <w:szCs w:val="32"/>
          <w:highlight w:val="none"/>
          <w:lang w:val="en-US" w:eastAsia="zh-CN"/>
        </w:rPr>
        <w:t>进</w:t>
      </w:r>
      <w:r>
        <w:rPr>
          <w:rFonts w:hint="eastAsia" w:ascii="仿宋_GB2312" w:hAnsi="仿宋_GB2312" w:eastAsia="仿宋_GB2312" w:cs="仿宋_GB2312"/>
          <w:sz w:val="32"/>
          <w:szCs w:val="32"/>
          <w:highlight w:val="none"/>
        </w:rPr>
        <w:t>大型商业网点、旅游休闲场所等家庭卫生间建设，</w:t>
      </w:r>
      <w:r>
        <w:rPr>
          <w:rFonts w:hint="eastAsia" w:ascii="仿宋_GB2312" w:hAnsi="仿宋_GB2312" w:eastAsia="仿宋_GB2312" w:cs="仿宋_GB2312"/>
          <w:sz w:val="32"/>
          <w:szCs w:val="32"/>
          <w:highlight w:val="none"/>
          <w:lang w:val="en-US" w:eastAsia="zh-CN" w:bidi="ar"/>
        </w:rPr>
        <w:t>促进</w:t>
      </w:r>
      <w:r>
        <w:rPr>
          <w:rFonts w:hint="eastAsia" w:ascii="仿宋_GB2312" w:hAnsi="仿宋_GB2312" w:eastAsia="仿宋_GB2312" w:cs="仿宋_GB2312"/>
          <w:sz w:val="32"/>
          <w:szCs w:val="32"/>
          <w:highlight w:val="none"/>
          <w:lang w:bidi="ar"/>
        </w:rPr>
        <w:t>男女厕位比例规范化建设。</w:t>
      </w:r>
      <w:r>
        <w:rPr>
          <w:rFonts w:hint="eastAsia" w:ascii="仿宋_GB2312" w:hAnsi="仿宋_GB2312" w:eastAsia="仿宋_GB2312" w:cs="仿宋_GB2312"/>
          <w:sz w:val="32"/>
          <w:szCs w:val="32"/>
          <w:highlight w:val="none"/>
        </w:rPr>
        <w:t>应急物资储备优先保障妇女卫生清洁用品、孕产妇及婴幼儿用品等供给。</w:t>
      </w:r>
      <w:r>
        <w:rPr>
          <w:rFonts w:hint="eastAsia" w:ascii="仿宋_GB2312" w:hAnsi="仿宋_GB2312" w:eastAsia="仿宋_GB2312" w:cs="仿宋_GB2312"/>
          <w:color w:val="000000"/>
          <w:kern w:val="2"/>
          <w:sz w:val="32"/>
          <w:szCs w:val="32"/>
          <w:highlight w:val="none"/>
          <w:lang w:bidi="ar"/>
        </w:rPr>
        <w:t>丰富“文商旅体展”优质服务供给，</w:t>
      </w:r>
      <w:r>
        <w:rPr>
          <w:rFonts w:hint="eastAsia" w:ascii="仿宋_GB2312" w:hAnsi="仿宋_GB2312" w:eastAsia="仿宋_GB2312" w:cs="仿宋_GB2312"/>
          <w:color w:val="000000"/>
          <w:sz w:val="32"/>
          <w:szCs w:val="32"/>
          <w:highlight w:val="none"/>
          <w:lang w:bidi="ar"/>
        </w:rPr>
        <w:t>满足妇女高品质生活需求。</w:t>
      </w:r>
    </w:p>
    <w:p w14:paraId="2DD4C6CC">
      <w:pPr>
        <w:pStyle w:val="17"/>
        <w:keepNext w:val="0"/>
        <w:keepLines w:val="0"/>
        <w:pageBreakBefore w:val="0"/>
        <w:widowControl w:val="0"/>
        <w:shd w:val="clear"/>
        <w:kinsoku/>
        <w:wordWrap/>
        <w:overflowPunct/>
        <w:topLinePunct w:val="0"/>
        <w:autoSpaceDN/>
        <w:bidi w:val="0"/>
        <w:adjustRightInd w:val="0"/>
        <w:snapToGrid w:val="0"/>
        <w:spacing w:before="0" w:beforeAutospacing="0" w:after="0" w:afterAutospacing="0" w:line="580" w:lineRule="exact"/>
        <w:ind w:left="0" w:firstLine="643" w:firstLineChars="200"/>
        <w:jc w:val="both"/>
        <w:textAlignment w:val="auto"/>
        <w:rPr>
          <w:rFonts w:hint="eastAsia" w:ascii="仿宋_GB2312" w:hAnsi="仿宋_GB2312" w:eastAsia="仿宋_GB2312" w:cs="仿宋_GB2312"/>
          <w:sz w:val="32"/>
          <w:szCs w:val="32"/>
          <w:highlight w:val="none"/>
          <w:lang w:bidi="ar"/>
        </w:rPr>
      </w:pPr>
      <w:r>
        <w:rPr>
          <w:rFonts w:hint="eastAsia" w:ascii="仿宋_GB2312" w:hAnsi="仿宋_GB2312" w:eastAsia="仿宋_GB2312" w:cs="仿宋_GB2312"/>
          <w:b/>
          <w:bCs/>
          <w:sz w:val="32"/>
          <w:szCs w:val="32"/>
          <w:highlight w:val="none"/>
          <w:lang w:bidi="ar"/>
        </w:rPr>
        <w:t>3.支持妇女共建共治共享美丽昌平</w:t>
      </w:r>
      <w:r>
        <w:rPr>
          <w:rFonts w:hint="eastAsia" w:ascii="仿宋_GB2312" w:hAnsi="仿宋_GB2312" w:eastAsia="仿宋_GB2312" w:cs="仿宋_GB2312"/>
          <w:b/>
          <w:bCs/>
          <w:sz w:val="32"/>
          <w:szCs w:val="32"/>
          <w:highlight w:val="none"/>
          <w:lang w:eastAsia="zh-CN" w:bidi="ar"/>
        </w:rPr>
        <w:t>。</w:t>
      </w:r>
      <w:r>
        <w:rPr>
          <w:rFonts w:hint="eastAsia" w:ascii="仿宋_GB2312" w:hAnsi="仿宋_GB2312" w:eastAsia="仿宋_GB2312" w:cs="仿宋_GB2312"/>
          <w:color w:val="000000"/>
          <w:sz w:val="32"/>
          <w:szCs w:val="32"/>
          <w:highlight w:val="none"/>
          <w:lang w:bidi="ar"/>
        </w:rPr>
        <w:t>强化生态环境治理，有效减少环境污染。引导妇女积极践行节能减排、绿色消费和低碳生活。深化妇女对外交流合作。积极</w:t>
      </w:r>
      <w:r>
        <w:rPr>
          <w:rFonts w:hint="eastAsia" w:ascii="仿宋_GB2312" w:hAnsi="仿宋_GB2312" w:eastAsia="仿宋_GB2312" w:cs="仿宋_GB2312"/>
          <w:sz w:val="32"/>
          <w:szCs w:val="32"/>
          <w:highlight w:val="none"/>
          <w:lang w:bidi="ar"/>
        </w:rPr>
        <w:t>参与实施民生发展领域“小而美”援助项目，</w:t>
      </w:r>
      <w:r>
        <w:rPr>
          <w:rFonts w:hint="eastAsia" w:ascii="仿宋_GB2312" w:hAnsi="仿宋_GB2312" w:eastAsia="仿宋_GB2312" w:cs="仿宋_GB2312"/>
          <w:bCs/>
          <w:sz w:val="32"/>
          <w:szCs w:val="32"/>
          <w:highlight w:val="none"/>
        </w:rPr>
        <w:t>推动各界妇女领军人才参与国际交流活动，</w:t>
      </w:r>
      <w:r>
        <w:rPr>
          <w:rFonts w:hint="eastAsia" w:ascii="仿宋_GB2312" w:hAnsi="仿宋_GB2312" w:eastAsia="仿宋_GB2312" w:cs="仿宋_GB2312"/>
          <w:color w:val="000000"/>
          <w:sz w:val="32"/>
          <w:szCs w:val="32"/>
          <w:highlight w:val="none"/>
          <w:lang w:bidi="ar"/>
        </w:rPr>
        <w:t>不断提升妇女民间外交能力和水平。</w:t>
      </w:r>
      <w:bookmarkStart w:id="14" w:name="OLE_LINK40"/>
    </w:p>
    <w:p w14:paraId="6E052EC0">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（八）</w:t>
      </w:r>
      <w:bookmarkStart w:id="15" w:name="_Toc928069539_WPSOffice_Level2"/>
      <w:bookmarkStart w:id="16" w:name="_Toc247185597_WPSOffice_Level2"/>
      <w:r>
        <w:rPr>
          <w:rFonts w:hint="eastAsia" w:ascii="方正楷体_GB2312" w:hAnsi="方正楷体_GB2312" w:eastAsia="方正楷体_GB2312" w:cs="方正楷体_GB2312"/>
          <w:b/>
          <w:sz w:val="32"/>
          <w:szCs w:val="32"/>
          <w:highlight w:val="none"/>
        </w:rPr>
        <w:t>提高妇女权益</w:t>
      </w:r>
      <w:r>
        <w:rPr>
          <w:rFonts w:hint="eastAsia" w:ascii="方正楷体_GB2312" w:hAnsi="方正楷体_GB2312" w:eastAsia="方正楷体_GB2312" w:cs="方正楷体_GB2312"/>
          <w:b/>
          <w:sz w:val="32"/>
          <w:szCs w:val="32"/>
          <w:highlight w:val="none"/>
          <w:lang w:val="en-US" w:eastAsia="zh-CN"/>
        </w:rPr>
        <w:t>保障的</w:t>
      </w:r>
      <w:r>
        <w:rPr>
          <w:rFonts w:hint="eastAsia" w:ascii="方正楷体_GB2312" w:hAnsi="方正楷体_GB2312" w:eastAsia="方正楷体_GB2312" w:cs="方正楷体_GB2312"/>
          <w:b/>
          <w:sz w:val="32"/>
          <w:szCs w:val="32"/>
          <w:highlight w:val="none"/>
        </w:rPr>
        <w:t>法治</w:t>
      </w:r>
      <w:bookmarkEnd w:id="15"/>
      <w:bookmarkEnd w:id="16"/>
      <w:r>
        <w:rPr>
          <w:rFonts w:hint="eastAsia" w:ascii="方正楷体_GB2312" w:hAnsi="方正楷体_GB2312" w:eastAsia="方正楷体_GB2312" w:cs="方正楷体_GB2312"/>
          <w:b/>
          <w:sz w:val="32"/>
          <w:szCs w:val="32"/>
          <w:highlight w:val="none"/>
        </w:rPr>
        <w:t>水平</w:t>
      </w:r>
    </w:p>
    <w:p w14:paraId="1A90B381">
      <w:pPr>
        <w:keepNext w:val="0"/>
        <w:keepLines w:val="0"/>
        <w:pageBreakBefore w:val="0"/>
        <w:widowControl w:val="0"/>
        <w:shd w:val="clear"/>
        <w:kinsoku/>
        <w:wordWrap/>
        <w:overflowPunct/>
        <w:topLinePunct w:val="0"/>
        <w:autoSpaceDN/>
        <w:bidi w:val="0"/>
        <w:snapToGrid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lang w:bidi="ar"/>
        </w:rPr>
      </w:pPr>
      <w:r>
        <w:rPr>
          <w:rFonts w:hint="eastAsia" w:ascii="仿宋_GB2312" w:hAnsi="仿宋_GB2312" w:eastAsia="仿宋_GB2312" w:cs="仿宋_GB2312"/>
          <w:b/>
          <w:bCs/>
          <w:sz w:val="32"/>
          <w:szCs w:val="32"/>
          <w:highlight w:val="none"/>
        </w:rPr>
        <w:t>1.</w:t>
      </w:r>
      <w:r>
        <w:rPr>
          <w:rFonts w:hint="eastAsia" w:ascii="仿宋_GB2312" w:hAnsi="仿宋_GB2312" w:eastAsia="仿宋_GB2312" w:cs="仿宋_GB2312"/>
          <w:b/>
          <w:bCs/>
          <w:color w:val="000000"/>
          <w:kern w:val="0"/>
          <w:sz w:val="32"/>
          <w:szCs w:val="32"/>
          <w:highlight w:val="none"/>
          <w:lang w:val="en-US" w:eastAsia="zh-CN" w:bidi="ar"/>
        </w:rPr>
        <w:t>健全</w:t>
      </w:r>
      <w:r>
        <w:rPr>
          <w:rFonts w:hint="eastAsia" w:ascii="仿宋_GB2312" w:hAnsi="仿宋_GB2312" w:eastAsia="仿宋_GB2312" w:cs="仿宋_GB2312"/>
          <w:b/>
          <w:bCs/>
          <w:color w:val="000000"/>
          <w:kern w:val="0"/>
          <w:sz w:val="32"/>
          <w:szCs w:val="32"/>
          <w:highlight w:val="none"/>
          <w:lang w:bidi="ar"/>
        </w:rPr>
        <w:t>保障妇女权益的工作机制。</w:t>
      </w:r>
      <w:r>
        <w:rPr>
          <w:rFonts w:hint="eastAsia" w:ascii="仿宋_GB2312" w:hAnsi="仿宋_GB2312" w:eastAsia="仿宋_GB2312" w:cs="仿宋_GB2312"/>
          <w:color w:val="000000"/>
          <w:kern w:val="0"/>
          <w:sz w:val="32"/>
          <w:szCs w:val="32"/>
          <w:highlight w:val="none"/>
          <w:lang w:bidi="ar"/>
        </w:rPr>
        <w:t>将男女平等基本国策贯彻落实到法治昌平建设全过程，完善保障妇女权益的法规政策体系。</w:t>
      </w:r>
      <w:r>
        <w:rPr>
          <w:rFonts w:hint="eastAsia" w:ascii="仿宋_GB2312" w:hAnsi="仿宋_GB2312" w:eastAsia="仿宋_GB2312" w:cs="仿宋_GB2312"/>
          <w:sz w:val="32"/>
          <w:szCs w:val="32"/>
          <w:highlight w:val="none"/>
        </w:rPr>
        <w:t>加强执法司法协作</w:t>
      </w:r>
      <w:r>
        <w:rPr>
          <w:rFonts w:hint="eastAsia" w:ascii="仿宋_GB2312" w:hAnsi="仿宋_GB2312" w:eastAsia="仿宋_GB2312" w:cs="仿宋_GB2312"/>
          <w:color w:val="000000"/>
          <w:kern w:val="0"/>
          <w:sz w:val="32"/>
          <w:szCs w:val="32"/>
          <w:highlight w:val="none"/>
          <w:lang w:bidi="ar"/>
        </w:rPr>
        <w:t>，</w:t>
      </w:r>
      <w:r>
        <w:rPr>
          <w:rFonts w:hint="eastAsia" w:ascii="仿宋_GB2312" w:hAnsi="仿宋_GB2312" w:eastAsia="仿宋_GB2312" w:cs="仿宋_GB2312"/>
          <w:sz w:val="32"/>
          <w:szCs w:val="32"/>
          <w:highlight w:val="none"/>
        </w:rPr>
        <w:t>有效</w:t>
      </w:r>
      <w:r>
        <w:rPr>
          <w:rFonts w:hint="eastAsia" w:ascii="仿宋_GB2312" w:hAnsi="仿宋_GB2312" w:eastAsia="仿宋_GB2312" w:cs="仿宋_GB2312"/>
          <w:color w:val="000000"/>
          <w:kern w:val="0"/>
          <w:sz w:val="32"/>
          <w:szCs w:val="32"/>
          <w:highlight w:val="none"/>
          <w:lang w:bidi="ar"/>
        </w:rPr>
        <w:t>落实</w:t>
      </w:r>
      <w:r>
        <w:rPr>
          <w:rFonts w:hint="eastAsia" w:ascii="仿宋_GB2312" w:hAnsi="仿宋_GB2312" w:eastAsia="仿宋_GB2312" w:cs="仿宋_GB2312"/>
          <w:kern w:val="0"/>
          <w:sz w:val="32"/>
          <w:szCs w:val="32"/>
          <w:highlight w:val="none"/>
          <w:lang w:bidi="ar"/>
        </w:rPr>
        <w:t>妇女权益保障检察公益诉讼制度，</w:t>
      </w:r>
      <w:r>
        <w:rPr>
          <w:rFonts w:hint="eastAsia" w:ascii="仿宋_GB2312" w:hAnsi="仿宋_GB2312" w:eastAsia="仿宋_GB2312" w:cs="仿宋_GB2312"/>
          <w:sz w:val="32"/>
          <w:szCs w:val="32"/>
          <w:highlight w:val="none"/>
        </w:rPr>
        <w:t>畅通全流程维权绿色通道</w:t>
      </w:r>
      <w:r>
        <w:rPr>
          <w:rFonts w:hint="eastAsia" w:ascii="仿宋_GB2312" w:hAnsi="仿宋_GB2312" w:eastAsia="仿宋_GB2312" w:cs="仿宋_GB2312"/>
          <w:kern w:val="0"/>
          <w:sz w:val="32"/>
          <w:szCs w:val="32"/>
          <w:highlight w:val="none"/>
          <w:lang w:bidi="ar"/>
        </w:rPr>
        <w:t>。</w:t>
      </w:r>
      <w:r>
        <w:rPr>
          <w:rFonts w:hint="eastAsia" w:ascii="仿宋_GB2312" w:hAnsi="仿宋_GB2312" w:eastAsia="仿宋_GB2312" w:cs="仿宋_GB2312"/>
          <w:kern w:val="0"/>
          <w:sz w:val="32"/>
          <w:szCs w:val="32"/>
          <w:highlight w:val="none"/>
          <w:lang w:val="en-US" w:eastAsia="zh-CN" w:bidi="ar"/>
        </w:rPr>
        <w:t>持续</w:t>
      </w:r>
      <w:r>
        <w:rPr>
          <w:rFonts w:hint="eastAsia" w:ascii="仿宋_GB2312" w:hAnsi="仿宋_GB2312" w:eastAsia="仿宋_GB2312" w:cs="仿宋_GB2312"/>
          <w:color w:val="000000"/>
          <w:kern w:val="0"/>
          <w:sz w:val="32"/>
          <w:szCs w:val="32"/>
          <w:highlight w:val="none"/>
          <w:lang w:bidi="ar"/>
        </w:rPr>
        <w:t>完善法规政策性别平等评估机制。</w:t>
      </w:r>
    </w:p>
    <w:p w14:paraId="3B430BF2">
      <w:pPr>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kern w:val="0"/>
          <w:sz w:val="32"/>
          <w:szCs w:val="32"/>
          <w:highlight w:val="none"/>
          <w:lang w:bidi="ar"/>
        </w:rPr>
        <w:t>2.有效预防和严厉惩治针对妇女的暴力。</w:t>
      </w:r>
      <w:r>
        <w:rPr>
          <w:rFonts w:hint="eastAsia" w:ascii="仿宋_GB2312" w:hAnsi="仿宋_GB2312" w:eastAsia="仿宋_GB2312" w:cs="仿宋_GB2312"/>
          <w:sz w:val="32"/>
          <w:szCs w:val="32"/>
          <w:highlight w:val="none"/>
        </w:rPr>
        <w:t>严厉打击惩治虐待、拐卖、强奸、强制猥亵等</w:t>
      </w:r>
      <w:r>
        <w:rPr>
          <w:rFonts w:hint="eastAsia" w:ascii="仿宋_GB2312" w:hAnsi="仿宋_GB2312" w:eastAsia="仿宋_GB2312" w:cs="仿宋_GB2312"/>
          <w:kern w:val="0"/>
          <w:sz w:val="32"/>
          <w:szCs w:val="32"/>
          <w:highlight w:val="none"/>
          <w:lang w:bidi="ar"/>
        </w:rPr>
        <w:t>严重侵害妇女权益</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kern w:val="0"/>
          <w:sz w:val="32"/>
          <w:szCs w:val="32"/>
          <w:highlight w:val="none"/>
          <w:lang w:bidi="ar"/>
        </w:rPr>
        <w:t>违法犯罪行为。严格落实从业禁止制度。完善预防和制止家庭暴力多部门合作机制，</w:t>
      </w:r>
      <w:r>
        <w:rPr>
          <w:rFonts w:hint="eastAsia" w:ascii="仿宋_GB2312" w:hAnsi="仿宋_GB2312" w:eastAsia="仿宋_GB2312" w:cs="仿宋_GB2312"/>
          <w:kern w:val="0"/>
          <w:sz w:val="32"/>
          <w:szCs w:val="32"/>
          <w:highlight w:val="none"/>
          <w:lang w:val="en-US" w:eastAsia="zh-CN" w:bidi="ar"/>
        </w:rPr>
        <w:t>全面落实</w:t>
      </w:r>
      <w:r>
        <w:rPr>
          <w:rFonts w:hint="eastAsia" w:ascii="仿宋_GB2312" w:hAnsi="仿宋_GB2312" w:eastAsia="仿宋_GB2312" w:cs="仿宋_GB2312"/>
          <w:kern w:val="0"/>
          <w:sz w:val="32"/>
          <w:szCs w:val="32"/>
          <w:highlight w:val="none"/>
          <w:lang w:bidi="ar"/>
        </w:rPr>
        <w:t>人</w:t>
      </w:r>
      <w:r>
        <w:rPr>
          <w:rFonts w:hint="eastAsia" w:ascii="仿宋_GB2312" w:hAnsi="仿宋_GB2312" w:eastAsia="仿宋_GB2312" w:cs="仿宋_GB2312"/>
          <w:sz w:val="32"/>
          <w:szCs w:val="32"/>
          <w:highlight w:val="none"/>
        </w:rPr>
        <w:t>身安全保护令制度。预防和严厉打击利用网络和人工智能技术对妇女实施</w:t>
      </w:r>
      <w:r>
        <w:rPr>
          <w:rFonts w:hint="eastAsia" w:ascii="仿宋_GB2312" w:hAnsi="仿宋_GB2312" w:eastAsia="仿宋_GB2312" w:cs="仿宋_GB2312"/>
          <w:sz w:val="32"/>
          <w:szCs w:val="32"/>
          <w:highlight w:val="none"/>
          <w:lang w:val="en-US" w:eastAsia="zh-CN"/>
        </w:rPr>
        <w:t>的</w:t>
      </w:r>
      <w:r>
        <w:rPr>
          <w:rFonts w:hint="eastAsia" w:ascii="仿宋_GB2312" w:hAnsi="仿宋_GB2312" w:eastAsia="仿宋_GB2312" w:cs="仿宋_GB2312"/>
          <w:sz w:val="32"/>
          <w:szCs w:val="32"/>
          <w:highlight w:val="none"/>
        </w:rPr>
        <w:t>违法犯罪行为。</w:t>
      </w:r>
      <w:r>
        <w:rPr>
          <w:rFonts w:hint="eastAsia" w:ascii="仿宋_GB2312" w:hAnsi="仿宋_GB2312" w:eastAsia="仿宋_GB2312" w:cs="仿宋_GB2312"/>
          <w:kern w:val="0"/>
          <w:sz w:val="32"/>
          <w:szCs w:val="32"/>
          <w:highlight w:val="none"/>
          <w:lang w:bidi="ar"/>
        </w:rPr>
        <w:t>推动用人单位、学校等健全</w:t>
      </w:r>
      <w:r>
        <w:rPr>
          <w:rFonts w:hint="eastAsia" w:ascii="仿宋_GB2312" w:hAnsi="仿宋_GB2312" w:eastAsia="仿宋_GB2312" w:cs="仿宋_GB2312"/>
          <w:sz w:val="32"/>
          <w:szCs w:val="32"/>
          <w:highlight w:val="none"/>
        </w:rPr>
        <w:t>防治性骚扰工作机制</w:t>
      </w:r>
      <w:r>
        <w:rPr>
          <w:rFonts w:hint="eastAsia" w:ascii="仿宋_GB2312" w:hAnsi="仿宋_GB2312" w:eastAsia="仿宋_GB2312" w:cs="仿宋_GB2312"/>
          <w:kern w:val="0"/>
          <w:sz w:val="32"/>
          <w:szCs w:val="32"/>
          <w:highlight w:val="none"/>
          <w:lang w:bidi="ar"/>
        </w:rPr>
        <w:t>。</w:t>
      </w:r>
      <w:r>
        <w:rPr>
          <w:rFonts w:hint="eastAsia" w:ascii="仿宋_GB2312" w:hAnsi="仿宋_GB2312" w:eastAsia="仿宋_GB2312" w:cs="仿宋_GB2312"/>
          <w:kern w:val="0"/>
          <w:sz w:val="32"/>
          <w:szCs w:val="32"/>
          <w:highlight w:val="none"/>
          <w:lang w:val="en-US" w:eastAsia="zh-CN" w:bidi="ar"/>
        </w:rPr>
        <w:t>有效防治</w:t>
      </w:r>
      <w:r>
        <w:rPr>
          <w:rFonts w:hint="eastAsia" w:ascii="仿宋_GB2312" w:hAnsi="仿宋_GB2312" w:eastAsia="仿宋_GB2312" w:cs="仿宋_GB2312"/>
          <w:sz w:val="32"/>
          <w:szCs w:val="32"/>
          <w:highlight w:val="none"/>
        </w:rPr>
        <w:t>公交、车站、商场等公共场所的性骚扰。</w:t>
      </w:r>
    </w:p>
    <w:p w14:paraId="0FEA3B51">
      <w:pPr>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lang w:bidi="ar"/>
        </w:rPr>
      </w:pPr>
      <w:r>
        <w:rPr>
          <w:rFonts w:hint="eastAsia" w:ascii="仿宋_GB2312" w:hAnsi="仿宋_GB2312" w:eastAsia="仿宋_GB2312" w:cs="仿宋_GB2312"/>
          <w:b/>
          <w:bCs/>
          <w:kern w:val="0"/>
          <w:sz w:val="32"/>
          <w:szCs w:val="32"/>
          <w:highlight w:val="none"/>
          <w:lang w:bidi="ar"/>
        </w:rPr>
        <w:t>3.</w:t>
      </w:r>
      <w:r>
        <w:rPr>
          <w:rFonts w:hint="eastAsia" w:ascii="仿宋_GB2312" w:hAnsi="仿宋_GB2312" w:eastAsia="仿宋_GB2312" w:cs="仿宋_GB2312"/>
          <w:b/>
          <w:bCs/>
          <w:sz w:val="32"/>
          <w:szCs w:val="32"/>
          <w:highlight w:val="none"/>
        </w:rPr>
        <w:t>依法保障妇女婚姻家庭和财产权益。</w:t>
      </w:r>
      <w:r>
        <w:rPr>
          <w:rFonts w:hint="eastAsia" w:ascii="仿宋_GB2312" w:hAnsi="仿宋_GB2312" w:eastAsia="仿宋_GB2312" w:cs="仿宋_GB2312"/>
          <w:sz w:val="32"/>
          <w:szCs w:val="32"/>
          <w:highlight w:val="none"/>
        </w:rPr>
        <w:t>依法妥善审理婚姻家庭纠纷案件，</w:t>
      </w:r>
      <w:r>
        <w:rPr>
          <w:rFonts w:hint="eastAsia" w:ascii="仿宋_GB2312" w:hAnsi="仿宋_GB2312" w:eastAsia="仿宋_GB2312" w:cs="仿宋_GB2312"/>
          <w:color w:val="000000"/>
          <w:kern w:val="0"/>
          <w:sz w:val="32"/>
          <w:szCs w:val="32"/>
          <w:highlight w:val="none"/>
          <w:lang w:bidi="ar"/>
        </w:rPr>
        <w:t>保障离婚时负担较多家庭义务的妇女获得补偿、无过错妇女依法获得损害赔偿。保障妇女平等享有家庭共有财产</w:t>
      </w:r>
      <w:r>
        <w:rPr>
          <w:rFonts w:hint="eastAsia" w:ascii="仿宋_GB2312" w:hAnsi="仿宋_GB2312" w:eastAsia="仿宋_GB2312" w:cs="仿宋_GB2312"/>
          <w:color w:val="000000"/>
          <w:kern w:val="0"/>
          <w:sz w:val="32"/>
          <w:szCs w:val="32"/>
          <w:highlight w:val="none"/>
          <w:lang w:eastAsia="zh-CN" w:bidi="ar"/>
        </w:rPr>
        <w:t>的</w:t>
      </w:r>
      <w:r>
        <w:rPr>
          <w:rFonts w:hint="eastAsia" w:ascii="仿宋_GB2312" w:hAnsi="仿宋_GB2312" w:eastAsia="仿宋_GB2312" w:cs="仿宋_GB2312"/>
          <w:color w:val="000000"/>
          <w:kern w:val="0"/>
          <w:sz w:val="32"/>
          <w:szCs w:val="32"/>
          <w:highlight w:val="none"/>
          <w:lang w:bidi="ar"/>
        </w:rPr>
        <w:t>占有、使用、收益和处分</w:t>
      </w:r>
      <w:r>
        <w:rPr>
          <w:rFonts w:hint="eastAsia" w:ascii="仿宋_GB2312" w:hAnsi="仿宋_GB2312" w:eastAsia="仿宋_GB2312" w:cs="仿宋_GB2312"/>
          <w:color w:val="000000"/>
          <w:kern w:val="0"/>
          <w:sz w:val="32"/>
          <w:szCs w:val="32"/>
          <w:highlight w:val="none"/>
          <w:lang w:eastAsia="zh-CN" w:bidi="ar"/>
        </w:rPr>
        <w:t>，以及</w:t>
      </w:r>
      <w:r>
        <w:rPr>
          <w:rFonts w:hint="eastAsia" w:ascii="仿宋_GB2312" w:hAnsi="仿宋_GB2312" w:eastAsia="仿宋_GB2312" w:cs="仿宋_GB2312"/>
          <w:color w:val="000000"/>
          <w:kern w:val="0"/>
          <w:sz w:val="32"/>
          <w:szCs w:val="32"/>
          <w:highlight w:val="none"/>
          <w:lang w:bidi="ar"/>
        </w:rPr>
        <w:t>夫妻相互继承遗产、子女平等继承遗产的权</w:t>
      </w:r>
      <w:r>
        <w:rPr>
          <w:rFonts w:hint="eastAsia" w:ascii="仿宋_GB2312" w:hAnsi="仿宋_GB2312" w:eastAsia="仿宋_GB2312" w:cs="仿宋_GB2312"/>
          <w:color w:val="000000"/>
          <w:kern w:val="0"/>
          <w:sz w:val="32"/>
          <w:szCs w:val="32"/>
          <w:highlight w:val="none"/>
          <w:lang w:val="en-US" w:eastAsia="zh-CN" w:bidi="ar"/>
        </w:rPr>
        <w:t>益</w:t>
      </w:r>
      <w:r>
        <w:rPr>
          <w:rFonts w:hint="eastAsia" w:ascii="仿宋_GB2312" w:hAnsi="仿宋_GB2312" w:eastAsia="仿宋_GB2312" w:cs="仿宋_GB2312"/>
          <w:color w:val="000000"/>
          <w:kern w:val="0"/>
          <w:sz w:val="32"/>
          <w:szCs w:val="32"/>
          <w:highlight w:val="none"/>
          <w:lang w:bidi="ar"/>
        </w:rPr>
        <w:t>。</w:t>
      </w:r>
      <w:r>
        <w:rPr>
          <w:rFonts w:hint="eastAsia" w:ascii="仿宋_GB2312" w:hAnsi="仿宋_GB2312" w:eastAsia="仿宋_GB2312" w:cs="仿宋_GB2312"/>
          <w:color w:val="000000"/>
          <w:kern w:val="0"/>
          <w:sz w:val="32"/>
          <w:szCs w:val="32"/>
          <w:highlight w:val="none"/>
          <w:lang w:val="en-US" w:eastAsia="zh-CN" w:bidi="ar"/>
        </w:rPr>
        <w:t>保障妇女在</w:t>
      </w:r>
      <w:r>
        <w:rPr>
          <w:rFonts w:hint="eastAsia" w:ascii="仿宋_GB2312" w:hAnsi="仿宋_GB2312" w:eastAsia="仿宋_GB2312" w:cs="仿宋_GB2312"/>
          <w:color w:val="000000"/>
          <w:kern w:val="0"/>
          <w:sz w:val="32"/>
          <w:szCs w:val="32"/>
          <w:highlight w:val="none"/>
          <w:lang w:bidi="ar"/>
        </w:rPr>
        <w:t>认定和清偿夫妻共同债务</w:t>
      </w:r>
      <w:r>
        <w:rPr>
          <w:rFonts w:hint="eastAsia" w:ascii="仿宋_GB2312" w:hAnsi="仿宋_GB2312" w:eastAsia="仿宋_GB2312" w:cs="仿宋_GB2312"/>
          <w:color w:val="000000"/>
          <w:kern w:val="0"/>
          <w:sz w:val="32"/>
          <w:szCs w:val="32"/>
          <w:highlight w:val="none"/>
          <w:lang w:val="en-US" w:eastAsia="zh-CN" w:bidi="ar"/>
        </w:rPr>
        <w:t>中的</w:t>
      </w:r>
      <w:r>
        <w:rPr>
          <w:rFonts w:hint="eastAsia" w:ascii="仿宋_GB2312" w:hAnsi="仿宋_GB2312" w:eastAsia="仿宋_GB2312" w:cs="仿宋_GB2312"/>
          <w:color w:val="000000"/>
          <w:kern w:val="0"/>
          <w:sz w:val="32"/>
          <w:szCs w:val="32"/>
          <w:highlight w:val="none"/>
          <w:lang w:bidi="ar"/>
        </w:rPr>
        <w:t>合法权益。</w:t>
      </w:r>
    </w:p>
    <w:p w14:paraId="1CAF32E2">
      <w:pPr>
        <w:keepNext w:val="0"/>
        <w:keepLines w:val="0"/>
        <w:pageBreakBefore w:val="0"/>
        <w:widowControl w:val="0"/>
        <w:shd w:val="clear"/>
        <w:kinsoku/>
        <w:wordWrap/>
        <w:overflowPunct/>
        <w:topLinePunct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lang w:bidi="ar"/>
        </w:rPr>
      </w:pPr>
      <w:r>
        <w:rPr>
          <w:rFonts w:hint="eastAsia" w:ascii="仿宋_GB2312" w:hAnsi="仿宋_GB2312" w:eastAsia="仿宋_GB2312" w:cs="仿宋_GB2312"/>
          <w:b/>
          <w:bCs/>
          <w:kern w:val="0"/>
          <w:sz w:val="32"/>
          <w:szCs w:val="32"/>
          <w:highlight w:val="none"/>
          <w:lang w:bidi="ar"/>
        </w:rPr>
        <w:t>4.强</w:t>
      </w:r>
      <w:r>
        <w:rPr>
          <w:rFonts w:hint="eastAsia" w:ascii="仿宋_GB2312" w:hAnsi="仿宋_GB2312" w:eastAsia="仿宋_GB2312" w:cs="仿宋_GB2312"/>
          <w:b/>
          <w:bCs/>
          <w:kern w:val="0"/>
          <w:sz w:val="32"/>
          <w:szCs w:val="32"/>
          <w:highlight w:val="none"/>
          <w:lang w:val="en-US" w:eastAsia="zh-CN" w:bidi="ar"/>
        </w:rPr>
        <w:t>化</w:t>
      </w:r>
      <w:r>
        <w:rPr>
          <w:rFonts w:hint="eastAsia" w:ascii="仿宋_GB2312" w:hAnsi="仿宋_GB2312" w:eastAsia="仿宋_GB2312" w:cs="仿宋_GB2312"/>
          <w:b/>
          <w:bCs/>
          <w:kern w:val="0"/>
          <w:sz w:val="32"/>
          <w:szCs w:val="32"/>
          <w:highlight w:val="none"/>
          <w:lang w:bidi="ar"/>
        </w:rPr>
        <w:t>妇女法律援助、司法救助和法治宣传。</w:t>
      </w:r>
      <w:r>
        <w:rPr>
          <w:rFonts w:hint="eastAsia" w:ascii="仿宋_GB2312" w:hAnsi="仿宋_GB2312" w:eastAsia="仿宋_GB2312" w:cs="仿宋_GB2312"/>
          <w:kern w:val="0"/>
          <w:sz w:val="32"/>
          <w:szCs w:val="32"/>
          <w:highlight w:val="none"/>
          <w:lang w:bidi="ar"/>
        </w:rPr>
        <w:t>健全法律援助沟通协调机制，</w:t>
      </w:r>
      <w:r>
        <w:rPr>
          <w:rFonts w:hint="eastAsia" w:ascii="仿宋_GB2312" w:hAnsi="仿宋_GB2312" w:eastAsia="仿宋_GB2312" w:cs="仿宋_GB2312"/>
          <w:sz w:val="32"/>
          <w:szCs w:val="32"/>
          <w:highlight w:val="none"/>
        </w:rPr>
        <w:t>畅通法律援助申请渠道，</w:t>
      </w:r>
      <w:r>
        <w:rPr>
          <w:rFonts w:hint="eastAsia" w:ascii="仿宋_GB2312" w:hAnsi="仿宋_GB2312" w:eastAsia="仿宋_GB2312" w:cs="仿宋_GB2312"/>
          <w:kern w:val="0"/>
          <w:sz w:val="32"/>
          <w:szCs w:val="32"/>
          <w:highlight w:val="none"/>
          <w:lang w:bidi="ar"/>
        </w:rPr>
        <w:t>依法向困难妇女提供法律援助。完善司法救助与社会救助的协同衔接，确保司法案件中的困难妇女及时获得司法救助和多元帮扶。深入开展妇女法治素养提升行动。加强12338、12348等法律服务热线建设</w:t>
      </w:r>
      <w:bookmarkEnd w:id="14"/>
      <w:r>
        <w:rPr>
          <w:rFonts w:hint="eastAsia" w:ascii="仿宋_GB2312" w:hAnsi="仿宋_GB2312" w:eastAsia="仿宋_GB2312" w:cs="仿宋_GB2312"/>
          <w:kern w:val="0"/>
          <w:sz w:val="32"/>
          <w:szCs w:val="32"/>
          <w:highlight w:val="none"/>
          <w:lang w:bidi="ar"/>
        </w:rPr>
        <w:t>。</w:t>
      </w:r>
    </w:p>
    <w:p w14:paraId="3B2783C3">
      <w:pPr>
        <w:keepNext w:val="0"/>
        <w:keepLines w:val="0"/>
        <w:pageBreakBefore w:val="0"/>
        <w:widowControl w:val="0"/>
        <w:shd w:val="clear"/>
        <w:kinsoku/>
        <w:wordWrap/>
        <w:overflowPunct/>
        <w:topLinePunct w:val="0"/>
        <w:autoSpaceDE w:val="0"/>
        <w:autoSpaceDN/>
        <w:bidi w:val="0"/>
        <w:spacing w:line="580" w:lineRule="exact"/>
        <w:ind w:left="0" w:firstLine="640" w:firstLineChars="200"/>
        <w:jc w:val="both"/>
        <w:textAlignment w:val="auto"/>
        <w:rPr>
          <w:rFonts w:ascii="黑体" w:hAnsi="黑体" w:eastAsia="黑体" w:cs="Times New Roman"/>
          <w:b w:val="0"/>
          <w:bCs/>
          <w:kern w:val="0"/>
          <w:sz w:val="32"/>
          <w:szCs w:val="32"/>
          <w:highlight w:val="none"/>
        </w:rPr>
      </w:pPr>
      <w:r>
        <w:rPr>
          <w:rFonts w:ascii="黑体" w:hAnsi="黑体" w:eastAsia="黑体" w:cs="Times New Roman"/>
          <w:b w:val="0"/>
          <w:bCs/>
          <w:kern w:val="0"/>
          <w:sz w:val="32"/>
          <w:szCs w:val="32"/>
          <w:highlight w:val="none"/>
        </w:rPr>
        <w:t>三、保障儿童优先发展的重点任务</w:t>
      </w:r>
    </w:p>
    <w:p w14:paraId="7F8932EF">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default" w:ascii="方正楷体_GB2312" w:hAnsi="方正楷体_GB2312" w:eastAsia="方正楷体_GB2312" w:cs="方正楷体_GB2312"/>
          <w:b/>
          <w:sz w:val="32"/>
          <w:szCs w:val="32"/>
          <w:highlight w:val="none"/>
          <w:lang w:val="en-US" w:eastAsia="zh-CN"/>
        </w:rPr>
        <w:t>（一）</w:t>
      </w:r>
      <w:r>
        <w:rPr>
          <w:rFonts w:hint="eastAsia" w:ascii="方正楷体_GB2312" w:hAnsi="方正楷体_GB2312" w:eastAsia="方正楷体_GB2312" w:cs="方正楷体_GB2312"/>
          <w:b/>
          <w:sz w:val="32"/>
          <w:szCs w:val="32"/>
          <w:highlight w:val="none"/>
          <w:lang w:val="en-US" w:eastAsia="zh-CN"/>
        </w:rPr>
        <w:t>提高均衡高效</w:t>
      </w:r>
      <w:r>
        <w:rPr>
          <w:rFonts w:hint="eastAsia" w:ascii="方正楷体_GB2312" w:hAnsi="方正楷体_GB2312" w:eastAsia="方正楷体_GB2312" w:cs="方正楷体_GB2312"/>
          <w:b/>
          <w:sz w:val="32"/>
          <w:szCs w:val="32"/>
          <w:highlight w:val="none"/>
        </w:rPr>
        <w:t>儿童健康服务</w:t>
      </w:r>
      <w:r>
        <w:rPr>
          <w:rFonts w:hint="eastAsia" w:ascii="方正楷体_GB2312" w:hAnsi="方正楷体_GB2312" w:eastAsia="方正楷体_GB2312" w:cs="方正楷体_GB2312"/>
          <w:b/>
          <w:sz w:val="32"/>
          <w:szCs w:val="32"/>
          <w:highlight w:val="none"/>
          <w:lang w:val="en-US" w:eastAsia="zh-CN"/>
        </w:rPr>
        <w:t>水平</w:t>
      </w:r>
    </w:p>
    <w:p w14:paraId="3DC98443">
      <w:pPr>
        <w:pStyle w:val="37"/>
        <w:keepNext w:val="0"/>
        <w:keepLines w:val="0"/>
        <w:pageBreakBefore w:val="0"/>
        <w:widowControl w:val="0"/>
        <w:shd w:val="clear"/>
        <w:tabs>
          <w:tab w:val="left" w:pos="312"/>
        </w:tabs>
        <w:kinsoku/>
        <w:wordWrap/>
        <w:overflowPunct/>
        <w:topLinePunct w:val="0"/>
        <w:autoSpaceDE w:val="0"/>
        <w:autoSpaceDN/>
        <w:bidi w:val="0"/>
        <w:spacing w:line="580" w:lineRule="exact"/>
        <w:ind w:left="0" w:leftChars="0" w:firstLine="643"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rPr>
        <w:t>1.</w:t>
      </w:r>
      <w:r>
        <w:rPr>
          <w:rFonts w:hint="eastAsia" w:ascii="仿宋_GB2312" w:hAnsi="仿宋_GB2312" w:eastAsia="仿宋_GB2312" w:cs="仿宋_GB2312"/>
          <w:b/>
          <w:bCs/>
          <w:sz w:val="32"/>
          <w:szCs w:val="32"/>
          <w:highlight w:val="none"/>
          <w:lang w:val="en-US" w:eastAsia="zh-CN"/>
        </w:rPr>
        <w:t>强化</w:t>
      </w:r>
      <w:r>
        <w:rPr>
          <w:rFonts w:hint="eastAsia" w:ascii="仿宋_GB2312" w:hAnsi="仿宋_GB2312" w:eastAsia="仿宋_GB2312" w:cs="仿宋_GB2312"/>
          <w:b/>
          <w:bCs/>
          <w:sz w:val="32"/>
          <w:szCs w:val="32"/>
          <w:highlight w:val="none"/>
        </w:rPr>
        <w:t>儿童健康服务</w:t>
      </w:r>
      <w:r>
        <w:rPr>
          <w:rFonts w:hint="eastAsia" w:ascii="仿宋_GB2312" w:hAnsi="仿宋_GB2312" w:eastAsia="仿宋_GB2312" w:cs="仿宋_GB2312"/>
          <w:b/>
          <w:bCs/>
          <w:sz w:val="32"/>
          <w:szCs w:val="32"/>
          <w:highlight w:val="none"/>
          <w:lang w:eastAsia="zh-CN"/>
        </w:rPr>
        <w:t>供给</w:t>
      </w: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val="0"/>
          <w:bCs w:val="0"/>
          <w:sz w:val="32"/>
          <w:szCs w:val="32"/>
          <w:highlight w:val="none"/>
          <w:lang w:val="en-US" w:eastAsia="zh-CN"/>
        </w:rPr>
        <w:t>推动建立医校协同、卫体融合、家校共育、社会共治工作机制，</w:t>
      </w:r>
      <w:r>
        <w:rPr>
          <w:rFonts w:hint="eastAsia" w:ascii="仿宋_GB2312" w:hAnsi="仿宋_GB2312" w:eastAsia="仿宋_GB2312" w:cs="仿宋_GB2312"/>
          <w:sz w:val="32"/>
          <w:szCs w:val="32"/>
          <w:highlight w:val="none"/>
        </w:rPr>
        <w:t>推进儿童智慧医疗，</w:t>
      </w:r>
      <w:r>
        <w:rPr>
          <w:rFonts w:hint="eastAsia" w:ascii="仿宋_GB2312" w:hAnsi="仿宋_GB2312" w:eastAsia="仿宋_GB2312" w:cs="仿宋_GB2312"/>
          <w:sz w:val="32"/>
          <w:szCs w:val="32"/>
          <w:highlight w:val="none"/>
          <w:lang w:val="en-US" w:eastAsia="zh-CN"/>
        </w:rPr>
        <w:t>完善</w:t>
      </w:r>
      <w:r>
        <w:rPr>
          <w:rFonts w:hint="eastAsia" w:ascii="仿宋_GB2312" w:hAnsi="仿宋_GB2312" w:eastAsia="仿宋_GB2312" w:cs="仿宋_GB2312"/>
          <w:sz w:val="32"/>
          <w:szCs w:val="32"/>
          <w:highlight w:val="none"/>
        </w:rPr>
        <w:t>儿童健康智慧管理服务模式</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color w:val="000000"/>
          <w:kern w:val="0"/>
          <w:sz w:val="32"/>
          <w:szCs w:val="32"/>
          <w:highlight w:val="none"/>
        </w:rPr>
        <w:t>每千名儿童拥有儿科执业（助理）医生</w:t>
      </w:r>
      <w:r>
        <w:rPr>
          <w:rFonts w:hint="eastAsia" w:ascii="仿宋_GB2312" w:hAnsi="仿宋_GB2312" w:eastAsia="仿宋_GB2312" w:cs="仿宋_GB2312"/>
          <w:color w:val="000000"/>
          <w:kern w:val="0"/>
          <w:sz w:val="32"/>
          <w:szCs w:val="32"/>
          <w:highlight w:val="none"/>
          <w:lang w:eastAsia="zh-CN"/>
        </w:rPr>
        <w:t>多于</w:t>
      </w:r>
      <w:r>
        <w:rPr>
          <w:rFonts w:hint="eastAsia" w:ascii="仿宋_GB2312" w:hAnsi="仿宋_GB2312" w:eastAsia="仿宋_GB2312" w:cs="仿宋_GB2312"/>
          <w:color w:val="000000"/>
          <w:kern w:val="0"/>
          <w:sz w:val="32"/>
          <w:szCs w:val="32"/>
          <w:highlight w:val="none"/>
        </w:rPr>
        <w:t>1.9名，床位数</w:t>
      </w:r>
      <w:r>
        <w:rPr>
          <w:rFonts w:hint="eastAsia" w:ascii="仿宋_GB2312" w:hAnsi="仿宋_GB2312" w:eastAsia="仿宋_GB2312" w:cs="仿宋_GB2312"/>
          <w:color w:val="000000"/>
          <w:kern w:val="0"/>
          <w:sz w:val="32"/>
          <w:szCs w:val="32"/>
          <w:highlight w:val="none"/>
          <w:lang w:eastAsia="zh-CN"/>
        </w:rPr>
        <w:t>达到</w:t>
      </w:r>
      <w:r>
        <w:rPr>
          <w:rFonts w:hint="eastAsia" w:ascii="仿宋_GB2312" w:hAnsi="仿宋_GB2312" w:eastAsia="仿宋_GB2312" w:cs="仿宋_GB2312"/>
          <w:color w:val="000000"/>
          <w:kern w:val="0"/>
          <w:sz w:val="32"/>
          <w:szCs w:val="32"/>
          <w:highlight w:val="none"/>
        </w:rPr>
        <w:t>3.17张以上。</w:t>
      </w:r>
    </w:p>
    <w:p w14:paraId="63AE19EC">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2.保障新生儿安全与健康。</w:t>
      </w:r>
      <w:r>
        <w:rPr>
          <w:rFonts w:hint="eastAsia" w:ascii="仿宋_GB2312" w:hAnsi="仿宋_GB2312" w:eastAsia="仿宋_GB2312" w:cs="仿宋_GB2312"/>
          <w:b w:val="0"/>
          <w:bCs w:val="0"/>
          <w:sz w:val="32"/>
          <w:szCs w:val="32"/>
          <w:highlight w:val="none"/>
          <w:lang w:val="en-US" w:eastAsia="zh-CN"/>
        </w:rPr>
        <w:t>建立儿童发育监测网络，开展0-6岁儿童发育筛查评估。加强早产预防、救治、随访等全链条服务，健全危重新生儿救治网络。在社区卫生服务机构积极开展中医小儿推拿服务。</w:t>
      </w:r>
    </w:p>
    <w:p w14:paraId="17DE1F5C">
      <w:pPr>
        <w:keepNext w:val="0"/>
        <w:keepLines w:val="0"/>
        <w:pageBreakBefore w:val="0"/>
        <w:widowControl w:val="0"/>
        <w:suppressLineNumbers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
          <w:bCs/>
          <w:sz w:val="32"/>
          <w:szCs w:val="32"/>
          <w:highlight w:val="none"/>
        </w:rPr>
        <w:t>3.加强儿童健康服务和管理。</w:t>
      </w:r>
      <w:r>
        <w:rPr>
          <w:rFonts w:hint="eastAsia" w:ascii="仿宋_GB2312" w:hAnsi="仿宋_GB2312" w:eastAsia="仿宋_GB2312" w:cs="仿宋_GB2312"/>
          <w:b w:val="0"/>
          <w:bCs w:val="0"/>
          <w:sz w:val="32"/>
          <w:szCs w:val="32"/>
          <w:highlight w:val="none"/>
          <w:lang w:val="en-US" w:eastAsia="zh-CN"/>
        </w:rPr>
        <w:t>倡导</w:t>
      </w:r>
      <w:r>
        <w:rPr>
          <w:rFonts w:hint="eastAsia" w:ascii="仿宋_GB2312" w:hAnsi="仿宋_GB2312" w:eastAsia="仿宋_GB2312" w:cs="仿宋_GB2312"/>
          <w:color w:val="000000"/>
          <w:sz w:val="32"/>
          <w:szCs w:val="32"/>
          <w:highlight w:val="none"/>
        </w:rPr>
        <w:t>母乳喂养，普及科学辅食添加知识</w:t>
      </w:r>
      <w:r>
        <w:rPr>
          <w:rFonts w:hint="eastAsia" w:ascii="仿宋_GB2312" w:hAnsi="仿宋_GB2312" w:eastAsia="仿宋_GB2312" w:cs="仿宋_GB2312"/>
          <w:color w:val="000000"/>
          <w:sz w:val="32"/>
          <w:szCs w:val="32"/>
          <w:highlight w:val="none"/>
          <w:lang w:val="en-US" w:eastAsia="zh-CN"/>
        </w:rPr>
        <w:t>与</w:t>
      </w:r>
      <w:r>
        <w:rPr>
          <w:rFonts w:hint="eastAsia" w:ascii="仿宋_GB2312" w:hAnsi="仿宋_GB2312" w:eastAsia="仿宋_GB2312" w:cs="仿宋_GB2312"/>
          <w:color w:val="000000"/>
          <w:sz w:val="32"/>
          <w:szCs w:val="32"/>
          <w:highlight w:val="none"/>
        </w:rPr>
        <w:t>技能。</w:t>
      </w:r>
      <w:r>
        <w:rPr>
          <w:rFonts w:hint="eastAsia" w:ascii="仿宋_GB2312" w:hAnsi="仿宋_GB2312" w:eastAsia="仿宋_GB2312" w:cs="仿宋_GB2312"/>
          <w:bCs/>
          <w:sz w:val="32"/>
          <w:szCs w:val="32"/>
          <w:highlight w:val="none"/>
        </w:rPr>
        <w:t>完善出生缺陷综合防治体系</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color w:val="000000"/>
          <w:kern w:val="0"/>
          <w:sz w:val="32"/>
          <w:szCs w:val="32"/>
          <w:highlight w:val="none"/>
          <w:lang w:val="en-US" w:eastAsia="zh-CN" w:bidi="ar"/>
        </w:rPr>
        <w:t>提升疾病预防控制信息化水平</w:t>
      </w:r>
      <w:r>
        <w:rPr>
          <w:rFonts w:hint="eastAsia" w:ascii="仿宋_GB2312" w:hAnsi="仿宋_GB2312" w:eastAsia="仿宋_GB2312" w:cs="仿宋_GB2312"/>
          <w:bCs/>
          <w:sz w:val="32"/>
          <w:szCs w:val="32"/>
          <w:highlight w:val="none"/>
        </w:rPr>
        <w:t>。</w:t>
      </w:r>
      <w:r>
        <w:rPr>
          <w:rFonts w:hint="eastAsia" w:ascii="仿宋_GB2312" w:hAnsi="仿宋_GB2312" w:eastAsia="仿宋_GB2312" w:cs="仿宋_GB2312"/>
          <w:color w:val="000000"/>
          <w:sz w:val="32"/>
          <w:szCs w:val="32"/>
          <w:highlight w:val="none"/>
        </w:rPr>
        <w:t>加强儿童传染病防控。</w:t>
      </w:r>
      <w:r>
        <w:rPr>
          <w:rFonts w:hint="eastAsia" w:ascii="仿宋_GB2312" w:hAnsi="仿宋_GB2312" w:eastAsia="仿宋_GB2312" w:cs="仿宋_GB2312"/>
          <w:color w:val="000000"/>
          <w:sz w:val="32"/>
          <w:szCs w:val="32"/>
          <w:highlight w:val="none"/>
          <w:lang w:val="en-US" w:eastAsia="zh-CN"/>
        </w:rPr>
        <w:t>实施“</w:t>
      </w:r>
      <w:r>
        <w:rPr>
          <w:rFonts w:hint="eastAsia" w:ascii="仿宋_GB2312" w:hAnsi="仿宋_GB2312" w:eastAsia="仿宋_GB2312" w:cs="仿宋_GB2312"/>
          <w:color w:val="000000"/>
          <w:sz w:val="32"/>
          <w:szCs w:val="32"/>
          <w:highlight w:val="none"/>
        </w:rPr>
        <w:t>儿童青少年</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体重、视力、心理、骨骼、口腔’五健”促进行动。建立儿童健康服务数字地图，</w:t>
      </w:r>
      <w:r>
        <w:rPr>
          <w:rFonts w:hint="eastAsia" w:ascii="仿宋_GB2312" w:hAnsi="仿宋_GB2312" w:eastAsia="仿宋_GB2312" w:cs="仿宋_GB2312"/>
          <w:color w:val="000000"/>
          <w:sz w:val="32"/>
          <w:szCs w:val="32"/>
          <w:highlight w:val="none"/>
          <w:lang w:val="en-US" w:eastAsia="zh-CN"/>
        </w:rPr>
        <w:t>推进</w:t>
      </w:r>
      <w:r>
        <w:rPr>
          <w:rFonts w:hint="eastAsia" w:ascii="仿宋_GB2312" w:hAnsi="仿宋_GB2312" w:eastAsia="仿宋_GB2312" w:cs="仿宋_GB2312"/>
          <w:color w:val="000000"/>
          <w:sz w:val="32"/>
          <w:szCs w:val="32"/>
          <w:highlight w:val="none"/>
        </w:rPr>
        <w:t>“AI+儿童健康”促进行动。</w:t>
      </w:r>
    </w:p>
    <w:p w14:paraId="7E30AF53">
      <w:pPr>
        <w:keepNext w:val="0"/>
        <w:keepLines w:val="0"/>
        <w:pageBreakBefore w:val="0"/>
        <w:widowControl w:val="0"/>
        <w:shd w:val="clear"/>
        <w:kinsoku/>
        <w:wordWrap/>
        <w:overflowPunct/>
        <w:topLinePunct w:val="0"/>
        <w:autoSpaceDE w:val="0"/>
        <w:autoSpaceDN/>
        <w:bidi w:val="0"/>
        <w:adjustRightInd w:val="0"/>
        <w:snapToGrid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b/>
          <w:bCs/>
          <w:sz w:val="32"/>
          <w:szCs w:val="32"/>
          <w:highlight w:val="none"/>
        </w:rPr>
        <w:t>4.有效防控儿童近视。</w:t>
      </w:r>
      <w:r>
        <w:rPr>
          <w:rFonts w:hint="eastAsia" w:ascii="仿宋_GB2312" w:hAnsi="仿宋_GB2312" w:eastAsia="仿宋_GB2312" w:cs="仿宋_GB2312"/>
          <w:color w:val="000000"/>
          <w:kern w:val="0"/>
          <w:sz w:val="32"/>
          <w:szCs w:val="32"/>
          <w:highlight w:val="none"/>
          <w:lang w:val="en-US" w:eastAsia="zh-CN"/>
        </w:rPr>
        <w:t>健全</w:t>
      </w:r>
      <w:r>
        <w:rPr>
          <w:rFonts w:hint="eastAsia" w:ascii="仿宋_GB2312" w:hAnsi="仿宋_GB2312" w:eastAsia="仿宋_GB2312" w:cs="仿宋_GB2312"/>
          <w:color w:val="000000"/>
          <w:kern w:val="0"/>
          <w:sz w:val="32"/>
          <w:szCs w:val="32"/>
          <w:highlight w:val="none"/>
        </w:rPr>
        <w:t>智慧化学生视力健康档案管理体系，加强儿童远视储备不足和边缘视力问题</w:t>
      </w:r>
      <w:r>
        <w:rPr>
          <w:rFonts w:hint="eastAsia" w:ascii="仿宋_GB2312" w:hAnsi="仿宋_GB2312" w:eastAsia="仿宋_GB2312" w:cs="仿宋_GB2312"/>
          <w:color w:val="000000"/>
          <w:kern w:val="0"/>
          <w:sz w:val="32"/>
          <w:szCs w:val="32"/>
          <w:highlight w:val="none"/>
          <w:lang w:val="en-US" w:eastAsia="zh-CN"/>
        </w:rPr>
        <w:t>的</w:t>
      </w:r>
      <w:r>
        <w:rPr>
          <w:rFonts w:hint="eastAsia" w:ascii="仿宋_GB2312" w:hAnsi="仿宋_GB2312" w:eastAsia="仿宋_GB2312" w:cs="仿宋_GB2312"/>
          <w:color w:val="000000"/>
          <w:kern w:val="0"/>
          <w:sz w:val="32"/>
          <w:szCs w:val="32"/>
          <w:highlight w:val="none"/>
        </w:rPr>
        <w:t>监测与防治。落实学校、幼儿园室内采光、照明和课桌椅、黑板等标准，确保学生每天接触户外自然光不少于</w:t>
      </w:r>
      <w:r>
        <w:rPr>
          <w:rFonts w:hint="eastAsia" w:ascii="仿宋_GB2312" w:hAnsi="仿宋_GB2312" w:eastAsia="仿宋_GB2312" w:cs="仿宋_GB2312"/>
          <w:color w:val="000000"/>
          <w:kern w:val="0"/>
          <w:sz w:val="32"/>
          <w:szCs w:val="32"/>
          <w:highlight w:val="none"/>
          <w:lang w:val="en-US" w:eastAsia="zh-CN"/>
        </w:rPr>
        <w:t>1</w:t>
      </w:r>
      <w:r>
        <w:rPr>
          <w:rFonts w:hint="eastAsia" w:ascii="仿宋_GB2312" w:hAnsi="仿宋_GB2312" w:eastAsia="仿宋_GB2312" w:cs="仿宋_GB2312"/>
          <w:color w:val="000000"/>
          <w:kern w:val="0"/>
          <w:sz w:val="32"/>
          <w:szCs w:val="32"/>
          <w:highlight w:val="none"/>
        </w:rPr>
        <w:t>小时。</w:t>
      </w:r>
      <w:r>
        <w:rPr>
          <w:rFonts w:hint="eastAsia" w:ascii="仿宋_GB2312" w:hAnsi="仿宋_GB2312" w:eastAsia="仿宋_GB2312" w:cs="仿宋_GB2312"/>
          <w:color w:val="000000"/>
          <w:kern w:val="0"/>
          <w:sz w:val="32"/>
          <w:szCs w:val="32"/>
          <w:highlight w:val="none"/>
          <w:lang w:val="en-US" w:eastAsia="zh-CN"/>
        </w:rPr>
        <w:t>推进适龄儿童屈光筛查服务，开展近视防控科普宣传，指导家长和儿童掌握科学用眼护眼知识。</w:t>
      </w:r>
    </w:p>
    <w:p w14:paraId="51C227E7">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kern w:val="0"/>
          <w:sz w:val="32"/>
          <w:szCs w:val="32"/>
          <w:highlight w:val="none"/>
        </w:rPr>
        <w:t>5.健全儿童心理健康服务体系。</w:t>
      </w:r>
      <w:r>
        <w:rPr>
          <w:rFonts w:hint="eastAsia" w:ascii="仿宋_GB2312" w:hAnsi="仿宋_GB2312" w:eastAsia="仿宋_GB2312" w:cs="仿宋_GB2312"/>
          <w:bCs/>
          <w:sz w:val="32"/>
          <w:szCs w:val="32"/>
          <w:highlight w:val="none"/>
        </w:rPr>
        <w:t>构建儿童心理健康服务网络，</w:t>
      </w:r>
      <w:r>
        <w:rPr>
          <w:rFonts w:hint="eastAsia" w:ascii="仿宋_GB2312" w:hAnsi="仿宋_GB2312" w:eastAsia="仿宋_GB2312" w:cs="仿宋_GB2312"/>
          <w:bCs/>
          <w:sz w:val="32"/>
          <w:szCs w:val="32"/>
          <w:highlight w:val="none"/>
          <w:lang w:eastAsia="zh-CN"/>
        </w:rPr>
        <w:t>小学四年级及以上</w:t>
      </w:r>
      <w:r>
        <w:rPr>
          <w:rFonts w:hint="eastAsia" w:ascii="仿宋_GB2312" w:hAnsi="仿宋_GB2312" w:eastAsia="仿宋_GB2312" w:cs="仿宋_GB2312"/>
          <w:kern w:val="0"/>
          <w:sz w:val="32"/>
          <w:szCs w:val="32"/>
          <w:highlight w:val="none"/>
        </w:rPr>
        <w:t>全覆盖开展学生心理健康筛查。试点设立“成长导师”制度。加强学生生命教育、青春期教育和挫折教育。</w:t>
      </w:r>
      <w:r>
        <w:rPr>
          <w:rFonts w:hint="eastAsia" w:ascii="仿宋_GB2312" w:hAnsi="仿宋_GB2312" w:eastAsia="仿宋_GB2312" w:cs="仿宋_GB2312"/>
          <w:kern w:val="0"/>
          <w:sz w:val="32"/>
          <w:szCs w:val="32"/>
          <w:highlight w:val="none"/>
          <w:lang w:val="en-US" w:eastAsia="zh-CN"/>
        </w:rPr>
        <w:t>加强</w:t>
      </w:r>
      <w:r>
        <w:rPr>
          <w:rFonts w:hint="eastAsia" w:ascii="仿宋_GB2312" w:hAnsi="仿宋_GB2312" w:eastAsia="仿宋_GB2312" w:cs="仿宋_GB2312"/>
          <w:kern w:val="0"/>
          <w:sz w:val="32"/>
          <w:szCs w:val="32"/>
          <w:highlight w:val="none"/>
        </w:rPr>
        <w:t>发现与应急处置机制和转介就医、分级就诊、复学机制建设。</w:t>
      </w:r>
    </w:p>
    <w:p w14:paraId="56CCE4D3">
      <w:pPr>
        <w:keepNext w:val="0"/>
        <w:keepLines w:val="0"/>
        <w:pageBreakBefore w:val="0"/>
        <w:widowControl w:val="0"/>
        <w:shd w:val="clear"/>
        <w:kinsoku/>
        <w:wordWrap/>
        <w:overflowPunct/>
        <w:topLinePunct w:val="0"/>
        <w:autoSpaceDE w:val="0"/>
        <w:autoSpaceDN/>
        <w:bidi w:val="0"/>
        <w:spacing w:line="580" w:lineRule="exact"/>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lang w:val="en-US" w:eastAsia="zh-CN"/>
        </w:rPr>
        <w:t xml:space="preserve">    </w:t>
      </w:r>
      <w:r>
        <w:rPr>
          <w:rFonts w:hint="eastAsia" w:ascii="方正楷体_GB2312" w:hAnsi="方正楷体_GB2312" w:eastAsia="方正楷体_GB2312" w:cs="方正楷体_GB2312"/>
          <w:b/>
          <w:sz w:val="32"/>
          <w:szCs w:val="32"/>
          <w:highlight w:val="none"/>
        </w:rPr>
        <w:t>（二）构建多维立体儿童保护网络</w:t>
      </w:r>
    </w:p>
    <w:p w14:paraId="5C60AD70">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b/>
          <w:bCs/>
          <w:color w:val="000000"/>
          <w:kern w:val="0"/>
          <w:sz w:val="32"/>
          <w:szCs w:val="32"/>
          <w:highlight w:val="none"/>
        </w:rPr>
        <w:t>1.</w:t>
      </w:r>
      <w:r>
        <w:rPr>
          <w:rFonts w:hint="eastAsia" w:ascii="仿宋_GB2312" w:hAnsi="仿宋_GB2312" w:eastAsia="仿宋_GB2312" w:cs="仿宋_GB2312"/>
          <w:b/>
          <w:bCs/>
          <w:color w:val="000000"/>
          <w:kern w:val="0"/>
          <w:sz w:val="32"/>
          <w:szCs w:val="32"/>
          <w:highlight w:val="none"/>
          <w:lang w:val="en-US" w:eastAsia="zh-CN"/>
        </w:rPr>
        <w:t>完善</w:t>
      </w:r>
      <w:r>
        <w:rPr>
          <w:rFonts w:hint="eastAsia" w:ascii="仿宋_GB2312" w:hAnsi="仿宋_GB2312" w:eastAsia="仿宋_GB2312" w:cs="仿宋_GB2312"/>
          <w:b/>
          <w:bCs/>
          <w:color w:val="000000"/>
          <w:kern w:val="0"/>
          <w:sz w:val="32"/>
          <w:szCs w:val="32"/>
          <w:highlight w:val="none"/>
        </w:rPr>
        <w:t>儿童伤害防控</w:t>
      </w:r>
      <w:r>
        <w:rPr>
          <w:rFonts w:hint="eastAsia" w:ascii="仿宋_GB2312" w:hAnsi="仿宋_GB2312" w:eastAsia="仿宋_GB2312" w:cs="仿宋_GB2312"/>
          <w:b/>
          <w:bCs/>
          <w:color w:val="000000"/>
          <w:kern w:val="0"/>
          <w:sz w:val="32"/>
          <w:szCs w:val="32"/>
          <w:highlight w:val="none"/>
          <w:lang w:val="en-US" w:eastAsia="zh-CN"/>
        </w:rPr>
        <w:t>工作机制</w:t>
      </w:r>
      <w:r>
        <w:rPr>
          <w:rFonts w:hint="eastAsia" w:ascii="仿宋_GB2312" w:hAnsi="仿宋_GB2312" w:eastAsia="仿宋_GB2312" w:cs="仿宋_GB2312"/>
          <w:color w:val="000000"/>
          <w:kern w:val="0"/>
          <w:sz w:val="32"/>
          <w:szCs w:val="32"/>
          <w:highlight w:val="none"/>
        </w:rPr>
        <w:t>。</w:t>
      </w:r>
      <w:r>
        <w:rPr>
          <w:rFonts w:hint="eastAsia" w:ascii="仿宋_GB2312" w:hAnsi="仿宋_GB2312" w:eastAsia="仿宋_GB2312" w:cs="仿宋_GB2312"/>
          <w:color w:val="060607"/>
          <w:spacing w:val="3"/>
          <w:sz w:val="32"/>
          <w:szCs w:val="32"/>
          <w:highlight w:val="none"/>
          <w:shd w:val="clear" w:color="auto" w:fill="FFFFFF"/>
          <w:lang w:val="en-US" w:eastAsia="zh-CN"/>
        </w:rPr>
        <w:t>根据市级工作要求，统一开展伤害监测与评估工作。</w:t>
      </w:r>
      <w:r>
        <w:rPr>
          <w:rFonts w:hint="eastAsia" w:ascii="仿宋_GB2312" w:hAnsi="仿宋_GB2312" w:eastAsia="仿宋_GB2312" w:cs="仿宋_GB2312"/>
          <w:color w:val="000000"/>
          <w:kern w:val="0"/>
          <w:sz w:val="32"/>
          <w:szCs w:val="32"/>
          <w:highlight w:val="none"/>
        </w:rPr>
        <w:t>监测评估公共场所</w:t>
      </w:r>
      <w:r>
        <w:rPr>
          <w:rFonts w:hint="eastAsia" w:ascii="仿宋_GB2312" w:hAnsi="仿宋_GB2312" w:eastAsia="仿宋_GB2312" w:cs="仿宋_GB2312"/>
          <w:color w:val="000000"/>
          <w:kern w:val="0"/>
          <w:sz w:val="32"/>
          <w:szCs w:val="32"/>
          <w:highlight w:val="none"/>
          <w:lang w:val="en-US" w:eastAsia="zh-CN"/>
        </w:rPr>
        <w:t>的</w:t>
      </w:r>
      <w:r>
        <w:rPr>
          <w:rFonts w:hint="eastAsia" w:ascii="仿宋_GB2312" w:hAnsi="仿宋_GB2312" w:eastAsia="仿宋_GB2312" w:cs="仿宋_GB2312"/>
          <w:color w:val="000000"/>
          <w:kern w:val="0"/>
          <w:sz w:val="32"/>
          <w:szCs w:val="32"/>
          <w:highlight w:val="none"/>
        </w:rPr>
        <w:t>安全防护设施，严防儿童意外伤害发生。减少儿童因伤害所致死亡和残疾。</w:t>
      </w:r>
      <w:r>
        <w:rPr>
          <w:rFonts w:hint="eastAsia" w:ascii="仿宋_GB2312" w:hAnsi="仿宋_GB2312" w:eastAsia="仿宋_GB2312" w:cs="仿宋_GB2312"/>
          <w:kern w:val="0"/>
          <w:sz w:val="32"/>
          <w:szCs w:val="32"/>
          <w:highlight w:val="none"/>
        </w:rPr>
        <w:t>制定突发事件应急预案</w:t>
      </w:r>
      <w:r>
        <w:rPr>
          <w:rFonts w:hint="eastAsia" w:ascii="仿宋_GB2312" w:hAnsi="仿宋_GB2312" w:eastAsia="仿宋_GB2312" w:cs="仿宋_GB2312"/>
          <w:kern w:val="0"/>
          <w:sz w:val="32"/>
          <w:szCs w:val="32"/>
          <w:highlight w:val="none"/>
          <w:lang w:val="en-US" w:eastAsia="zh-CN"/>
        </w:rPr>
        <w:t>优先</w:t>
      </w:r>
      <w:r>
        <w:rPr>
          <w:rFonts w:hint="eastAsia" w:ascii="仿宋_GB2312" w:hAnsi="仿宋_GB2312" w:eastAsia="仿宋_GB2312" w:cs="仿宋_GB2312"/>
          <w:kern w:val="0"/>
          <w:sz w:val="32"/>
          <w:szCs w:val="32"/>
          <w:highlight w:val="none"/>
        </w:rPr>
        <w:t>考虑儿童需求。</w:t>
      </w:r>
    </w:p>
    <w:p w14:paraId="038460E1">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lang w:eastAsia="zh-CN"/>
        </w:rPr>
      </w:pPr>
      <w:r>
        <w:rPr>
          <w:rFonts w:hint="eastAsia" w:ascii="仿宋_GB2312" w:hAnsi="仿宋_GB2312" w:eastAsia="仿宋_GB2312" w:cs="仿宋_GB2312"/>
          <w:b/>
          <w:bCs/>
          <w:kern w:val="0"/>
          <w:sz w:val="32"/>
          <w:szCs w:val="32"/>
          <w:highlight w:val="none"/>
        </w:rPr>
        <w:t>2.强</w:t>
      </w:r>
      <w:r>
        <w:rPr>
          <w:rFonts w:hint="eastAsia" w:ascii="仿宋_GB2312" w:hAnsi="仿宋_GB2312" w:eastAsia="仿宋_GB2312" w:cs="仿宋_GB2312"/>
          <w:b/>
          <w:bCs/>
          <w:kern w:val="0"/>
          <w:sz w:val="32"/>
          <w:szCs w:val="32"/>
          <w:highlight w:val="none"/>
          <w:lang w:val="en-US" w:eastAsia="zh-CN"/>
        </w:rPr>
        <w:t>化</w:t>
      </w:r>
      <w:r>
        <w:rPr>
          <w:rFonts w:hint="eastAsia" w:ascii="仿宋_GB2312" w:hAnsi="仿宋_GB2312" w:eastAsia="仿宋_GB2312" w:cs="仿宋_GB2312"/>
          <w:b/>
          <w:bCs/>
          <w:kern w:val="0"/>
          <w:sz w:val="32"/>
          <w:szCs w:val="32"/>
          <w:highlight w:val="none"/>
        </w:rPr>
        <w:t>儿童用品、食品、药品全链条监管。</w:t>
      </w:r>
      <w:r>
        <w:rPr>
          <w:rFonts w:hint="eastAsia" w:ascii="仿宋_GB2312" w:hAnsi="仿宋_GB2312" w:eastAsia="仿宋_GB2312" w:cs="仿宋_GB2312"/>
          <w:bCs/>
          <w:kern w:val="0"/>
          <w:sz w:val="32"/>
          <w:szCs w:val="32"/>
          <w:highlight w:val="none"/>
        </w:rPr>
        <w:t>加强儿童用品生产、流通、使用环节全链条治理。</w:t>
      </w:r>
      <w:r>
        <w:rPr>
          <w:rFonts w:hint="eastAsia" w:ascii="仿宋_GB2312" w:hAnsi="仿宋_GB2312" w:eastAsia="仿宋_GB2312" w:cs="仿宋_GB2312"/>
          <w:sz w:val="32"/>
          <w:szCs w:val="32"/>
          <w:highlight w:val="none"/>
        </w:rPr>
        <w:t>实行“一校一案”供餐模式，2027年底全面实现食堂</w:t>
      </w:r>
      <w:r>
        <w:rPr>
          <w:rFonts w:hint="eastAsia" w:ascii="仿宋_GB2312" w:hAnsi="仿宋_GB2312" w:eastAsia="仿宋_GB2312" w:cs="仿宋_GB2312"/>
          <w:sz w:val="32"/>
          <w:szCs w:val="32"/>
          <w:highlight w:val="none"/>
          <w:lang w:eastAsia="zh-CN"/>
        </w:rPr>
        <w:t>自营</w:t>
      </w:r>
      <w:r>
        <w:rPr>
          <w:rFonts w:hint="eastAsia" w:ascii="仿宋_GB2312" w:hAnsi="仿宋_GB2312" w:eastAsia="仿宋_GB2312" w:cs="仿宋_GB2312"/>
          <w:sz w:val="32"/>
          <w:szCs w:val="32"/>
          <w:highlight w:val="none"/>
        </w:rPr>
        <w:t>供餐。</w:t>
      </w:r>
      <w:r>
        <w:rPr>
          <w:rFonts w:hint="eastAsia" w:ascii="仿宋_GB2312" w:hAnsi="仿宋_GB2312" w:eastAsia="仿宋_GB2312" w:cs="仿宋_GB2312"/>
          <w:kern w:val="0"/>
          <w:sz w:val="32"/>
          <w:szCs w:val="32"/>
          <w:highlight w:val="none"/>
        </w:rPr>
        <w:t>加强食品安全监管，</w:t>
      </w:r>
      <w:r>
        <w:rPr>
          <w:rFonts w:hint="eastAsia" w:ascii="仿宋_GB2312" w:hAnsi="仿宋_GB2312" w:eastAsia="仿宋_GB2312" w:cs="仿宋_GB2312"/>
          <w:sz w:val="32"/>
          <w:szCs w:val="32"/>
          <w:highlight w:val="none"/>
          <w:lang w:val="en-US" w:eastAsia="zh-CN"/>
        </w:rPr>
        <w:t>深</w:t>
      </w:r>
      <w:r>
        <w:rPr>
          <w:rFonts w:hint="eastAsia" w:ascii="仿宋_GB2312" w:hAnsi="仿宋_GB2312" w:eastAsia="仿宋_GB2312" w:cs="仿宋_GB2312"/>
          <w:sz w:val="32"/>
          <w:szCs w:val="32"/>
          <w:highlight w:val="none"/>
        </w:rPr>
        <w:t>化幼儿园、小学周边食品安全日常检查。</w:t>
      </w:r>
      <w:r>
        <w:rPr>
          <w:rFonts w:hint="eastAsia" w:ascii="仿宋_GB2312" w:hAnsi="仿宋_GB2312" w:eastAsia="仿宋_GB2312" w:cs="仿宋_GB2312"/>
          <w:kern w:val="0"/>
          <w:sz w:val="32"/>
          <w:szCs w:val="32"/>
          <w:highlight w:val="none"/>
        </w:rPr>
        <w:t>提高儿童药品抽检样本量</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rPr>
        <w:t>监督抽验合格率保持</w:t>
      </w:r>
      <w:r>
        <w:rPr>
          <w:rFonts w:hint="eastAsia" w:ascii="仿宋_GB2312" w:hAnsi="仿宋_GB2312" w:eastAsia="仿宋_GB2312" w:cs="仿宋_GB2312"/>
          <w:kern w:val="0"/>
          <w:sz w:val="32"/>
          <w:szCs w:val="32"/>
          <w:highlight w:val="none"/>
          <w:lang w:val="en-US" w:eastAsia="zh-CN"/>
        </w:rPr>
        <w:t>在</w:t>
      </w:r>
      <w:r>
        <w:rPr>
          <w:rFonts w:hint="eastAsia" w:ascii="仿宋_GB2312" w:hAnsi="仿宋_GB2312" w:eastAsia="仿宋_GB2312" w:cs="仿宋_GB2312"/>
          <w:kern w:val="0"/>
          <w:sz w:val="32"/>
          <w:szCs w:val="32"/>
          <w:highlight w:val="none"/>
        </w:rPr>
        <w:t>99%以上</w:t>
      </w:r>
      <w:r>
        <w:rPr>
          <w:rFonts w:hint="eastAsia" w:ascii="仿宋_GB2312" w:hAnsi="仿宋_GB2312" w:eastAsia="仿宋_GB2312" w:cs="仿宋_GB2312"/>
          <w:kern w:val="0"/>
          <w:sz w:val="32"/>
          <w:szCs w:val="32"/>
          <w:highlight w:val="none"/>
          <w:lang w:eastAsia="zh-CN"/>
        </w:rPr>
        <w:t>。</w:t>
      </w:r>
    </w:p>
    <w:p w14:paraId="04F1A3CA">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b/>
          <w:bCs/>
          <w:color w:val="000000"/>
          <w:kern w:val="0"/>
          <w:sz w:val="32"/>
          <w:szCs w:val="32"/>
          <w:highlight w:val="none"/>
        </w:rPr>
        <w:t>3.加强校园及周边平安建设。</w:t>
      </w:r>
      <w:r>
        <w:rPr>
          <w:rFonts w:hint="eastAsia" w:ascii="仿宋_GB2312" w:hAnsi="仿宋_GB2312" w:eastAsia="仿宋_GB2312" w:cs="仿宋_GB2312"/>
          <w:color w:val="000000"/>
          <w:kern w:val="0"/>
          <w:sz w:val="32"/>
          <w:szCs w:val="32"/>
          <w:highlight w:val="none"/>
          <w:lang w:val="en-US" w:eastAsia="zh-CN"/>
        </w:rPr>
        <w:t>学校周边不得设置烟、洒、彩票销售网点和营业性娱乐场所。</w:t>
      </w:r>
      <w:r>
        <w:rPr>
          <w:rFonts w:hint="eastAsia" w:ascii="仿宋_GB2312" w:hAnsi="仿宋_GB2312" w:eastAsia="仿宋_GB2312" w:cs="仿宋_GB2312"/>
          <w:color w:val="000000"/>
          <w:kern w:val="0"/>
          <w:sz w:val="32"/>
          <w:szCs w:val="32"/>
          <w:highlight w:val="none"/>
        </w:rPr>
        <w:t>强化校园安全风险管理，指导学校、幼儿园、托育机构等落实安全管理主体责任。开展“护校安园”专项行动，完善学生欺凌防范处置工作机制。建设“安心通学路”，加强交通秩序管控。</w:t>
      </w:r>
    </w:p>
    <w:p w14:paraId="1922318A">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color w:val="000000"/>
          <w:kern w:val="0"/>
          <w:sz w:val="32"/>
          <w:szCs w:val="32"/>
          <w:highlight w:val="none"/>
          <w:lang w:eastAsia="zh-CN"/>
        </w:rPr>
      </w:pPr>
      <w:r>
        <w:rPr>
          <w:rFonts w:hint="eastAsia" w:ascii="仿宋_GB2312" w:hAnsi="仿宋_GB2312" w:eastAsia="仿宋_GB2312" w:cs="仿宋_GB2312"/>
          <w:b/>
          <w:bCs/>
          <w:color w:val="000000"/>
          <w:kern w:val="0"/>
          <w:sz w:val="32"/>
          <w:szCs w:val="32"/>
          <w:highlight w:val="none"/>
        </w:rPr>
        <w:t>4.加强重点领域治理整治。</w:t>
      </w:r>
      <w:r>
        <w:rPr>
          <w:rFonts w:hint="eastAsia" w:ascii="仿宋_GB2312" w:hAnsi="仿宋_GB2312" w:eastAsia="仿宋_GB2312" w:cs="仿宋_GB2312"/>
          <w:color w:val="000000"/>
          <w:kern w:val="0"/>
          <w:sz w:val="32"/>
          <w:szCs w:val="32"/>
          <w:highlight w:val="none"/>
        </w:rPr>
        <w:t>建立酒吧、电竞酒店</w:t>
      </w:r>
      <w:r>
        <w:rPr>
          <w:rFonts w:hint="eastAsia" w:ascii="仿宋_GB2312" w:hAnsi="仿宋_GB2312" w:eastAsia="仿宋_GB2312" w:cs="仿宋_GB2312"/>
          <w:color w:val="auto"/>
          <w:kern w:val="0"/>
          <w:sz w:val="32"/>
          <w:szCs w:val="32"/>
          <w:highlight w:val="none"/>
          <w:lang w:eastAsia="zh-CN"/>
        </w:rPr>
        <w:t>、私人影院</w:t>
      </w:r>
      <w:r>
        <w:rPr>
          <w:rFonts w:hint="eastAsia" w:ascii="仿宋_GB2312" w:hAnsi="仿宋_GB2312" w:eastAsia="仿宋_GB2312" w:cs="仿宋_GB2312"/>
          <w:color w:val="000000"/>
          <w:kern w:val="0"/>
          <w:sz w:val="32"/>
          <w:szCs w:val="32"/>
          <w:highlight w:val="none"/>
        </w:rPr>
        <w:t>等重点场所未成年人保护协同监管机制，依法查处违规经营行为。开展“护苗”专项行动，对涉未成年人非法出版物及信息进行专项整治。规范</w:t>
      </w:r>
      <w:r>
        <w:rPr>
          <w:rFonts w:hint="eastAsia" w:ascii="仿宋_GB2312" w:hAnsi="仿宋_GB2312" w:eastAsia="仿宋_GB2312" w:cs="仿宋_GB2312"/>
          <w:color w:val="000000"/>
          <w:kern w:val="0"/>
          <w:sz w:val="32"/>
          <w:szCs w:val="32"/>
          <w:highlight w:val="none"/>
          <w:lang w:eastAsia="zh-CN"/>
        </w:rPr>
        <w:t>旅行社研学旅游经营活动。</w:t>
      </w:r>
    </w:p>
    <w:p w14:paraId="4CB136E8">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5.</w:t>
      </w:r>
      <w:r>
        <w:rPr>
          <w:rFonts w:hint="eastAsia" w:ascii="仿宋_GB2312" w:hAnsi="仿宋_GB2312" w:eastAsia="仿宋_GB2312" w:cs="仿宋_GB2312"/>
          <w:b/>
          <w:bCs/>
          <w:sz w:val="32"/>
          <w:szCs w:val="32"/>
          <w:highlight w:val="none"/>
          <w:lang w:val="en-US" w:eastAsia="zh-CN"/>
        </w:rPr>
        <w:t>建立健全</w:t>
      </w:r>
      <w:r>
        <w:rPr>
          <w:rFonts w:hint="eastAsia" w:ascii="仿宋_GB2312" w:hAnsi="仿宋_GB2312" w:eastAsia="仿宋_GB2312" w:cs="仿宋_GB2312"/>
          <w:b/>
          <w:bCs/>
          <w:sz w:val="32"/>
          <w:szCs w:val="32"/>
          <w:highlight w:val="none"/>
        </w:rPr>
        <w:t>网络保护体系。</w:t>
      </w:r>
      <w:r>
        <w:rPr>
          <w:rFonts w:hint="eastAsia" w:ascii="仿宋_GB2312" w:hAnsi="仿宋_GB2312" w:eastAsia="仿宋_GB2312" w:cs="仿宋_GB2312"/>
          <w:bCs/>
          <w:sz w:val="32"/>
          <w:szCs w:val="32"/>
          <w:highlight w:val="none"/>
        </w:rPr>
        <w:t>指导督促手机、重点网站平台</w:t>
      </w:r>
      <w:r>
        <w:rPr>
          <w:rFonts w:hint="eastAsia" w:ascii="仿宋_GB2312" w:hAnsi="仿宋_GB2312" w:eastAsia="仿宋_GB2312" w:cs="仿宋_GB2312"/>
          <w:bCs/>
          <w:sz w:val="32"/>
          <w:szCs w:val="32"/>
          <w:highlight w:val="none"/>
          <w:lang w:val="en-US" w:eastAsia="zh-CN"/>
        </w:rPr>
        <w:t>建</w:t>
      </w:r>
      <w:r>
        <w:rPr>
          <w:rFonts w:hint="eastAsia" w:ascii="仿宋_GB2312" w:hAnsi="仿宋_GB2312" w:eastAsia="仿宋_GB2312" w:cs="仿宋_GB2312"/>
          <w:bCs/>
          <w:sz w:val="32"/>
          <w:szCs w:val="32"/>
          <w:highlight w:val="none"/>
        </w:rPr>
        <w:t>立未成年人网络保护合规制度。指导企业采用AI技术过滤不良信息，保障未成年人常用平台不良内容</w:t>
      </w:r>
      <w:r>
        <w:rPr>
          <w:rFonts w:hint="eastAsia" w:ascii="仿宋_GB2312" w:hAnsi="仿宋_GB2312" w:eastAsia="仿宋_GB2312" w:cs="仿宋_GB2312"/>
          <w:bCs/>
          <w:sz w:val="32"/>
          <w:szCs w:val="32"/>
          <w:highlight w:val="none"/>
          <w:lang w:val="en-US" w:eastAsia="zh-CN"/>
        </w:rPr>
        <w:t>的有效</w:t>
      </w:r>
      <w:r>
        <w:rPr>
          <w:rFonts w:hint="eastAsia" w:ascii="仿宋_GB2312" w:hAnsi="仿宋_GB2312" w:eastAsia="仿宋_GB2312" w:cs="仿宋_GB2312"/>
          <w:bCs/>
          <w:sz w:val="32"/>
          <w:szCs w:val="32"/>
          <w:highlight w:val="none"/>
        </w:rPr>
        <w:t>拦截。建立未成年人数字身份认证体系，</w:t>
      </w:r>
      <w:r>
        <w:rPr>
          <w:rFonts w:hint="eastAsia" w:ascii="仿宋_GB2312" w:hAnsi="仿宋_GB2312" w:eastAsia="仿宋_GB2312" w:cs="仿宋_GB2312"/>
          <w:kern w:val="0"/>
          <w:sz w:val="32"/>
          <w:szCs w:val="32"/>
          <w:highlight w:val="none"/>
        </w:rPr>
        <w:t>引导</w:t>
      </w:r>
      <w:r>
        <w:rPr>
          <w:rFonts w:hint="eastAsia" w:ascii="仿宋_GB2312" w:hAnsi="仿宋_GB2312" w:eastAsia="仿宋_GB2312" w:cs="仿宋_GB2312"/>
          <w:kern w:val="0"/>
          <w:sz w:val="32"/>
          <w:szCs w:val="32"/>
          <w:highlight w:val="none"/>
          <w:lang w:val="en-US" w:eastAsia="zh-CN"/>
        </w:rPr>
        <w:t>其</w:t>
      </w:r>
      <w:r>
        <w:rPr>
          <w:rFonts w:hint="eastAsia" w:ascii="仿宋_GB2312" w:hAnsi="仿宋_GB2312" w:eastAsia="仿宋_GB2312" w:cs="仿宋_GB2312"/>
          <w:kern w:val="0"/>
          <w:sz w:val="32"/>
          <w:szCs w:val="32"/>
          <w:highlight w:val="none"/>
        </w:rPr>
        <w:t>合理使用网络。</w:t>
      </w:r>
    </w:p>
    <w:p w14:paraId="070E21F0">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（三）建成高质量现代化</w:t>
      </w:r>
      <w:r>
        <w:rPr>
          <w:rFonts w:hint="eastAsia" w:ascii="方正楷体_GB2312" w:hAnsi="方正楷体_GB2312" w:eastAsia="方正楷体_GB2312" w:cs="方正楷体_GB2312"/>
          <w:b/>
          <w:sz w:val="32"/>
          <w:szCs w:val="32"/>
          <w:highlight w:val="none"/>
          <w:lang w:val="en-US" w:eastAsia="zh-CN"/>
        </w:rPr>
        <w:t>儿童</w:t>
      </w:r>
      <w:r>
        <w:rPr>
          <w:rFonts w:hint="eastAsia" w:ascii="方正楷体_GB2312" w:hAnsi="方正楷体_GB2312" w:eastAsia="方正楷体_GB2312" w:cs="方正楷体_GB2312"/>
          <w:b/>
          <w:sz w:val="32"/>
          <w:szCs w:val="32"/>
          <w:highlight w:val="none"/>
        </w:rPr>
        <w:t>教育体系</w:t>
      </w:r>
    </w:p>
    <w:p w14:paraId="0979A78D">
      <w:pPr>
        <w:keepNext w:val="0"/>
        <w:keepLines w:val="0"/>
        <w:pageBreakBefore w:val="0"/>
        <w:widowControl w:val="0"/>
        <w:suppressLineNumbers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color w:val="000000"/>
          <w:kern w:val="0"/>
          <w:sz w:val="32"/>
          <w:szCs w:val="32"/>
          <w:highlight w:val="none"/>
        </w:rPr>
        <w:t>1.实施新时代立德树人工程。</w:t>
      </w:r>
      <w:r>
        <w:rPr>
          <w:rFonts w:hint="eastAsia" w:ascii="仿宋_GB2312" w:hAnsi="仿宋_GB2312" w:eastAsia="仿宋_GB2312" w:cs="仿宋_GB2312"/>
          <w:sz w:val="32"/>
          <w:szCs w:val="32"/>
          <w:highlight w:val="none"/>
        </w:rPr>
        <w:t>深化“大思政课”和大中小学思想政治教育一体化建设</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color w:val="000000"/>
          <w:kern w:val="0"/>
          <w:sz w:val="32"/>
          <w:szCs w:val="32"/>
          <w:highlight w:val="none"/>
        </w:rPr>
        <w:t>建</w:t>
      </w:r>
      <w:r>
        <w:rPr>
          <w:rFonts w:hint="eastAsia" w:ascii="仿宋_GB2312" w:hAnsi="仿宋_GB2312" w:eastAsia="仿宋_GB2312" w:cs="仿宋_GB2312"/>
          <w:color w:val="000000"/>
          <w:kern w:val="0"/>
          <w:sz w:val="32"/>
          <w:szCs w:val="32"/>
          <w:highlight w:val="none"/>
          <w:lang w:val="en-US" w:eastAsia="zh-CN"/>
        </w:rPr>
        <w:t>成</w:t>
      </w:r>
      <w:r>
        <w:rPr>
          <w:rFonts w:hint="eastAsia" w:ascii="仿宋_GB2312" w:hAnsi="仿宋_GB2312" w:eastAsia="仿宋_GB2312" w:cs="仿宋_GB2312"/>
          <w:color w:val="000000"/>
          <w:kern w:val="0"/>
          <w:sz w:val="32"/>
          <w:szCs w:val="32"/>
          <w:highlight w:val="none"/>
        </w:rPr>
        <w:t>类型多样、功能完备、特色鲜明的“大思政课”实践教学基地</w:t>
      </w:r>
      <w:r>
        <w:rPr>
          <w:rFonts w:hint="eastAsia" w:ascii="仿宋_GB2312" w:hAnsi="仿宋_GB2312" w:eastAsia="仿宋_GB2312" w:cs="仿宋_GB2312"/>
          <w:color w:val="000000"/>
          <w:kern w:val="0"/>
          <w:sz w:val="32"/>
          <w:szCs w:val="32"/>
          <w:highlight w:val="none"/>
          <w:lang w:eastAsia="zh-CN"/>
        </w:rPr>
        <w:t>，</w:t>
      </w:r>
      <w:r>
        <w:rPr>
          <w:rFonts w:hint="eastAsia" w:ascii="仿宋_GB2312" w:hAnsi="仿宋_GB2312" w:eastAsia="仿宋_GB2312" w:cs="仿宋_GB2312"/>
          <w:color w:val="000000"/>
          <w:kern w:val="0"/>
          <w:sz w:val="32"/>
          <w:szCs w:val="32"/>
          <w:highlight w:val="none"/>
          <w:lang w:val="en-US" w:eastAsia="zh-CN" w:bidi="ar"/>
        </w:rPr>
        <w:t>推动</w:t>
      </w:r>
      <w:r>
        <w:rPr>
          <w:rFonts w:hint="eastAsia" w:ascii="仿宋_GB2312" w:hAnsi="仿宋_GB2312" w:eastAsia="仿宋_GB2312" w:cs="仿宋_GB2312"/>
          <w:color w:val="000000"/>
          <w:kern w:val="0"/>
          <w:sz w:val="32"/>
          <w:szCs w:val="32"/>
          <w:highlight w:val="none"/>
        </w:rPr>
        <w:t>德育、智育、体育、美育和劳动教育有机融合</w:t>
      </w:r>
      <w:r>
        <w:rPr>
          <w:rFonts w:hint="eastAsia" w:ascii="仿宋_GB2312" w:hAnsi="仿宋_GB2312" w:eastAsia="仿宋_GB2312" w:cs="仿宋_GB2312"/>
          <w:sz w:val="32"/>
          <w:szCs w:val="32"/>
          <w:highlight w:val="none"/>
        </w:rPr>
        <w:t>。</w:t>
      </w:r>
    </w:p>
    <w:p w14:paraId="74DA5478">
      <w:pPr>
        <w:keepNext w:val="0"/>
        <w:keepLines w:val="0"/>
        <w:pageBreakBefore w:val="0"/>
        <w:widowControl w:val="0"/>
        <w:suppressLineNumbers w:val="0"/>
        <w:shd w:val="clear"/>
        <w:kinsoku/>
        <w:wordWrap/>
        <w:overflowPunct/>
        <w:topLinePunct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2.</w:t>
      </w:r>
      <w:r>
        <w:rPr>
          <w:rFonts w:hint="eastAsia" w:ascii="仿宋_GB2312" w:hAnsi="仿宋_GB2312" w:eastAsia="仿宋_GB2312" w:cs="仿宋_GB2312"/>
          <w:b/>
          <w:bCs/>
          <w:sz w:val="32"/>
          <w:szCs w:val="32"/>
          <w:highlight w:val="none"/>
        </w:rPr>
        <w:t>推进义务教育优质均衡发展。</w:t>
      </w:r>
      <w:r>
        <w:rPr>
          <w:rFonts w:hint="eastAsia" w:ascii="仿宋_GB2312" w:hAnsi="仿宋_GB2312" w:eastAsia="仿宋_GB2312" w:cs="仿宋_GB2312"/>
          <w:b w:val="0"/>
          <w:bCs w:val="0"/>
          <w:sz w:val="32"/>
          <w:szCs w:val="32"/>
          <w:highlight w:val="none"/>
        </w:rPr>
        <w:t>持续布局区级优质学校，促进优质资源流动，缩小城乡、校际间教育差距。实行新型集团化办学长链条贯通培养模式。深化托幼一体化服务</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color w:val="000000"/>
          <w:kern w:val="0"/>
          <w:sz w:val="32"/>
          <w:szCs w:val="32"/>
          <w:highlight w:val="none"/>
          <w:lang w:val="en-US" w:eastAsia="zh-CN" w:bidi="ar"/>
        </w:rPr>
        <w:t>实现76%幼儿园提供托育服务。</w:t>
      </w:r>
    </w:p>
    <w:p w14:paraId="0AD69519">
      <w:pPr>
        <w:keepNext w:val="0"/>
        <w:keepLines w:val="0"/>
        <w:pageBreakBefore w:val="0"/>
        <w:widowControl w:val="0"/>
        <w:numPr>
          <w:ilvl w:val="0"/>
          <w:numId w:val="0"/>
        </w:numPr>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rPr>
        <w:t>.打造昌平职业教育特色品牌。</w:t>
      </w:r>
      <w:r>
        <w:rPr>
          <w:rFonts w:hint="eastAsia" w:ascii="仿宋_GB2312" w:hAnsi="仿宋_GB2312" w:eastAsia="仿宋_GB2312" w:cs="仿宋_GB2312"/>
          <w:b w:val="0"/>
          <w:bCs w:val="0"/>
          <w:sz w:val="32"/>
          <w:szCs w:val="32"/>
          <w:highlight w:val="none"/>
        </w:rPr>
        <w:t>构建职普融通、产教结合现代化职业教育体系，</w:t>
      </w:r>
      <w:r>
        <w:rPr>
          <w:rFonts w:hint="eastAsia" w:ascii="仿宋_GB2312" w:hAnsi="仿宋_GB2312" w:eastAsia="仿宋_GB2312" w:cs="仿宋_GB2312"/>
          <w:sz w:val="32"/>
          <w:szCs w:val="32"/>
          <w:highlight w:val="none"/>
        </w:rPr>
        <w:t>提升职业学校办学能力</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b w:val="0"/>
          <w:bCs w:val="0"/>
          <w:sz w:val="32"/>
          <w:szCs w:val="32"/>
          <w:highlight w:val="none"/>
        </w:rPr>
        <w:t>形成校地企一体联动、产学研深度融合的“昌平样板”。</w:t>
      </w:r>
      <w:r>
        <w:rPr>
          <w:rFonts w:hint="eastAsia" w:ascii="仿宋_GB2312" w:hAnsi="仿宋_GB2312" w:eastAsia="仿宋_GB2312" w:cs="仿宋_GB2312"/>
          <w:b w:val="0"/>
          <w:bCs w:val="0"/>
          <w:sz w:val="32"/>
          <w:szCs w:val="32"/>
          <w:highlight w:val="none"/>
          <w:lang w:val="en-US" w:eastAsia="zh-CN"/>
        </w:rPr>
        <w:t>加快</w:t>
      </w:r>
      <w:r>
        <w:rPr>
          <w:rFonts w:hint="eastAsia" w:ascii="仿宋_GB2312" w:hAnsi="仿宋_GB2312" w:eastAsia="仿宋_GB2312" w:cs="仿宋_GB2312"/>
          <w:b w:val="0"/>
          <w:bCs w:val="0"/>
          <w:sz w:val="32"/>
          <w:szCs w:val="32"/>
          <w:highlight w:val="none"/>
        </w:rPr>
        <w:t>校企合作</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加快高水平产教融合实训基地建设。</w:t>
      </w:r>
    </w:p>
    <w:p w14:paraId="733A944D">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4</w:t>
      </w:r>
      <w:r>
        <w:rPr>
          <w:rFonts w:hint="eastAsia" w:ascii="仿宋_GB2312" w:hAnsi="仿宋_GB2312" w:eastAsia="仿宋_GB2312" w:cs="仿宋_GB2312"/>
          <w:b/>
          <w:bCs/>
          <w:sz w:val="32"/>
          <w:szCs w:val="32"/>
          <w:highlight w:val="none"/>
        </w:rPr>
        <w:t>.加强中小学人工智能素养教育</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val="0"/>
          <w:bCs w:val="0"/>
          <w:sz w:val="32"/>
          <w:szCs w:val="32"/>
          <w:highlight w:val="none"/>
        </w:rPr>
        <w:t>实施教育数字化战略，建设中小学一体化人工智能素养培育体系</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开设人工智能通识类课程，探索人工智能深度赋能教育新模式</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全面提</w:t>
      </w:r>
      <w:r>
        <w:rPr>
          <w:rFonts w:hint="eastAsia" w:ascii="仿宋_GB2312" w:hAnsi="仿宋_GB2312" w:eastAsia="仿宋_GB2312" w:cs="仿宋_GB2312"/>
          <w:sz w:val="32"/>
          <w:szCs w:val="32"/>
          <w:highlight w:val="none"/>
        </w:rPr>
        <w:t>升中小学生科学素养。</w:t>
      </w:r>
    </w:p>
    <w:p w14:paraId="4DE30721">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rPr>
        <w:t>.健全学校家庭社会协同育人机制。</w:t>
      </w:r>
      <w:r>
        <w:rPr>
          <w:rFonts w:hint="eastAsia" w:ascii="仿宋_GB2312" w:hAnsi="仿宋_GB2312" w:eastAsia="仿宋_GB2312" w:cs="仿宋_GB2312"/>
          <w:b w:val="0"/>
          <w:bCs w:val="0"/>
          <w:sz w:val="32"/>
          <w:szCs w:val="32"/>
          <w:highlight w:val="none"/>
        </w:rPr>
        <w:t>强化学校主导、家庭尽责、社会参与的协同育人工作机制，推进家校社协同“教联体”建设全覆盖。</w:t>
      </w:r>
    </w:p>
    <w:p w14:paraId="14CA10E5">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（四）</w:t>
      </w:r>
      <w:r>
        <w:rPr>
          <w:rFonts w:hint="eastAsia" w:ascii="方正楷体_GB2312" w:hAnsi="方正楷体_GB2312" w:eastAsia="方正楷体_GB2312" w:cs="方正楷体_GB2312"/>
          <w:b/>
          <w:sz w:val="32"/>
          <w:szCs w:val="32"/>
          <w:highlight w:val="none"/>
          <w:lang w:val="en-US" w:eastAsia="zh-CN"/>
        </w:rPr>
        <w:t>全面建成</w:t>
      </w:r>
      <w:r>
        <w:rPr>
          <w:rFonts w:hint="eastAsia" w:ascii="方正楷体_GB2312" w:hAnsi="方正楷体_GB2312" w:eastAsia="方正楷体_GB2312" w:cs="方正楷体_GB2312"/>
          <w:b/>
          <w:sz w:val="32"/>
          <w:szCs w:val="32"/>
          <w:highlight w:val="none"/>
        </w:rPr>
        <w:t>普惠型儿童福利体系</w:t>
      </w:r>
    </w:p>
    <w:p w14:paraId="75A9776E">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lang w:eastAsia="zh-CN"/>
        </w:rPr>
      </w:pPr>
      <w:r>
        <w:rPr>
          <w:rFonts w:hint="eastAsia" w:ascii="仿宋_GB2312" w:hAnsi="仿宋_GB2312" w:eastAsia="仿宋_GB2312" w:cs="仿宋_GB2312"/>
          <w:b/>
          <w:bCs/>
          <w:kern w:val="0"/>
          <w:sz w:val="32"/>
          <w:szCs w:val="32"/>
          <w:highlight w:val="none"/>
        </w:rPr>
        <w:t>1.提高儿童福利保障水平。</w:t>
      </w:r>
      <w:r>
        <w:rPr>
          <w:rFonts w:hint="eastAsia" w:ascii="仿宋_GB2312" w:hAnsi="仿宋_GB2312" w:eastAsia="仿宋_GB2312" w:cs="仿宋_GB2312"/>
          <w:kern w:val="0"/>
          <w:sz w:val="32"/>
          <w:szCs w:val="32"/>
          <w:highlight w:val="none"/>
        </w:rPr>
        <w:t>推动儿童福利由偏重物质保障向以预防和发展为主的关爱服务转变，以儿童照料和儿童保护为核心增加福利服务内容。加大公共财政对儿童福利事业支持力度，确保儿童福利资金足额投入、高效使用。</w:t>
      </w:r>
    </w:p>
    <w:p w14:paraId="12E51D68">
      <w:pPr>
        <w:keepNext w:val="0"/>
        <w:keepLines w:val="0"/>
        <w:pageBreakBefore w:val="0"/>
        <w:widowControl w:val="0"/>
        <w:shd w:val="clear"/>
        <w:suppressAutoHyphens/>
        <w:kinsoku/>
        <w:wordWrap/>
        <w:overflowPunct/>
        <w:topLinePunct w:val="0"/>
        <w:autoSpaceDE w:val="0"/>
        <w:autoSpaceDN/>
        <w:bidi w:val="0"/>
        <w:spacing w:line="580" w:lineRule="exact"/>
        <w:ind w:left="0" w:firstLine="655" w:firstLineChars="200"/>
        <w:jc w:val="both"/>
        <w:textAlignment w:val="auto"/>
        <w:rPr>
          <w:rFonts w:hint="eastAsia" w:ascii="仿宋_GB2312" w:hAnsi="仿宋_GB2312" w:eastAsia="仿宋_GB2312" w:cs="仿宋_GB2312"/>
          <w:b w:val="0"/>
          <w:bCs/>
          <w:spacing w:val="3"/>
          <w:sz w:val="32"/>
          <w:szCs w:val="32"/>
          <w:highlight w:val="none"/>
          <w:shd w:val="clear" w:color="auto" w:fill="FFFFFF"/>
        </w:rPr>
      </w:pPr>
      <w:r>
        <w:rPr>
          <w:rFonts w:hint="eastAsia" w:ascii="仿宋_GB2312" w:hAnsi="仿宋_GB2312" w:eastAsia="仿宋_GB2312" w:cs="仿宋_GB2312"/>
          <w:b/>
          <w:spacing w:val="3"/>
          <w:sz w:val="32"/>
          <w:szCs w:val="32"/>
          <w:highlight w:val="none"/>
          <w:shd w:val="clear" w:color="auto" w:fill="FFFFFF"/>
        </w:rPr>
        <w:t>2.完善儿童基本医疗保障体系。</w:t>
      </w:r>
      <w:r>
        <w:rPr>
          <w:rFonts w:hint="eastAsia" w:ascii="仿宋_GB2312" w:hAnsi="仿宋_GB2312" w:eastAsia="仿宋_GB2312" w:cs="仿宋_GB2312"/>
          <w:b w:val="0"/>
          <w:bCs/>
          <w:spacing w:val="3"/>
          <w:sz w:val="32"/>
          <w:szCs w:val="32"/>
          <w:highlight w:val="none"/>
          <w:shd w:val="clear" w:color="auto" w:fill="FFFFFF"/>
        </w:rPr>
        <w:t>扩展福利对象范围，增加儿童福利服务内容。</w:t>
      </w:r>
      <w:r>
        <w:rPr>
          <w:rFonts w:hint="eastAsia" w:ascii="仿宋_GB2312" w:hAnsi="仿宋_GB2312" w:eastAsia="仿宋_GB2312" w:cs="仿宋_GB2312"/>
          <w:kern w:val="0"/>
          <w:sz w:val="32"/>
          <w:szCs w:val="32"/>
          <w:highlight w:val="none"/>
        </w:rPr>
        <w:t>做好学生儿童参加城乡居民医保工作</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b w:val="0"/>
          <w:bCs/>
          <w:spacing w:val="3"/>
          <w:sz w:val="32"/>
          <w:szCs w:val="32"/>
          <w:highlight w:val="none"/>
          <w:shd w:val="clear" w:color="auto" w:fill="FFFFFF"/>
        </w:rPr>
        <w:t>强化基本医疗保险、大病保险、医疗救助三重保障功能。探索普惠型儿童补充医疗保险，引导商业保险丰富儿童医保类产品供给。</w:t>
      </w:r>
    </w:p>
    <w:p w14:paraId="63A43931">
      <w:pPr>
        <w:keepNext w:val="0"/>
        <w:keepLines w:val="0"/>
        <w:pageBreakBefore w:val="0"/>
        <w:widowControl w:val="0"/>
        <w:shd w:val="clear"/>
        <w:suppressAutoHyphens/>
        <w:kinsoku/>
        <w:wordWrap/>
        <w:overflowPunct/>
        <w:topLinePunct w:val="0"/>
        <w:autoSpaceDE w:val="0"/>
        <w:autoSpaceDN/>
        <w:bidi w:val="0"/>
        <w:spacing w:line="580" w:lineRule="exact"/>
        <w:ind w:left="0" w:firstLine="655" w:firstLineChars="200"/>
        <w:jc w:val="both"/>
        <w:textAlignment w:val="auto"/>
        <w:rPr>
          <w:rFonts w:hint="eastAsia" w:ascii="仿宋_GB2312" w:hAnsi="仿宋_GB2312" w:eastAsia="仿宋_GB2312" w:cs="仿宋_GB2312"/>
          <w:bCs/>
          <w:spacing w:val="3"/>
          <w:sz w:val="32"/>
          <w:szCs w:val="32"/>
          <w:highlight w:val="none"/>
          <w:shd w:val="clear" w:color="auto" w:fill="FFFFFF"/>
        </w:rPr>
      </w:pPr>
      <w:r>
        <w:rPr>
          <w:rFonts w:hint="eastAsia" w:ascii="仿宋_GB2312" w:hAnsi="仿宋_GB2312" w:eastAsia="仿宋_GB2312" w:cs="仿宋_GB2312"/>
          <w:b/>
          <w:spacing w:val="3"/>
          <w:sz w:val="32"/>
          <w:szCs w:val="32"/>
          <w:highlight w:val="none"/>
          <w:shd w:val="clear" w:color="auto" w:fill="FFFFFF"/>
          <w:lang w:val="en-US" w:eastAsia="zh-CN"/>
        </w:rPr>
        <w:t>3</w:t>
      </w:r>
      <w:r>
        <w:rPr>
          <w:rFonts w:hint="eastAsia" w:ascii="仿宋_GB2312" w:hAnsi="仿宋_GB2312" w:eastAsia="仿宋_GB2312" w:cs="仿宋_GB2312"/>
          <w:b/>
          <w:spacing w:val="3"/>
          <w:sz w:val="32"/>
          <w:szCs w:val="32"/>
          <w:highlight w:val="none"/>
          <w:shd w:val="clear" w:color="auto" w:fill="FFFFFF"/>
        </w:rPr>
        <w:t>.加强流动</w:t>
      </w:r>
      <w:r>
        <w:rPr>
          <w:rFonts w:hint="eastAsia" w:ascii="仿宋_GB2312" w:hAnsi="仿宋_GB2312" w:eastAsia="仿宋_GB2312" w:cs="仿宋_GB2312"/>
          <w:b/>
          <w:spacing w:val="3"/>
          <w:sz w:val="32"/>
          <w:szCs w:val="32"/>
          <w:highlight w:val="none"/>
          <w:shd w:val="clear" w:color="auto" w:fill="FFFFFF"/>
          <w:lang w:val="en-US" w:eastAsia="zh-CN"/>
        </w:rPr>
        <w:t>和</w:t>
      </w:r>
      <w:r>
        <w:rPr>
          <w:rFonts w:hint="eastAsia" w:ascii="仿宋_GB2312" w:hAnsi="仿宋_GB2312" w:eastAsia="仿宋_GB2312" w:cs="仿宋_GB2312"/>
          <w:b/>
          <w:spacing w:val="3"/>
          <w:sz w:val="32"/>
          <w:szCs w:val="32"/>
          <w:highlight w:val="none"/>
          <w:shd w:val="clear" w:color="auto" w:fill="FFFFFF"/>
        </w:rPr>
        <w:t>困境儿童关爱服务。</w:t>
      </w:r>
      <w:r>
        <w:rPr>
          <w:rFonts w:hint="eastAsia" w:ascii="仿宋_GB2312" w:hAnsi="仿宋_GB2312" w:eastAsia="仿宋_GB2312" w:cs="仿宋_GB2312"/>
          <w:kern w:val="0"/>
          <w:sz w:val="32"/>
          <w:szCs w:val="32"/>
          <w:highlight w:val="none"/>
        </w:rPr>
        <w:t>完善</w:t>
      </w:r>
      <w:r>
        <w:rPr>
          <w:rFonts w:hint="eastAsia" w:ascii="仿宋_GB2312" w:hAnsi="仿宋_GB2312" w:eastAsia="仿宋_GB2312" w:cs="仿宋_GB2312"/>
          <w:sz w:val="32"/>
          <w:szCs w:val="32"/>
          <w:highlight w:val="none"/>
          <w:shd w:val="clear" w:color="auto" w:fill="FFFFFF"/>
        </w:rPr>
        <w:t>流动儿童定期监测摸排工作机制，</w:t>
      </w:r>
      <w:r>
        <w:rPr>
          <w:rFonts w:hint="eastAsia" w:ascii="仿宋_GB2312" w:hAnsi="仿宋_GB2312" w:eastAsia="仿宋_GB2312" w:cs="仿宋_GB2312"/>
          <w:kern w:val="0"/>
          <w:sz w:val="32"/>
          <w:szCs w:val="32"/>
          <w:highlight w:val="none"/>
        </w:rPr>
        <w:t>落实流动儿童居住地</w:t>
      </w:r>
      <w:r>
        <w:rPr>
          <w:rFonts w:hint="eastAsia" w:ascii="仿宋_GB2312" w:hAnsi="仿宋_GB2312" w:eastAsia="仿宋_GB2312" w:cs="仿宋_GB2312"/>
          <w:kern w:val="0"/>
          <w:sz w:val="32"/>
          <w:szCs w:val="32"/>
          <w:highlight w:val="none"/>
          <w:lang w:val="en-US" w:eastAsia="zh-CN"/>
        </w:rPr>
        <w:t>公平</w:t>
      </w:r>
      <w:r>
        <w:rPr>
          <w:rFonts w:hint="eastAsia" w:ascii="仿宋_GB2312" w:hAnsi="仿宋_GB2312" w:eastAsia="仿宋_GB2312" w:cs="仿宋_GB2312"/>
          <w:kern w:val="0"/>
          <w:sz w:val="32"/>
          <w:szCs w:val="32"/>
          <w:highlight w:val="none"/>
        </w:rPr>
        <w:t>享有关爱服务事项清单。</w:t>
      </w:r>
      <w:r>
        <w:rPr>
          <w:rFonts w:hint="eastAsia" w:ascii="仿宋_GB2312" w:hAnsi="仿宋_GB2312" w:eastAsia="仿宋_GB2312" w:cs="仿宋_GB2312"/>
          <w:bCs/>
          <w:spacing w:val="3"/>
          <w:sz w:val="32"/>
          <w:szCs w:val="32"/>
          <w:highlight w:val="none"/>
          <w:shd w:val="clear" w:color="auto" w:fill="FFFFFF"/>
        </w:rPr>
        <w:t>完善困境儿童医疗康复服务、基本公共教育服务、心理健康关爱服务，落实基本生活费自然增长机制。深化“爱心妈妈”关爱服务。</w:t>
      </w:r>
    </w:p>
    <w:p w14:paraId="12E1A295">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lang w:eastAsia="zh-CN"/>
        </w:rPr>
      </w:pPr>
      <w:r>
        <w:rPr>
          <w:rFonts w:hint="eastAsia" w:ascii="仿宋_GB2312" w:hAnsi="仿宋_GB2312" w:eastAsia="仿宋_GB2312" w:cs="仿宋_GB2312"/>
          <w:b/>
          <w:bCs/>
          <w:kern w:val="0"/>
          <w:sz w:val="32"/>
          <w:szCs w:val="32"/>
          <w:highlight w:val="none"/>
          <w:lang w:val="en-US" w:eastAsia="zh-CN"/>
        </w:rPr>
        <w:t>4.强化基层基础和队伍建设。</w:t>
      </w:r>
      <w:r>
        <w:rPr>
          <w:rFonts w:hint="eastAsia" w:ascii="仿宋_GB2312" w:hAnsi="仿宋_GB2312" w:eastAsia="仿宋_GB2312" w:cs="仿宋_GB2312"/>
          <w:kern w:val="0"/>
          <w:sz w:val="32"/>
          <w:szCs w:val="32"/>
          <w:highlight w:val="none"/>
        </w:rPr>
        <w:t>完善未成年人救助保护机构建设，</w:t>
      </w:r>
      <w:r>
        <w:rPr>
          <w:rFonts w:hint="eastAsia" w:ascii="仿宋_GB2312" w:hAnsi="仿宋_GB2312" w:eastAsia="仿宋_GB2312" w:cs="仿宋_GB2312"/>
          <w:b w:val="0"/>
          <w:bCs w:val="0"/>
          <w:kern w:val="0"/>
          <w:sz w:val="32"/>
          <w:szCs w:val="32"/>
          <w:highlight w:val="none"/>
          <w:lang w:val="en-US" w:eastAsia="zh-CN"/>
        </w:rPr>
        <w:t>实现全区镇（街道）儿童督导员、社区（村）儿童主任配置全覆盖。</w:t>
      </w:r>
      <w:r>
        <w:rPr>
          <w:rFonts w:hint="eastAsia" w:ascii="仿宋_GB2312" w:hAnsi="仿宋_GB2312" w:eastAsia="仿宋_GB2312" w:cs="仿宋_GB2312"/>
          <w:kern w:val="0"/>
          <w:sz w:val="32"/>
          <w:szCs w:val="32"/>
          <w:highlight w:val="none"/>
        </w:rPr>
        <w:t>落实残疾儿童康复保障制度，为残疾儿童提供普惠优质康复服务</w:t>
      </w:r>
      <w:r>
        <w:rPr>
          <w:rFonts w:hint="eastAsia" w:ascii="仿宋_GB2312" w:hAnsi="仿宋_GB2312" w:eastAsia="仿宋_GB2312" w:cs="仿宋_GB2312"/>
          <w:kern w:val="0"/>
          <w:sz w:val="32"/>
          <w:szCs w:val="32"/>
          <w:highlight w:val="none"/>
          <w:lang w:eastAsia="zh-CN"/>
        </w:rPr>
        <w:t>。</w:t>
      </w:r>
    </w:p>
    <w:p w14:paraId="2B0BB25E">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（五）增强家庭养育教育功能</w:t>
      </w:r>
    </w:p>
    <w:p w14:paraId="52F720DC">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b/>
          <w:bCs/>
          <w:kern w:val="0"/>
          <w:sz w:val="32"/>
          <w:szCs w:val="32"/>
          <w:highlight w:val="none"/>
        </w:rPr>
        <w:t>1.将立德树人落实到家庭教育各方面。</w:t>
      </w:r>
      <w:r>
        <w:rPr>
          <w:rFonts w:hint="eastAsia" w:ascii="仿宋_GB2312" w:hAnsi="仿宋_GB2312" w:eastAsia="仿宋_GB2312" w:cs="仿宋_GB2312"/>
          <w:kern w:val="0"/>
          <w:sz w:val="32"/>
          <w:szCs w:val="32"/>
          <w:highlight w:val="none"/>
        </w:rPr>
        <w:t>实施家庭教育支持行动，引导家庭重言传、重身教、教知识、育品德，</w:t>
      </w:r>
      <w:r>
        <w:rPr>
          <w:rFonts w:hint="eastAsia" w:ascii="仿宋_GB2312" w:hAnsi="仿宋_GB2312" w:eastAsia="仿宋_GB2312" w:cs="仿宋_GB2312"/>
          <w:color w:val="060607"/>
          <w:spacing w:val="3"/>
          <w:sz w:val="32"/>
          <w:szCs w:val="32"/>
          <w:highlight w:val="none"/>
          <w:shd w:val="clear" w:color="auto" w:fill="FFFFFF"/>
        </w:rPr>
        <w:t>将思想品德教育融入日常生活，</w:t>
      </w:r>
      <w:r>
        <w:rPr>
          <w:rFonts w:hint="eastAsia" w:ascii="仿宋_GB2312" w:hAnsi="仿宋_GB2312" w:eastAsia="仿宋_GB2312" w:cs="仿宋_GB2312"/>
          <w:kern w:val="0"/>
          <w:sz w:val="32"/>
          <w:szCs w:val="32"/>
          <w:highlight w:val="none"/>
        </w:rPr>
        <w:t xml:space="preserve">以良好家教家风涵育道德品行。教育儿童树立正确的世界观、人生观、价值观，增强儿童法治意识和社会责任感，扣好人生第一粒扣子。     </w:t>
      </w:r>
    </w:p>
    <w:p w14:paraId="0FE490CC">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b/>
          <w:bCs/>
          <w:kern w:val="0"/>
          <w:sz w:val="32"/>
          <w:szCs w:val="32"/>
          <w:highlight w:val="none"/>
          <w:lang w:val="en-US" w:eastAsia="zh-CN"/>
        </w:rPr>
        <w:t>2</w:t>
      </w:r>
      <w:r>
        <w:rPr>
          <w:rFonts w:hint="eastAsia" w:ascii="仿宋_GB2312" w:hAnsi="仿宋_GB2312" w:eastAsia="仿宋_GB2312" w:cs="仿宋_GB2312"/>
          <w:b/>
          <w:bCs/>
          <w:kern w:val="0"/>
          <w:sz w:val="32"/>
          <w:szCs w:val="32"/>
          <w:highlight w:val="none"/>
        </w:rPr>
        <w:t>.强化家庭监护监督。</w:t>
      </w:r>
      <w:r>
        <w:rPr>
          <w:rFonts w:hint="eastAsia" w:ascii="仿宋_GB2312" w:hAnsi="仿宋_GB2312" w:eastAsia="仿宋_GB2312" w:cs="仿宋_GB2312"/>
          <w:b w:val="0"/>
          <w:bCs w:val="0"/>
          <w:kern w:val="0"/>
          <w:sz w:val="32"/>
          <w:szCs w:val="32"/>
          <w:highlight w:val="none"/>
          <w:lang w:val="en-US" w:eastAsia="zh-CN"/>
        </w:rPr>
        <w:t>全面落实</w:t>
      </w:r>
      <w:r>
        <w:rPr>
          <w:rFonts w:hint="eastAsia" w:ascii="仿宋_GB2312" w:hAnsi="仿宋_GB2312" w:eastAsia="仿宋_GB2312" w:cs="仿宋_GB2312"/>
          <w:b w:val="0"/>
          <w:bCs w:val="0"/>
          <w:kern w:val="0"/>
          <w:sz w:val="32"/>
          <w:szCs w:val="32"/>
          <w:highlight w:val="none"/>
        </w:rPr>
        <w:t>家庭教育训诫制度，增强家庭教育指导令、督促监护令效力。落实人身安全保护令和撤销监护人资格制度。</w:t>
      </w:r>
      <w:r>
        <w:rPr>
          <w:rFonts w:hint="eastAsia" w:ascii="仿宋_GB2312" w:hAnsi="仿宋_GB2312" w:eastAsia="仿宋_GB2312" w:cs="仿宋_GB2312"/>
          <w:b w:val="0"/>
          <w:bCs w:val="0"/>
          <w:kern w:val="0"/>
          <w:sz w:val="32"/>
          <w:szCs w:val="32"/>
          <w:highlight w:val="none"/>
          <w:lang w:val="en-US" w:eastAsia="zh-CN"/>
        </w:rPr>
        <w:t>强化</w:t>
      </w:r>
      <w:r>
        <w:rPr>
          <w:rFonts w:hint="eastAsia" w:ascii="仿宋_GB2312" w:hAnsi="仿宋_GB2312" w:eastAsia="仿宋_GB2312" w:cs="仿宋_GB2312"/>
          <w:b w:val="0"/>
          <w:bCs w:val="0"/>
          <w:kern w:val="0"/>
          <w:sz w:val="32"/>
          <w:szCs w:val="32"/>
          <w:highlight w:val="none"/>
        </w:rPr>
        <w:t>对监护人严重侵害未成年人合法权益行为的查处追责。落实困境儿童巡视探访制度</w:t>
      </w:r>
      <w:r>
        <w:rPr>
          <w:rFonts w:hint="eastAsia" w:ascii="仿宋_GB2312" w:hAnsi="仿宋_GB2312" w:eastAsia="仿宋_GB2312" w:cs="仿宋_GB2312"/>
          <w:b w:val="0"/>
          <w:bCs w:val="0"/>
          <w:kern w:val="0"/>
          <w:sz w:val="32"/>
          <w:szCs w:val="32"/>
          <w:highlight w:val="none"/>
          <w:lang w:eastAsia="zh-CN"/>
        </w:rPr>
        <w:t>，</w:t>
      </w:r>
      <w:r>
        <w:rPr>
          <w:rFonts w:hint="eastAsia" w:ascii="仿宋_GB2312" w:hAnsi="仿宋_GB2312" w:eastAsia="仿宋_GB2312" w:cs="仿宋_GB2312"/>
          <w:sz w:val="32"/>
          <w:szCs w:val="32"/>
          <w:highlight w:val="none"/>
        </w:rPr>
        <w:t>提</w:t>
      </w:r>
      <w:r>
        <w:rPr>
          <w:rFonts w:hint="eastAsia" w:ascii="仿宋_GB2312" w:hAnsi="仿宋_GB2312" w:eastAsia="仿宋_GB2312" w:cs="仿宋_GB2312"/>
          <w:sz w:val="32"/>
          <w:szCs w:val="32"/>
          <w:highlight w:val="none"/>
          <w:lang w:val="en-US" w:eastAsia="zh-CN"/>
        </w:rPr>
        <w:t>高</w:t>
      </w:r>
      <w:r>
        <w:rPr>
          <w:rFonts w:hint="eastAsia" w:ascii="仿宋_GB2312" w:hAnsi="仿宋_GB2312" w:eastAsia="仿宋_GB2312" w:cs="仿宋_GB2312"/>
          <w:sz w:val="32"/>
          <w:szCs w:val="32"/>
          <w:highlight w:val="none"/>
        </w:rPr>
        <w:t>儿童主任、儿童督导员发现报告能力。</w:t>
      </w:r>
    </w:p>
    <w:p w14:paraId="586D54AE">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kern w:val="0"/>
          <w:sz w:val="32"/>
          <w:szCs w:val="32"/>
          <w:highlight w:val="none"/>
        </w:rPr>
        <w:t>3.完善家庭教育指导服务体系。</w:t>
      </w:r>
      <w:r>
        <w:rPr>
          <w:rFonts w:hint="eastAsia" w:ascii="仿宋_GB2312" w:hAnsi="仿宋_GB2312" w:eastAsia="仿宋_GB2312" w:cs="仿宋_GB2312"/>
          <w:sz w:val="32"/>
          <w:szCs w:val="32"/>
          <w:highlight w:val="none"/>
        </w:rPr>
        <w:t>制定实施家庭教育五年规划，培养家庭教育指导师队伍，将家庭教育指导服务纳入城乡公共服务体系。</w:t>
      </w:r>
      <w:r>
        <w:rPr>
          <w:rFonts w:hint="eastAsia" w:ascii="仿宋_GB2312" w:hAnsi="仿宋_GB2312" w:eastAsia="仿宋_GB2312" w:cs="仿宋_GB2312"/>
          <w:smallCaps/>
          <w:spacing w:val="5"/>
          <w:sz w:val="32"/>
          <w:szCs w:val="32"/>
          <w:highlight w:val="none"/>
        </w:rPr>
        <w:t>加强科学育儿指导，</w:t>
      </w:r>
      <w:r>
        <w:rPr>
          <w:rFonts w:hint="eastAsia" w:ascii="仿宋_GB2312" w:hAnsi="仿宋_GB2312" w:eastAsia="仿宋_GB2312" w:cs="仿宋_GB2312"/>
          <w:sz w:val="32"/>
          <w:szCs w:val="32"/>
          <w:highlight w:val="none"/>
        </w:rPr>
        <w:t>建立区级医育结合指导中心，打造“线上+线下”科学育儿指导平台，</w:t>
      </w:r>
      <w:r>
        <w:rPr>
          <w:rFonts w:hint="eastAsia" w:ascii="仿宋_GB2312" w:hAnsi="仿宋_GB2312" w:eastAsia="仿宋_GB2312" w:cs="仿宋_GB2312"/>
          <w:color w:val="000000"/>
          <w:kern w:val="0"/>
          <w:sz w:val="32"/>
          <w:szCs w:val="32"/>
          <w:highlight w:val="none"/>
        </w:rPr>
        <w:t>帮助家长提高科学生育、养育</w:t>
      </w:r>
      <w:r>
        <w:rPr>
          <w:rFonts w:hint="eastAsia" w:ascii="仿宋_GB2312" w:hAnsi="仿宋_GB2312" w:eastAsia="仿宋_GB2312" w:cs="仿宋_GB2312"/>
          <w:color w:val="000000"/>
          <w:kern w:val="0"/>
          <w:sz w:val="32"/>
          <w:szCs w:val="32"/>
          <w:highlight w:val="none"/>
          <w:lang w:val="en-US" w:eastAsia="zh-CN"/>
        </w:rPr>
        <w:t>和</w:t>
      </w:r>
      <w:r>
        <w:rPr>
          <w:rFonts w:hint="eastAsia" w:ascii="仿宋_GB2312" w:hAnsi="仿宋_GB2312" w:eastAsia="仿宋_GB2312" w:cs="仿宋_GB2312"/>
          <w:color w:val="000000"/>
          <w:kern w:val="0"/>
          <w:sz w:val="32"/>
          <w:szCs w:val="32"/>
          <w:highlight w:val="none"/>
        </w:rPr>
        <w:t>教育能力。</w:t>
      </w:r>
    </w:p>
    <w:p w14:paraId="768801FA">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b w:val="0"/>
          <w:bCs w:val="0"/>
          <w:kern w:val="0"/>
          <w:sz w:val="32"/>
          <w:szCs w:val="32"/>
          <w:highlight w:val="none"/>
        </w:rPr>
      </w:pPr>
      <w:r>
        <w:rPr>
          <w:rFonts w:hint="eastAsia" w:ascii="仿宋_GB2312" w:hAnsi="仿宋_GB2312" w:eastAsia="仿宋_GB2312" w:cs="仿宋_GB2312"/>
          <w:b/>
          <w:bCs/>
          <w:kern w:val="0"/>
          <w:sz w:val="32"/>
          <w:szCs w:val="32"/>
          <w:highlight w:val="none"/>
          <w:lang w:val="en-US" w:eastAsia="zh-CN"/>
        </w:rPr>
        <w:t>4</w:t>
      </w:r>
      <w:r>
        <w:rPr>
          <w:rFonts w:hint="eastAsia" w:ascii="仿宋_GB2312" w:hAnsi="仿宋_GB2312" w:eastAsia="仿宋_GB2312" w:cs="仿宋_GB2312"/>
          <w:b/>
          <w:bCs/>
          <w:kern w:val="0"/>
          <w:sz w:val="32"/>
          <w:szCs w:val="32"/>
          <w:highlight w:val="none"/>
        </w:rPr>
        <w:t>.促进亲子关系和谐发展。</w:t>
      </w:r>
      <w:r>
        <w:rPr>
          <w:rFonts w:hint="eastAsia" w:ascii="仿宋_GB2312" w:hAnsi="仿宋_GB2312" w:eastAsia="仿宋_GB2312" w:cs="仿宋_GB2312"/>
          <w:b w:val="0"/>
          <w:bCs w:val="0"/>
          <w:kern w:val="0"/>
          <w:sz w:val="32"/>
          <w:szCs w:val="32"/>
          <w:highlight w:val="none"/>
        </w:rPr>
        <w:t>引导家长尊重儿童参与家庭事务的知情权和参与权，重视听取并采纳其合理意见。实施快乐家庭亲子行动，倡导家长每天与孩子“倾听一刻钟，活动</w:t>
      </w:r>
      <w:r>
        <w:rPr>
          <w:rFonts w:hint="eastAsia" w:ascii="仿宋_GB2312" w:hAnsi="仿宋_GB2312" w:eastAsia="仿宋_GB2312" w:cs="仿宋_GB2312"/>
          <w:b w:val="0"/>
          <w:bCs w:val="0"/>
          <w:kern w:val="0"/>
          <w:sz w:val="32"/>
          <w:szCs w:val="32"/>
          <w:highlight w:val="none"/>
          <w:lang w:val="en-US" w:eastAsia="zh-CN"/>
        </w:rPr>
        <w:t>一</w:t>
      </w:r>
      <w:r>
        <w:rPr>
          <w:rFonts w:hint="eastAsia" w:ascii="仿宋_GB2312" w:hAnsi="仿宋_GB2312" w:eastAsia="仿宋_GB2312" w:cs="仿宋_GB2312"/>
          <w:b w:val="0"/>
          <w:bCs w:val="0"/>
          <w:kern w:val="0"/>
          <w:sz w:val="32"/>
          <w:szCs w:val="32"/>
          <w:highlight w:val="none"/>
        </w:rPr>
        <w:t>小时”</w:t>
      </w:r>
      <w:r>
        <w:rPr>
          <w:rFonts w:hint="eastAsia" w:ascii="仿宋_GB2312" w:hAnsi="仿宋_GB2312" w:eastAsia="仿宋_GB2312" w:cs="仿宋_GB2312"/>
          <w:b w:val="0"/>
          <w:bCs w:val="0"/>
          <w:kern w:val="0"/>
          <w:sz w:val="32"/>
          <w:szCs w:val="32"/>
          <w:highlight w:val="none"/>
          <w:lang w:eastAsia="zh-CN"/>
        </w:rPr>
        <w:t>。加强亲子阅读指导，</w:t>
      </w:r>
      <w:r>
        <w:rPr>
          <w:rFonts w:hint="eastAsia" w:ascii="仿宋_GB2312" w:hAnsi="仿宋_GB2312" w:eastAsia="仿宋_GB2312" w:cs="仿宋_GB2312"/>
          <w:b w:val="0"/>
          <w:bCs w:val="0"/>
          <w:kern w:val="0"/>
          <w:sz w:val="32"/>
          <w:szCs w:val="32"/>
          <w:highlight w:val="none"/>
        </w:rPr>
        <w:t>提高陪伴质量。</w:t>
      </w:r>
    </w:p>
    <w:p w14:paraId="7D314328">
      <w:pPr>
        <w:keepNext w:val="0"/>
        <w:keepLines w:val="0"/>
        <w:pageBreakBefore w:val="0"/>
        <w:widowControl w:val="0"/>
        <w:shd w:val="clear"/>
        <w:kinsoku/>
        <w:wordWrap/>
        <w:overflowPunct/>
        <w:topLinePunct w:val="0"/>
        <w:autoSpaceDN/>
        <w:bidi w:val="0"/>
        <w:spacing w:line="580" w:lineRule="exact"/>
        <w:ind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（六）全域建设儿童友好城市</w:t>
      </w:r>
    </w:p>
    <w:p w14:paraId="0568E5F3">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
          <w:sz w:val="32"/>
          <w:szCs w:val="32"/>
          <w:highlight w:val="none"/>
        </w:rPr>
        <w:t>1.完善儿童优先发展的制度机制。</w:t>
      </w:r>
      <w:r>
        <w:rPr>
          <w:rFonts w:hint="eastAsia" w:ascii="仿宋_GB2312" w:hAnsi="仿宋_GB2312" w:eastAsia="仿宋_GB2312" w:cs="仿宋_GB2312"/>
          <w:kern w:val="0"/>
          <w:sz w:val="32"/>
          <w:szCs w:val="32"/>
          <w:highlight w:val="none"/>
        </w:rPr>
        <w:t>将儿童友好理念融入文明城市建设</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lang w:val="en-US" w:eastAsia="zh-CN"/>
        </w:rPr>
        <w:t>推动</w:t>
      </w:r>
      <w:r>
        <w:rPr>
          <w:rFonts w:hint="eastAsia" w:ascii="仿宋_GB2312" w:hAnsi="仿宋_GB2312" w:eastAsia="仿宋_GB2312" w:cs="仿宋_GB2312"/>
          <w:b w:val="0"/>
          <w:bCs/>
          <w:sz w:val="32"/>
          <w:szCs w:val="32"/>
          <w:highlight w:val="none"/>
        </w:rPr>
        <w:t>儿童友好要求在政策、服务、权利、空间、环境等方面充分体现</w:t>
      </w:r>
      <w:r>
        <w:rPr>
          <w:rFonts w:hint="eastAsia" w:ascii="仿宋_GB2312" w:hAnsi="仿宋_GB2312" w:eastAsia="仿宋_GB2312" w:cs="仿宋_GB2312"/>
          <w:b w:val="0"/>
          <w:bCs/>
          <w:sz w:val="32"/>
          <w:szCs w:val="32"/>
          <w:highlight w:val="none"/>
          <w:lang w:val="en-US" w:eastAsia="zh-CN"/>
        </w:rPr>
        <w:t>和具体</w:t>
      </w:r>
      <w:r>
        <w:rPr>
          <w:rFonts w:hint="eastAsia" w:ascii="仿宋_GB2312" w:hAnsi="仿宋_GB2312" w:eastAsia="仿宋_GB2312" w:cs="仿宋_GB2312"/>
          <w:b w:val="0"/>
          <w:bCs/>
          <w:sz w:val="32"/>
          <w:szCs w:val="32"/>
          <w:highlight w:val="none"/>
        </w:rPr>
        <w:t>落实</w:t>
      </w:r>
      <w:r>
        <w:rPr>
          <w:rFonts w:hint="eastAsia" w:ascii="仿宋_GB2312" w:hAnsi="仿宋_GB2312" w:eastAsia="仿宋_GB2312" w:cs="仿宋_GB2312"/>
          <w:b w:val="0"/>
          <w:bCs/>
          <w:sz w:val="32"/>
          <w:szCs w:val="32"/>
          <w:highlight w:val="none"/>
          <w:lang w:eastAsia="zh-CN"/>
        </w:rPr>
        <w:t>，</w:t>
      </w:r>
      <w:r>
        <w:rPr>
          <w:rFonts w:hint="eastAsia" w:ascii="仿宋_GB2312" w:hAnsi="仿宋_GB2312" w:eastAsia="仿宋_GB2312" w:cs="仿宋_GB2312"/>
          <w:b w:val="0"/>
          <w:bCs/>
          <w:sz w:val="32"/>
          <w:szCs w:val="32"/>
          <w:highlight w:val="none"/>
        </w:rPr>
        <w:t>搭建多元、开放、动态共建平台</w:t>
      </w:r>
      <w:r>
        <w:rPr>
          <w:rFonts w:hint="eastAsia" w:ascii="仿宋_GB2312" w:hAnsi="仿宋_GB2312" w:eastAsia="仿宋_GB2312" w:cs="仿宋_GB2312"/>
          <w:b w:val="0"/>
          <w:bCs/>
          <w:sz w:val="32"/>
          <w:szCs w:val="32"/>
          <w:highlight w:val="none"/>
          <w:lang w:eastAsia="zh-CN"/>
        </w:rPr>
        <w:t>，</w:t>
      </w:r>
      <w:r>
        <w:rPr>
          <w:rFonts w:hint="eastAsia" w:ascii="仿宋_GB2312" w:hAnsi="仿宋_GB2312" w:eastAsia="仿宋_GB2312" w:cs="仿宋_GB2312"/>
          <w:b w:val="0"/>
          <w:bCs/>
          <w:sz w:val="32"/>
          <w:szCs w:val="32"/>
          <w:highlight w:val="none"/>
        </w:rPr>
        <w:t>满足儿童服务和活动需求</w:t>
      </w:r>
      <w:r>
        <w:rPr>
          <w:rFonts w:hint="eastAsia" w:ascii="仿宋_GB2312" w:hAnsi="仿宋_GB2312" w:eastAsia="仿宋_GB2312" w:cs="仿宋_GB2312"/>
          <w:b w:val="0"/>
          <w:bCs/>
          <w:sz w:val="32"/>
          <w:szCs w:val="32"/>
          <w:highlight w:val="none"/>
          <w:lang w:eastAsia="zh-CN"/>
        </w:rPr>
        <w:t>。</w:t>
      </w:r>
      <w:r>
        <w:rPr>
          <w:rFonts w:hint="eastAsia" w:ascii="仿宋_GB2312" w:hAnsi="仿宋_GB2312" w:eastAsia="仿宋_GB2312" w:cs="仿宋_GB2312"/>
          <w:b w:val="0"/>
          <w:bCs/>
          <w:sz w:val="32"/>
          <w:szCs w:val="32"/>
          <w:highlight w:val="none"/>
        </w:rPr>
        <w:t>引入儿童友好评价，探索用大数据和新技术手段完善儿童发展数据监测和共享机制。</w:t>
      </w:r>
      <w:r>
        <w:rPr>
          <w:rFonts w:hint="eastAsia" w:ascii="仿宋_GB2312" w:hAnsi="仿宋_GB2312" w:eastAsia="仿宋_GB2312" w:cs="仿宋_GB2312"/>
          <w:bCs/>
          <w:sz w:val="32"/>
          <w:szCs w:val="32"/>
          <w:highlight w:val="none"/>
        </w:rPr>
        <w:t>鼓励儿童积极参与社会政策</w:t>
      </w:r>
      <w:r>
        <w:rPr>
          <w:rFonts w:hint="eastAsia" w:ascii="仿宋_GB2312" w:hAnsi="仿宋_GB2312" w:eastAsia="仿宋_GB2312" w:cs="仿宋_GB2312"/>
          <w:bCs/>
          <w:sz w:val="32"/>
          <w:szCs w:val="32"/>
          <w:highlight w:val="none"/>
          <w:lang w:val="en-US" w:eastAsia="zh-CN"/>
        </w:rPr>
        <w:t>制定</w:t>
      </w:r>
      <w:r>
        <w:rPr>
          <w:rFonts w:hint="eastAsia" w:ascii="仿宋_GB2312" w:hAnsi="仿宋_GB2312" w:eastAsia="仿宋_GB2312" w:cs="仿宋_GB2312"/>
          <w:bCs/>
          <w:sz w:val="32"/>
          <w:szCs w:val="32"/>
          <w:highlight w:val="none"/>
        </w:rPr>
        <w:t>和公共事务活动。</w:t>
      </w:r>
    </w:p>
    <w:p w14:paraId="113FC5FB">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2.加快公共空间的适儿化改造。</w:t>
      </w:r>
      <w:r>
        <w:rPr>
          <w:rFonts w:hint="eastAsia" w:ascii="仿宋_GB2312" w:hAnsi="仿宋_GB2312" w:eastAsia="仿宋_GB2312" w:cs="仿宋_GB2312"/>
          <w:b w:val="0"/>
          <w:bCs w:val="0"/>
          <w:sz w:val="32"/>
          <w:szCs w:val="32"/>
          <w:highlight w:val="none"/>
        </w:rPr>
        <w:t>推进公共空间无障碍、适儿化改造，提升儿童活动公共空间品质和功能。加快全龄友好型公园升级改造，因地制宜设置儿童活动场地和设施。</w:t>
      </w:r>
      <w:r>
        <w:rPr>
          <w:rFonts w:hint="eastAsia" w:ascii="仿宋_GB2312" w:hAnsi="仿宋_GB2312" w:eastAsia="仿宋_GB2312" w:cs="仿宋_GB2312"/>
          <w:sz w:val="32"/>
          <w:szCs w:val="32"/>
          <w:highlight w:val="none"/>
        </w:rPr>
        <w:t>推进儿童友好慢行交通系统建设，拓展通学公交服务，改造增设</w:t>
      </w:r>
      <w:r>
        <w:rPr>
          <w:rFonts w:hint="eastAsia" w:ascii="仿宋_GB2312" w:hAnsi="仿宋_GB2312" w:eastAsia="仿宋_GB2312" w:cs="仿宋_GB2312"/>
          <w:sz w:val="32"/>
          <w:szCs w:val="32"/>
          <w:highlight w:val="none"/>
          <w:lang w:val="en-US" w:eastAsia="zh-CN"/>
        </w:rPr>
        <w:t>儿童</w:t>
      </w:r>
      <w:r>
        <w:rPr>
          <w:rFonts w:hint="eastAsia" w:ascii="仿宋_GB2312" w:hAnsi="仿宋_GB2312" w:eastAsia="仿宋_GB2312" w:cs="仿宋_GB2312"/>
          <w:sz w:val="32"/>
          <w:szCs w:val="32"/>
          <w:highlight w:val="none"/>
        </w:rPr>
        <w:t>“安心通学路”。</w:t>
      </w:r>
    </w:p>
    <w:p w14:paraId="76EFA80F">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outlineLvl w:val="2"/>
        <w:rPr>
          <w:rFonts w:hint="eastAsia" w:ascii="仿宋_GB2312" w:hAnsi="仿宋_GB2312" w:eastAsia="仿宋_GB2312" w:cs="仿宋_GB2312"/>
          <w:bCs/>
          <w:sz w:val="32"/>
          <w:szCs w:val="32"/>
          <w:highlight w:val="none"/>
        </w:rPr>
      </w:pPr>
      <w:r>
        <w:rPr>
          <w:rFonts w:hint="eastAsia" w:ascii="仿宋_GB2312" w:hAnsi="仿宋_GB2312" w:eastAsia="仿宋_GB2312" w:cs="仿宋_GB2312"/>
          <w:b/>
          <w:bCs/>
          <w:sz w:val="32"/>
          <w:szCs w:val="32"/>
          <w:highlight w:val="none"/>
        </w:rPr>
        <w:t>3.加强儿童友好街区、社区建设。</w:t>
      </w:r>
      <w:r>
        <w:rPr>
          <w:rFonts w:hint="eastAsia" w:ascii="仿宋_GB2312" w:hAnsi="仿宋_GB2312" w:eastAsia="仿宋_GB2312" w:cs="仿宋_GB2312"/>
          <w:b w:val="0"/>
          <w:bCs w:val="0"/>
          <w:sz w:val="32"/>
          <w:szCs w:val="32"/>
          <w:highlight w:val="none"/>
        </w:rPr>
        <w:t>拓展街区、社区儿童游戏空间和运动空间，形成适宜儿童户外活动的空间网络。在城中街区、生活小区、开放绿地、公共设施等合理设置“儿童游戏角”和“街头运动场”。</w:t>
      </w:r>
      <w:r>
        <w:rPr>
          <w:rFonts w:hint="eastAsia" w:ascii="仿宋_GB2312" w:hAnsi="仿宋_GB2312" w:eastAsia="仿宋_GB2312" w:cs="仿宋_GB2312"/>
          <w:bCs/>
          <w:sz w:val="32"/>
          <w:szCs w:val="32"/>
          <w:highlight w:val="none"/>
        </w:rPr>
        <w:t>完善社区儿童服务网络。</w:t>
      </w:r>
    </w:p>
    <w:p w14:paraId="6203BD39">
      <w:pPr>
        <w:keepNext w:val="0"/>
        <w:keepLines w:val="0"/>
        <w:pageBreakBefore w:val="0"/>
        <w:widowControl w:val="0"/>
        <w:shd w:val="clear"/>
        <w:kinsoku/>
        <w:wordWrap/>
        <w:overflowPunct/>
        <w:topLinePunct w:val="0"/>
        <w:autoSpaceDE w:val="0"/>
        <w:autoSpaceDN/>
        <w:bidi w:val="0"/>
        <w:spacing w:line="580" w:lineRule="exact"/>
        <w:ind w:left="0" w:firstLine="663" w:firstLineChars="200"/>
        <w:jc w:val="both"/>
        <w:textAlignment w:val="auto"/>
        <w:outlineLvl w:val="2"/>
        <w:rPr>
          <w:rFonts w:hint="eastAsia" w:ascii="仿宋_GB2312" w:hAnsi="仿宋_GB2312" w:eastAsia="仿宋_GB2312" w:cs="仿宋_GB2312"/>
          <w:bCs/>
          <w:smallCaps/>
          <w:spacing w:val="5"/>
          <w:sz w:val="32"/>
          <w:szCs w:val="32"/>
          <w:highlight w:val="none"/>
        </w:rPr>
      </w:pPr>
      <w:r>
        <w:rPr>
          <w:rFonts w:hint="eastAsia" w:ascii="仿宋_GB2312" w:hAnsi="仿宋_GB2312" w:eastAsia="仿宋_GB2312" w:cs="仿宋_GB2312"/>
          <w:b/>
          <w:bCs/>
          <w:smallCaps/>
          <w:spacing w:val="5"/>
          <w:sz w:val="32"/>
          <w:szCs w:val="32"/>
          <w:highlight w:val="none"/>
          <w:lang w:val="en-US" w:eastAsia="zh-CN"/>
        </w:rPr>
        <w:t>4</w:t>
      </w:r>
      <w:r>
        <w:rPr>
          <w:rFonts w:hint="eastAsia" w:ascii="仿宋_GB2312" w:hAnsi="仿宋_GB2312" w:eastAsia="仿宋_GB2312" w:cs="仿宋_GB2312"/>
          <w:b/>
          <w:bCs/>
          <w:smallCaps/>
          <w:spacing w:val="5"/>
          <w:sz w:val="32"/>
          <w:szCs w:val="32"/>
          <w:highlight w:val="none"/>
        </w:rPr>
        <w:t>.丰富儿童公共文化供给。</w:t>
      </w:r>
      <w:r>
        <w:rPr>
          <w:rFonts w:hint="eastAsia" w:ascii="仿宋_GB2312" w:hAnsi="仿宋_GB2312" w:eastAsia="仿宋_GB2312" w:cs="仿宋_GB2312"/>
          <w:b w:val="0"/>
          <w:bCs w:val="0"/>
          <w:smallCaps/>
          <w:spacing w:val="5"/>
          <w:sz w:val="32"/>
          <w:szCs w:val="32"/>
          <w:highlight w:val="none"/>
          <w:lang w:eastAsia="zh-CN"/>
        </w:rPr>
        <w:t>在“百业</w:t>
      </w:r>
      <w:r>
        <w:rPr>
          <w:rFonts w:hint="eastAsia" w:ascii="仿宋_GB2312" w:hAnsi="仿宋_GB2312" w:eastAsia="仿宋_GB2312" w:cs="仿宋_GB2312"/>
          <w:b w:val="0"/>
          <w:bCs w:val="0"/>
          <w:smallCaps/>
          <w:spacing w:val="5"/>
          <w:sz w:val="32"/>
          <w:szCs w:val="32"/>
          <w:highlight w:val="none"/>
          <w:lang w:val="en-US" w:eastAsia="zh-CN"/>
        </w:rPr>
        <w:t>+文化”多业态融合发展中，打造儿童友好文化活动空间</w:t>
      </w:r>
      <w:r>
        <w:rPr>
          <w:rFonts w:hint="eastAsia" w:ascii="仿宋_GB2312" w:hAnsi="仿宋_GB2312" w:eastAsia="仿宋_GB2312" w:cs="仿宋_GB2312"/>
          <w:b w:val="0"/>
          <w:bCs w:val="0"/>
          <w:smallCaps/>
          <w:spacing w:val="5"/>
          <w:sz w:val="32"/>
          <w:szCs w:val="32"/>
          <w:highlight w:val="none"/>
          <w:lang w:eastAsia="zh-CN"/>
        </w:rPr>
        <w:t>，</w:t>
      </w:r>
      <w:r>
        <w:rPr>
          <w:rFonts w:hint="eastAsia" w:ascii="仿宋_GB2312" w:hAnsi="仿宋_GB2312" w:eastAsia="仿宋_GB2312" w:cs="仿宋_GB2312"/>
          <w:bCs/>
          <w:sz w:val="32"/>
          <w:szCs w:val="32"/>
          <w:highlight w:val="none"/>
        </w:rPr>
        <w:t>推动有条件的公共文化体育设施</w:t>
      </w:r>
      <w:r>
        <w:rPr>
          <w:rFonts w:hint="eastAsia" w:ascii="仿宋_GB2312" w:hAnsi="仿宋_GB2312" w:eastAsia="仿宋_GB2312" w:cs="仿宋_GB2312"/>
          <w:b w:val="0"/>
          <w:bCs w:val="0"/>
          <w:smallCaps/>
          <w:spacing w:val="5"/>
          <w:sz w:val="32"/>
          <w:szCs w:val="32"/>
          <w:highlight w:val="none"/>
        </w:rPr>
        <w:t>向儿童群体低收费或免费开放。织密覆盖全域全龄阅读服务网络。</w:t>
      </w:r>
      <w:r>
        <w:rPr>
          <w:rFonts w:hint="eastAsia" w:ascii="仿宋_GB2312" w:hAnsi="仿宋_GB2312" w:eastAsia="仿宋_GB2312" w:cs="仿宋_GB2312"/>
          <w:bCs/>
          <w:smallCaps/>
          <w:spacing w:val="5"/>
          <w:kern w:val="0"/>
          <w:sz w:val="32"/>
          <w:szCs w:val="32"/>
          <w:highlight w:val="none"/>
        </w:rPr>
        <w:t>引导网络视听平台优化儿童服务，开设儿童文化专区。</w:t>
      </w:r>
    </w:p>
    <w:p w14:paraId="00060776">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rPr>
        <w:t>.讲好昌平儿童发展</w:t>
      </w:r>
      <w:r>
        <w:rPr>
          <w:rFonts w:hint="eastAsia" w:ascii="仿宋_GB2312" w:hAnsi="仿宋_GB2312" w:eastAsia="仿宋_GB2312" w:cs="仿宋_GB2312"/>
          <w:b/>
          <w:bCs/>
          <w:sz w:val="32"/>
          <w:szCs w:val="32"/>
          <w:highlight w:val="none"/>
          <w:lang w:val="en-US" w:eastAsia="zh-CN"/>
        </w:rPr>
        <w:t>的</w:t>
      </w:r>
      <w:r>
        <w:rPr>
          <w:rFonts w:hint="eastAsia" w:ascii="仿宋_GB2312" w:hAnsi="仿宋_GB2312" w:eastAsia="仿宋_GB2312" w:cs="仿宋_GB2312"/>
          <w:b/>
          <w:bCs/>
          <w:sz w:val="32"/>
          <w:szCs w:val="32"/>
          <w:highlight w:val="none"/>
        </w:rPr>
        <w:t>故事。</w:t>
      </w:r>
      <w:r>
        <w:rPr>
          <w:rFonts w:hint="eastAsia" w:ascii="仿宋_GB2312" w:hAnsi="仿宋_GB2312" w:eastAsia="仿宋_GB2312" w:cs="仿宋_GB2312"/>
          <w:sz w:val="32"/>
          <w:szCs w:val="32"/>
          <w:highlight w:val="none"/>
        </w:rPr>
        <w:t>借助“国际交往中心”枢纽功能对“一带一路”国家形成的友好示范，构建具有昌平特色的儿童友好交往机制，向国际社会分享儿童发展的昌平经验。</w:t>
      </w:r>
    </w:p>
    <w:p w14:paraId="55E65EC7">
      <w:pPr>
        <w:keepNext w:val="0"/>
        <w:keepLines w:val="0"/>
        <w:pageBreakBefore w:val="0"/>
        <w:widowControl w:val="0"/>
        <w:shd w:val="clear"/>
        <w:kinsoku/>
        <w:wordWrap/>
        <w:overflowPunct/>
        <w:topLinePunct w:val="0"/>
        <w:autoSpaceDN/>
        <w:bidi w:val="0"/>
        <w:spacing w:line="580" w:lineRule="exact"/>
        <w:ind w:left="0" w:firstLine="643" w:firstLineChars="200"/>
        <w:jc w:val="both"/>
        <w:textAlignment w:val="auto"/>
        <w:rPr>
          <w:rFonts w:hint="eastAsia" w:ascii="方正楷体_GB2312" w:hAnsi="方正楷体_GB2312" w:eastAsia="方正楷体_GB2312" w:cs="方正楷体_GB2312"/>
          <w:b/>
          <w:sz w:val="32"/>
          <w:szCs w:val="32"/>
          <w:highlight w:val="none"/>
        </w:rPr>
      </w:pPr>
      <w:r>
        <w:rPr>
          <w:rFonts w:hint="eastAsia" w:ascii="方正楷体_GB2312" w:hAnsi="方正楷体_GB2312" w:eastAsia="方正楷体_GB2312" w:cs="方正楷体_GB2312"/>
          <w:b/>
          <w:sz w:val="32"/>
          <w:szCs w:val="32"/>
          <w:highlight w:val="none"/>
        </w:rPr>
        <w:t>（七）筑牢未成年人保护</w:t>
      </w:r>
      <w:r>
        <w:rPr>
          <w:rFonts w:hint="eastAsia" w:ascii="方正楷体_GB2312" w:hAnsi="方正楷体_GB2312" w:eastAsia="方正楷体_GB2312" w:cs="方正楷体_GB2312"/>
          <w:b/>
          <w:sz w:val="32"/>
          <w:szCs w:val="32"/>
          <w:highlight w:val="none"/>
          <w:lang w:val="en-US" w:eastAsia="zh-CN"/>
        </w:rPr>
        <w:t>的</w:t>
      </w:r>
      <w:r>
        <w:rPr>
          <w:rFonts w:hint="eastAsia" w:ascii="方正楷体_GB2312" w:hAnsi="方正楷体_GB2312" w:eastAsia="方正楷体_GB2312" w:cs="方正楷体_GB2312"/>
          <w:b/>
          <w:sz w:val="32"/>
          <w:szCs w:val="32"/>
          <w:highlight w:val="none"/>
        </w:rPr>
        <w:t>法治屏障</w:t>
      </w:r>
    </w:p>
    <w:p w14:paraId="030DF4BA">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outlineLvl w:val="1"/>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1.贯彻落实保护未成年人合法权益的法律法规。</w:t>
      </w:r>
      <w:r>
        <w:rPr>
          <w:rFonts w:hint="eastAsia" w:ascii="仿宋_GB2312" w:hAnsi="仿宋_GB2312" w:eastAsia="仿宋_GB2312" w:cs="仿宋_GB2312"/>
          <w:sz w:val="32"/>
          <w:szCs w:val="32"/>
          <w:highlight w:val="none"/>
        </w:rPr>
        <w:t>在法治昌平建设中不断</w:t>
      </w:r>
      <w:r>
        <w:rPr>
          <w:rFonts w:hint="eastAsia" w:ascii="仿宋_GB2312" w:hAnsi="仿宋_GB2312" w:eastAsia="仿宋_GB2312" w:cs="仿宋_GB2312"/>
          <w:kern w:val="0"/>
          <w:sz w:val="32"/>
          <w:szCs w:val="32"/>
          <w:highlight w:val="none"/>
        </w:rPr>
        <w:t>完善落实未成年人保护和犯罪预防</w:t>
      </w:r>
      <w:r>
        <w:rPr>
          <w:rFonts w:hint="eastAsia" w:ascii="仿宋_GB2312" w:hAnsi="仿宋_GB2312" w:eastAsia="仿宋_GB2312" w:cs="仿宋_GB2312"/>
          <w:kern w:val="0"/>
          <w:sz w:val="32"/>
          <w:szCs w:val="32"/>
          <w:highlight w:val="none"/>
          <w:lang w:val="en-US" w:eastAsia="zh-CN"/>
        </w:rPr>
        <w:t>的</w:t>
      </w:r>
      <w:r>
        <w:rPr>
          <w:rFonts w:hint="eastAsia" w:ascii="仿宋_GB2312" w:hAnsi="仿宋_GB2312" w:eastAsia="仿宋_GB2312" w:cs="仿宋_GB2312"/>
          <w:kern w:val="0"/>
          <w:sz w:val="32"/>
          <w:szCs w:val="32"/>
          <w:highlight w:val="none"/>
        </w:rPr>
        <w:t>规范性文件</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rPr>
        <w:t>强化部门协同联动机制，推进源头预防、分级矫治、依法惩处、综合治理。推进涉未成年人案件综合审判改革，</w:t>
      </w:r>
      <w:r>
        <w:rPr>
          <w:rFonts w:hint="eastAsia" w:ascii="仿宋_GB2312" w:hAnsi="仿宋_GB2312" w:eastAsia="仿宋_GB2312" w:cs="仿宋_GB2312"/>
          <w:kern w:val="0"/>
          <w:sz w:val="32"/>
          <w:szCs w:val="32"/>
          <w:highlight w:val="none"/>
          <w:lang w:eastAsia="zh-CN"/>
        </w:rPr>
        <w:t>统筹涉未成年人四大检察综合履职，</w:t>
      </w:r>
      <w:r>
        <w:rPr>
          <w:rFonts w:hint="eastAsia" w:ascii="仿宋_GB2312" w:hAnsi="仿宋_GB2312" w:eastAsia="仿宋_GB2312" w:cs="仿宋_GB2312"/>
          <w:kern w:val="0"/>
          <w:sz w:val="32"/>
          <w:szCs w:val="32"/>
          <w:highlight w:val="none"/>
        </w:rPr>
        <w:t>完善督促起诉、支持起诉制度</w:t>
      </w:r>
      <w:r>
        <w:rPr>
          <w:rFonts w:hint="eastAsia" w:ascii="仿宋_GB2312" w:hAnsi="仿宋_GB2312" w:eastAsia="仿宋_GB2312" w:cs="仿宋_GB2312"/>
          <w:sz w:val="32"/>
          <w:szCs w:val="32"/>
          <w:highlight w:val="none"/>
        </w:rPr>
        <w:t>，依法开展公益诉讼。</w:t>
      </w:r>
    </w:p>
    <w:p w14:paraId="2AA7BDED">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outlineLvl w:val="1"/>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2</w:t>
      </w:r>
      <w:r>
        <w:rPr>
          <w:rFonts w:hint="eastAsia" w:ascii="仿宋_GB2312" w:hAnsi="仿宋_GB2312" w:eastAsia="仿宋_GB2312" w:cs="仿宋_GB2312"/>
          <w:b/>
          <w:bCs/>
          <w:sz w:val="32"/>
          <w:szCs w:val="32"/>
          <w:highlight w:val="none"/>
        </w:rPr>
        <w:t>.预防和严厉打击针对未成年人的违法犯罪行为。</w:t>
      </w:r>
      <w:r>
        <w:rPr>
          <w:rFonts w:hint="eastAsia" w:ascii="仿宋_GB2312" w:hAnsi="仿宋_GB2312" w:eastAsia="仿宋_GB2312" w:cs="仿宋_GB2312"/>
          <w:sz w:val="32"/>
          <w:szCs w:val="32"/>
          <w:highlight w:val="none"/>
        </w:rPr>
        <w:t>发挥强制报告联席会议协调机制作用，督促学校、幼儿园、医疗机构、酒店等强制报告义务主体履行法律责任。落实密切接触未成年人行业入职查询和从业禁止制度。“零容忍”打击侵害未成年人犯罪，对性侵害、虐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拐卖</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暴力伤害未成年人的违法犯罪行为</w:t>
      </w:r>
      <w:r>
        <w:rPr>
          <w:rFonts w:hint="eastAsia" w:ascii="仿宋_GB2312" w:hAnsi="仿宋_GB2312" w:eastAsia="仿宋_GB2312" w:cs="仿宋_GB2312"/>
          <w:sz w:val="32"/>
          <w:szCs w:val="32"/>
          <w:highlight w:val="none"/>
          <w:lang w:val="en-US" w:eastAsia="zh-CN"/>
        </w:rPr>
        <w:t>依法</w:t>
      </w:r>
      <w:r>
        <w:rPr>
          <w:rFonts w:hint="eastAsia" w:ascii="仿宋_GB2312" w:hAnsi="仿宋_GB2312" w:eastAsia="仿宋_GB2312" w:cs="仿宋_GB2312"/>
          <w:sz w:val="32"/>
          <w:szCs w:val="32"/>
          <w:highlight w:val="none"/>
        </w:rPr>
        <w:t>从严从重判处。加强未成年被害人全流程保护。</w:t>
      </w:r>
    </w:p>
    <w:p w14:paraId="5FA94049">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outlineLvl w:val="1"/>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b/>
          <w:bCs/>
          <w:sz w:val="32"/>
          <w:szCs w:val="32"/>
          <w:highlight w:val="none"/>
        </w:rPr>
        <w:t>3.加强涉未成年人网络犯罪预防和惩治。</w:t>
      </w:r>
      <w:r>
        <w:rPr>
          <w:rFonts w:hint="eastAsia" w:ascii="仿宋_GB2312" w:hAnsi="仿宋_GB2312" w:eastAsia="仿宋_GB2312" w:cs="仿宋_GB2312"/>
          <w:kern w:val="0"/>
          <w:sz w:val="32"/>
          <w:szCs w:val="32"/>
          <w:highlight w:val="none"/>
        </w:rPr>
        <w:t>开展“清朗”专项行动，整治危害未成年人身心健康网络信息。</w:t>
      </w:r>
      <w:r>
        <w:rPr>
          <w:rFonts w:hint="eastAsia" w:ascii="仿宋_GB2312" w:hAnsi="仿宋_GB2312" w:eastAsia="仿宋_GB2312" w:cs="仿宋_GB2312"/>
          <w:kern w:val="0"/>
          <w:sz w:val="32"/>
          <w:szCs w:val="32"/>
          <w:highlight w:val="none"/>
          <w:lang w:val="en-US" w:eastAsia="zh-CN"/>
        </w:rPr>
        <w:t>加强</w:t>
      </w:r>
      <w:r>
        <w:rPr>
          <w:rFonts w:hint="eastAsia" w:ascii="仿宋_GB2312" w:hAnsi="仿宋_GB2312" w:eastAsia="仿宋_GB2312" w:cs="仿宋_GB2312"/>
          <w:kern w:val="0"/>
          <w:sz w:val="32"/>
          <w:szCs w:val="32"/>
          <w:highlight w:val="none"/>
        </w:rPr>
        <w:t>网络监管，有效治理网络欺凌、隔空猥亵、诱导未成年人网络犯罪等违法犯罪行为。针对网络服务平台未落实法律责任</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rPr>
        <w:t>危害未成年人健康成长等问题，通过检察建议、公益诉讼等方式依法开展监督。</w:t>
      </w:r>
    </w:p>
    <w:p w14:paraId="47938D8E">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outlineLvl w:val="1"/>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b/>
          <w:bCs/>
          <w:kern w:val="0"/>
          <w:sz w:val="32"/>
          <w:szCs w:val="32"/>
          <w:highlight w:val="none"/>
        </w:rPr>
        <w:t>4.强化未成年人违法犯罪综合治理。</w:t>
      </w:r>
      <w:r>
        <w:rPr>
          <w:rFonts w:hint="eastAsia" w:ascii="仿宋_GB2312" w:hAnsi="仿宋_GB2312" w:eastAsia="仿宋_GB2312" w:cs="仿宋_GB2312"/>
          <w:kern w:val="0"/>
          <w:sz w:val="32"/>
          <w:szCs w:val="32"/>
          <w:highlight w:val="none"/>
        </w:rPr>
        <w:t>健全加强专门教育和专门矫治教育工作机制，采取训诫帮教、观护帮教、外展服务等措施，防范未成年人违法犯罪行为发生。</w:t>
      </w:r>
      <w:r>
        <w:rPr>
          <w:rFonts w:hint="eastAsia" w:ascii="仿宋_GB2312" w:hAnsi="仿宋_GB2312" w:eastAsia="仿宋_GB2312" w:cs="仿宋_GB2312"/>
          <w:kern w:val="0"/>
          <w:sz w:val="32"/>
          <w:szCs w:val="32"/>
          <w:highlight w:val="none"/>
          <w:lang w:val="en-US" w:eastAsia="zh-CN"/>
        </w:rPr>
        <w:t>统筹推进</w:t>
      </w:r>
      <w:r>
        <w:rPr>
          <w:rFonts w:hint="eastAsia" w:ascii="仿宋_GB2312" w:hAnsi="仿宋_GB2312" w:eastAsia="仿宋_GB2312" w:cs="仿宋_GB2312"/>
          <w:kern w:val="0"/>
          <w:sz w:val="32"/>
          <w:szCs w:val="32"/>
          <w:highlight w:val="none"/>
        </w:rPr>
        <w:t>青少年重点群体服务管理。</w:t>
      </w:r>
      <w:r>
        <w:rPr>
          <w:rFonts w:hint="eastAsia" w:ascii="仿宋_GB2312" w:hAnsi="仿宋_GB2312" w:eastAsia="仿宋_GB2312" w:cs="仿宋_GB2312"/>
          <w:kern w:val="0"/>
          <w:sz w:val="32"/>
          <w:szCs w:val="32"/>
          <w:highlight w:val="none"/>
          <w:lang w:eastAsia="zh-CN"/>
        </w:rPr>
        <w:t>加强</w:t>
      </w:r>
      <w:r>
        <w:rPr>
          <w:rFonts w:hint="eastAsia" w:ascii="仿宋_GB2312" w:hAnsi="仿宋_GB2312" w:eastAsia="仿宋_GB2312" w:cs="仿宋_GB2312"/>
          <w:kern w:val="0"/>
          <w:sz w:val="32"/>
          <w:szCs w:val="32"/>
          <w:highlight w:val="none"/>
        </w:rPr>
        <w:t>涉罪未成年人</w:t>
      </w:r>
      <w:r>
        <w:rPr>
          <w:rFonts w:hint="eastAsia" w:ascii="仿宋_GB2312" w:hAnsi="仿宋_GB2312" w:eastAsia="仿宋_GB2312" w:cs="仿宋_GB2312"/>
          <w:kern w:val="0"/>
          <w:sz w:val="32"/>
          <w:szCs w:val="32"/>
          <w:highlight w:val="none"/>
          <w:lang w:eastAsia="zh-CN"/>
        </w:rPr>
        <w:t>分级处遇与精准帮扶</w:t>
      </w:r>
      <w:r>
        <w:rPr>
          <w:rFonts w:hint="eastAsia" w:ascii="仿宋_GB2312" w:hAnsi="仿宋_GB2312" w:eastAsia="仿宋_GB2312" w:cs="仿宋_GB2312"/>
          <w:kern w:val="0"/>
          <w:sz w:val="32"/>
          <w:szCs w:val="32"/>
          <w:highlight w:val="none"/>
        </w:rPr>
        <w:t>，最大限度挽救涉罪未成年人。</w:t>
      </w:r>
    </w:p>
    <w:p w14:paraId="627FB2F0">
      <w:pPr>
        <w:keepNext w:val="0"/>
        <w:keepLines w:val="0"/>
        <w:pageBreakBefore w:val="0"/>
        <w:widowControl w:val="0"/>
        <w:shd w:val="clear"/>
        <w:kinsoku/>
        <w:wordWrap/>
        <w:overflowPunct/>
        <w:topLinePunct w:val="0"/>
        <w:autoSpaceDE w:val="0"/>
        <w:autoSpaceDN/>
        <w:bidi w:val="0"/>
        <w:spacing w:line="580" w:lineRule="exact"/>
        <w:ind w:firstLine="643" w:firstLineChars="200"/>
        <w:jc w:val="both"/>
        <w:textAlignment w:val="auto"/>
        <w:outlineLvl w:val="1"/>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rPr>
        <w:t>.保障未成年人民事权益。</w:t>
      </w:r>
      <w:r>
        <w:rPr>
          <w:rFonts w:hint="eastAsia" w:ascii="仿宋_GB2312" w:hAnsi="仿宋_GB2312" w:eastAsia="仿宋_GB2312" w:cs="仿宋_GB2312"/>
          <w:sz w:val="32"/>
          <w:szCs w:val="32"/>
          <w:highlight w:val="none"/>
        </w:rPr>
        <w:t>探索建立未成年人权益代表人制度，明确未成年人的诉讼主体地位和代表人制度适用范围</w:t>
      </w:r>
      <w:r>
        <w:rPr>
          <w:rFonts w:hint="eastAsia" w:ascii="仿宋_GB2312" w:hAnsi="仿宋_GB2312" w:eastAsia="仿宋_GB2312" w:cs="仿宋_GB2312"/>
          <w:sz w:val="32"/>
          <w:szCs w:val="32"/>
          <w:highlight w:val="none"/>
          <w:lang w:val="en-US" w:eastAsia="zh-CN"/>
        </w:rPr>
        <w:t>及</w:t>
      </w:r>
      <w:r>
        <w:rPr>
          <w:rFonts w:hint="eastAsia" w:ascii="仿宋_GB2312" w:hAnsi="仿宋_GB2312" w:eastAsia="仿宋_GB2312" w:cs="仿宋_GB2312"/>
          <w:sz w:val="32"/>
          <w:szCs w:val="32"/>
          <w:highlight w:val="none"/>
        </w:rPr>
        <w:t>条件，建立未成年人权益代表人队伍，为保护诉讼中未成年人合法权益提供</w:t>
      </w:r>
      <w:r>
        <w:rPr>
          <w:rFonts w:hint="eastAsia" w:ascii="仿宋_GB2312" w:hAnsi="仿宋_GB2312" w:eastAsia="仿宋_GB2312" w:cs="仿宋_GB2312"/>
          <w:sz w:val="32"/>
          <w:szCs w:val="32"/>
          <w:highlight w:val="none"/>
          <w:lang w:val="en-US" w:eastAsia="zh-CN"/>
        </w:rPr>
        <w:t>精准</w:t>
      </w:r>
      <w:r>
        <w:rPr>
          <w:rFonts w:hint="eastAsia" w:ascii="仿宋_GB2312" w:hAnsi="仿宋_GB2312" w:eastAsia="仿宋_GB2312" w:cs="仿宋_GB2312"/>
          <w:sz w:val="32"/>
          <w:szCs w:val="32"/>
          <w:highlight w:val="none"/>
        </w:rPr>
        <w:t>法律帮助。</w:t>
      </w:r>
    </w:p>
    <w:p w14:paraId="31A4A571">
      <w:pPr>
        <w:keepNext w:val="0"/>
        <w:keepLines w:val="0"/>
        <w:pageBreakBefore w:val="0"/>
        <w:widowControl w:val="0"/>
        <w:shd w:val="clear"/>
        <w:kinsoku/>
        <w:wordWrap/>
        <w:overflowPunct/>
        <w:topLinePunct w:val="0"/>
        <w:autoSpaceDE w:val="0"/>
        <w:autoSpaceDN/>
        <w:bidi w:val="0"/>
        <w:spacing w:line="580" w:lineRule="exact"/>
        <w:ind w:left="0" w:firstLine="643" w:firstLineChars="200"/>
        <w:jc w:val="both"/>
        <w:textAlignment w:val="auto"/>
        <w:outlineLvl w:val="1"/>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rPr>
        <w:t>.深化未成年人</w:t>
      </w:r>
      <w:r>
        <w:rPr>
          <w:rFonts w:hint="eastAsia" w:ascii="仿宋_GB2312" w:hAnsi="仿宋_GB2312" w:eastAsia="仿宋_GB2312" w:cs="仿宋_GB2312"/>
          <w:b/>
          <w:bCs/>
          <w:kern w:val="0"/>
          <w:sz w:val="32"/>
          <w:szCs w:val="32"/>
          <w:highlight w:val="none"/>
        </w:rPr>
        <w:t>法律援助、司法救助和法治宣传。</w:t>
      </w:r>
      <w:r>
        <w:rPr>
          <w:rFonts w:hint="eastAsia" w:ascii="仿宋_GB2312" w:hAnsi="仿宋_GB2312" w:eastAsia="仿宋_GB2312" w:cs="仿宋_GB2312"/>
          <w:kern w:val="0"/>
          <w:sz w:val="32"/>
          <w:szCs w:val="32"/>
          <w:highlight w:val="none"/>
        </w:rPr>
        <w:t>构建多部门协调合作法律救助体系，</w:t>
      </w:r>
      <w:r>
        <w:rPr>
          <w:rFonts w:hint="eastAsia" w:ascii="仿宋_GB2312" w:hAnsi="仿宋_GB2312" w:eastAsia="仿宋_GB2312" w:cs="仿宋_GB2312"/>
          <w:sz w:val="32"/>
          <w:szCs w:val="32"/>
          <w:highlight w:val="none"/>
        </w:rPr>
        <w:t>加大司法救助及多元化综合救助力度。</w:t>
      </w:r>
      <w:r>
        <w:rPr>
          <w:rFonts w:hint="eastAsia" w:ascii="仿宋_GB2312" w:hAnsi="仿宋_GB2312" w:eastAsia="仿宋_GB2312" w:cs="仿宋_GB2312"/>
          <w:kern w:val="0"/>
          <w:sz w:val="32"/>
          <w:szCs w:val="32"/>
          <w:highlight w:val="none"/>
        </w:rPr>
        <w:t>丰富普法教育</w:t>
      </w:r>
      <w:r>
        <w:rPr>
          <w:rFonts w:hint="eastAsia" w:ascii="仿宋_GB2312" w:hAnsi="仿宋_GB2312" w:eastAsia="仿宋_GB2312" w:cs="仿宋_GB2312"/>
          <w:kern w:val="0"/>
          <w:sz w:val="32"/>
          <w:szCs w:val="32"/>
          <w:highlight w:val="none"/>
          <w:lang w:val="en-US" w:eastAsia="zh-CN"/>
        </w:rPr>
        <w:t>内容和</w:t>
      </w:r>
      <w:r>
        <w:rPr>
          <w:rFonts w:hint="eastAsia" w:ascii="仿宋_GB2312" w:hAnsi="仿宋_GB2312" w:eastAsia="仿宋_GB2312" w:cs="仿宋_GB2312"/>
          <w:kern w:val="0"/>
          <w:sz w:val="32"/>
          <w:szCs w:val="32"/>
          <w:highlight w:val="none"/>
        </w:rPr>
        <w:t>形式，</w:t>
      </w:r>
      <w:r>
        <w:rPr>
          <w:rFonts w:hint="eastAsia" w:ascii="仿宋_GB2312" w:hAnsi="仿宋_GB2312" w:eastAsia="仿宋_GB2312" w:cs="仿宋_GB2312"/>
          <w:sz w:val="32"/>
          <w:szCs w:val="32"/>
          <w:highlight w:val="none"/>
        </w:rPr>
        <w:t>配齐配强中小学法治副校长，</w:t>
      </w:r>
      <w:r>
        <w:rPr>
          <w:rFonts w:hint="eastAsia" w:ascii="仿宋_GB2312" w:hAnsi="仿宋_GB2312" w:eastAsia="仿宋_GB2312" w:cs="仿宋_GB2312"/>
          <w:sz w:val="32"/>
          <w:szCs w:val="32"/>
          <w:highlight w:val="none"/>
          <w:lang w:val="en-US" w:eastAsia="zh-CN"/>
        </w:rPr>
        <w:t>提高</w:t>
      </w:r>
      <w:r>
        <w:rPr>
          <w:rFonts w:hint="eastAsia" w:ascii="仿宋_GB2312" w:hAnsi="仿宋_GB2312" w:eastAsia="仿宋_GB2312" w:cs="仿宋_GB2312"/>
          <w:bCs/>
          <w:sz w:val="32"/>
          <w:szCs w:val="32"/>
          <w:highlight w:val="none"/>
        </w:rPr>
        <w:t>未成年人</w:t>
      </w:r>
      <w:r>
        <w:rPr>
          <w:rFonts w:hint="eastAsia" w:ascii="仿宋_GB2312" w:hAnsi="仿宋_GB2312" w:eastAsia="仿宋_GB2312" w:cs="仿宋_GB2312"/>
          <w:sz w:val="32"/>
          <w:szCs w:val="32"/>
          <w:highlight w:val="none"/>
        </w:rPr>
        <w:t>法治素养，增强自我保护能力。</w:t>
      </w:r>
    </w:p>
    <w:p w14:paraId="75679F78">
      <w:pPr>
        <w:keepNext w:val="0"/>
        <w:keepLines w:val="0"/>
        <w:pageBreakBefore w:val="0"/>
        <w:widowControl w:val="0"/>
        <w:shd w:val="clear"/>
        <w:kinsoku/>
        <w:wordWrap/>
        <w:overflowPunct/>
        <w:topLinePunct w:val="0"/>
        <w:autoSpaceDE w:val="0"/>
        <w:autoSpaceDN/>
        <w:bidi w:val="0"/>
        <w:spacing w:line="580" w:lineRule="exact"/>
        <w:ind w:left="0" w:firstLine="640" w:firstLineChars="200"/>
        <w:jc w:val="both"/>
        <w:textAlignment w:val="auto"/>
        <w:rPr>
          <w:rFonts w:hint="eastAsia" w:ascii="国标黑体" w:hAnsi="国标黑体" w:eastAsia="国标黑体" w:cs="国标黑体"/>
          <w:b w:val="0"/>
          <w:bCs/>
          <w:sz w:val="32"/>
          <w:szCs w:val="32"/>
          <w:highlight w:val="none"/>
        </w:rPr>
      </w:pPr>
      <w:r>
        <w:rPr>
          <w:rFonts w:hint="eastAsia" w:ascii="国标黑体" w:hAnsi="国标黑体" w:eastAsia="国标黑体" w:cs="国标黑体"/>
          <w:b w:val="0"/>
          <w:bCs/>
          <w:kern w:val="0"/>
          <w:sz w:val="32"/>
          <w:szCs w:val="32"/>
          <w:highlight w:val="none"/>
        </w:rPr>
        <w:t>四、规划实施保障</w:t>
      </w:r>
    </w:p>
    <w:p w14:paraId="044D9306">
      <w:pPr>
        <w:keepNext w:val="0"/>
        <w:keepLines w:val="0"/>
        <w:pageBreakBefore w:val="0"/>
        <w:widowControl w:val="0"/>
        <w:shd w:val="clear"/>
        <w:kinsoku/>
        <w:wordWrap/>
        <w:overflowPunct/>
        <w:topLinePunct w:val="0"/>
        <w:autoSpaceDN/>
        <w:bidi w:val="0"/>
        <w:spacing w:line="580" w:lineRule="exact"/>
        <w:ind w:left="0"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坚持党的全面领导，健全党委领导、政府主责、妇儿工委协调、多部门合作、全社会参与的规划实施工作机制。区妇儿工委成员单位按照部门职责，落实目标任务。区统计局牵头开展年度监测，加强</w:t>
      </w:r>
      <w:r>
        <w:rPr>
          <w:rFonts w:hint="eastAsia" w:ascii="仿宋_GB2312" w:hAnsi="仿宋_GB2312" w:eastAsia="仿宋_GB2312" w:cs="仿宋_GB2312"/>
          <w:sz w:val="32"/>
          <w:szCs w:val="32"/>
          <w:highlight w:val="none"/>
          <w:lang w:eastAsia="zh-CN"/>
        </w:rPr>
        <w:t>妇女发展</w:t>
      </w:r>
      <w:r>
        <w:rPr>
          <w:rFonts w:hint="eastAsia" w:ascii="仿宋_GB2312" w:hAnsi="仿宋_GB2312" w:eastAsia="仿宋_GB2312" w:cs="仿宋_GB2312"/>
          <w:sz w:val="32"/>
          <w:szCs w:val="32"/>
          <w:highlight w:val="none"/>
        </w:rPr>
        <w:t>和儿童发展的统计监测。区妇儿工委办公室牵头开展中期评估和终期评估，</w:t>
      </w:r>
      <w:r>
        <w:rPr>
          <w:rFonts w:hint="eastAsia" w:ascii="仿宋_GB2312" w:hAnsi="仿宋_GB2312" w:eastAsia="仿宋_GB2312" w:cs="仿宋_GB2312"/>
          <w:sz w:val="32"/>
          <w:szCs w:val="32"/>
          <w:highlight w:val="none"/>
          <w:lang w:val="en-US" w:eastAsia="zh-CN"/>
        </w:rPr>
        <w:t>动态</w:t>
      </w:r>
      <w:r>
        <w:rPr>
          <w:rFonts w:hint="eastAsia" w:ascii="仿宋_GB2312" w:hAnsi="仿宋_GB2312" w:eastAsia="仿宋_GB2312" w:cs="仿宋_GB2312"/>
          <w:sz w:val="32"/>
          <w:szCs w:val="32"/>
          <w:highlight w:val="none"/>
        </w:rPr>
        <w:t>掌握规划实施状况。加大专项经费投入，动员社会力量参与规划实施。加大宣传力度，优化妇女儿童全面发展的社会环境。</w:t>
      </w:r>
    </w:p>
    <w:p w14:paraId="1C383C4F">
      <w:pPr>
        <w:keepNext w:val="0"/>
        <w:keepLines w:val="0"/>
        <w:pageBreakBefore w:val="0"/>
        <w:widowControl w:val="0"/>
        <w:shd w:val="clear"/>
        <w:kinsoku/>
        <w:wordWrap/>
        <w:overflowPunct/>
        <w:topLinePunct w:val="0"/>
        <w:autoSpaceDN/>
        <w:bidi w:val="0"/>
        <w:adjustRightInd w:val="0"/>
        <w:snapToGrid w:val="0"/>
        <w:spacing w:line="580" w:lineRule="exact"/>
        <w:ind w:left="0" w:firstLine="640" w:firstLineChars="200"/>
        <w:jc w:val="both"/>
        <w:textAlignment w:val="auto"/>
        <w:rPr>
          <w:rFonts w:hint="eastAsia" w:ascii="仿宋" w:hAnsi="仿宋" w:eastAsia="仿宋" w:cs="仿宋_GB2312"/>
          <w:kern w:val="0"/>
          <w:sz w:val="32"/>
          <w:szCs w:val="32"/>
          <w:highlight w:val="none"/>
          <w:lang w:bidi="ar"/>
        </w:rPr>
      </w:pPr>
    </w:p>
    <w:sectPr>
      <w:footerReference r:id="rId4" w:type="default"/>
      <w:pgSz w:w="11906" w:h="16838"/>
      <w:pgMar w:top="1701" w:right="1587" w:bottom="1587"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Light">
    <w:altName w:val="汉仪中宋简"/>
    <w:panose1 w:val="02010600030101010101"/>
    <w:charset w:val="86"/>
    <w:family w:val="auto"/>
    <w:pitch w:val="default"/>
    <w:sig w:usb0="00000000" w:usb1="00000000" w:usb2="00000016" w:usb3="00000000" w:csb0="0004000F" w:csb1="00000000"/>
  </w:font>
  <w:font w:name="汉仪中宋简">
    <w:panose1 w:val="02010600000101010101"/>
    <w:charset w:val="86"/>
    <w:family w:val="auto"/>
    <w:pitch w:val="default"/>
    <w:sig w:usb0="00000001" w:usb1="080E0800" w:usb2="00000002"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FZXBSK--GBK1-0">
    <w:altName w:val="国标仿宋"/>
    <w:panose1 w:val="00000000000000000000"/>
    <w:charset w:val="00"/>
    <w:family w:val="auto"/>
    <w:pitch w:val="default"/>
    <w:sig w:usb0="00000000" w:usb1="00000000" w:usb2="00000010" w:usb3="00000000" w:csb0="00040000" w:csb1="00000000"/>
  </w:font>
  <w:font w:name="国标仿宋">
    <w:panose1 w:val="02000500000000000000"/>
    <w:charset w:val="86"/>
    <w:family w:val="auto"/>
    <w:pitch w:val="default"/>
    <w:sig w:usb0="A00002BF" w:usb1="38C77CFA" w:usb2="00000016" w:usb3="00000000" w:csb0="00060007" w:csb1="00000000"/>
  </w:font>
  <w:font w:name="楷体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FZFSK--GBK1-0">
    <w:altName w:val="Noto Sans CJK JP Bold"/>
    <w:panose1 w:val="00000000000000000000"/>
    <w:charset w:val="00"/>
    <w:family w:val="auto"/>
    <w:pitch w:val="default"/>
    <w:sig w:usb0="00000000" w:usb1="00000000" w:usb2="00000000" w:usb3="00000000" w:csb0="00040001" w:csb1="00000000"/>
  </w:font>
  <w:font w:name="Noto Sans CJK JP Bold">
    <w:panose1 w:val="020B0800000000000000"/>
    <w:charset w:val="86"/>
    <w:family w:val="auto"/>
    <w:pitch w:val="default"/>
    <w:sig w:usb0="30000003" w:usb1="2BDF3C10" w:usb2="00000016" w:usb3="00000000" w:csb0="602E0107" w:csb1="00000000"/>
  </w:font>
  <w:font w:name="方正黑体">
    <w:altName w:val="方正黑体_GBK"/>
    <w:panose1 w:val="03000509000000000000"/>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等线">
    <w:altName w:val="汉仪中宋简"/>
    <w:panose1 w:val="02010600030101010101"/>
    <w:charset w:val="86"/>
    <w:family w:val="auto"/>
    <w:pitch w:val="default"/>
    <w:sig w:usb0="00000000" w:usb1="00000000" w:usb2="00000016" w:usb3="00000000" w:csb0="0004000F" w:csb1="00000000"/>
  </w:font>
  <w:font w:name="方正楷体_GB2312">
    <w:altName w:val="方正楷体_GBK"/>
    <w:panose1 w:val="02000000000000000000"/>
    <w:charset w:val="86"/>
    <w:family w:val="auto"/>
    <w:pitch w:val="default"/>
    <w:sig w:usb0="00000000" w:usb1="00000000" w:usb2="00000012" w:usb3="00000000" w:csb0="00040001" w:csb1="00000000"/>
  </w:font>
  <w:font w:name="方正楷体_GBK">
    <w:panose1 w:val="02000000000000000000"/>
    <w:charset w:val="86"/>
    <w:family w:val="auto"/>
    <w:pitch w:val="default"/>
    <w:sig w:usb0="00000001" w:usb1="08000000" w:usb2="00000000" w:usb3="00000000" w:csb0="00040000" w:csb1="00000000"/>
  </w:font>
  <w:font w:name="国标黑体">
    <w:panose1 w:val="02000500000000000000"/>
    <w:charset w:val="86"/>
    <w:family w:val="auto"/>
    <w:pitch w:val="default"/>
    <w:sig w:usb0="00000001" w:usb1="08000000" w:usb2="00000000" w:usb3="00000000" w:csb0="00040000" w:csb1="00000000"/>
  </w:font>
  <w:font w:name="等线 Light">
    <w:altName w:val="仿宋_GB2312"/>
    <w:panose1 w:val="00000000000000000000"/>
    <w:charset w:val="00"/>
    <w:family w:val="auto"/>
    <w:pitch w:val="default"/>
    <w:sig w:usb0="00000000" w:usb1="00000000" w:usb2="00000000" w:usb3="00000000" w:csb0="00000000" w:csb1="00000000"/>
  </w:font>
  <w:font w:name="Noto Music">
    <w:panose1 w:val="020B0502040504020204"/>
    <w:charset w:val="00"/>
    <w:family w:val="auto"/>
    <w:pitch w:val="default"/>
    <w:sig w:usb0="00000003" w:usb1="02006000" w:usb2="01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4CB9E">
    <w:pPr>
      <w:pStyle w:val="14"/>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350AD">
    <w:pPr>
      <w:pStyle w:val="14"/>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7BEB36">
                          <w:pPr>
                            <w:pStyle w:val="14"/>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57BEB36">
                    <w:pPr>
                      <w:pStyle w:val="14"/>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E78"/>
    <w:rsid w:val="000C0DA4"/>
    <w:rsid w:val="002339FA"/>
    <w:rsid w:val="002A1A27"/>
    <w:rsid w:val="002E19FE"/>
    <w:rsid w:val="00325433"/>
    <w:rsid w:val="00434E99"/>
    <w:rsid w:val="00492DA7"/>
    <w:rsid w:val="004A5C5F"/>
    <w:rsid w:val="005529B2"/>
    <w:rsid w:val="00555265"/>
    <w:rsid w:val="0057284B"/>
    <w:rsid w:val="00624E78"/>
    <w:rsid w:val="009A02D5"/>
    <w:rsid w:val="00A8584B"/>
    <w:rsid w:val="00A90D22"/>
    <w:rsid w:val="00B447C8"/>
    <w:rsid w:val="00BA44D8"/>
    <w:rsid w:val="00DD58A7"/>
    <w:rsid w:val="00E23EA0"/>
    <w:rsid w:val="00E3681A"/>
    <w:rsid w:val="00ED51F5"/>
    <w:rsid w:val="00F46063"/>
    <w:rsid w:val="00F61387"/>
    <w:rsid w:val="01C20BC1"/>
    <w:rsid w:val="04C17856"/>
    <w:rsid w:val="087152A3"/>
    <w:rsid w:val="08843074"/>
    <w:rsid w:val="08D12032"/>
    <w:rsid w:val="0FA92AE1"/>
    <w:rsid w:val="134A4EBA"/>
    <w:rsid w:val="1514752E"/>
    <w:rsid w:val="16FC64CC"/>
    <w:rsid w:val="17DF66C7"/>
    <w:rsid w:val="18B43502"/>
    <w:rsid w:val="18F71640"/>
    <w:rsid w:val="195E6FCA"/>
    <w:rsid w:val="1BEF44D1"/>
    <w:rsid w:val="1CD233B5"/>
    <w:rsid w:val="1FC57DA2"/>
    <w:rsid w:val="1FF565F2"/>
    <w:rsid w:val="1FF95950"/>
    <w:rsid w:val="22561186"/>
    <w:rsid w:val="257A518B"/>
    <w:rsid w:val="27D7407F"/>
    <w:rsid w:val="2DD613CD"/>
    <w:rsid w:val="2DD65871"/>
    <w:rsid w:val="32C933CA"/>
    <w:rsid w:val="35154ED0"/>
    <w:rsid w:val="360D5BB0"/>
    <w:rsid w:val="377DF7A3"/>
    <w:rsid w:val="37BEF493"/>
    <w:rsid w:val="394E275F"/>
    <w:rsid w:val="395F671A"/>
    <w:rsid w:val="3A6F0BDF"/>
    <w:rsid w:val="3AEF164B"/>
    <w:rsid w:val="3B7D557D"/>
    <w:rsid w:val="3BCEBCC3"/>
    <w:rsid w:val="3EFA5384"/>
    <w:rsid w:val="3F3F59C0"/>
    <w:rsid w:val="4119123B"/>
    <w:rsid w:val="46971BE9"/>
    <w:rsid w:val="46B53E1D"/>
    <w:rsid w:val="476E221E"/>
    <w:rsid w:val="480F755D"/>
    <w:rsid w:val="49184B37"/>
    <w:rsid w:val="4971BAC7"/>
    <w:rsid w:val="49975A5C"/>
    <w:rsid w:val="4A437992"/>
    <w:rsid w:val="4AFC64BF"/>
    <w:rsid w:val="4BCD1C09"/>
    <w:rsid w:val="4CEC60BF"/>
    <w:rsid w:val="4FBA7C47"/>
    <w:rsid w:val="556FC64D"/>
    <w:rsid w:val="55A82D9F"/>
    <w:rsid w:val="56CA56C3"/>
    <w:rsid w:val="56EB44DC"/>
    <w:rsid w:val="56EB776F"/>
    <w:rsid w:val="56F91B04"/>
    <w:rsid w:val="5A137381"/>
    <w:rsid w:val="5A2E41BB"/>
    <w:rsid w:val="5ADD34EB"/>
    <w:rsid w:val="5BCA7F13"/>
    <w:rsid w:val="5DB9AAD2"/>
    <w:rsid w:val="5DD67BCF"/>
    <w:rsid w:val="5EB50A07"/>
    <w:rsid w:val="5F7FF72A"/>
    <w:rsid w:val="5FB078FF"/>
    <w:rsid w:val="5FB40CBE"/>
    <w:rsid w:val="63846BFA"/>
    <w:rsid w:val="64151F48"/>
    <w:rsid w:val="672F0E65"/>
    <w:rsid w:val="67BFE32F"/>
    <w:rsid w:val="69362744"/>
    <w:rsid w:val="6BAD2A66"/>
    <w:rsid w:val="6BC93D43"/>
    <w:rsid w:val="6C4E4249"/>
    <w:rsid w:val="6E51B676"/>
    <w:rsid w:val="6EF5AFCA"/>
    <w:rsid w:val="6F678D91"/>
    <w:rsid w:val="6F8654C7"/>
    <w:rsid w:val="6FDC30C6"/>
    <w:rsid w:val="6FF63D3C"/>
    <w:rsid w:val="6FF9096F"/>
    <w:rsid w:val="700B18AB"/>
    <w:rsid w:val="71F71048"/>
    <w:rsid w:val="733E6DC5"/>
    <w:rsid w:val="74FF56F7"/>
    <w:rsid w:val="77DD9C18"/>
    <w:rsid w:val="78BD078C"/>
    <w:rsid w:val="79030169"/>
    <w:rsid w:val="7B27F802"/>
    <w:rsid w:val="7B6E5D6D"/>
    <w:rsid w:val="7CE5EFB7"/>
    <w:rsid w:val="7CEFDD3F"/>
    <w:rsid w:val="7D2A660C"/>
    <w:rsid w:val="7DBAF4A5"/>
    <w:rsid w:val="7E770E91"/>
    <w:rsid w:val="7E7F602B"/>
    <w:rsid w:val="B2F19431"/>
    <w:rsid w:val="B6F7F0AC"/>
    <w:rsid w:val="B7F68E6F"/>
    <w:rsid w:val="BA7B23C6"/>
    <w:rsid w:val="BBEB3797"/>
    <w:rsid w:val="BD5D7CD0"/>
    <w:rsid w:val="BDF96799"/>
    <w:rsid w:val="C9FE4EC7"/>
    <w:rsid w:val="CB2A37C3"/>
    <w:rsid w:val="D4FB2543"/>
    <w:rsid w:val="DDE6824A"/>
    <w:rsid w:val="DDFD0CA9"/>
    <w:rsid w:val="DDFF5601"/>
    <w:rsid w:val="E9DB9680"/>
    <w:rsid w:val="ED36E122"/>
    <w:rsid w:val="EEDBF863"/>
    <w:rsid w:val="EF5793C2"/>
    <w:rsid w:val="EFD60007"/>
    <w:rsid w:val="F1FF5BD5"/>
    <w:rsid w:val="F7776619"/>
    <w:rsid w:val="F77C0063"/>
    <w:rsid w:val="F7BF37FE"/>
    <w:rsid w:val="F7E3001A"/>
    <w:rsid w:val="FA37B44E"/>
    <w:rsid w:val="FAC4688D"/>
    <w:rsid w:val="FADF6F59"/>
    <w:rsid w:val="FB6DE5B1"/>
    <w:rsid w:val="FBDFC34D"/>
    <w:rsid w:val="FD7FE7D0"/>
    <w:rsid w:val="FDE75083"/>
    <w:rsid w:val="FDFF0115"/>
    <w:rsid w:val="FE7F415B"/>
    <w:rsid w:val="FE7FDF77"/>
    <w:rsid w:val="FF4EE81D"/>
    <w:rsid w:val="FF5F5252"/>
    <w:rsid w:val="FFEF26A4"/>
    <w:rsid w:val="FFFDE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unhideWhenUsed/>
    <w:qFormat/>
    <w:uiPriority w:val="1"/>
  </w:style>
  <w:style w:type="table" w:default="1" w:styleId="2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lock Text"/>
    <w:basedOn w:val="1"/>
    <w:next w:val="1"/>
    <w:qFormat/>
    <w:uiPriority w:val="0"/>
    <w:pPr>
      <w:spacing w:after="120"/>
      <w:ind w:left="1440" w:leftChars="700" w:right="1440" w:rightChars="700"/>
    </w:pPr>
  </w:style>
  <w:style w:type="paragraph" w:styleId="12">
    <w:name w:val="Body Text"/>
    <w:basedOn w:val="1"/>
    <w:link w:val="44"/>
    <w:semiHidden/>
    <w:unhideWhenUsed/>
    <w:qFormat/>
    <w:uiPriority w:val="99"/>
    <w:pPr>
      <w:spacing w:after="120"/>
    </w:pPr>
  </w:style>
  <w:style w:type="paragraph" w:styleId="13">
    <w:name w:val="Body Text Indent"/>
    <w:basedOn w:val="1"/>
    <w:next w:val="1"/>
    <w:link w:val="42"/>
    <w:semiHidden/>
    <w:unhideWhenUsed/>
    <w:qFormat/>
    <w:uiPriority w:val="99"/>
    <w:pPr>
      <w:spacing w:after="120"/>
      <w:ind w:left="420" w:leftChars="200"/>
    </w:pPr>
  </w:style>
  <w:style w:type="paragraph" w:styleId="14">
    <w:name w:val="footer"/>
    <w:basedOn w:val="1"/>
    <w:next w:val="1"/>
    <w:unhideWhenUsed/>
    <w:qFormat/>
    <w:uiPriority w:val="99"/>
    <w:pPr>
      <w:tabs>
        <w:tab w:val="center" w:pos="4153"/>
        <w:tab w:val="right" w:pos="8306"/>
      </w:tabs>
      <w:snapToGrid w:val="0"/>
      <w:jc w:val="left"/>
    </w:pPr>
    <w:rPr>
      <w:sz w:val="18"/>
      <w:szCs w:val="18"/>
    </w:rPr>
  </w:style>
  <w:style w:type="paragraph" w:styleId="15">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Subtitle"/>
    <w:basedOn w:val="1"/>
    <w:next w:val="1"/>
    <w:link w:val="34"/>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qFormat/>
    <w:uiPriority w:val="0"/>
    <w:pPr>
      <w:spacing w:before="100" w:beforeAutospacing="1" w:after="100" w:afterAutospacing="1"/>
      <w:jc w:val="left"/>
    </w:pPr>
    <w:rPr>
      <w:kern w:val="0"/>
      <w:sz w:val="24"/>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9">
    <w:name w:val="Body Text First Indent 2"/>
    <w:basedOn w:val="13"/>
    <w:next w:val="1"/>
    <w:link w:val="43"/>
    <w:qFormat/>
    <w:uiPriority w:val="0"/>
    <w:pPr>
      <w:spacing w:after="0"/>
      <w:ind w:left="0" w:leftChars="0" w:firstLine="420" w:firstLineChars="200"/>
    </w:pPr>
    <w:rPr>
      <w:rFonts w:ascii="仿宋_GB2312" w:eastAsia="仿宋_GB2312"/>
      <w:sz w:val="28"/>
      <w:szCs w:val="28"/>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customStyle="1" w:styleId="24">
    <w:name w:val="标题 1 字符"/>
    <w:basedOn w:val="22"/>
    <w:link w:val="3"/>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2"/>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2"/>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2"/>
    <w:link w:val="6"/>
    <w:semiHidden/>
    <w:qFormat/>
    <w:uiPriority w:val="9"/>
    <w:rPr>
      <w:rFonts w:cstheme="majorBidi"/>
      <w:color w:val="104862" w:themeColor="accent1" w:themeShade="BF"/>
      <w:sz w:val="28"/>
      <w:szCs w:val="28"/>
    </w:rPr>
  </w:style>
  <w:style w:type="character" w:customStyle="1" w:styleId="28">
    <w:name w:val="标题 5 字符"/>
    <w:basedOn w:val="22"/>
    <w:link w:val="7"/>
    <w:semiHidden/>
    <w:qFormat/>
    <w:uiPriority w:val="9"/>
    <w:rPr>
      <w:rFonts w:cstheme="majorBidi"/>
      <w:color w:val="104862" w:themeColor="accent1" w:themeShade="BF"/>
      <w:sz w:val="24"/>
      <w:szCs w:val="24"/>
    </w:rPr>
  </w:style>
  <w:style w:type="character" w:customStyle="1" w:styleId="29">
    <w:name w:val="标题 6 字符"/>
    <w:basedOn w:val="22"/>
    <w:link w:val="8"/>
    <w:semiHidden/>
    <w:qFormat/>
    <w:uiPriority w:val="9"/>
    <w:rPr>
      <w:rFonts w:cstheme="majorBidi"/>
      <w:b/>
      <w:bCs/>
      <w:color w:val="104862" w:themeColor="accent1" w:themeShade="BF"/>
    </w:rPr>
  </w:style>
  <w:style w:type="character" w:customStyle="1" w:styleId="30">
    <w:name w:val="标题 7 字符"/>
    <w:basedOn w:val="22"/>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2"/>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2"/>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2"/>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2"/>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2"/>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22"/>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2"/>
    <w:link w:val="39"/>
    <w:qFormat/>
    <w:uiPriority w:val="30"/>
    <w:rPr>
      <w:i/>
      <w:iCs/>
      <w:color w:val="104862" w:themeColor="accent1" w:themeShade="BF"/>
    </w:rPr>
  </w:style>
  <w:style w:type="character" w:customStyle="1" w:styleId="41">
    <w:name w:val="Intense Reference"/>
    <w:basedOn w:val="22"/>
    <w:qFormat/>
    <w:uiPriority w:val="32"/>
    <w:rPr>
      <w:b/>
      <w:bCs/>
      <w:smallCaps/>
      <w:color w:val="104862" w:themeColor="accent1" w:themeShade="BF"/>
      <w:spacing w:val="5"/>
    </w:rPr>
  </w:style>
  <w:style w:type="character" w:customStyle="1" w:styleId="42">
    <w:name w:val="正文文本缩进 字符"/>
    <w:basedOn w:val="22"/>
    <w:link w:val="13"/>
    <w:semiHidden/>
    <w:qFormat/>
    <w:uiPriority w:val="99"/>
    <w:rPr>
      <w:rFonts w:ascii="Calibri" w:hAnsi="Calibri" w:eastAsia="宋体" w:cs="Times New Roman"/>
      <w:szCs w:val="24"/>
    </w:rPr>
  </w:style>
  <w:style w:type="character" w:customStyle="1" w:styleId="43">
    <w:name w:val="正文文本首行缩进 2 字符"/>
    <w:basedOn w:val="42"/>
    <w:link w:val="19"/>
    <w:qFormat/>
    <w:uiPriority w:val="0"/>
    <w:rPr>
      <w:rFonts w:ascii="仿宋_GB2312" w:hAnsi="Calibri" w:eastAsia="仿宋_GB2312" w:cs="Times New Roman"/>
      <w:sz w:val="28"/>
      <w:szCs w:val="28"/>
    </w:rPr>
  </w:style>
  <w:style w:type="character" w:customStyle="1" w:styleId="44">
    <w:name w:val="正文文本 字符"/>
    <w:basedOn w:val="22"/>
    <w:link w:val="12"/>
    <w:semiHidden/>
    <w:qFormat/>
    <w:uiPriority w:val="99"/>
    <w:rPr>
      <w:rFonts w:ascii="Calibri" w:hAnsi="Calibri" w:eastAsia="宋体" w:cs="Times New Roman"/>
      <w:szCs w:val="24"/>
    </w:rPr>
  </w:style>
  <w:style w:type="paragraph" w:customStyle="1" w:styleId="45">
    <w:name w:val="WPSOffice手动目录 1"/>
    <w:qFormat/>
    <w:uiPriority w:val="0"/>
    <w:pPr>
      <w:ind w:leftChars="0"/>
    </w:pPr>
    <w:rPr>
      <w:rFonts w:ascii="Times New Roman" w:hAnsi="Times New Roman" w:eastAsia="宋体" w:cs="Times New Roman"/>
      <w:sz w:val="20"/>
      <w:szCs w:val="20"/>
    </w:rPr>
  </w:style>
  <w:style w:type="paragraph" w:customStyle="1" w:styleId="46">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9530</Words>
  <Characters>9694</Characters>
  <Lines>1</Lines>
  <Paragraphs>1</Paragraphs>
  <TotalTime>11</TotalTime>
  <ScaleCrop>false</ScaleCrop>
  <LinksUpToDate>false</LinksUpToDate>
  <CharactersWithSpaces>9795</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2026-07-09T08:07:00Z</dcterms:created>
  <dc:creator>永萍 蒋</dc:creator>
  <cp:lastModifiedBy>HIGC</cp:lastModifiedBy>
  <cp:lastPrinted>2026-09-04T17:39:00Z</cp:lastPrinted>
  <dcterms:modified xsi:type="dcterms:W3CDTF">2026-09-10T19:44:50Z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eyJoZGlkIjoiNTg2MDZiNTc2MzIyNzljMTY2NjY5YjlhNzU4NzVkZmQiLCJ1c2VySWQiOiI0MzMyMTk5ODkifQ==</vt:lpwstr>
  </property>
  <property fmtid="{D5CDD505-2E9C-101B-9397-08002B2CF9AE}" pid="3" name="KSOProductBuildVer">
    <vt:lpwstr>2052-12.8.2.20327</vt:lpwstr>
  </property>
  <property fmtid="{D5CDD505-2E9C-101B-9397-08002B2CF9AE}" pid="4" name="ICV">
    <vt:lpwstr>DBDCED2C78154B43A73A7B7A77E5B116_13</vt:lpwstr>
  </property>
</Properties>
</file>