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E2D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“十五五”时期良乡大学城发展规划</w:t>
      </w:r>
      <w:r>
        <w:rPr>
          <w:rFonts w:hint="eastAsia" w:ascii="方正小标宋简体" w:hAnsi="方正小标宋简体" w:eastAsia="方正小标宋简体" w:cs="方正小标宋简体"/>
          <w:sz w:val="44"/>
          <w:szCs w:val="44"/>
          <w:lang w:eastAsia="zh-CN"/>
        </w:rPr>
        <w:t>（征求意见稿）》的起草说明</w:t>
      </w:r>
    </w:p>
    <w:p w14:paraId="7E01FD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0C3839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一、起草背景</w:t>
      </w:r>
    </w:p>
    <w:p w14:paraId="596E69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Style w:val="4"/>
          <w:color w:val="auto"/>
          <w:highlight w:val="none"/>
          <w:rtl/>
          <w:lang w:val="ar-SA" w:bidi="ar-SA"/>
        </w:rPr>
        <w:t>“</w:t>
      </w:r>
      <w:r>
        <w:rPr>
          <w:rStyle w:val="4"/>
          <w:color w:val="auto"/>
          <w:highlight w:val="none"/>
          <w:rtl w:val="0"/>
          <w:lang w:val="zh-CN" w:eastAsia="zh-CN"/>
        </w:rPr>
        <w:t>十五五</w:t>
      </w:r>
      <w:r>
        <w:rPr>
          <w:rStyle w:val="4"/>
          <w:color w:val="auto"/>
          <w:highlight w:val="none"/>
          <w:rtl w:val="0"/>
        </w:rPr>
        <w:t>”</w:t>
      </w:r>
      <w:r>
        <w:rPr>
          <w:rStyle w:val="4"/>
          <w:color w:val="auto"/>
          <w:highlight w:val="none"/>
          <w:rtl w:val="0"/>
          <w:lang w:val="zh-CN" w:eastAsia="zh-CN"/>
        </w:rPr>
        <w:t>时期是承上启下、基本实现社会主义现代化夯实基础的关键五年。</w:t>
      </w:r>
      <w:r>
        <w:rPr>
          <w:rFonts w:hint="eastAsia" w:ascii="仿宋_GB2312" w:hAnsi="仿宋_GB2312" w:eastAsia="仿宋_GB2312" w:cs="仿宋_GB2312"/>
          <w:sz w:val="32"/>
          <w:szCs w:val="32"/>
          <w:lang w:val="en-US" w:eastAsia="zh-CN"/>
        </w:rPr>
        <w:t>为全面贯彻党的二十大和二十届历次全会精神、习近平总书记对北京重要讲话精神，落实市第十三次党代会部署，良乡大学城</w:t>
      </w:r>
      <w:r>
        <w:rPr>
          <w:rStyle w:val="4"/>
          <w:color w:val="auto"/>
          <w:highlight w:val="none"/>
          <w:rtl w:val="0"/>
          <w:lang w:val="zh-CN" w:eastAsia="zh-CN"/>
        </w:rPr>
        <w:t>作为北京</w:t>
      </w:r>
      <w:r>
        <w:rPr>
          <w:rStyle w:val="4"/>
          <w:color w:val="auto"/>
          <w:highlight w:val="none"/>
          <w:rtl/>
          <w:lang w:val="ar-SA" w:bidi="ar-SA"/>
        </w:rPr>
        <w:t>“</w:t>
      </w:r>
      <w:r>
        <w:rPr>
          <w:rStyle w:val="4"/>
          <w:color w:val="auto"/>
          <w:highlight w:val="none"/>
          <w:rtl w:val="0"/>
          <w:lang w:val="zh-CN" w:eastAsia="zh-CN"/>
        </w:rPr>
        <w:t>四个中心</w:t>
      </w:r>
      <w:r>
        <w:rPr>
          <w:rStyle w:val="4"/>
          <w:color w:val="auto"/>
          <w:highlight w:val="none"/>
          <w:rtl w:val="0"/>
        </w:rPr>
        <w:t>”</w:t>
      </w:r>
      <w:r>
        <w:rPr>
          <w:rStyle w:val="4"/>
          <w:color w:val="auto"/>
          <w:highlight w:val="none"/>
          <w:rtl w:val="0"/>
          <w:lang w:val="zh-CN" w:eastAsia="zh-CN"/>
        </w:rPr>
        <w:t>功能建设中科技创新与高等教育协同发展的重要承载地，</w:t>
      </w:r>
      <w:r>
        <w:rPr>
          <w:rFonts w:hint="eastAsia" w:ascii="仿宋_GB2312" w:hAnsi="仿宋_GB2312" w:eastAsia="仿宋_GB2312" w:cs="仿宋_GB2312"/>
          <w:sz w:val="32"/>
          <w:szCs w:val="32"/>
          <w:lang w:val="en-US" w:eastAsia="zh-CN"/>
        </w:rPr>
        <w:t>围绕建设世界一流科教及产业融合新城的发展目标，全面融入房山区“1+3”重要功能区建设，围绕建设“世界一流科教与产业融合新城”的发展愿景，</w:t>
      </w:r>
      <w:r>
        <w:rPr>
          <w:rStyle w:val="4"/>
          <w:color w:val="auto"/>
          <w:highlight w:val="none"/>
          <w:rtl w:val="0"/>
          <w:lang w:val="zh-CN" w:eastAsia="zh-CN"/>
        </w:rPr>
        <w:t>推动校产城融合共兴、科教人一体化发展</w:t>
      </w:r>
      <w:r>
        <w:rPr>
          <w:rStyle w:val="4"/>
          <w:rFonts w:hint="eastAsia"/>
          <w:color w:val="auto"/>
          <w:highlight w:val="none"/>
          <w:rtl w:val="0"/>
          <w:lang w:val="zh-CN" w:eastAsia="zh-CN"/>
        </w:rPr>
        <w:t>，</w:t>
      </w:r>
      <w:r>
        <w:rPr>
          <w:rFonts w:hint="eastAsia" w:ascii="仿宋_GB2312" w:hAnsi="仿宋_GB2312" w:eastAsia="仿宋_GB2312" w:cs="仿宋_GB2312"/>
          <w:sz w:val="32"/>
          <w:szCs w:val="32"/>
          <w:lang w:val="en-US" w:eastAsia="zh-CN"/>
        </w:rPr>
        <w:t>结合良乡大学城发展实际，制定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“十五五”时期良乡大学城发展规划（征求意见稿）</w:t>
      </w:r>
      <w:r>
        <w:rPr>
          <w:rFonts w:hint="eastAsia" w:ascii="仿宋_GB2312" w:hAnsi="仿宋_GB2312" w:eastAsia="仿宋_GB2312" w:cs="仿宋_GB2312"/>
          <w:sz w:val="32"/>
          <w:szCs w:val="32"/>
          <w:lang w:eastAsia="zh-CN"/>
        </w:rPr>
        <w:t>》（以下简称《规划》）</w:t>
      </w:r>
      <w:r>
        <w:rPr>
          <w:rFonts w:hint="eastAsia" w:ascii="仿宋_GB2312" w:hAnsi="仿宋_GB2312" w:eastAsia="仿宋_GB2312" w:cs="仿宋_GB2312"/>
          <w:sz w:val="32"/>
          <w:szCs w:val="32"/>
          <w:lang w:val="en-US" w:eastAsia="zh-CN"/>
        </w:rPr>
        <w:t>。</w:t>
      </w:r>
    </w:p>
    <w:p w14:paraId="37997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二、政策依据</w:t>
      </w:r>
    </w:p>
    <w:p w14:paraId="5F37BD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严格依据</w:t>
      </w:r>
      <w:r>
        <w:rPr>
          <w:rFonts w:hint="eastAsia" w:ascii="仿宋_GB2312" w:hAnsi="仿宋_GB2312" w:eastAsia="仿宋_GB2312" w:cs="仿宋_GB2312"/>
          <w:sz w:val="32"/>
          <w:szCs w:val="32"/>
          <w:lang w:val="en-US" w:eastAsia="zh-CN"/>
        </w:rPr>
        <w:t>《北京城市总体规划（2016年-2035年）》《北京市国民经济和社会发展第十四个五年规划和二〇三五年远景目标纲要》《房山分区规划（国土空间规划）（2017年—2035年）》《北京市房山区国民经济和社会发展第十四个五年规划和二〇三五年远景目标纲要》《北京市关于新时期推动大学科技园改革创新发展的指导意见》等相关文件，</w:t>
      </w:r>
      <w:r>
        <w:rPr>
          <w:rFonts w:hint="eastAsia" w:ascii="仿宋_GB2312" w:hAnsi="仿宋_GB2312" w:eastAsia="仿宋_GB2312" w:cs="仿宋_GB2312"/>
          <w:kern w:val="2"/>
          <w:sz w:val="32"/>
          <w:szCs w:val="32"/>
          <w:lang w:val="en-US" w:eastAsia="zh-CN" w:bidi="ar-SA"/>
          <w14:ligatures w14:val="standardContextual"/>
        </w:rPr>
        <w:t>确保上下贯通、有效衔接。</w:t>
      </w:r>
    </w:p>
    <w:p w14:paraId="6988E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14:ligatures w14:val="standardContextual"/>
        </w:rPr>
      </w:pPr>
      <w:r>
        <w:rPr>
          <w:rFonts w:hint="eastAsia" w:ascii="黑体" w:hAnsi="黑体" w:eastAsia="黑体" w:cs="黑体"/>
          <w:kern w:val="2"/>
          <w:sz w:val="32"/>
          <w:szCs w:val="32"/>
          <w:lang w:val="en-US" w:eastAsia="zh-CN" w:bidi="ar-SA"/>
          <w14:ligatures w14:val="standardContextual"/>
        </w:rPr>
        <w:t>三、编制原则</w:t>
      </w:r>
    </w:p>
    <w:p w14:paraId="1B1BD8A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rFonts w:hint="eastAsia" w:ascii="楷体_GB2312" w:hAnsi="楷体_GB2312" w:eastAsia="楷体_GB2312" w:cs="楷体_GB2312"/>
          <w:color w:val="auto"/>
          <w:highlight w:val="none"/>
          <w:rtl w:val="0"/>
          <w:lang w:val="zh-CN" w:eastAsia="zh-CN"/>
        </w:rPr>
      </w:pPr>
      <w:r>
        <w:rPr>
          <w:rStyle w:val="4"/>
          <w:rFonts w:hint="eastAsia" w:ascii="楷体_GB2312" w:hAnsi="楷体_GB2312" w:eastAsia="楷体_GB2312" w:cs="楷体_GB2312"/>
          <w:color w:val="auto"/>
          <w:highlight w:val="none"/>
          <w:rtl w:val="0"/>
          <w:lang w:val="zh-CN" w:eastAsia="zh-CN"/>
        </w:rPr>
        <w:t>（一）坚持高位统筹</w:t>
      </w:r>
    </w:p>
    <w:p w14:paraId="57141E3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color w:val="auto"/>
          <w:highlight w:val="none"/>
        </w:rPr>
      </w:pPr>
      <w:r>
        <w:rPr>
          <w:rStyle w:val="4"/>
          <w:color w:val="auto"/>
          <w:highlight w:val="none"/>
          <w:rtl w:val="0"/>
          <w:lang w:val="zh-CN" w:eastAsia="zh-CN"/>
        </w:rPr>
        <w:t>以国家和北京市科技发展总体要求和规划为引领，深入贯彻落实创新驱动发展战略，紧密对接京津冀协同发展大局，以市委、市政府和区委、区政府对良乡大学城的发展定位目标为指引，立足首都城市战略定位，高标准、高质量推进良乡大学城规划建设管理工作，确保各项建设任务与国家和区域发展战略同频共振，打造具有示范引领作用的科技创新高地。</w:t>
      </w:r>
    </w:p>
    <w:p w14:paraId="104B197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rFonts w:hint="eastAsia" w:ascii="楷体_GB2312" w:hAnsi="楷体_GB2312" w:eastAsia="楷体_GB2312" w:cs="楷体_GB2312"/>
          <w:color w:val="auto"/>
          <w:highlight w:val="none"/>
          <w:rtl w:val="0"/>
          <w:lang w:val="zh-CN" w:eastAsia="zh-CN"/>
        </w:rPr>
      </w:pPr>
      <w:r>
        <w:rPr>
          <w:rStyle w:val="4"/>
          <w:rFonts w:hint="eastAsia" w:ascii="楷体_GB2312" w:hAnsi="楷体_GB2312" w:eastAsia="楷体_GB2312" w:cs="楷体_GB2312"/>
          <w:color w:val="auto"/>
          <w:highlight w:val="none"/>
          <w:rtl w:val="0"/>
          <w:lang w:val="zh-CN" w:eastAsia="zh-CN"/>
        </w:rPr>
        <w:t>（二）坚持前瞻引领</w:t>
      </w:r>
    </w:p>
    <w:p w14:paraId="3157697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color w:val="auto"/>
          <w:highlight w:val="none"/>
        </w:rPr>
      </w:pPr>
      <w:r>
        <w:rPr>
          <w:rStyle w:val="4"/>
          <w:color w:val="auto"/>
          <w:highlight w:val="none"/>
          <w:rtl w:val="0"/>
          <w:lang w:val="zh-CN" w:eastAsia="zh-CN"/>
        </w:rPr>
        <w:t>以房山区核心优势产业为出发点，充分把握全球科技革命和产业变革趋势，聚焦前沿科技领域和战略性新兴产业，以前瞻性思维谋划未来发展路径，科学布局创新链、产业链、人才链，推动产学研深度融合，支撑房山区培育具有国际竞争力的创新产业集群，为区域经济高质量发展注入强劲动能。</w:t>
      </w:r>
    </w:p>
    <w:p w14:paraId="6DC2AD6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rFonts w:hint="eastAsia" w:ascii="楷体_GB2312" w:hAnsi="楷体_GB2312" w:eastAsia="楷体_GB2312" w:cs="楷体_GB2312"/>
          <w:color w:val="auto"/>
          <w:highlight w:val="none"/>
          <w:rtl w:val="0"/>
          <w:lang w:val="zh-CN" w:eastAsia="zh-CN"/>
        </w:rPr>
      </w:pPr>
      <w:r>
        <w:rPr>
          <w:rStyle w:val="4"/>
          <w:rFonts w:hint="eastAsia" w:ascii="楷体_GB2312" w:hAnsi="楷体_GB2312" w:eastAsia="楷体_GB2312" w:cs="楷体_GB2312"/>
          <w:color w:val="auto"/>
          <w:highlight w:val="none"/>
          <w:rtl w:val="0"/>
          <w:lang w:val="zh-CN" w:eastAsia="zh-CN"/>
        </w:rPr>
        <w:t>（三）坚持开放协同</w:t>
      </w:r>
    </w:p>
    <w:p w14:paraId="58626E2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color w:val="auto"/>
          <w:highlight w:val="none"/>
        </w:rPr>
      </w:pPr>
      <w:r>
        <w:rPr>
          <w:rStyle w:val="4"/>
          <w:color w:val="auto"/>
          <w:highlight w:val="none"/>
          <w:rtl w:val="0"/>
          <w:lang w:val="zh-CN" w:eastAsia="zh-CN"/>
        </w:rPr>
        <w:t>秉持开放包容的发展理念，打破行政壁垒和体制机制障碍，构建多层次、宽领域的协同创新网络，促进创新要素自由流动和高效配置，深化与高校、科研院所、企业等创新主体的战略合作，加大与中关村房山园等产业园区协同联动，形成优势互补、互利共赢的发展格局，全面提升良乡大学城的创新能级和辐射带动能力。</w:t>
      </w:r>
    </w:p>
    <w:p w14:paraId="0CF62EF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4"/>
          <w:rFonts w:hint="eastAsia" w:ascii="楷体_GB2312" w:hAnsi="楷体_GB2312" w:eastAsia="楷体_GB2312" w:cs="楷体_GB2312"/>
          <w:color w:val="auto"/>
          <w:highlight w:val="none"/>
          <w:rtl w:val="0"/>
          <w:lang w:val="zh-CN" w:eastAsia="zh-CN"/>
        </w:rPr>
      </w:pPr>
      <w:r>
        <w:rPr>
          <w:rStyle w:val="4"/>
          <w:rFonts w:hint="eastAsia" w:ascii="楷体_GB2312" w:hAnsi="楷体_GB2312" w:eastAsia="楷体_GB2312" w:cs="楷体_GB2312"/>
          <w:color w:val="auto"/>
          <w:highlight w:val="none"/>
          <w:rtl w:val="0"/>
          <w:lang w:val="zh-CN" w:eastAsia="zh-CN"/>
        </w:rPr>
        <w:t>（四）坚持务实改革</w:t>
      </w:r>
    </w:p>
    <w:p w14:paraId="3698D61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2"/>
          <w:sz w:val="32"/>
          <w:szCs w:val="32"/>
          <w:lang w:val="en-US" w:eastAsia="zh-CN" w:bidi="ar-SA"/>
          <w14:ligatures w14:val="standardContextual"/>
        </w:rPr>
      </w:pPr>
      <w:r>
        <w:rPr>
          <w:rStyle w:val="4"/>
          <w:color w:val="auto"/>
          <w:highlight w:val="none"/>
          <w:rtl w:val="0"/>
          <w:lang w:val="zh-CN" w:eastAsia="zh-CN"/>
        </w:rPr>
        <w:t>坚持向改革要动力、向创新要活力，深入推动大学城改革创新发展，持续推进大学城制度创新、管理创新和模式创新，充分激发大学城内生动力、创造潜力和发展活力，促进大学城高质量发展，服务区域产业发展。紧盯科技成果转化关键节点和</w:t>
      </w:r>
      <w:r>
        <w:rPr>
          <w:rStyle w:val="4"/>
          <w:color w:val="auto"/>
          <w:highlight w:val="none"/>
          <w:rtl/>
          <w:lang w:val="ar-SA" w:bidi="ar-SA"/>
        </w:rPr>
        <w:t>“</w:t>
      </w:r>
      <w:r>
        <w:rPr>
          <w:rStyle w:val="4"/>
          <w:color w:val="auto"/>
          <w:highlight w:val="none"/>
          <w:rtl w:val="0"/>
          <w:lang w:val="zh-CN" w:eastAsia="zh-CN"/>
        </w:rPr>
        <w:t>五不转</w:t>
      </w:r>
      <w:r>
        <w:rPr>
          <w:rStyle w:val="4"/>
          <w:color w:val="auto"/>
          <w:highlight w:val="none"/>
          <w:rtl w:val="0"/>
        </w:rPr>
        <w:t>”</w:t>
      </w:r>
      <w:r>
        <w:rPr>
          <w:rStyle w:val="4"/>
          <w:color w:val="auto"/>
          <w:highlight w:val="none"/>
          <w:rtl w:val="0"/>
          <w:lang w:val="zh-CN" w:eastAsia="zh-CN"/>
        </w:rPr>
        <w:t>关键问题，聚焦良乡大学城主责主业，建立强有力的协调推进机制，充分发挥大学城管委会作用，出实招、见实效。</w:t>
      </w:r>
    </w:p>
    <w:p w14:paraId="55E460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四、主要内容</w:t>
      </w:r>
    </w:p>
    <w:p w14:paraId="5D543A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《规划》共分为</w:t>
      </w:r>
      <w:r>
        <w:rPr>
          <w:rFonts w:hint="eastAsia" w:ascii="仿宋_GB2312" w:hAnsi="仿宋_GB2312" w:eastAsia="仿宋_GB2312" w:cs="仿宋_GB2312"/>
          <w:sz w:val="32"/>
          <w:szCs w:val="32"/>
          <w:lang w:val="en-US" w:eastAsia="zh-CN"/>
        </w:rPr>
        <w:t>5章20节，按照“发展基础与形势、发展思路与目标、重点任务、保障措施”的总体框架，主要内容大概如下：</w:t>
      </w:r>
    </w:p>
    <w:p w14:paraId="7B148A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Style w:val="4"/>
          <w:rFonts w:hint="eastAsia" w:ascii="楷体_GB2312" w:hAnsi="楷体_GB2312" w:eastAsia="楷体_GB2312" w:cs="楷体_GB2312"/>
          <w:color w:val="auto"/>
          <w:highlight w:val="none"/>
          <w:rtl w:val="0"/>
          <w:lang w:val="zh-CN" w:eastAsia="zh-CN"/>
        </w:rPr>
        <w:t>（一）</w:t>
      </w:r>
      <w:r>
        <w:rPr>
          <w:rFonts w:hint="eastAsia" w:ascii="楷体_GB2312" w:hAnsi="楷体_GB2312" w:eastAsia="楷体_GB2312" w:cs="楷体_GB2312"/>
          <w:sz w:val="32"/>
          <w:szCs w:val="32"/>
          <w:lang w:val="en-US" w:eastAsia="zh-CN"/>
        </w:rPr>
        <w:t>发展基础与形势</w:t>
      </w:r>
    </w:p>
    <w:p w14:paraId="2B7A44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梳理“十四五”时期良乡大学城在园区建设、创新资源、成果转化、校城融合、体制机制等方面取得的发展成效；</w:t>
      </w:r>
      <w:r>
        <w:rPr>
          <w:rFonts w:hint="eastAsia" w:ascii="仿宋_GB2312" w:hAnsi="仿宋_GB2312" w:eastAsia="仿宋_GB2312" w:cs="仿宋_GB2312"/>
          <w:kern w:val="2"/>
          <w:sz w:val="32"/>
          <w:szCs w:val="32"/>
          <w:lang w:val="en-US" w:eastAsia="zh-CN" w:bidi="ar-SA"/>
          <w14:ligatures w14:val="standardContextual"/>
        </w:rPr>
        <w:t>从国内、首都、房山区三个维度研判</w:t>
      </w:r>
      <w:r>
        <w:rPr>
          <w:rFonts w:hint="eastAsia" w:ascii="仿宋_GB2312" w:hAnsi="仿宋_GB2312" w:eastAsia="仿宋_GB2312" w:cs="仿宋_GB2312"/>
          <w:sz w:val="32"/>
          <w:szCs w:val="32"/>
          <w:lang w:val="en-US" w:eastAsia="zh-CN"/>
        </w:rPr>
        <w:t>“十五五”时期的发展形势，并结合实际分析面临的挑战。</w:t>
      </w:r>
    </w:p>
    <w:p w14:paraId="2D316EC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发展思路与目标</w:t>
      </w:r>
    </w:p>
    <w:p w14:paraId="59A6F3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14:ligatures w14:val="standardContextual"/>
        </w:rPr>
        <w:t>明确“十五五”时期良乡大学城发展的指导思想、基本原则和发展目标。</w:t>
      </w:r>
      <w:r>
        <w:rPr>
          <w:rStyle w:val="4"/>
          <w:color w:val="auto"/>
          <w:highlight w:val="none"/>
          <w:rtl w:val="0"/>
          <w:lang w:val="zh-CN" w:eastAsia="zh-CN"/>
        </w:rPr>
        <w:t>力争将良乡大学城建成教育资源聚集区、人才培育引领区、</w:t>
      </w:r>
      <w:bookmarkStart w:id="0" w:name="_GoBack"/>
      <w:bookmarkEnd w:id="0"/>
      <w:r>
        <w:rPr>
          <w:rStyle w:val="4"/>
          <w:color w:val="auto"/>
          <w:highlight w:val="none"/>
          <w:rtl w:val="0"/>
          <w:lang w:val="zh-CN" w:eastAsia="zh-CN"/>
        </w:rPr>
        <w:t>成果转化先行区、产城融合样板区、现代化平原新城示范区。</w:t>
      </w:r>
    </w:p>
    <w:p w14:paraId="720A83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重点任务</w:t>
      </w:r>
    </w:p>
    <w:p w14:paraId="3A23AF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聚焦教育强区布局，构筑研发策源新高地。支持引导高校入驻学科向理工科倾斜；挖掘培育驻区高校可转化项目；持续支持高校科研平台建设。二是实施人才强城战略，建设高质量人才集聚区。围绕科技创新招才引智；培养留住驻区高校杰出人才；持续壮大技术经理人队伍；营造本地人才发展良性环境。三是高质量建设绿色能源区域中心，深化“前研后产”房山模式。持续面向国内外引进创新资源和成果转化项目；加快公共转化平台建成投用；多模式共育产业承载空间；开放应用场景赋能科技成果转化落地。四是打造产城融合示范样板，构建创新创业服务体系。强化创新创业服务；引进培育专业创新创业孵化载体；金融赋能构建多元化创业投资体系。五是建设校城融合活力轴，谱写双向奔赴新篇章。打造高校人才共育共享新高地；构建设施共享活力空间网络；培育共生共融精神文化家园；构建品牌活动新引擎；筑牢融合发展服务支撑。六是推进现代化城市建设，树立高品质科教新城品牌。持续推动主园区提质更新；加速规划布局拓展片区；数字化赋能新城发展；精细利用大学城周边存量空间；发挥好大学城区域辐射带动作用。</w:t>
      </w:r>
    </w:p>
    <w:p w14:paraId="280400A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保障措施</w:t>
      </w:r>
    </w:p>
    <w:p w14:paraId="4F7103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Style w:val="4"/>
          <w:color w:val="auto"/>
          <w:highlight w:val="none"/>
          <w:rtl w:val="0"/>
          <w:lang w:val="zh-CN" w:eastAsia="zh-CN"/>
        </w:rPr>
        <w:t>充分做好入驻高校沟通协调和区内服务保障工作</w:t>
      </w:r>
      <w:r>
        <w:rPr>
          <w:rStyle w:val="4"/>
          <w:rFonts w:hint="eastAsia"/>
          <w:color w:val="auto"/>
          <w:highlight w:val="none"/>
          <w:rtl w:val="0"/>
          <w:lang w:val="zh-CN" w:eastAsia="zh-CN"/>
        </w:rPr>
        <w:t>；</w:t>
      </w:r>
      <w:r>
        <w:rPr>
          <w:rStyle w:val="4"/>
          <w:color w:val="auto"/>
          <w:highlight w:val="none"/>
          <w:rtl w:val="0"/>
          <w:lang w:val="zh-CN" w:eastAsia="zh-CN"/>
        </w:rPr>
        <w:t>强化政策激励引导，用好市、区两级</w:t>
      </w:r>
      <w:r>
        <w:rPr>
          <w:rStyle w:val="4"/>
          <w:rFonts w:hint="eastAsia"/>
          <w:color w:val="auto"/>
          <w:highlight w:val="none"/>
          <w:rtl w:val="0"/>
          <w:lang w:val="zh-CN" w:eastAsia="zh-CN"/>
        </w:rPr>
        <w:t>专项政策，</w:t>
      </w:r>
      <w:r>
        <w:rPr>
          <w:rStyle w:val="4"/>
          <w:color w:val="auto"/>
          <w:highlight w:val="none"/>
          <w:rtl w:val="0"/>
          <w:lang w:val="zh-CN" w:eastAsia="zh-CN"/>
        </w:rPr>
        <w:t>做好落地实施和后续跟踪服务工作</w:t>
      </w:r>
      <w:r>
        <w:rPr>
          <w:rStyle w:val="4"/>
          <w:rFonts w:hint="eastAsia"/>
          <w:color w:val="auto"/>
          <w:highlight w:val="none"/>
          <w:rtl w:val="0"/>
          <w:lang w:val="zh-CN" w:eastAsia="zh-CN"/>
        </w:rPr>
        <w:t>；</w:t>
      </w:r>
      <w:r>
        <w:rPr>
          <w:rStyle w:val="4"/>
          <w:color w:val="auto"/>
          <w:highlight w:val="none"/>
          <w:rtl w:val="0"/>
          <w:lang w:val="zh-CN" w:eastAsia="zh-CN"/>
        </w:rPr>
        <w:t>充分发挥区级财政资金的示范、引导和放大作用，创新投入机制，吸引社会投资</w:t>
      </w:r>
      <w:r>
        <w:rPr>
          <w:rStyle w:val="4"/>
          <w:rFonts w:hint="eastAsia"/>
          <w:color w:val="auto"/>
          <w:highlight w:val="none"/>
          <w:rtl w:val="0"/>
          <w:lang w:val="zh-CN" w:eastAsia="zh-CN"/>
        </w:rPr>
        <w:t>；</w:t>
      </w:r>
      <w:r>
        <w:rPr>
          <w:rStyle w:val="4"/>
          <w:color w:val="auto"/>
          <w:highlight w:val="none"/>
          <w:rtl w:val="0"/>
          <w:lang w:val="zh-CN" w:eastAsia="zh-CN"/>
        </w:rPr>
        <w:t>充分利用全媒体矩阵广泛宣传绿色能源区域中心建设成果</w:t>
      </w:r>
      <w:r>
        <w:rPr>
          <w:rStyle w:val="4"/>
          <w:rFonts w:hint="eastAsia"/>
          <w:color w:val="auto"/>
          <w:highlight w:val="none"/>
          <w:rtl w:val="0"/>
          <w:lang w:val="zh-CN" w:eastAsia="zh-CN"/>
        </w:rPr>
        <w:t>，</w:t>
      </w:r>
      <w:r>
        <w:rPr>
          <w:rStyle w:val="4"/>
          <w:color w:val="auto"/>
          <w:highlight w:val="none"/>
          <w:rtl w:val="0"/>
          <w:lang w:val="zh-CN" w:eastAsia="zh-CN"/>
        </w:rPr>
        <w:t>形成以宣促引、以引促宣的良性循环</w:t>
      </w:r>
      <w:r>
        <w:rPr>
          <w:rFonts w:hint="eastAsia" w:ascii="仿宋_GB2312" w:hAnsi="仿宋_GB2312" w:eastAsia="仿宋_GB2312" w:cs="仿宋_GB2312"/>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E9B99"/>
    <w:multiLevelType w:val="singleLevel"/>
    <w:tmpl w:val="082E9B9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860045"/>
    <w:rsid w:val="1B860045"/>
    <w:rsid w:val="24E41F11"/>
    <w:rsid w:val="252D4CC5"/>
    <w:rsid w:val="35C651C7"/>
    <w:rsid w:val="36FD462A"/>
    <w:rsid w:val="4F1667CD"/>
    <w:rsid w:val="5035452D"/>
    <w:rsid w:val="62B110E4"/>
    <w:rsid w:val="650C7EE3"/>
    <w:rsid w:val="67A43982"/>
    <w:rsid w:val="68DD74D8"/>
    <w:rsid w:val="6EF503ED"/>
    <w:rsid w:val="7ED06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Hyperlink.1"/>
    <w:basedOn w:val="5"/>
    <w:qFormat/>
    <w:uiPriority w:val="0"/>
    <w:rPr>
      <w:rFonts w:ascii="仿宋_GB2312" w:hAnsi="仿宋_GB2312" w:eastAsia="仿宋_GB2312" w:cs="仿宋_GB2312"/>
      <w:sz w:val="32"/>
      <w:szCs w:val="32"/>
    </w:rPr>
  </w:style>
  <w:style w:type="character" w:customStyle="1" w:styleId="5">
    <w:name w:val="无"/>
    <w:qFormat/>
    <w:uiPriority w:val="0"/>
  </w:style>
  <w:style w:type="character" w:customStyle="1" w:styleId="6">
    <w:name w:val="Hyperlink.0"/>
    <w:basedOn w:val="5"/>
    <w:qFormat/>
    <w:uiPriority w:val="0"/>
    <w:rPr>
      <w:rFonts w:ascii="仿宋_GB2312" w:hAnsi="仿宋_GB2312" w:eastAsia="仿宋_GB2312" w:cs="仿宋_GB2312"/>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1982</Words>
  <Characters>1998</Characters>
  <Lines>0</Lines>
  <Paragraphs>0</Paragraphs>
  <TotalTime>1</TotalTime>
  <ScaleCrop>false</ScaleCrop>
  <LinksUpToDate>false</LinksUpToDate>
  <CharactersWithSpaces>1998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2026-08-21T08:46:00Z</dcterms:created>
  <dc:creator>理惠</dc:creator>
  <cp:lastModifiedBy>理惠</cp:lastModifiedBy>
  <cp:lastPrinted>2026-09-10T01:19:00Z</cp:lastPrinted>
  <dcterms:modified xsi:type="dcterms:W3CDTF">2026-09-10T06:10:14Z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E7F26E890C834915B44194FA3890925C_11</vt:lpwstr>
  </property>
  <property fmtid="{D5CDD505-2E9C-101B-9397-08002B2CF9AE}" pid="4" name="KSOTemplateDocerSaveRecord">
    <vt:lpwstr>eyJoZGlkIjoiMWNlYmJhMGZlNzA3OTA3MmQ3NGI1N2RiOTc0NGRhZGIiLCJ1c2VySWQiOiI5NTEzMzU1ODkifQ==</vt:lpwstr>
  </property>
</Properties>
</file>