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6738C" w14:textId="2028AA6F" w:rsidR="00D466E8" w:rsidRPr="00890499" w:rsidRDefault="0078198D">
      <w:pPr>
        <w:pStyle w:val="a5"/>
        <w:spacing w:line="600" w:lineRule="exact"/>
        <w:jc w:val="left"/>
        <w:rPr>
          <w:rFonts w:ascii="黑体" w:eastAsia="黑体" w:hAnsi="黑体" w:cs="黑体"/>
          <w:sz w:val="32"/>
          <w:szCs w:val="32"/>
        </w:rPr>
      </w:pPr>
      <w:bookmarkStart w:id="0" w:name="_Hlk192260597"/>
      <w:r>
        <w:rPr>
          <w:rFonts w:ascii="黑体" w:eastAsia="黑体" w:hAnsi="黑体" w:cs="黑体" w:hint="eastAsia"/>
          <w:sz w:val="32"/>
          <w:szCs w:val="32"/>
        </w:rPr>
        <w:t>附件2</w:t>
      </w:r>
    </w:p>
    <w:p w14:paraId="6B5B81D9" w14:textId="77777777" w:rsidR="00D466E8" w:rsidRDefault="00D466E8" w:rsidP="00F23E2E">
      <w:pPr>
        <w:pStyle w:val="a5"/>
        <w:spacing w:line="560" w:lineRule="exact"/>
        <w:jc w:val="left"/>
        <w:rPr>
          <w:rFonts w:ascii="黑体" w:eastAsia="黑体" w:hAnsi="黑体" w:cs="黑体"/>
          <w:sz w:val="32"/>
          <w:szCs w:val="32"/>
        </w:rPr>
      </w:pPr>
    </w:p>
    <w:p w14:paraId="4F5D3F36" w14:textId="5E5C7DCD" w:rsidR="00D466E8" w:rsidRPr="000F5C84" w:rsidRDefault="000F5C84" w:rsidP="00F23E2E">
      <w:pPr>
        <w:spacing w:after="0" w:line="560" w:lineRule="exact"/>
        <w:jc w:val="center"/>
        <w:rPr>
          <w:rFonts w:ascii="方正小标宋简体" w:eastAsia="方正小标宋简体" w:hAnsi="方正小标宋简体" w:cs="方正小标宋简体"/>
          <w:spacing w:val="-11"/>
          <w:sz w:val="44"/>
          <w:szCs w:val="44"/>
        </w:rPr>
      </w:pPr>
      <w:bookmarkStart w:id="1" w:name="OLE_LINK1"/>
      <w:r>
        <w:rPr>
          <w:rFonts w:ascii="方正小标宋简体" w:eastAsia="方正小标宋简体" w:hAnsi="方正小标宋简体" w:cs="方正小标宋简体"/>
          <w:spacing w:val="-11"/>
          <w:sz w:val="44"/>
          <w:szCs w:val="44"/>
        </w:rPr>
        <w:t>关于</w:t>
      </w:r>
      <w:r w:rsidR="0078198D">
        <w:rPr>
          <w:rFonts w:ascii="方正小标宋简体" w:eastAsia="方正小标宋简体" w:hAnsi="方正小标宋简体" w:cs="方正小标宋简体"/>
          <w:spacing w:val="-11"/>
          <w:sz w:val="44"/>
          <w:szCs w:val="44"/>
        </w:rPr>
        <w:t>《</w:t>
      </w:r>
      <w:r>
        <w:rPr>
          <w:rFonts w:ascii="方正小标宋简体" w:eastAsia="方正小标宋简体" w:hAnsi="方正小标宋简体" w:cs="方正小标宋简体" w:hint="eastAsia"/>
          <w:spacing w:val="-11"/>
          <w:sz w:val="44"/>
          <w:szCs w:val="44"/>
        </w:rPr>
        <w:t>西城区“十五五”时期金融业发展规划</w:t>
      </w:r>
      <w:r w:rsidR="0078198D">
        <w:rPr>
          <w:rFonts w:ascii="方正小标宋简体" w:eastAsia="方正小标宋简体" w:hAnsi="方正小标宋简体" w:cs="方正小标宋简体" w:hint="eastAsia"/>
          <w:spacing w:val="-11"/>
          <w:sz w:val="44"/>
          <w:szCs w:val="44"/>
        </w:rPr>
        <w:t>（征求意见稿）》</w:t>
      </w:r>
      <w:r>
        <w:rPr>
          <w:rFonts w:ascii="方正小标宋简体" w:eastAsia="方正小标宋简体" w:hAnsi="方正小标宋简体" w:cs="方正小标宋简体" w:hint="eastAsia"/>
          <w:spacing w:val="-11"/>
          <w:sz w:val="44"/>
          <w:szCs w:val="44"/>
        </w:rPr>
        <w:t>的</w:t>
      </w:r>
      <w:r w:rsidR="0078198D">
        <w:rPr>
          <w:rFonts w:ascii="方正小标宋简体" w:eastAsia="方正小标宋简体" w:hAnsi="方正小标宋简体" w:cs="方正小标宋简体" w:hint="eastAsia"/>
          <w:sz w:val="44"/>
          <w:szCs w:val="44"/>
        </w:rPr>
        <w:t>起草说明</w:t>
      </w:r>
    </w:p>
    <w:bookmarkEnd w:id="0"/>
    <w:p w14:paraId="474EE803" w14:textId="77777777" w:rsidR="00D466E8" w:rsidRDefault="00D466E8" w:rsidP="00F23E2E">
      <w:pPr>
        <w:shd w:val="clear" w:color="auto" w:fill="FFFFFF"/>
        <w:spacing w:line="560" w:lineRule="exact"/>
        <w:ind w:firstLineChars="200" w:firstLine="640"/>
        <w:rPr>
          <w:rFonts w:ascii="仿宋_GB2312" w:eastAsia="仿宋_GB2312" w:hAnsi="仿宋" w:cs="仿宋"/>
          <w:sz w:val="32"/>
          <w:szCs w:val="32"/>
        </w:rPr>
      </w:pPr>
    </w:p>
    <w:p w14:paraId="39279C6C" w14:textId="74A4F880" w:rsidR="00D466E8" w:rsidRDefault="000F5C84" w:rsidP="00F23E2E">
      <w:pPr>
        <w:spacing w:after="0" w:line="560" w:lineRule="exact"/>
        <w:ind w:firstLineChars="200" w:firstLine="640"/>
        <w:rPr>
          <w:rFonts w:ascii="黑体" w:eastAsia="黑体" w:hAnsi="黑体" w:cs="仿宋"/>
          <w:sz w:val="32"/>
          <w:szCs w:val="32"/>
        </w:rPr>
      </w:pPr>
      <w:bookmarkStart w:id="2" w:name="OLE_LINK4"/>
      <w:r>
        <w:rPr>
          <w:rFonts w:ascii="黑体" w:eastAsia="黑体" w:hAnsi="黑体" w:cs="仿宋" w:hint="eastAsia"/>
          <w:sz w:val="32"/>
          <w:szCs w:val="32"/>
        </w:rPr>
        <w:t>一、</w:t>
      </w:r>
      <w:r w:rsidR="0078198D">
        <w:rPr>
          <w:rFonts w:ascii="黑体" w:eastAsia="黑体" w:hAnsi="黑体" w:cs="仿宋" w:hint="eastAsia"/>
          <w:sz w:val="32"/>
          <w:szCs w:val="32"/>
        </w:rPr>
        <w:t>制定背景和过程</w:t>
      </w:r>
    </w:p>
    <w:p w14:paraId="3FA8B333" w14:textId="77777777" w:rsidR="00D466E8" w:rsidRDefault="0078198D" w:rsidP="00F23E2E">
      <w:pPr>
        <w:spacing w:after="0" w:line="560" w:lineRule="exact"/>
        <w:ind w:firstLineChars="200" w:firstLine="640"/>
        <w:outlineLvl w:val="0"/>
        <w:rPr>
          <w:rFonts w:ascii="楷体_GB2312" w:eastAsia="楷体_GB2312" w:hAnsi="楷体_GB2312" w:cs="楷体_GB2312"/>
          <w:sz w:val="32"/>
          <w:szCs w:val="32"/>
        </w:rPr>
      </w:pPr>
      <w:bookmarkStart w:id="3" w:name="OLE_LINK9"/>
      <w:r>
        <w:rPr>
          <w:rFonts w:ascii="楷体_GB2312" w:eastAsia="楷体_GB2312" w:hAnsi="楷体_GB2312" w:cs="楷体_GB2312" w:hint="eastAsia"/>
          <w:sz w:val="32"/>
          <w:szCs w:val="32"/>
        </w:rPr>
        <w:t>（一）制定背景</w:t>
      </w:r>
    </w:p>
    <w:p w14:paraId="12466887" w14:textId="0B08DB58" w:rsidR="00D466E8" w:rsidRDefault="000F5C84" w:rsidP="00F23E2E">
      <w:pPr>
        <w:spacing w:after="0" w:line="560" w:lineRule="exact"/>
        <w:ind w:firstLineChars="200" w:firstLine="640"/>
        <w:rPr>
          <w:rFonts w:ascii="仿宋_GB2312" w:eastAsia="仿宋_GB2312" w:hAnsi="仿宋" w:cs="仿宋"/>
          <w:sz w:val="32"/>
          <w:szCs w:val="32"/>
        </w:rPr>
      </w:pPr>
      <w:r w:rsidRPr="000F5C84">
        <w:rPr>
          <w:rFonts w:ascii="仿宋_GB2312" w:eastAsia="仿宋_GB2312" w:hAnsi="仿宋" w:cs="仿宋" w:hint="eastAsia"/>
          <w:color w:val="000000" w:themeColor="text1"/>
          <w:sz w:val="32"/>
          <w:szCs w:val="32"/>
        </w:rPr>
        <w:t>坚持以习近平新时代中国特色社会主义思想为指导，全面贯彻党的二十大及二十届历次全会精神，深入学习领会习近平总书记对北京重要讲话和对金融工作的重要指示精神，坚持党中央对金融工作的集中统一领导，深刻把握金融工作的政治性、人民性，完整准确全面贯彻新发展理念，坚持以新时代首都发展为统领，以“防风险、强监管、促高质量发展”为主线，</w:t>
      </w:r>
      <w:bookmarkStart w:id="4" w:name="OLE_LINK7"/>
      <w:bookmarkEnd w:id="3"/>
      <w:r w:rsidRPr="000F5C84">
        <w:rPr>
          <w:rFonts w:ascii="仿宋_GB2312" w:eastAsia="仿宋_GB2312" w:hAnsi="仿宋" w:cs="仿宋" w:hint="eastAsia"/>
          <w:color w:val="000000" w:themeColor="text1"/>
          <w:sz w:val="32"/>
          <w:szCs w:val="32"/>
        </w:rPr>
        <w:t>结合西城区实际，</w:t>
      </w:r>
      <w:r>
        <w:rPr>
          <w:rFonts w:ascii="仿宋_GB2312" w:eastAsia="仿宋_GB2312" w:hAnsi="仿宋" w:cs="仿宋" w:hint="eastAsia"/>
          <w:color w:val="000000" w:themeColor="text1"/>
          <w:sz w:val="32"/>
          <w:szCs w:val="32"/>
        </w:rPr>
        <w:t>北京金融</w:t>
      </w:r>
      <w:proofErr w:type="gramStart"/>
      <w:r>
        <w:rPr>
          <w:rFonts w:ascii="仿宋_GB2312" w:eastAsia="仿宋_GB2312" w:hAnsi="仿宋" w:cs="仿宋" w:hint="eastAsia"/>
          <w:color w:val="000000" w:themeColor="text1"/>
          <w:sz w:val="32"/>
          <w:szCs w:val="32"/>
        </w:rPr>
        <w:t>街服务局</w:t>
      </w:r>
      <w:r w:rsidR="0061561F">
        <w:rPr>
          <w:rFonts w:ascii="仿宋_GB2312" w:eastAsia="仿宋_GB2312" w:hAnsi="仿宋" w:cs="仿宋" w:hint="eastAsia"/>
          <w:color w:val="000000" w:themeColor="text1"/>
          <w:sz w:val="32"/>
          <w:szCs w:val="32"/>
        </w:rPr>
        <w:t>启动</w:t>
      </w:r>
      <w:proofErr w:type="gramEnd"/>
      <w:r w:rsidRPr="000F5C84">
        <w:rPr>
          <w:rFonts w:ascii="仿宋_GB2312" w:eastAsia="仿宋_GB2312" w:hAnsi="仿宋" w:cs="仿宋" w:hint="eastAsia"/>
          <w:color w:val="000000" w:themeColor="text1"/>
          <w:sz w:val="32"/>
          <w:szCs w:val="32"/>
        </w:rPr>
        <w:t>《西城区“十五五”时期</w:t>
      </w:r>
      <w:r>
        <w:rPr>
          <w:rFonts w:ascii="仿宋_GB2312" w:eastAsia="仿宋_GB2312" w:hAnsi="仿宋" w:cs="仿宋" w:hint="eastAsia"/>
          <w:color w:val="000000" w:themeColor="text1"/>
          <w:sz w:val="32"/>
          <w:szCs w:val="32"/>
        </w:rPr>
        <w:t>金融业</w:t>
      </w:r>
      <w:r w:rsidRPr="000F5C84">
        <w:rPr>
          <w:rFonts w:ascii="仿宋_GB2312" w:eastAsia="仿宋_GB2312" w:hAnsi="仿宋" w:cs="仿宋" w:hint="eastAsia"/>
          <w:color w:val="000000" w:themeColor="text1"/>
          <w:sz w:val="32"/>
          <w:szCs w:val="32"/>
        </w:rPr>
        <w:t>发展规划</w:t>
      </w:r>
      <w:r>
        <w:rPr>
          <w:rFonts w:ascii="仿宋_GB2312" w:eastAsia="仿宋_GB2312" w:hAnsi="仿宋" w:cs="仿宋" w:hint="eastAsia"/>
          <w:color w:val="000000" w:themeColor="text1"/>
          <w:sz w:val="32"/>
          <w:szCs w:val="32"/>
        </w:rPr>
        <w:t>（征求意见稿）</w:t>
      </w:r>
      <w:r w:rsidRPr="000F5C84">
        <w:rPr>
          <w:rFonts w:ascii="仿宋_GB2312" w:eastAsia="仿宋_GB2312" w:hAnsi="仿宋" w:cs="仿宋" w:hint="eastAsia"/>
          <w:color w:val="000000" w:themeColor="text1"/>
          <w:sz w:val="32"/>
          <w:szCs w:val="32"/>
        </w:rPr>
        <w:t>》（以下简称《规划</w:t>
      </w:r>
      <w:r>
        <w:rPr>
          <w:rFonts w:ascii="仿宋_GB2312" w:eastAsia="仿宋_GB2312" w:hAnsi="仿宋" w:cs="仿宋" w:hint="eastAsia"/>
          <w:color w:val="000000" w:themeColor="text1"/>
          <w:sz w:val="32"/>
          <w:szCs w:val="32"/>
        </w:rPr>
        <w:t>（征求意见稿）</w:t>
      </w:r>
      <w:r w:rsidRPr="000F5C84">
        <w:rPr>
          <w:rFonts w:ascii="仿宋_GB2312" w:eastAsia="仿宋_GB2312" w:hAnsi="仿宋" w:cs="仿宋" w:hint="eastAsia"/>
          <w:color w:val="000000" w:themeColor="text1"/>
          <w:sz w:val="32"/>
          <w:szCs w:val="32"/>
        </w:rPr>
        <w:t>》）的起草工作。</w:t>
      </w:r>
      <w:bookmarkEnd w:id="4"/>
    </w:p>
    <w:p w14:paraId="3224C7E7" w14:textId="77777777" w:rsidR="00D466E8" w:rsidRDefault="0078198D" w:rsidP="00F23E2E">
      <w:pPr>
        <w:spacing w:after="0" w:line="560" w:lineRule="exact"/>
        <w:ind w:firstLineChars="200" w:firstLine="640"/>
        <w:outlineLvl w:val="0"/>
        <w:rPr>
          <w:rFonts w:ascii="楷体_GB2312" w:eastAsia="楷体_GB2312" w:hAnsi="楷体_GB2312" w:cs="楷体_GB2312"/>
          <w:sz w:val="32"/>
          <w:szCs w:val="32"/>
        </w:rPr>
      </w:pPr>
      <w:r>
        <w:rPr>
          <w:rFonts w:ascii="楷体_GB2312" w:eastAsia="楷体_GB2312" w:hAnsi="楷体_GB2312" w:cs="楷体_GB2312" w:hint="eastAsia"/>
          <w:sz w:val="32"/>
          <w:szCs w:val="32"/>
        </w:rPr>
        <w:t>（二）制定过程</w:t>
      </w:r>
    </w:p>
    <w:p w14:paraId="169E940B" w14:textId="6283D96F" w:rsidR="000F5C84" w:rsidRDefault="000F5C84" w:rsidP="00F23E2E">
      <w:pPr>
        <w:spacing w:after="0" w:line="560" w:lineRule="exact"/>
        <w:ind w:firstLineChars="200" w:firstLine="640"/>
        <w:rPr>
          <w:rFonts w:ascii="仿宋_GB2312" w:eastAsia="仿宋_GB2312" w:hAnsi="仿宋" w:cs="仿宋"/>
          <w:sz w:val="32"/>
          <w:szCs w:val="32"/>
        </w:rPr>
      </w:pPr>
      <w:r w:rsidRPr="000F5C84">
        <w:rPr>
          <w:rFonts w:ascii="仿宋_GB2312" w:eastAsia="仿宋_GB2312" w:hAnsi="仿宋" w:cs="仿宋" w:hint="eastAsia"/>
          <w:sz w:val="32"/>
          <w:szCs w:val="32"/>
        </w:rPr>
        <w:t>规划编制工作启动以来，金融</w:t>
      </w:r>
      <w:proofErr w:type="gramStart"/>
      <w:r w:rsidRPr="000F5C84">
        <w:rPr>
          <w:rFonts w:ascii="仿宋_GB2312" w:eastAsia="仿宋_GB2312" w:hAnsi="仿宋" w:cs="仿宋" w:hint="eastAsia"/>
          <w:sz w:val="32"/>
          <w:szCs w:val="32"/>
        </w:rPr>
        <w:t>街服务</w:t>
      </w:r>
      <w:proofErr w:type="gramEnd"/>
      <w:r w:rsidRPr="000F5C84">
        <w:rPr>
          <w:rFonts w:ascii="仿宋_GB2312" w:eastAsia="仿宋_GB2312" w:hAnsi="仿宋" w:cs="仿宋" w:hint="eastAsia"/>
          <w:sz w:val="32"/>
          <w:szCs w:val="32"/>
        </w:rPr>
        <w:t>局锚</w:t>
      </w:r>
      <w:proofErr w:type="gramStart"/>
      <w:r w:rsidRPr="000F5C84">
        <w:rPr>
          <w:rFonts w:ascii="仿宋_GB2312" w:eastAsia="仿宋_GB2312" w:hAnsi="仿宋" w:cs="仿宋" w:hint="eastAsia"/>
          <w:sz w:val="32"/>
          <w:szCs w:val="32"/>
        </w:rPr>
        <w:t>定金融</w:t>
      </w:r>
      <w:proofErr w:type="gramEnd"/>
      <w:r w:rsidRPr="000F5C84">
        <w:rPr>
          <w:rFonts w:ascii="仿宋_GB2312" w:eastAsia="仿宋_GB2312" w:hAnsi="仿宋" w:cs="仿宋" w:hint="eastAsia"/>
          <w:sz w:val="32"/>
          <w:szCs w:val="32"/>
        </w:rPr>
        <w:t>强国建设目标，坚持“开门编规划”，深入调查研究，通过走访和组织座谈会等形式，广泛听取金融监管部门、金融机构和专家意见建议，</w:t>
      </w:r>
      <w:r>
        <w:rPr>
          <w:rFonts w:ascii="仿宋_GB2312" w:eastAsia="仿宋_GB2312" w:hAnsi="仿宋" w:cs="仿宋" w:hint="eastAsia"/>
          <w:sz w:val="32"/>
          <w:szCs w:val="32"/>
        </w:rPr>
        <w:t>两轮</w:t>
      </w:r>
      <w:r w:rsidRPr="000F5C84">
        <w:rPr>
          <w:rFonts w:ascii="仿宋_GB2312" w:eastAsia="仿宋_GB2312" w:hAnsi="仿宋" w:cs="仿宋" w:hint="eastAsia"/>
          <w:sz w:val="32"/>
          <w:szCs w:val="32"/>
        </w:rPr>
        <w:t>征求区委区政府相关部门意见建议，加强与国家</w:t>
      </w:r>
      <w:r w:rsidR="0061561F">
        <w:rPr>
          <w:rFonts w:ascii="仿宋_GB2312" w:eastAsia="仿宋_GB2312" w:hAnsi="仿宋" w:cs="仿宋" w:hint="eastAsia"/>
          <w:sz w:val="32"/>
          <w:szCs w:val="32"/>
        </w:rPr>
        <w:t>、北京</w:t>
      </w:r>
      <w:r w:rsidRPr="000F5C84">
        <w:rPr>
          <w:rFonts w:ascii="仿宋_GB2312" w:eastAsia="仿宋_GB2312" w:hAnsi="仿宋" w:cs="仿宋" w:hint="eastAsia"/>
          <w:sz w:val="32"/>
          <w:szCs w:val="32"/>
        </w:rPr>
        <w:t>市金融专项规划</w:t>
      </w:r>
      <w:r w:rsidR="0061561F">
        <w:rPr>
          <w:rFonts w:ascii="仿宋_GB2312" w:eastAsia="仿宋_GB2312" w:hAnsi="仿宋" w:cs="仿宋" w:hint="eastAsia"/>
          <w:sz w:val="32"/>
          <w:szCs w:val="32"/>
        </w:rPr>
        <w:t>及西城区规划纲要</w:t>
      </w:r>
      <w:r w:rsidRPr="000F5C84">
        <w:rPr>
          <w:rFonts w:ascii="仿宋_GB2312" w:eastAsia="仿宋_GB2312" w:hAnsi="仿宋" w:cs="仿宋" w:hint="eastAsia"/>
          <w:sz w:val="32"/>
          <w:szCs w:val="32"/>
        </w:rPr>
        <w:t>衔接，结合规划前期研究课题成果，</w:t>
      </w:r>
      <w:r>
        <w:rPr>
          <w:rFonts w:ascii="仿宋_GB2312" w:eastAsia="仿宋_GB2312" w:hAnsi="仿宋" w:cs="仿宋" w:hint="eastAsia"/>
          <w:sz w:val="32"/>
          <w:szCs w:val="32"/>
        </w:rPr>
        <w:lastRenderedPageBreak/>
        <w:t>经过多轮修改完善，形成《规划（征求意见稿）》</w:t>
      </w:r>
      <w:r w:rsidRPr="000F5C84">
        <w:rPr>
          <w:rFonts w:ascii="仿宋_GB2312" w:eastAsia="仿宋_GB2312" w:hAnsi="仿宋" w:cs="仿宋" w:hint="eastAsia"/>
          <w:sz w:val="32"/>
          <w:szCs w:val="32"/>
        </w:rPr>
        <w:t>。</w:t>
      </w:r>
    </w:p>
    <w:p w14:paraId="057302F0" w14:textId="5CA22BDB" w:rsidR="00D466E8" w:rsidRDefault="0078198D" w:rsidP="00F23E2E">
      <w:pPr>
        <w:spacing w:after="0" w:line="560" w:lineRule="exact"/>
        <w:ind w:firstLineChars="200" w:firstLine="640"/>
        <w:rPr>
          <w:rFonts w:ascii="黑体" w:eastAsia="黑体" w:hAnsi="黑体" w:cs="仿宋"/>
          <w:sz w:val="32"/>
          <w:szCs w:val="32"/>
        </w:rPr>
      </w:pPr>
      <w:r>
        <w:rPr>
          <w:rFonts w:ascii="黑体" w:eastAsia="黑体" w:hAnsi="黑体" w:cs="仿宋" w:hint="eastAsia"/>
          <w:sz w:val="32"/>
          <w:szCs w:val="32"/>
        </w:rPr>
        <w:t>二、主要内容</w:t>
      </w:r>
    </w:p>
    <w:bookmarkEnd w:id="1"/>
    <w:bookmarkEnd w:id="2"/>
    <w:p w14:paraId="6BAA175F" w14:textId="77777777" w:rsidR="00F23E2E" w:rsidRPr="00F23E2E" w:rsidRDefault="00F23E2E" w:rsidP="00F23E2E">
      <w:pPr>
        <w:spacing w:after="0" w:line="560" w:lineRule="exact"/>
        <w:ind w:firstLineChars="200" w:firstLine="640"/>
        <w:outlineLvl w:val="0"/>
        <w:rPr>
          <w:rFonts w:ascii="仿宋_GB2312" w:eastAsia="仿宋_GB2312" w:hAnsi="楷体_GB2312" w:cs="楷体_GB2312"/>
          <w:sz w:val="32"/>
          <w:szCs w:val="32"/>
        </w:rPr>
      </w:pPr>
      <w:r w:rsidRPr="00F23E2E">
        <w:rPr>
          <w:rFonts w:ascii="仿宋_GB2312" w:eastAsia="仿宋_GB2312" w:hAnsi="楷体_GB2312" w:cs="楷体_GB2312" w:hint="eastAsia"/>
          <w:sz w:val="32"/>
          <w:szCs w:val="32"/>
        </w:rPr>
        <w:t>规划由导语和三个板块构成，共八章。导语简要说明规划意义、编制目的和编制依据。</w:t>
      </w:r>
    </w:p>
    <w:p w14:paraId="774F843B" w14:textId="77777777" w:rsidR="00F23E2E" w:rsidRPr="00F23E2E" w:rsidRDefault="00F23E2E" w:rsidP="00F23E2E">
      <w:pPr>
        <w:spacing w:after="0" w:line="560" w:lineRule="exact"/>
        <w:ind w:firstLineChars="200" w:firstLine="640"/>
        <w:outlineLvl w:val="0"/>
        <w:rPr>
          <w:rFonts w:ascii="仿宋_GB2312" w:eastAsia="仿宋_GB2312" w:hAnsi="楷体_GB2312" w:cs="楷体_GB2312"/>
          <w:sz w:val="32"/>
          <w:szCs w:val="32"/>
        </w:rPr>
      </w:pPr>
      <w:r w:rsidRPr="00F23E2E">
        <w:rPr>
          <w:rFonts w:ascii="仿宋_GB2312" w:eastAsia="仿宋_GB2312" w:hAnsi="楷体_GB2312" w:cs="楷体_GB2312" w:hint="eastAsia"/>
          <w:sz w:val="32"/>
          <w:szCs w:val="32"/>
        </w:rPr>
        <w:t>第一板块是总体要求，阐述了“一二三四五”总体思路，明确了“十五五”期末目标及2035年目标。提出了“十五五”时期金融业4项主要指标。</w:t>
      </w:r>
    </w:p>
    <w:p w14:paraId="4090BADA" w14:textId="4EC076BC" w:rsidR="00F23E2E" w:rsidRPr="00F23E2E" w:rsidRDefault="00F23E2E" w:rsidP="00F23E2E">
      <w:pPr>
        <w:spacing w:after="0" w:line="560" w:lineRule="exact"/>
        <w:ind w:firstLineChars="200" w:firstLine="640"/>
        <w:outlineLvl w:val="0"/>
        <w:rPr>
          <w:rFonts w:ascii="仿宋_GB2312" w:eastAsia="仿宋_GB2312" w:hAnsi="楷体_GB2312" w:cs="楷体_GB2312"/>
          <w:sz w:val="32"/>
          <w:szCs w:val="32"/>
        </w:rPr>
      </w:pPr>
      <w:r w:rsidRPr="00F23E2E">
        <w:rPr>
          <w:rFonts w:ascii="仿宋_GB2312" w:eastAsia="仿宋_GB2312" w:hAnsi="楷体_GB2312" w:cs="楷体_GB2312" w:hint="eastAsia"/>
          <w:sz w:val="32"/>
          <w:szCs w:val="32"/>
        </w:rPr>
        <w:t>第二板块是重点任务，主要聚焦六个方面：一是服务保障国家金融管理中心功能。具体从服务国家金融决策监管、保障金融基础设施建设、支持金融机构总部发展、优化金融人才服务体系、</w:t>
      </w:r>
      <w:r w:rsidR="005159B9">
        <w:rPr>
          <w:rFonts w:ascii="仿宋_GB2312" w:eastAsia="仿宋_GB2312" w:hAnsi="楷体_GB2312" w:cs="楷体_GB2312" w:hint="eastAsia"/>
          <w:sz w:val="32"/>
          <w:szCs w:val="32"/>
        </w:rPr>
        <w:t>弘扬中国特色金融文化五个维</w:t>
      </w:r>
      <w:proofErr w:type="gramStart"/>
      <w:r w:rsidR="005159B9">
        <w:rPr>
          <w:rFonts w:ascii="仿宋_GB2312" w:eastAsia="仿宋_GB2312" w:hAnsi="楷体_GB2312" w:cs="楷体_GB2312" w:hint="eastAsia"/>
          <w:sz w:val="32"/>
          <w:szCs w:val="32"/>
        </w:rPr>
        <w:t>度明确</w:t>
      </w:r>
      <w:proofErr w:type="gramEnd"/>
      <w:r w:rsidR="005159B9">
        <w:rPr>
          <w:rFonts w:ascii="仿宋_GB2312" w:eastAsia="仿宋_GB2312" w:hAnsi="楷体_GB2312" w:cs="楷体_GB2312" w:hint="eastAsia"/>
          <w:sz w:val="32"/>
          <w:szCs w:val="32"/>
        </w:rPr>
        <w:t>任务内容。二是优化区域金融业态结</w:t>
      </w:r>
      <w:r w:rsidRPr="00F23E2E">
        <w:rPr>
          <w:rFonts w:ascii="仿宋_GB2312" w:eastAsia="仿宋_GB2312" w:hAnsi="楷体_GB2312" w:cs="楷体_GB2312" w:hint="eastAsia"/>
          <w:sz w:val="32"/>
          <w:szCs w:val="32"/>
        </w:rPr>
        <w:t>构。在巩固货币金融服务业发展优势基础上，突出4个重点产业方向：</w:t>
      </w:r>
      <w:proofErr w:type="gramStart"/>
      <w:r w:rsidRPr="00F23E2E">
        <w:rPr>
          <w:rFonts w:ascii="仿宋_GB2312" w:eastAsia="仿宋_GB2312" w:hAnsi="楷体_GB2312" w:cs="楷体_GB2312" w:hint="eastAsia"/>
          <w:sz w:val="32"/>
          <w:szCs w:val="32"/>
        </w:rPr>
        <w:t>深化资管高地</w:t>
      </w:r>
      <w:proofErr w:type="gramEnd"/>
      <w:r w:rsidRPr="00F23E2E">
        <w:rPr>
          <w:rFonts w:ascii="仿宋_GB2312" w:eastAsia="仿宋_GB2312" w:hAnsi="楷体_GB2312" w:cs="楷体_GB2312" w:hint="eastAsia"/>
          <w:sz w:val="32"/>
          <w:szCs w:val="32"/>
        </w:rPr>
        <w:t>和金融科技高地建设，打造保险创新示范区和优质基金聚集区。三是打造以北京证券交易所为核心的资本市场生态圈。从全力服务北京证券交易所高质量发展、推动资本市场生态提质升级、强化企业综合培育与上市全周期服务三个方向展开具体内容。四是做好金融“五篇大文章”西城篇章。突出我区在服务科技金融、绿色金融、普惠金融、养老金融、</w:t>
      </w:r>
      <w:r w:rsidR="00D2378A">
        <w:rPr>
          <w:rFonts w:ascii="仿宋_GB2312" w:eastAsia="仿宋_GB2312" w:hAnsi="楷体_GB2312" w:cs="楷体_GB2312" w:hint="eastAsia"/>
          <w:sz w:val="32"/>
          <w:szCs w:val="32"/>
        </w:rPr>
        <w:t>数字</w:t>
      </w:r>
      <w:r w:rsidRPr="00F23E2E">
        <w:rPr>
          <w:rFonts w:ascii="仿宋_GB2312" w:eastAsia="仿宋_GB2312" w:hAnsi="楷体_GB2312" w:cs="楷体_GB2312" w:hint="eastAsia"/>
          <w:sz w:val="32"/>
          <w:szCs w:val="32"/>
        </w:rPr>
        <w:t>金融发展方面优势和特色。五是推进金融高水平开放。围绕</w:t>
      </w:r>
      <w:r w:rsidR="005159B9" w:rsidRPr="005159B9">
        <w:rPr>
          <w:rFonts w:ascii="仿宋_GB2312" w:eastAsia="仿宋_GB2312" w:hAnsi="楷体_GB2312" w:cs="楷体_GB2312" w:hint="eastAsia"/>
          <w:sz w:val="32"/>
          <w:szCs w:val="32"/>
        </w:rPr>
        <w:t>打造国家金融开放发展重要平台</w:t>
      </w:r>
      <w:r w:rsidRPr="00F23E2E">
        <w:rPr>
          <w:rFonts w:ascii="仿宋_GB2312" w:eastAsia="仿宋_GB2312" w:hAnsi="楷体_GB2312" w:cs="楷体_GB2312" w:hint="eastAsia"/>
          <w:sz w:val="32"/>
          <w:szCs w:val="32"/>
        </w:rPr>
        <w:t>、促进国际金融机构与组织集聚发展、服务金融开放创新发展</w:t>
      </w:r>
      <w:r w:rsidR="005159B9">
        <w:rPr>
          <w:rFonts w:ascii="仿宋_GB2312" w:eastAsia="仿宋_GB2312" w:hAnsi="楷体_GB2312" w:cs="楷体_GB2312" w:hint="eastAsia"/>
          <w:sz w:val="32"/>
          <w:szCs w:val="32"/>
        </w:rPr>
        <w:t>、</w:t>
      </w:r>
      <w:r w:rsidR="005159B9" w:rsidRPr="005159B9">
        <w:rPr>
          <w:rFonts w:ascii="仿宋_GB2312" w:eastAsia="仿宋_GB2312" w:hAnsi="楷体_GB2312" w:cs="楷体_GB2312" w:hint="eastAsia"/>
          <w:sz w:val="32"/>
          <w:szCs w:val="32"/>
        </w:rPr>
        <w:t>拓展金融</w:t>
      </w:r>
      <w:proofErr w:type="gramStart"/>
      <w:r w:rsidR="005159B9" w:rsidRPr="005159B9">
        <w:rPr>
          <w:rFonts w:ascii="仿宋_GB2312" w:eastAsia="仿宋_GB2312" w:hAnsi="楷体_GB2312" w:cs="楷体_GB2312" w:hint="eastAsia"/>
          <w:sz w:val="32"/>
          <w:szCs w:val="32"/>
        </w:rPr>
        <w:t>街国际</w:t>
      </w:r>
      <w:proofErr w:type="gramEnd"/>
      <w:r w:rsidR="005159B9" w:rsidRPr="005159B9">
        <w:rPr>
          <w:rFonts w:ascii="仿宋_GB2312" w:eastAsia="仿宋_GB2312" w:hAnsi="楷体_GB2312" w:cs="楷体_GB2312" w:hint="eastAsia"/>
          <w:sz w:val="32"/>
          <w:szCs w:val="32"/>
        </w:rPr>
        <w:t>合作“朋友圈”</w:t>
      </w:r>
      <w:r w:rsidRPr="00F23E2E">
        <w:rPr>
          <w:rFonts w:ascii="仿宋_GB2312" w:eastAsia="仿宋_GB2312" w:hAnsi="楷体_GB2312" w:cs="楷体_GB2312" w:hint="eastAsia"/>
          <w:sz w:val="32"/>
          <w:szCs w:val="32"/>
        </w:rPr>
        <w:t>阐述重点任务。六是优化金融产业发展环境。重点关注金融领域营</w:t>
      </w:r>
      <w:r w:rsidRPr="00F23E2E">
        <w:rPr>
          <w:rFonts w:ascii="仿宋_GB2312" w:eastAsia="仿宋_GB2312" w:hAnsi="楷体_GB2312" w:cs="楷体_GB2312" w:hint="eastAsia"/>
          <w:sz w:val="32"/>
          <w:szCs w:val="32"/>
        </w:rPr>
        <w:lastRenderedPageBreak/>
        <w:t>商环境、金融法治环境、金融街综合环境</w:t>
      </w:r>
      <w:bookmarkStart w:id="5" w:name="_GoBack"/>
      <w:bookmarkEnd w:id="5"/>
      <w:r w:rsidRPr="00F23E2E">
        <w:rPr>
          <w:rFonts w:ascii="仿宋_GB2312" w:eastAsia="仿宋_GB2312" w:hAnsi="楷体_GB2312" w:cs="楷体_GB2312" w:hint="eastAsia"/>
          <w:sz w:val="32"/>
          <w:szCs w:val="32"/>
        </w:rPr>
        <w:t>优化提升。</w:t>
      </w:r>
    </w:p>
    <w:p w14:paraId="2E5E5773" w14:textId="02B70B97" w:rsidR="00D466E8" w:rsidRPr="00F23E2E" w:rsidRDefault="00F23E2E" w:rsidP="00F23E2E">
      <w:pPr>
        <w:spacing w:after="0" w:line="560" w:lineRule="exact"/>
        <w:ind w:firstLineChars="200" w:firstLine="640"/>
        <w:outlineLvl w:val="0"/>
        <w:rPr>
          <w:rFonts w:ascii="仿宋_GB2312" w:eastAsia="仿宋_GB2312" w:hAnsi="楷体_GB2312" w:cs="楷体_GB2312"/>
          <w:sz w:val="32"/>
          <w:szCs w:val="32"/>
        </w:rPr>
      </w:pPr>
      <w:r w:rsidRPr="00F23E2E">
        <w:rPr>
          <w:rFonts w:ascii="仿宋_GB2312" w:eastAsia="仿宋_GB2312" w:hAnsi="楷体_GB2312" w:cs="楷体_GB2312" w:hint="eastAsia"/>
          <w:sz w:val="32"/>
          <w:szCs w:val="32"/>
        </w:rPr>
        <w:t>第三板块是规划实施保障措施。明确规划落地后各项任务实施保障机制举措、监测评估等事项。</w:t>
      </w:r>
    </w:p>
    <w:sectPr w:rsidR="00D466E8" w:rsidRPr="00F23E2E">
      <w:footerReference w:type="default" r:id="rId7"/>
      <w:pgSz w:w="11906" w:h="16838"/>
      <w:pgMar w:top="2098" w:right="1474" w:bottom="1984" w:left="1587" w:header="1417" w:footer="1417"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A2DC6" w14:textId="77777777" w:rsidR="00F354A4" w:rsidRDefault="00F354A4">
      <w:pPr>
        <w:spacing w:after="0" w:line="240" w:lineRule="auto"/>
      </w:pPr>
      <w:r>
        <w:separator/>
      </w:r>
    </w:p>
  </w:endnote>
  <w:endnote w:type="continuationSeparator" w:id="0">
    <w:p w14:paraId="21507676" w14:textId="77777777" w:rsidR="00F354A4" w:rsidRDefault="00F35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09165"/>
    </w:sdtPr>
    <w:sdtEndPr>
      <w:rPr>
        <w:rFonts w:ascii="宋体" w:eastAsia="宋体" w:hAnsi="宋体"/>
        <w:sz w:val="28"/>
        <w:szCs w:val="28"/>
      </w:rPr>
    </w:sdtEndPr>
    <w:sdtContent>
      <w:p w14:paraId="5E648C76" w14:textId="77777777" w:rsidR="00D466E8" w:rsidRDefault="0078198D">
        <w:pPr>
          <w:pStyle w:val="a6"/>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5159B9" w:rsidRPr="005159B9">
          <w:rPr>
            <w:rFonts w:ascii="宋体" w:eastAsia="宋体" w:hAnsi="宋体"/>
            <w:noProof/>
            <w:sz w:val="28"/>
            <w:szCs w:val="28"/>
            <w:lang w:val="zh-CN"/>
          </w:rPr>
          <w:t>3</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D05C5" w14:textId="77777777" w:rsidR="00F354A4" w:rsidRDefault="00F354A4">
      <w:pPr>
        <w:spacing w:after="0" w:line="240" w:lineRule="auto"/>
      </w:pPr>
      <w:r>
        <w:separator/>
      </w:r>
    </w:p>
  </w:footnote>
  <w:footnote w:type="continuationSeparator" w:id="0">
    <w:p w14:paraId="7B41094D" w14:textId="77777777" w:rsidR="00F354A4" w:rsidRDefault="00F354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FF3"/>
    <w:rsid w:val="EB73EF84"/>
    <w:rsid w:val="00001A93"/>
    <w:rsid w:val="00014A90"/>
    <w:rsid w:val="00032831"/>
    <w:rsid w:val="00036847"/>
    <w:rsid w:val="00046DF1"/>
    <w:rsid w:val="00061C5F"/>
    <w:rsid w:val="000629B4"/>
    <w:rsid w:val="00070154"/>
    <w:rsid w:val="000723F3"/>
    <w:rsid w:val="00077EB5"/>
    <w:rsid w:val="000B12FE"/>
    <w:rsid w:val="000C14DF"/>
    <w:rsid w:val="000E10C4"/>
    <w:rsid w:val="000F0AAE"/>
    <w:rsid w:val="000F5493"/>
    <w:rsid w:val="000F5C84"/>
    <w:rsid w:val="00113F5C"/>
    <w:rsid w:val="00123D38"/>
    <w:rsid w:val="00131DB7"/>
    <w:rsid w:val="00133CD1"/>
    <w:rsid w:val="00147662"/>
    <w:rsid w:val="001525EE"/>
    <w:rsid w:val="001565FE"/>
    <w:rsid w:val="00191144"/>
    <w:rsid w:val="00191967"/>
    <w:rsid w:val="001B2BF8"/>
    <w:rsid w:val="001C53BA"/>
    <w:rsid w:val="001E1AB0"/>
    <w:rsid w:val="001F458A"/>
    <w:rsid w:val="00217664"/>
    <w:rsid w:val="0022058F"/>
    <w:rsid w:val="002279AA"/>
    <w:rsid w:val="00234D6D"/>
    <w:rsid w:val="002652C1"/>
    <w:rsid w:val="002A2A2C"/>
    <w:rsid w:val="002A2C66"/>
    <w:rsid w:val="002C0D2F"/>
    <w:rsid w:val="002E6A27"/>
    <w:rsid w:val="003121E6"/>
    <w:rsid w:val="0031352B"/>
    <w:rsid w:val="003621B0"/>
    <w:rsid w:val="00371C68"/>
    <w:rsid w:val="00374E26"/>
    <w:rsid w:val="003922D1"/>
    <w:rsid w:val="003A373D"/>
    <w:rsid w:val="003A4DD3"/>
    <w:rsid w:val="003B3428"/>
    <w:rsid w:val="003C1E6A"/>
    <w:rsid w:val="003C3950"/>
    <w:rsid w:val="003C5CE6"/>
    <w:rsid w:val="003D471D"/>
    <w:rsid w:val="003D5305"/>
    <w:rsid w:val="003F5BD0"/>
    <w:rsid w:val="0041002B"/>
    <w:rsid w:val="0041778B"/>
    <w:rsid w:val="0042155F"/>
    <w:rsid w:val="00427C64"/>
    <w:rsid w:val="004309CA"/>
    <w:rsid w:val="0044729C"/>
    <w:rsid w:val="00455153"/>
    <w:rsid w:val="0048439C"/>
    <w:rsid w:val="00491C29"/>
    <w:rsid w:val="004B17EE"/>
    <w:rsid w:val="004B334F"/>
    <w:rsid w:val="004B5FF3"/>
    <w:rsid w:val="004C4257"/>
    <w:rsid w:val="004D0A79"/>
    <w:rsid w:val="004D63C2"/>
    <w:rsid w:val="004D6587"/>
    <w:rsid w:val="005010DB"/>
    <w:rsid w:val="00507A83"/>
    <w:rsid w:val="005140B8"/>
    <w:rsid w:val="005159B9"/>
    <w:rsid w:val="005401A4"/>
    <w:rsid w:val="00551685"/>
    <w:rsid w:val="0055377E"/>
    <w:rsid w:val="00557913"/>
    <w:rsid w:val="005811A1"/>
    <w:rsid w:val="00581592"/>
    <w:rsid w:val="00585398"/>
    <w:rsid w:val="005904E4"/>
    <w:rsid w:val="00591F0B"/>
    <w:rsid w:val="00592EFF"/>
    <w:rsid w:val="005945B2"/>
    <w:rsid w:val="005E5166"/>
    <w:rsid w:val="006103A1"/>
    <w:rsid w:val="006135C6"/>
    <w:rsid w:val="00614096"/>
    <w:rsid w:val="0061561F"/>
    <w:rsid w:val="006359DE"/>
    <w:rsid w:val="00646C7D"/>
    <w:rsid w:val="0065062C"/>
    <w:rsid w:val="00673928"/>
    <w:rsid w:val="00695AE6"/>
    <w:rsid w:val="006A7381"/>
    <w:rsid w:val="006C5311"/>
    <w:rsid w:val="006E0A86"/>
    <w:rsid w:val="006E2AA6"/>
    <w:rsid w:val="006E349C"/>
    <w:rsid w:val="006F4CAF"/>
    <w:rsid w:val="00712664"/>
    <w:rsid w:val="00721AE5"/>
    <w:rsid w:val="00730116"/>
    <w:rsid w:val="0074225C"/>
    <w:rsid w:val="00752CF9"/>
    <w:rsid w:val="00754568"/>
    <w:rsid w:val="0076259A"/>
    <w:rsid w:val="00767DED"/>
    <w:rsid w:val="00773C5D"/>
    <w:rsid w:val="00774F2D"/>
    <w:rsid w:val="00775FC5"/>
    <w:rsid w:val="0078198D"/>
    <w:rsid w:val="00791CD0"/>
    <w:rsid w:val="00797239"/>
    <w:rsid w:val="007A251F"/>
    <w:rsid w:val="007A4F05"/>
    <w:rsid w:val="007A4FD0"/>
    <w:rsid w:val="007B2CDE"/>
    <w:rsid w:val="007B38F2"/>
    <w:rsid w:val="007C0F6C"/>
    <w:rsid w:val="007C167F"/>
    <w:rsid w:val="007C1BFF"/>
    <w:rsid w:val="007D1F58"/>
    <w:rsid w:val="007F397C"/>
    <w:rsid w:val="007F75F6"/>
    <w:rsid w:val="00804330"/>
    <w:rsid w:val="0081070E"/>
    <w:rsid w:val="0083356A"/>
    <w:rsid w:val="00835A68"/>
    <w:rsid w:val="0084578D"/>
    <w:rsid w:val="0084674F"/>
    <w:rsid w:val="00847C13"/>
    <w:rsid w:val="0085010E"/>
    <w:rsid w:val="008678BB"/>
    <w:rsid w:val="00890499"/>
    <w:rsid w:val="008938DD"/>
    <w:rsid w:val="008A0332"/>
    <w:rsid w:val="008A492F"/>
    <w:rsid w:val="008B09BF"/>
    <w:rsid w:val="008D661D"/>
    <w:rsid w:val="008E11A2"/>
    <w:rsid w:val="008E55BB"/>
    <w:rsid w:val="00923F2D"/>
    <w:rsid w:val="00941AE8"/>
    <w:rsid w:val="00957323"/>
    <w:rsid w:val="00986860"/>
    <w:rsid w:val="009A50EB"/>
    <w:rsid w:val="009C3B38"/>
    <w:rsid w:val="009D38CF"/>
    <w:rsid w:val="009E0AD3"/>
    <w:rsid w:val="009E7128"/>
    <w:rsid w:val="009F2863"/>
    <w:rsid w:val="00A10749"/>
    <w:rsid w:val="00A34224"/>
    <w:rsid w:val="00A3458F"/>
    <w:rsid w:val="00A34E66"/>
    <w:rsid w:val="00A41182"/>
    <w:rsid w:val="00A43005"/>
    <w:rsid w:val="00A61530"/>
    <w:rsid w:val="00A71361"/>
    <w:rsid w:val="00A85278"/>
    <w:rsid w:val="00A86A3A"/>
    <w:rsid w:val="00A87B1B"/>
    <w:rsid w:val="00A97BC0"/>
    <w:rsid w:val="00AE358A"/>
    <w:rsid w:val="00AE4862"/>
    <w:rsid w:val="00AE5F12"/>
    <w:rsid w:val="00B03E25"/>
    <w:rsid w:val="00B2555C"/>
    <w:rsid w:val="00B26B27"/>
    <w:rsid w:val="00B70921"/>
    <w:rsid w:val="00B82927"/>
    <w:rsid w:val="00BB79F8"/>
    <w:rsid w:val="00BC4BD6"/>
    <w:rsid w:val="00BC4F5B"/>
    <w:rsid w:val="00BD342E"/>
    <w:rsid w:val="00BE6F2E"/>
    <w:rsid w:val="00BF08A6"/>
    <w:rsid w:val="00BF64E5"/>
    <w:rsid w:val="00C0654C"/>
    <w:rsid w:val="00C2669C"/>
    <w:rsid w:val="00C27D39"/>
    <w:rsid w:val="00C36671"/>
    <w:rsid w:val="00C6646D"/>
    <w:rsid w:val="00C962B1"/>
    <w:rsid w:val="00C96526"/>
    <w:rsid w:val="00C97B15"/>
    <w:rsid w:val="00CB24C7"/>
    <w:rsid w:val="00CB30FE"/>
    <w:rsid w:val="00CC2917"/>
    <w:rsid w:val="00CC5E7A"/>
    <w:rsid w:val="00CD7201"/>
    <w:rsid w:val="00CE5F59"/>
    <w:rsid w:val="00D00A10"/>
    <w:rsid w:val="00D11DB6"/>
    <w:rsid w:val="00D22FE5"/>
    <w:rsid w:val="00D2378A"/>
    <w:rsid w:val="00D24C6B"/>
    <w:rsid w:val="00D25F90"/>
    <w:rsid w:val="00D34897"/>
    <w:rsid w:val="00D45448"/>
    <w:rsid w:val="00D466E8"/>
    <w:rsid w:val="00D66157"/>
    <w:rsid w:val="00D70344"/>
    <w:rsid w:val="00D72947"/>
    <w:rsid w:val="00D75E17"/>
    <w:rsid w:val="00D8731B"/>
    <w:rsid w:val="00DB04D4"/>
    <w:rsid w:val="00DB4A62"/>
    <w:rsid w:val="00DC1F2C"/>
    <w:rsid w:val="00DF2C1A"/>
    <w:rsid w:val="00E00056"/>
    <w:rsid w:val="00E10E1E"/>
    <w:rsid w:val="00E1257E"/>
    <w:rsid w:val="00E26FFB"/>
    <w:rsid w:val="00E67716"/>
    <w:rsid w:val="00E679BD"/>
    <w:rsid w:val="00E70B19"/>
    <w:rsid w:val="00E77D28"/>
    <w:rsid w:val="00E836E9"/>
    <w:rsid w:val="00E90989"/>
    <w:rsid w:val="00EC1773"/>
    <w:rsid w:val="00EE2638"/>
    <w:rsid w:val="00EE4B61"/>
    <w:rsid w:val="00EF2DC2"/>
    <w:rsid w:val="00EF4079"/>
    <w:rsid w:val="00F00EC3"/>
    <w:rsid w:val="00F074ED"/>
    <w:rsid w:val="00F113DB"/>
    <w:rsid w:val="00F2071B"/>
    <w:rsid w:val="00F218A5"/>
    <w:rsid w:val="00F23E2E"/>
    <w:rsid w:val="00F354A4"/>
    <w:rsid w:val="00F365A3"/>
    <w:rsid w:val="00F435C1"/>
    <w:rsid w:val="00F855CB"/>
    <w:rsid w:val="00FA37AF"/>
    <w:rsid w:val="00FA5CF3"/>
    <w:rsid w:val="00FD7014"/>
    <w:rsid w:val="059D3B8F"/>
    <w:rsid w:val="077953A4"/>
    <w:rsid w:val="0EE74636"/>
    <w:rsid w:val="1B2532D9"/>
    <w:rsid w:val="2491010E"/>
    <w:rsid w:val="290F0A51"/>
    <w:rsid w:val="29A657A2"/>
    <w:rsid w:val="32AE2622"/>
    <w:rsid w:val="3C3053F4"/>
    <w:rsid w:val="4FBEE975"/>
    <w:rsid w:val="500815D9"/>
    <w:rsid w:val="64C5395D"/>
    <w:rsid w:val="684528BE"/>
    <w:rsid w:val="68721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6C75DE"/>
  <w15:docId w15:val="{EA6A1FAC-2ACC-499B-B640-89CC8782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uiPriority w:val="99"/>
    <w:unhideWhenUsed/>
    <w:qFormat/>
    <w:pPr>
      <w:widowControl w:val="0"/>
      <w:spacing w:line="560" w:lineRule="exact"/>
      <w:ind w:firstLine="560"/>
      <w:jc w:val="both"/>
    </w:pPr>
    <w:rPr>
      <w:rFonts w:ascii="Calibri" w:eastAsia="仿宋_GB2312" w:hAnsi="Calibri" w:cs="Times New Roman"/>
      <w:kern w:val="2"/>
      <w:sz w:val="36"/>
      <w:szCs w:val="36"/>
    </w:rPr>
  </w:style>
  <w:style w:type="paragraph" w:styleId="a4">
    <w:name w:val="annotation text"/>
    <w:basedOn w:val="a"/>
    <w:link w:val="Char"/>
    <w:uiPriority w:val="99"/>
    <w:unhideWhenUsed/>
    <w:qFormat/>
    <w:pPr>
      <w:jc w:val="left"/>
    </w:pPr>
  </w:style>
  <w:style w:type="paragraph" w:styleId="a5">
    <w:name w:val="Plain Text"/>
    <w:basedOn w:val="a"/>
    <w:link w:val="Char0"/>
    <w:uiPriority w:val="99"/>
    <w:unhideWhenUsed/>
    <w:qFormat/>
    <w:rPr>
      <w:rFonts w:ascii="宋体" w:eastAsia="宋体" w:hAnsi="Courier New" w:cs="Courier New"/>
      <w:szCs w:val="21"/>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tabs>
        <w:tab w:val="center" w:pos="4153"/>
        <w:tab w:val="right" w:pos="8306"/>
      </w:tabs>
      <w:snapToGrid w:val="0"/>
      <w:jc w:val="center"/>
    </w:pPr>
    <w:rPr>
      <w:sz w:val="18"/>
      <w:szCs w:val="18"/>
    </w:rPr>
  </w:style>
  <w:style w:type="paragraph" w:styleId="a8">
    <w:name w:val="Subtitle"/>
    <w:basedOn w:val="a"/>
    <w:next w:val="a"/>
    <w:link w:val="Char3"/>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4"/>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b">
    <w:name w:val="annotation subject"/>
    <w:basedOn w:val="a4"/>
    <w:next w:val="a4"/>
    <w:link w:val="Char5"/>
    <w:uiPriority w:val="99"/>
    <w:semiHidden/>
    <w:unhideWhenUsed/>
    <w:qFormat/>
    <w:rPr>
      <w:b/>
      <w:bCs/>
    </w:rPr>
  </w:style>
  <w:style w:type="character" w:styleId="ac">
    <w:name w:val="annotation reference"/>
    <w:basedOn w:val="a0"/>
    <w:uiPriority w:val="99"/>
    <w:semiHidden/>
    <w:unhideWhenUsed/>
    <w:qFormat/>
    <w:rPr>
      <w:sz w:val="21"/>
      <w:szCs w:val="21"/>
    </w:rPr>
  </w:style>
  <w:style w:type="character" w:customStyle="1" w:styleId="1Char">
    <w:name w:val="标题 1 Char"/>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Char">
    <w:name w:val="标题 4 Char"/>
    <w:basedOn w:val="a0"/>
    <w:link w:val="4"/>
    <w:uiPriority w:val="9"/>
    <w:semiHidden/>
    <w:qFormat/>
    <w:rPr>
      <w:rFonts w:cstheme="majorBidi"/>
      <w:color w:val="2F5496" w:themeColor="accent1" w:themeShade="BF"/>
      <w:sz w:val="28"/>
      <w:szCs w:val="28"/>
    </w:rPr>
  </w:style>
  <w:style w:type="character" w:customStyle="1" w:styleId="5Char">
    <w:name w:val="标题 5 Char"/>
    <w:basedOn w:val="a0"/>
    <w:link w:val="5"/>
    <w:uiPriority w:val="9"/>
    <w:semiHidden/>
    <w:qFormat/>
    <w:rPr>
      <w:rFonts w:cstheme="majorBidi"/>
      <w:color w:val="2F5496" w:themeColor="accent1" w:themeShade="BF"/>
      <w:sz w:val="24"/>
    </w:rPr>
  </w:style>
  <w:style w:type="character" w:customStyle="1" w:styleId="6Char">
    <w:name w:val="标题 6 Char"/>
    <w:basedOn w:val="a0"/>
    <w:link w:val="6"/>
    <w:uiPriority w:val="9"/>
    <w:semiHidden/>
    <w:qFormat/>
    <w:rPr>
      <w:rFonts w:cstheme="majorBidi"/>
      <w:b/>
      <w:bCs/>
      <w:color w:val="2F5496"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4">
    <w:name w:val="标题 Char"/>
    <w:basedOn w:val="a0"/>
    <w:link w:val="aa"/>
    <w:uiPriority w:val="10"/>
    <w:qFormat/>
    <w:rPr>
      <w:rFonts w:asciiTheme="majorHAnsi" w:eastAsiaTheme="majorEastAsia" w:hAnsiTheme="majorHAnsi" w:cstheme="majorBidi"/>
      <w:spacing w:val="-10"/>
      <w:kern w:val="28"/>
      <w:sz w:val="56"/>
      <w:szCs w:val="56"/>
    </w:rPr>
  </w:style>
  <w:style w:type="character" w:customStyle="1" w:styleId="Char3">
    <w:name w:val="副标题 Char"/>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Char6"/>
    <w:uiPriority w:val="29"/>
    <w:qFormat/>
    <w:pPr>
      <w:spacing w:before="160"/>
      <w:jc w:val="center"/>
    </w:pPr>
    <w:rPr>
      <w:i/>
      <w:iCs/>
      <w:color w:val="404040" w:themeColor="text1" w:themeTint="BF"/>
    </w:rPr>
  </w:style>
  <w:style w:type="character" w:customStyle="1" w:styleId="Char6">
    <w:name w:val="引用 Char"/>
    <w:basedOn w:val="a0"/>
    <w:link w:val="ad"/>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0">
    <w:name w:val="明显强调1"/>
    <w:basedOn w:val="a0"/>
    <w:uiPriority w:val="21"/>
    <w:qFormat/>
    <w:rPr>
      <w:i/>
      <w:iCs/>
      <w:color w:val="2F5496" w:themeColor="accent1" w:themeShade="BF"/>
    </w:rPr>
  </w:style>
  <w:style w:type="paragraph" w:styleId="af">
    <w:name w:val="Intense Quote"/>
    <w:basedOn w:val="a"/>
    <w:next w:val="a"/>
    <w:link w:val="Char7"/>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7">
    <w:name w:val="明显引用 Char"/>
    <w:basedOn w:val="a0"/>
    <w:link w:val="af"/>
    <w:uiPriority w:val="30"/>
    <w:qFormat/>
    <w:rPr>
      <w:i/>
      <w:iCs/>
      <w:color w:val="2F5496" w:themeColor="accent1" w:themeShade="BF"/>
    </w:rPr>
  </w:style>
  <w:style w:type="character" w:customStyle="1" w:styleId="11">
    <w:name w:val="明显参考1"/>
    <w:basedOn w:val="a0"/>
    <w:uiPriority w:val="32"/>
    <w:qFormat/>
    <w:rPr>
      <w:b/>
      <w:bCs/>
      <w:smallCaps/>
      <w:color w:val="2F5496" w:themeColor="accent1" w:themeShade="BF"/>
      <w:spacing w:val="5"/>
    </w:rPr>
  </w:style>
  <w:style w:type="character" w:customStyle="1" w:styleId="Char2">
    <w:name w:val="页眉 Char"/>
    <w:basedOn w:val="a0"/>
    <w:link w:val="a7"/>
    <w:uiPriority w:val="99"/>
    <w:qFormat/>
    <w:rPr>
      <w:sz w:val="18"/>
      <w:szCs w:val="18"/>
      <w14:ligatures w14:val="none"/>
    </w:rPr>
  </w:style>
  <w:style w:type="character" w:customStyle="1" w:styleId="Char1">
    <w:name w:val="页脚 Char"/>
    <w:basedOn w:val="a0"/>
    <w:link w:val="a6"/>
    <w:uiPriority w:val="99"/>
    <w:qFormat/>
    <w:rPr>
      <w:sz w:val="18"/>
      <w:szCs w:val="18"/>
      <w14:ligatures w14:val="none"/>
    </w:rPr>
  </w:style>
  <w:style w:type="paragraph" w:customStyle="1" w:styleId="12">
    <w:name w:val="修订1"/>
    <w:hidden/>
    <w:uiPriority w:val="99"/>
    <w:semiHidden/>
    <w:qFormat/>
    <w:rPr>
      <w:kern w:val="2"/>
      <w:sz w:val="21"/>
      <w:szCs w:val="22"/>
    </w:rPr>
  </w:style>
  <w:style w:type="paragraph" w:customStyle="1" w:styleId="20">
    <w:name w:val="修订2"/>
    <w:hidden/>
    <w:uiPriority w:val="99"/>
    <w:unhideWhenUsed/>
    <w:qFormat/>
    <w:rPr>
      <w:kern w:val="2"/>
      <w:sz w:val="21"/>
      <w:szCs w:val="22"/>
    </w:rPr>
  </w:style>
  <w:style w:type="character" w:customStyle="1" w:styleId="Char">
    <w:name w:val="批注文字 Char"/>
    <w:basedOn w:val="a0"/>
    <w:link w:val="a4"/>
    <w:uiPriority w:val="99"/>
    <w:qFormat/>
    <w:rPr>
      <w:rFonts w:asciiTheme="minorHAnsi" w:eastAsiaTheme="minorEastAsia" w:hAnsiTheme="minorHAnsi" w:cstheme="minorBidi"/>
      <w:kern w:val="2"/>
      <w:sz w:val="21"/>
      <w:szCs w:val="22"/>
    </w:rPr>
  </w:style>
  <w:style w:type="character" w:customStyle="1" w:styleId="Char5">
    <w:name w:val="批注主题 Char"/>
    <w:basedOn w:val="Char"/>
    <w:link w:val="ab"/>
    <w:uiPriority w:val="99"/>
    <w:semiHidden/>
    <w:qFormat/>
    <w:rPr>
      <w:rFonts w:asciiTheme="minorHAnsi" w:eastAsiaTheme="minorEastAsia" w:hAnsiTheme="minorHAnsi" w:cstheme="minorBidi"/>
      <w:b/>
      <w:bCs/>
      <w:kern w:val="2"/>
      <w:sz w:val="21"/>
      <w:szCs w:val="22"/>
    </w:rPr>
  </w:style>
  <w:style w:type="paragraph" w:customStyle="1" w:styleId="30">
    <w:name w:val="修订3"/>
    <w:hidden/>
    <w:uiPriority w:val="99"/>
    <w:unhideWhenUsed/>
    <w:qFormat/>
    <w:pPr>
      <w:spacing w:after="0" w:line="240" w:lineRule="auto"/>
    </w:pPr>
    <w:rPr>
      <w:kern w:val="2"/>
      <w:sz w:val="21"/>
      <w:szCs w:val="22"/>
    </w:rPr>
  </w:style>
  <w:style w:type="character" w:customStyle="1" w:styleId="Char0">
    <w:name w:val="纯文本 Char"/>
    <w:basedOn w:val="a0"/>
    <w:link w:val="a5"/>
    <w:uiPriority w:val="99"/>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汐 林</dc:creator>
  <cp:lastModifiedBy>王磊</cp:lastModifiedBy>
  <cp:revision>9</cp:revision>
  <cp:lastPrinted>2025-03-10T17:26:00Z</cp:lastPrinted>
  <dcterms:created xsi:type="dcterms:W3CDTF">2025-04-18T01:08:00Z</dcterms:created>
  <dcterms:modified xsi:type="dcterms:W3CDTF">2026-09-10T01:57:00Z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25CB368C342148EEBB5B3CA1564D9D1C</vt:lpwstr>
  </property>
</Properties>
</file>