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E9A" w:rsidRPr="006C64E9" w:rsidRDefault="006C64E9" w:rsidP="006C64E9">
      <w:pPr>
        <w:pStyle w:val="a4"/>
        <w:spacing w:after="160" w:line="600" w:lineRule="exact"/>
        <w:jc w:val="left"/>
        <w:rPr>
          <w:rFonts w:ascii="黑体" w:eastAsia="黑体" w:hAnsi="黑体" w:cs="黑体"/>
          <w:sz w:val="32"/>
          <w:szCs w:val="32"/>
        </w:rPr>
      </w:pPr>
      <w:r w:rsidRPr="006C64E9">
        <w:rPr>
          <w:rFonts w:ascii="黑体" w:eastAsia="黑体" w:hAnsi="黑体" w:cs="黑体"/>
          <w:sz w:val="32"/>
          <w:szCs w:val="32"/>
        </w:rPr>
        <w:t>附件</w:t>
      </w:r>
      <w:r w:rsidRPr="006C64E9">
        <w:rPr>
          <w:rFonts w:ascii="黑体" w:eastAsia="黑体" w:hAnsi="黑体" w:cs="黑体" w:hint="eastAsia"/>
          <w:sz w:val="32"/>
          <w:szCs w:val="32"/>
        </w:rPr>
        <w:t>1</w:t>
      </w:r>
    </w:p>
    <w:p w:rsidR="00F42E9A" w:rsidRDefault="00F42E9A">
      <w:pPr>
        <w:overflowPunct w:val="0"/>
        <w:spacing w:line="560" w:lineRule="exact"/>
        <w:jc w:val="center"/>
        <w:rPr>
          <w:rFonts w:ascii="Times New Roman" w:eastAsia="方正小标宋简体" w:hAnsi="Times New Roman"/>
          <w:bCs/>
          <w:sz w:val="44"/>
          <w:szCs w:val="44"/>
        </w:rPr>
      </w:pPr>
    </w:p>
    <w:p w:rsidR="00F42E9A" w:rsidRDefault="00F42E9A">
      <w:pPr>
        <w:overflowPunct w:val="0"/>
        <w:spacing w:line="560" w:lineRule="exact"/>
        <w:jc w:val="center"/>
        <w:rPr>
          <w:rFonts w:ascii="Times New Roman" w:eastAsia="方正小标宋简体" w:hAnsi="Times New Roman"/>
          <w:bCs/>
          <w:sz w:val="44"/>
          <w:szCs w:val="44"/>
        </w:rPr>
      </w:pPr>
    </w:p>
    <w:p w:rsidR="00F42E9A" w:rsidRDefault="00F42E9A">
      <w:pPr>
        <w:overflowPunct w:val="0"/>
        <w:spacing w:line="560" w:lineRule="exact"/>
        <w:jc w:val="center"/>
        <w:rPr>
          <w:rFonts w:ascii="Times New Roman" w:eastAsia="方正小标宋简体" w:hAnsi="Times New Roman"/>
          <w:bCs/>
          <w:sz w:val="44"/>
          <w:szCs w:val="44"/>
        </w:rPr>
      </w:pPr>
    </w:p>
    <w:p w:rsidR="00F42E9A" w:rsidRDefault="00DF4248">
      <w:pPr>
        <w:overflowPunct w:val="0"/>
        <w:spacing w:line="56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西城区“十五五”时期金融业发展规划</w:t>
      </w:r>
    </w:p>
    <w:p w:rsidR="00F42E9A" w:rsidRDefault="00DF4248">
      <w:pPr>
        <w:jc w:val="center"/>
        <w:rPr>
          <w:rFonts w:ascii="方正小标宋简体" w:eastAsia="方正小标宋简体" w:hAnsi="方正小标宋简体" w:cs="方正小标宋简体"/>
          <w:sz w:val="44"/>
          <w:szCs w:val="44"/>
        </w:rPr>
      </w:pPr>
      <w:r>
        <w:rPr>
          <w:rFonts w:ascii="楷体_GB2312" w:eastAsia="楷体_GB2312" w:hAnsi="楷体_GB2312" w:cs="楷体_GB2312" w:hint="eastAsia"/>
          <w:sz w:val="36"/>
          <w:szCs w:val="36"/>
        </w:rPr>
        <w:t>（征求意见稿）</w:t>
      </w:r>
    </w:p>
    <w:p w:rsidR="00F42E9A" w:rsidRDefault="00F42E9A">
      <w:pPr>
        <w:jc w:val="center"/>
        <w:rPr>
          <w:rFonts w:ascii="方正小标宋简体" w:eastAsia="方正小标宋简体" w:hAnsi="方正小标宋简体" w:cs="方正小标宋简体"/>
          <w:sz w:val="44"/>
          <w:szCs w:val="44"/>
        </w:rPr>
      </w:pPr>
    </w:p>
    <w:p w:rsidR="00F42E9A" w:rsidRDefault="00F42E9A">
      <w:pPr>
        <w:pStyle w:val="a4"/>
        <w:jc w:val="center"/>
        <w:rPr>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仿宋_GB2312" w:eastAsia="仿宋_GB2312" w:hAnsi="仿宋_GB2312" w:cs="仿宋_GB2312"/>
          <w:sz w:val="44"/>
          <w:szCs w:val="44"/>
        </w:rPr>
      </w:pPr>
    </w:p>
    <w:p w:rsidR="00F42E9A" w:rsidRDefault="00F42E9A">
      <w:pPr>
        <w:jc w:val="center"/>
        <w:rPr>
          <w:rFonts w:ascii="楷体_GB2312" w:eastAsia="楷体_GB2312" w:hAnsi="楷体_GB2312" w:cs="楷体_GB2312"/>
          <w:sz w:val="44"/>
          <w:szCs w:val="44"/>
        </w:rPr>
      </w:pPr>
    </w:p>
    <w:p w:rsidR="00F42E9A" w:rsidRDefault="00DF4248">
      <w:pPr>
        <w:overflowPunct w:val="0"/>
        <w:spacing w:line="560" w:lineRule="exact"/>
        <w:jc w:val="center"/>
        <w:rPr>
          <w:rFonts w:ascii="楷体_GB2312" w:eastAsia="楷体_GB2312" w:hAnsi="楷体_GB2312" w:cs="楷体_GB2312"/>
          <w:sz w:val="36"/>
          <w:szCs w:val="36"/>
        </w:rPr>
      </w:pPr>
      <w:r>
        <w:rPr>
          <w:rFonts w:ascii="楷体_GB2312" w:eastAsia="楷体_GB2312" w:hAnsi="楷体_GB2312" w:cs="楷体_GB2312" w:hint="eastAsia"/>
          <w:sz w:val="36"/>
          <w:szCs w:val="36"/>
        </w:rPr>
        <w:t>北京金融街服务局</w:t>
      </w:r>
    </w:p>
    <w:p w:rsidR="00F42E9A" w:rsidRDefault="00DF4248">
      <w:pPr>
        <w:overflowPunct w:val="0"/>
        <w:spacing w:line="560" w:lineRule="exact"/>
        <w:jc w:val="center"/>
        <w:rPr>
          <w:rFonts w:ascii="仿宋_GB2312" w:eastAsia="仿宋_GB2312" w:hAnsi="仿宋_GB2312" w:cs="仿宋_GB2312"/>
          <w:sz w:val="32"/>
          <w:szCs w:val="32"/>
        </w:rPr>
      </w:pPr>
      <w:r>
        <w:rPr>
          <w:rFonts w:ascii="楷体_GB2312" w:eastAsia="楷体_GB2312" w:hAnsi="楷体_GB2312" w:cs="楷体_GB2312" w:hint="eastAsia"/>
          <w:sz w:val="36"/>
          <w:szCs w:val="36"/>
        </w:rPr>
        <w:t>2026年</w:t>
      </w:r>
      <w:r w:rsidR="004377BA">
        <w:rPr>
          <w:rFonts w:ascii="楷体_GB2312" w:eastAsia="楷体_GB2312" w:hAnsi="楷体_GB2312" w:cs="楷体_GB2312"/>
          <w:sz w:val="36"/>
          <w:szCs w:val="36"/>
        </w:rPr>
        <w:t>9</w:t>
      </w:r>
      <w:r>
        <w:rPr>
          <w:rFonts w:ascii="楷体_GB2312" w:eastAsia="楷体_GB2312" w:hAnsi="楷体_GB2312" w:cs="楷体_GB2312" w:hint="eastAsia"/>
          <w:sz w:val="36"/>
          <w:szCs w:val="36"/>
        </w:rPr>
        <w:t>月</w:t>
      </w:r>
    </w:p>
    <w:p w:rsidR="00F42E9A" w:rsidRDefault="00DF4248">
      <w:pPr>
        <w:rPr>
          <w:rFonts w:ascii="黑体" w:eastAsia="黑体" w:hAnsi="黑体" w:cs="黑体"/>
          <w:sz w:val="32"/>
          <w:szCs w:val="32"/>
        </w:rPr>
      </w:pPr>
      <w:r>
        <w:rPr>
          <w:rFonts w:ascii="黑体" w:eastAsia="黑体" w:hAnsi="黑体" w:cs="黑体" w:hint="eastAsia"/>
          <w:sz w:val="32"/>
          <w:szCs w:val="32"/>
        </w:rPr>
        <w:br w:type="page"/>
      </w:r>
    </w:p>
    <w:p w:rsidR="00F42E9A" w:rsidRDefault="00F42E9A">
      <w:pPr>
        <w:widowControl/>
        <w:numPr>
          <w:ilvl w:val="255"/>
          <w:numId w:val="0"/>
        </w:numPr>
        <w:overflowPunct w:val="0"/>
        <w:spacing w:line="560" w:lineRule="exact"/>
        <w:jc w:val="center"/>
        <w:rPr>
          <w:rFonts w:ascii="黑体" w:eastAsia="黑体" w:hAnsi="黑体" w:cs="黑体"/>
          <w:sz w:val="32"/>
          <w:szCs w:val="32"/>
        </w:rPr>
        <w:sectPr w:rsidR="00F42E9A">
          <w:footerReference w:type="default" r:id="rId8"/>
          <w:pgSz w:w="11906" w:h="16838"/>
          <w:pgMar w:top="1440" w:right="1800" w:bottom="1440" w:left="1800" w:header="851" w:footer="992" w:gutter="0"/>
          <w:cols w:space="425"/>
          <w:docGrid w:type="lines" w:linePitch="312"/>
        </w:sectPr>
      </w:pPr>
    </w:p>
    <w:p w:rsidR="00F42E9A" w:rsidRDefault="00DF4248">
      <w:pPr>
        <w:spacing w:line="600" w:lineRule="exact"/>
        <w:jc w:val="center"/>
        <w:rPr>
          <w:rFonts w:ascii="方正小标宋简体" w:eastAsia="方正小标宋简体" w:hAnsi="方正小标宋简体" w:cs="方正小标宋简体"/>
          <w:sz w:val="36"/>
          <w:szCs w:val="36"/>
        </w:rPr>
      </w:pPr>
      <w:bookmarkStart w:id="0" w:name="OLE_LINK10"/>
      <w:bookmarkStart w:id="1" w:name="OLE_LINK11"/>
      <w:bookmarkStart w:id="2" w:name="_Toc8266"/>
      <w:r>
        <w:rPr>
          <w:rFonts w:ascii="方正小标宋简体" w:eastAsia="方正小标宋简体" w:hAnsi="方正小标宋简体" w:cs="方正小标宋简体" w:hint="eastAsia"/>
          <w:sz w:val="36"/>
          <w:szCs w:val="36"/>
        </w:rPr>
        <w:lastRenderedPageBreak/>
        <w:t>目  录</w:t>
      </w:r>
    </w:p>
    <w:p w:rsidR="00F42E9A" w:rsidRDefault="00DF4248">
      <w:pPr>
        <w:pStyle w:val="10"/>
        <w:tabs>
          <w:tab w:val="right" w:leader="dot" w:pos="8845"/>
        </w:tabs>
        <w:spacing w:line="5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TOC \o "1-2" \h \u </w:instrText>
      </w:r>
      <w:r>
        <w:rPr>
          <w:rFonts w:ascii="仿宋_GB2312" w:eastAsia="仿宋_GB2312" w:hAnsi="仿宋_GB2312" w:cs="仿宋_GB2312" w:hint="eastAsia"/>
          <w:sz w:val="32"/>
          <w:szCs w:val="32"/>
        </w:rPr>
        <w:fldChar w:fldCharType="separate"/>
      </w:r>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7947" w:history="1">
        <w:r w:rsidR="00DF4248">
          <w:rPr>
            <w:rFonts w:ascii="黑体" w:eastAsia="黑体" w:hAnsi="黑体" w:cs="黑体" w:hint="eastAsia"/>
            <w:sz w:val="32"/>
            <w:szCs w:val="32"/>
          </w:rPr>
          <w:t>一、总体要求</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386" w:history="1">
        <w:r w:rsidR="00DF4248">
          <w:rPr>
            <w:rFonts w:ascii="仿宋_GB2312" w:eastAsia="仿宋_GB2312" w:hAnsi="仿宋_GB2312" w:cs="仿宋_GB2312" w:hint="eastAsia"/>
            <w:sz w:val="32"/>
            <w:szCs w:val="32"/>
          </w:rPr>
          <w:t>（一）总体思路</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386" w:history="1">
        <w:r w:rsidR="00DF4248">
          <w:rPr>
            <w:rFonts w:ascii="仿宋_GB2312" w:eastAsia="仿宋_GB2312" w:hAnsi="仿宋_GB2312" w:cs="仿宋_GB2312" w:hint="eastAsia"/>
            <w:sz w:val="32"/>
            <w:szCs w:val="32"/>
          </w:rPr>
          <w:t>（</w:t>
        </w:r>
        <w:r w:rsidR="00D22A49">
          <w:rPr>
            <w:rFonts w:ascii="仿宋_GB2312" w:eastAsia="仿宋_GB2312" w:hAnsi="仿宋_GB2312" w:cs="仿宋_GB2312" w:hint="eastAsia"/>
            <w:sz w:val="32"/>
            <w:szCs w:val="32"/>
          </w:rPr>
          <w:t>二</w:t>
        </w:r>
        <w:bookmarkStart w:id="3" w:name="_GoBack"/>
        <w:bookmarkEnd w:id="3"/>
        <w:r w:rsidR="00DF4248">
          <w:rPr>
            <w:rFonts w:ascii="仿宋_GB2312" w:eastAsia="仿宋_GB2312" w:hAnsi="仿宋_GB2312" w:cs="仿宋_GB2312" w:hint="eastAsia"/>
            <w:sz w:val="32"/>
            <w:szCs w:val="32"/>
          </w:rPr>
          <w:t>）主要目标</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2</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7477" w:history="1">
        <w:r w:rsidR="00DF4248">
          <w:rPr>
            <w:rFonts w:ascii="黑体" w:eastAsia="黑体" w:hAnsi="黑体" w:cs="黑体" w:hint="eastAsia"/>
            <w:sz w:val="32"/>
            <w:szCs w:val="32"/>
          </w:rPr>
          <w:t>二、服务保障国家金融管理中心功能</w:t>
        </w:r>
        <w:r w:rsidR="00DF4248">
          <w:rPr>
            <w:rFonts w:ascii="仿宋_GB2312" w:eastAsia="仿宋_GB2312" w:hAnsi="仿宋_GB2312" w:cs="仿宋_GB2312" w:hint="eastAsia"/>
            <w:sz w:val="32"/>
            <w:szCs w:val="32"/>
          </w:rPr>
          <w:tab/>
        </w:r>
        <w:r w:rsidR="00220C05">
          <w:rPr>
            <w:rFonts w:ascii="仿宋_GB2312" w:eastAsia="仿宋_GB2312" w:hAnsi="仿宋_GB2312" w:cs="仿宋_GB2312"/>
            <w:sz w:val="32"/>
            <w:szCs w:val="32"/>
          </w:rPr>
          <w:t>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386" w:history="1">
        <w:r w:rsidR="00DF4248">
          <w:rPr>
            <w:rFonts w:ascii="仿宋_GB2312" w:eastAsia="仿宋_GB2312" w:hAnsi="仿宋_GB2312" w:cs="仿宋_GB2312" w:hint="eastAsia"/>
            <w:sz w:val="32"/>
            <w:szCs w:val="32"/>
          </w:rPr>
          <w:t>（一）服务国家金融决策监管</w:t>
        </w:r>
        <w:r w:rsidR="00DF4248">
          <w:rPr>
            <w:rFonts w:ascii="仿宋_GB2312" w:eastAsia="仿宋_GB2312" w:hAnsi="仿宋_GB2312" w:cs="仿宋_GB2312" w:hint="eastAsia"/>
            <w:sz w:val="32"/>
            <w:szCs w:val="32"/>
          </w:rPr>
          <w:tab/>
        </w:r>
        <w:r w:rsidR="00220C05">
          <w:rPr>
            <w:rFonts w:ascii="仿宋_GB2312" w:eastAsia="仿宋_GB2312" w:hAnsi="仿宋_GB2312" w:cs="仿宋_GB2312"/>
            <w:sz w:val="32"/>
            <w:szCs w:val="32"/>
          </w:rPr>
          <w:t>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3565" w:history="1">
        <w:r w:rsidR="00DF4248">
          <w:rPr>
            <w:rFonts w:ascii="仿宋_GB2312" w:eastAsia="仿宋_GB2312" w:hAnsi="仿宋_GB2312" w:cs="仿宋_GB2312" w:hint="eastAsia"/>
            <w:sz w:val="32"/>
            <w:szCs w:val="32"/>
          </w:rPr>
          <w:t>（二）保障金融基础设施建设</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3565" w:history="1">
        <w:r w:rsidR="00DF4248">
          <w:rPr>
            <w:rFonts w:ascii="仿宋_GB2312" w:eastAsia="仿宋_GB2312" w:hAnsi="仿宋_GB2312" w:cs="仿宋_GB2312" w:hint="eastAsia"/>
            <w:sz w:val="32"/>
            <w:szCs w:val="32"/>
          </w:rPr>
          <w:t>（三）支持金融机构总部发展</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8058" w:history="1">
        <w:r w:rsidR="00DF4248">
          <w:rPr>
            <w:rFonts w:ascii="仿宋_GB2312" w:eastAsia="仿宋_GB2312" w:hAnsi="仿宋_GB2312" w:cs="仿宋_GB2312" w:hint="eastAsia"/>
            <w:sz w:val="32"/>
            <w:szCs w:val="32"/>
          </w:rPr>
          <w:t>（四）优化金融人才服务体系</w:t>
        </w:r>
        <w:r w:rsidR="00DF4248">
          <w:rPr>
            <w:rFonts w:ascii="仿宋_GB2312" w:eastAsia="仿宋_GB2312" w:hAnsi="仿宋_GB2312" w:cs="仿宋_GB2312" w:hint="eastAsia"/>
            <w:sz w:val="32"/>
            <w:szCs w:val="32"/>
          </w:rPr>
          <w:tab/>
        </w:r>
        <w:r w:rsidR="00363D33">
          <w:rPr>
            <w:rFonts w:ascii="仿宋_GB2312" w:eastAsia="仿宋_GB2312" w:hAnsi="仿宋_GB2312" w:cs="仿宋_GB2312"/>
            <w:sz w:val="32"/>
            <w:szCs w:val="32"/>
          </w:rPr>
          <w:t>5</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8058" w:history="1">
        <w:r w:rsidR="00DF4248">
          <w:rPr>
            <w:rFonts w:ascii="仿宋_GB2312" w:eastAsia="仿宋_GB2312" w:hAnsi="仿宋_GB2312" w:cs="仿宋_GB2312" w:hint="eastAsia"/>
            <w:sz w:val="32"/>
            <w:szCs w:val="32"/>
          </w:rPr>
          <w:t>（五）弘扬中国特色金融文化</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5</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26226" w:history="1">
        <w:r w:rsidR="00DF4248">
          <w:rPr>
            <w:rFonts w:ascii="黑体" w:eastAsia="黑体" w:hAnsi="黑体" w:cs="黑体" w:hint="eastAsia"/>
            <w:sz w:val="32"/>
            <w:szCs w:val="32"/>
          </w:rPr>
          <w:t>三、优化区域金融业态结构</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6</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411" w:history="1">
        <w:r w:rsidR="00DF4248">
          <w:rPr>
            <w:rFonts w:ascii="仿宋_GB2312" w:eastAsia="仿宋_GB2312" w:hAnsi="仿宋_GB2312" w:cs="仿宋_GB2312" w:hint="eastAsia"/>
            <w:sz w:val="32"/>
            <w:szCs w:val="32"/>
          </w:rPr>
          <w:t>（一）巩固资产管理高地优势</w:t>
        </w:r>
        <w:r w:rsidR="00DF4248">
          <w:rPr>
            <w:rFonts w:ascii="仿宋_GB2312" w:eastAsia="仿宋_GB2312" w:hAnsi="仿宋_GB2312" w:cs="仿宋_GB2312" w:hint="eastAsia"/>
            <w:sz w:val="32"/>
            <w:szCs w:val="32"/>
          </w:rPr>
          <w:tab/>
        </w:r>
        <w:r w:rsidR="00363D33">
          <w:rPr>
            <w:rFonts w:ascii="仿宋_GB2312" w:eastAsia="仿宋_GB2312" w:hAnsi="仿宋_GB2312" w:cs="仿宋_GB2312"/>
            <w:sz w:val="32"/>
            <w:szCs w:val="32"/>
          </w:rPr>
          <w:t>7</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36" w:history="1">
        <w:r w:rsidR="007D4293">
          <w:rPr>
            <w:rFonts w:ascii="仿宋_GB2312" w:eastAsia="仿宋_GB2312" w:hAnsi="仿宋_GB2312" w:cs="仿宋_GB2312" w:hint="eastAsia"/>
            <w:sz w:val="32"/>
            <w:szCs w:val="32"/>
          </w:rPr>
          <w:t>（二）打造优质基金</w:t>
        </w:r>
        <w:r w:rsidR="00DF4248">
          <w:rPr>
            <w:rFonts w:ascii="仿宋_GB2312" w:eastAsia="仿宋_GB2312" w:hAnsi="仿宋_GB2312" w:cs="仿宋_GB2312" w:hint="eastAsia"/>
            <w:sz w:val="32"/>
            <w:szCs w:val="32"/>
          </w:rPr>
          <w:t>聚集区</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7</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281" w:history="1">
        <w:r w:rsidR="00DF4248">
          <w:rPr>
            <w:rFonts w:ascii="仿宋_GB2312" w:eastAsia="仿宋_GB2312" w:hAnsi="仿宋_GB2312" w:cs="仿宋_GB2312" w:hint="eastAsia"/>
            <w:sz w:val="32"/>
            <w:szCs w:val="32"/>
          </w:rPr>
          <w:t>（</w:t>
        </w:r>
        <w:r w:rsidR="00DF4248">
          <w:rPr>
            <w:rFonts w:ascii="仿宋_GB2312" w:eastAsia="仿宋_GB2312" w:hAnsi="仿宋_GB2312" w:cs="仿宋_GB2312"/>
            <w:sz w:val="32"/>
            <w:szCs w:val="32"/>
          </w:rPr>
          <w:t>三</w:t>
        </w:r>
        <w:r w:rsidR="00DF4248">
          <w:rPr>
            <w:rFonts w:ascii="仿宋_GB2312" w:eastAsia="仿宋_GB2312" w:hAnsi="仿宋_GB2312" w:cs="仿宋_GB2312" w:hint="eastAsia"/>
            <w:sz w:val="32"/>
            <w:szCs w:val="32"/>
          </w:rPr>
          <w:t>）建设保险创新发展示范区</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8</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6115" w:history="1">
        <w:r w:rsidR="00DF4248">
          <w:rPr>
            <w:rFonts w:ascii="仿宋_GB2312" w:eastAsia="仿宋_GB2312" w:hAnsi="仿宋_GB2312" w:cs="仿宋_GB2312" w:hint="eastAsia"/>
            <w:sz w:val="32"/>
            <w:szCs w:val="32"/>
          </w:rPr>
          <w:t>（四）提升金融科技高地能级</w:t>
        </w:r>
        <w:r w:rsidR="00DF4248">
          <w:rPr>
            <w:rFonts w:ascii="仿宋_GB2312" w:eastAsia="仿宋_GB2312" w:hAnsi="仿宋_GB2312" w:cs="仿宋_GB2312" w:hint="eastAsia"/>
            <w:sz w:val="32"/>
            <w:szCs w:val="32"/>
          </w:rPr>
          <w:tab/>
        </w:r>
        <w:r w:rsidR="00363D33">
          <w:rPr>
            <w:rFonts w:ascii="仿宋_GB2312" w:eastAsia="仿宋_GB2312" w:hAnsi="仿宋_GB2312" w:cs="仿宋_GB2312"/>
            <w:sz w:val="32"/>
            <w:szCs w:val="32"/>
          </w:rPr>
          <w:t>9</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23166" w:history="1">
        <w:r w:rsidR="00DF4248">
          <w:rPr>
            <w:rFonts w:ascii="黑体" w:eastAsia="黑体" w:hAnsi="黑体" w:cs="黑体" w:hint="eastAsia"/>
            <w:sz w:val="32"/>
            <w:szCs w:val="32"/>
          </w:rPr>
          <w:t>四、打造以北京证券交易所为核心的资本市场生态圈</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9</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0185" w:history="1">
        <w:r w:rsidR="00DF4248">
          <w:rPr>
            <w:rFonts w:ascii="仿宋_GB2312" w:eastAsia="仿宋_GB2312" w:hAnsi="仿宋_GB2312" w:cs="仿宋_GB2312" w:hint="eastAsia"/>
            <w:sz w:val="32"/>
            <w:szCs w:val="32"/>
          </w:rPr>
          <w:t>（一）全力服务保障北京证券交易所高质量发展</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9</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4873" w:history="1">
        <w:r w:rsidR="00F60E8D">
          <w:rPr>
            <w:rFonts w:ascii="仿宋_GB2312" w:eastAsia="仿宋_GB2312" w:hAnsi="仿宋_GB2312" w:cs="仿宋_GB2312" w:hint="eastAsia"/>
            <w:sz w:val="32"/>
            <w:szCs w:val="32"/>
          </w:rPr>
          <w:t>（二）</w:t>
        </w:r>
        <w:r w:rsidR="00DF4248">
          <w:rPr>
            <w:rFonts w:ascii="仿宋_GB2312" w:eastAsia="仿宋_GB2312" w:hAnsi="仿宋_GB2312" w:cs="仿宋_GB2312" w:hint="eastAsia"/>
            <w:sz w:val="32"/>
            <w:szCs w:val="32"/>
          </w:rPr>
          <w:t>推动资本市场生态提质升级</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10</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78" w:history="1">
        <w:r w:rsidR="00F60E8D">
          <w:rPr>
            <w:rFonts w:ascii="仿宋_GB2312" w:eastAsia="仿宋_GB2312" w:hAnsi="仿宋_GB2312" w:cs="仿宋_GB2312" w:hint="eastAsia"/>
            <w:sz w:val="32"/>
            <w:szCs w:val="32"/>
          </w:rPr>
          <w:t>（三）强化企业综合培育与上市全周期服务</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10</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22004" w:history="1">
        <w:r w:rsidR="00DF4248">
          <w:rPr>
            <w:rFonts w:ascii="黑体" w:eastAsia="黑体" w:hAnsi="黑体" w:cs="黑体" w:hint="eastAsia"/>
            <w:sz w:val="32"/>
            <w:szCs w:val="32"/>
          </w:rPr>
          <w:t>五、做好金融“五篇大文章”西城篇章</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11</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7589" w:history="1">
        <w:r w:rsidR="00DF4248">
          <w:rPr>
            <w:rFonts w:ascii="仿宋_GB2312" w:eastAsia="仿宋_GB2312" w:hAnsi="仿宋_GB2312" w:cs="仿宋_GB2312" w:hint="eastAsia"/>
            <w:sz w:val="32"/>
            <w:szCs w:val="32"/>
          </w:rPr>
          <w:t>（一）擦亮科技金融服务品牌</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11</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6808" w:history="1">
        <w:r w:rsidR="00DF4248">
          <w:rPr>
            <w:rFonts w:ascii="仿宋_GB2312" w:eastAsia="仿宋_GB2312" w:hAnsi="仿宋_GB2312" w:cs="仿宋_GB2312" w:hint="eastAsia"/>
            <w:sz w:val="32"/>
            <w:szCs w:val="32"/>
          </w:rPr>
          <w:t>（二）服务绿色金融做优</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12</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8784" w:history="1">
        <w:r w:rsidR="00DF4248">
          <w:rPr>
            <w:rFonts w:ascii="仿宋_GB2312" w:eastAsia="仿宋_GB2312" w:hAnsi="仿宋_GB2312" w:cs="仿宋_GB2312" w:hint="eastAsia"/>
            <w:sz w:val="32"/>
            <w:szCs w:val="32"/>
          </w:rPr>
          <w:t>（三）促进普惠金融产品供给</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13</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0452" w:history="1">
        <w:r w:rsidR="00DF4248">
          <w:rPr>
            <w:rFonts w:ascii="仿宋_GB2312" w:eastAsia="仿宋_GB2312" w:hAnsi="仿宋_GB2312" w:cs="仿宋_GB2312" w:hint="eastAsia"/>
            <w:sz w:val="32"/>
            <w:szCs w:val="32"/>
          </w:rPr>
          <w:t>（四）以养老金融完善养老服务</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13</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0452" w:history="1">
        <w:r w:rsidR="00DF4248">
          <w:rPr>
            <w:rFonts w:ascii="仿宋_GB2312" w:eastAsia="仿宋_GB2312" w:hAnsi="仿宋_GB2312" w:cs="仿宋_GB2312" w:hint="eastAsia"/>
            <w:sz w:val="32"/>
            <w:szCs w:val="32"/>
          </w:rPr>
          <w:t>（五）推动数字金融与数据产业联动发展</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13</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11874" w:history="1">
        <w:r w:rsidR="00DF4248">
          <w:rPr>
            <w:rFonts w:ascii="黑体" w:eastAsia="黑体" w:hAnsi="黑体" w:cs="黑体" w:hint="eastAsia"/>
            <w:sz w:val="32"/>
            <w:szCs w:val="32"/>
          </w:rPr>
          <w:t>六、推进金融高水平开放</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079" w:history="1">
        <w:r w:rsidR="007E28C9">
          <w:rPr>
            <w:rFonts w:ascii="仿宋_GB2312" w:eastAsia="仿宋_GB2312" w:hAnsi="仿宋_GB2312" w:cs="仿宋_GB2312" w:hint="eastAsia"/>
            <w:sz w:val="32"/>
            <w:szCs w:val="32"/>
          </w:rPr>
          <w:t>（一）打造国家金融开放发展重要平台</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8412" w:history="1">
        <w:r w:rsidR="00DF4248">
          <w:rPr>
            <w:rFonts w:ascii="仿宋_GB2312" w:eastAsia="仿宋_GB2312" w:hAnsi="仿宋_GB2312" w:cs="仿宋_GB2312" w:hint="eastAsia"/>
            <w:sz w:val="32"/>
            <w:szCs w:val="32"/>
          </w:rPr>
          <w:t>（二）</w:t>
        </w:r>
        <w:r w:rsidR="007E28C9">
          <w:rPr>
            <w:rFonts w:ascii="仿宋_GB2312" w:eastAsia="仿宋_GB2312" w:hAnsi="仿宋_GB2312" w:cs="仿宋_GB2312" w:hint="eastAsia"/>
            <w:sz w:val="32"/>
            <w:szCs w:val="32"/>
          </w:rPr>
          <w:t>促进国际金融机构与组织集聚发展</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14</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393" w:history="1">
        <w:r w:rsidR="00DF4248">
          <w:rPr>
            <w:rFonts w:ascii="仿宋_GB2312" w:eastAsia="仿宋_GB2312" w:hAnsi="仿宋_GB2312" w:cs="仿宋_GB2312" w:hint="eastAsia"/>
            <w:sz w:val="32"/>
            <w:szCs w:val="32"/>
          </w:rPr>
          <w:t>（三）</w:t>
        </w:r>
        <w:r w:rsidR="007E28C9">
          <w:rPr>
            <w:rFonts w:ascii="仿宋_GB2312" w:eastAsia="仿宋_GB2312" w:hAnsi="仿宋_GB2312" w:cs="仿宋_GB2312" w:hint="eastAsia"/>
            <w:sz w:val="32"/>
            <w:szCs w:val="32"/>
          </w:rPr>
          <w:t>服务金融开放创新发展</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w:t>
        </w:r>
        <w:r w:rsidR="00363D33">
          <w:rPr>
            <w:rFonts w:ascii="仿宋_GB2312" w:eastAsia="仿宋_GB2312" w:hAnsi="仿宋_GB2312" w:cs="仿宋_GB2312"/>
            <w:sz w:val="32"/>
            <w:szCs w:val="32"/>
          </w:rPr>
          <w:t>5</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27798" w:history="1">
        <w:r w:rsidR="00DF4248">
          <w:rPr>
            <w:rFonts w:ascii="仿宋_GB2312" w:eastAsia="仿宋_GB2312" w:hAnsi="仿宋_GB2312" w:cs="仿宋_GB2312" w:hint="eastAsia"/>
            <w:sz w:val="32"/>
            <w:szCs w:val="32"/>
          </w:rPr>
          <w:t>（四）拓展金融街国际合作“朋友圈”</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15</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7560" w:history="1">
        <w:r w:rsidR="007E28C9">
          <w:rPr>
            <w:rFonts w:ascii="黑体" w:eastAsia="黑体" w:hAnsi="黑体" w:cs="黑体" w:hint="eastAsia"/>
            <w:sz w:val="32"/>
            <w:szCs w:val="32"/>
          </w:rPr>
          <w:t>七、</w:t>
        </w:r>
        <w:r w:rsidR="00DF4248">
          <w:rPr>
            <w:rFonts w:ascii="黑体" w:eastAsia="黑体" w:hAnsi="黑体" w:cs="黑体" w:hint="eastAsia"/>
            <w:sz w:val="32"/>
            <w:szCs w:val="32"/>
          </w:rPr>
          <w:t>优化金融产业发展环境</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15</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31367" w:history="1">
        <w:r w:rsidR="00DF4248">
          <w:rPr>
            <w:rFonts w:ascii="仿宋_GB2312" w:eastAsia="仿宋_GB2312" w:hAnsi="仿宋_GB2312" w:cs="仿宋_GB2312" w:hint="eastAsia"/>
            <w:sz w:val="32"/>
            <w:szCs w:val="32"/>
          </w:rPr>
          <w:t>（一）持续优化金融领域营商环境</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w:t>
        </w:r>
        <w:r w:rsidR="00363D33">
          <w:rPr>
            <w:rFonts w:ascii="仿宋_GB2312" w:eastAsia="仿宋_GB2312" w:hAnsi="仿宋_GB2312" w:cs="仿宋_GB2312"/>
            <w:sz w:val="32"/>
            <w:szCs w:val="32"/>
          </w:rPr>
          <w:t>6</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13565" w:history="1">
        <w:r w:rsidR="007E28C9">
          <w:rPr>
            <w:rFonts w:ascii="仿宋_GB2312" w:eastAsia="仿宋_GB2312" w:hAnsi="仿宋_GB2312" w:cs="仿宋_GB2312" w:hint="eastAsia"/>
            <w:sz w:val="32"/>
            <w:szCs w:val="32"/>
          </w:rPr>
          <w:t>（二）</w:t>
        </w:r>
        <w:r w:rsidR="00DF4248">
          <w:rPr>
            <w:rFonts w:ascii="仿宋_GB2312" w:eastAsia="仿宋_GB2312" w:hAnsi="仿宋_GB2312" w:cs="仿宋_GB2312" w:hint="eastAsia"/>
            <w:sz w:val="32"/>
            <w:szCs w:val="32"/>
          </w:rPr>
          <w:t>提升金融法治环境建设水平</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16</w:t>
        </w:r>
      </w:hyperlink>
    </w:p>
    <w:p w:rsidR="00F42E9A" w:rsidRDefault="002A5ECA">
      <w:pPr>
        <w:pStyle w:val="21"/>
        <w:tabs>
          <w:tab w:val="right" w:leader="dot" w:pos="8845"/>
        </w:tabs>
        <w:spacing w:line="500" w:lineRule="exact"/>
        <w:rPr>
          <w:rFonts w:ascii="仿宋_GB2312" w:eastAsia="仿宋_GB2312" w:hAnsi="仿宋_GB2312" w:cs="仿宋_GB2312"/>
          <w:sz w:val="32"/>
          <w:szCs w:val="32"/>
        </w:rPr>
      </w:pPr>
      <w:hyperlink w:anchor="_Toc8302" w:history="1">
        <w:r w:rsidR="00DF4248">
          <w:rPr>
            <w:rFonts w:ascii="仿宋_GB2312" w:eastAsia="仿宋_GB2312" w:hAnsi="仿宋_GB2312" w:cs="仿宋_GB2312" w:hint="eastAsia"/>
            <w:sz w:val="32"/>
            <w:szCs w:val="32"/>
          </w:rPr>
          <w:t>（三）提升金融街综合环境品质</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17</w:t>
        </w:r>
      </w:hyperlink>
    </w:p>
    <w:p w:rsidR="00F42E9A" w:rsidRDefault="002A5ECA">
      <w:pPr>
        <w:pStyle w:val="10"/>
        <w:tabs>
          <w:tab w:val="right" w:leader="dot" w:pos="8845"/>
        </w:tabs>
        <w:spacing w:line="500" w:lineRule="exact"/>
        <w:rPr>
          <w:rFonts w:ascii="仿宋_GB2312" w:eastAsia="仿宋_GB2312" w:hAnsi="仿宋_GB2312" w:cs="仿宋_GB2312"/>
          <w:sz w:val="32"/>
          <w:szCs w:val="32"/>
        </w:rPr>
      </w:pPr>
      <w:hyperlink w:anchor="_Toc22770" w:history="1">
        <w:r w:rsidR="00DF4248">
          <w:rPr>
            <w:rFonts w:ascii="黑体" w:eastAsia="黑体" w:hAnsi="黑体" w:cs="黑体" w:hint="eastAsia"/>
            <w:sz w:val="32"/>
            <w:szCs w:val="32"/>
          </w:rPr>
          <w:t>八、保障措施</w:t>
        </w:r>
        <w:r w:rsidR="00DF4248">
          <w:rPr>
            <w:rFonts w:ascii="仿宋_GB2312" w:eastAsia="仿宋_GB2312" w:hAnsi="仿宋_GB2312" w:cs="仿宋_GB2312" w:hint="eastAsia"/>
            <w:sz w:val="32"/>
            <w:szCs w:val="32"/>
          </w:rPr>
          <w:tab/>
        </w:r>
        <w:r w:rsidR="00DF4248">
          <w:rPr>
            <w:rFonts w:ascii="仿宋_GB2312" w:eastAsia="仿宋_GB2312" w:hAnsi="仿宋_GB2312" w:cs="仿宋_GB2312"/>
            <w:sz w:val="32"/>
            <w:szCs w:val="32"/>
          </w:rPr>
          <w:t>17</w:t>
        </w:r>
      </w:hyperlink>
    </w:p>
    <w:p w:rsidR="00F42E9A" w:rsidRDefault="00DF4248">
      <w:pPr>
        <w:pStyle w:val="21"/>
        <w:tabs>
          <w:tab w:val="right" w:leader="dot" w:pos="8845"/>
        </w:tabs>
        <w:spacing w:line="500" w:lineRule="exact"/>
        <w:ind w:leftChars="0" w:left="0"/>
        <w:rPr>
          <w:rFonts w:ascii="仿宋_GB2312" w:eastAsia="仿宋_GB2312" w:hAnsi="仿宋_GB2312" w:cs="仿宋_GB2312"/>
          <w:sz w:val="32"/>
          <w:szCs w:val="32"/>
        </w:rPr>
      </w:pPr>
      <w:r>
        <w:rPr>
          <w:rFonts w:ascii="仿宋_GB2312" w:eastAsia="仿宋_GB2312" w:hAnsi="仿宋_GB2312" w:cs="仿宋_GB2312" w:hint="eastAsia"/>
          <w:szCs w:val="32"/>
        </w:rPr>
        <w:fldChar w:fldCharType="end"/>
      </w:r>
    </w:p>
    <w:bookmarkEnd w:id="0"/>
    <w:bookmarkEnd w:id="1"/>
    <w:p w:rsidR="00F42E9A" w:rsidRDefault="00F42E9A"/>
    <w:p w:rsidR="00F42E9A" w:rsidRDefault="00F42E9A"/>
    <w:p w:rsidR="00F42E9A" w:rsidRDefault="00F42E9A" w:rsidP="004377BA">
      <w:pPr>
        <w:jc w:val="center"/>
      </w:pPr>
    </w:p>
    <w:p w:rsidR="00F42E9A" w:rsidRDefault="00F42E9A"/>
    <w:p w:rsidR="00F42E9A" w:rsidRDefault="00F42E9A"/>
    <w:p w:rsidR="00F42E9A" w:rsidRDefault="00F42E9A"/>
    <w:p w:rsidR="00F42E9A" w:rsidRDefault="00F42E9A"/>
    <w:p w:rsidR="00F42E9A" w:rsidRDefault="00F42E9A"/>
    <w:p w:rsidR="00F42E9A" w:rsidRDefault="00F42E9A"/>
    <w:p w:rsidR="00F42E9A" w:rsidRDefault="00F42E9A"/>
    <w:p w:rsidR="00F42E9A" w:rsidRDefault="00F42E9A"/>
    <w:p w:rsidR="00F42E9A" w:rsidRDefault="00F42E9A"/>
    <w:p w:rsidR="00F42E9A" w:rsidRDefault="00DF4248">
      <w:pPr>
        <w:tabs>
          <w:tab w:val="left" w:pos="700"/>
        </w:tabs>
      </w:pPr>
      <w:r>
        <w:tab/>
      </w:r>
    </w:p>
    <w:p w:rsidR="00F42E9A" w:rsidRDefault="00F42E9A"/>
    <w:p w:rsidR="00F42E9A" w:rsidRDefault="00F42E9A"/>
    <w:p w:rsidR="00F42E9A" w:rsidRDefault="00F42E9A">
      <w:pPr>
        <w:sectPr w:rsidR="00F42E9A">
          <w:footerReference w:type="default" r:id="rId9"/>
          <w:pgSz w:w="11906" w:h="16838"/>
          <w:pgMar w:top="1440" w:right="1800" w:bottom="1440" w:left="1800" w:header="851" w:footer="992" w:gutter="0"/>
          <w:pgNumType w:start="1" w:chapStyle="1"/>
          <w:cols w:space="425"/>
          <w:docGrid w:type="lines" w:linePitch="312"/>
        </w:sectPr>
      </w:pPr>
    </w:p>
    <w:p w:rsidR="00F42E9A" w:rsidRDefault="00DF4248">
      <w:pPr>
        <w:widowControl/>
        <w:overflowPunct w:val="0"/>
        <w:spacing w:line="560" w:lineRule="exact"/>
        <w:ind w:firstLineChars="200" w:firstLine="640"/>
        <w:rPr>
          <w:rFonts w:ascii="Times New Roman" w:eastAsia="仿宋_GB2312" w:hAnsi="Times New Roman"/>
          <w:sz w:val="32"/>
          <w:szCs w:val="32"/>
        </w:rPr>
      </w:pPr>
      <w:bookmarkStart w:id="4" w:name="_Toc10692"/>
      <w:bookmarkStart w:id="5" w:name="_Toc13203"/>
      <w:bookmarkEnd w:id="2"/>
      <w:r>
        <w:rPr>
          <w:rFonts w:ascii="Times New Roman" w:eastAsia="仿宋_GB2312" w:hAnsi="Times New Roman" w:hint="eastAsia"/>
          <w:sz w:val="32"/>
          <w:szCs w:val="32"/>
        </w:rPr>
        <w:lastRenderedPageBreak/>
        <w:t>金融是国民经济的血脉，是国家核心竞争力的重要组成部分。金融街作为国家金融管理中心，在坚定不移走中国特色金融发展之路、服务金融强国建设、维护国家金融安全进程中承担重要使命。“十四五”时期，在中央金融管理部门有力指导和支持下，在市委市政府坚强领导下，西城区金融业实现高质量发展，服务北京证券交易所、北京金融法院等一批国家金融改革成果落地，金融街论坛升格为国家级、国际化专业论坛，资管高地和金融科技高地建设取得重要成果。“十五五”时期，金融发展环境面临深刻复杂变化，西城区金融业具备向更高质量发展的良好基础和条件，同时也存在结构不优、功能不够完善等问题，必须坚持和加强党的领导，深刻把握金融工作的政治性、人民性，更好服务保障国家金融管理中心建设。为深入贯彻落实党中央、国务院和市委市政府关于推动金融高质量发展重要部署，依据《北京市国民经济和社会发展第十五个五年规划纲要》《北京市“十五五”时期金融业发展规划》《北京市西城区国民经济和社会发展第十五个五年规划纲要》，编制本规划。</w:t>
      </w:r>
    </w:p>
    <w:p w:rsidR="00F42E9A" w:rsidRDefault="00DF4248">
      <w:pPr>
        <w:widowControl/>
        <w:overflowPunct w:val="0"/>
        <w:spacing w:line="560" w:lineRule="exact"/>
        <w:ind w:firstLineChars="200" w:firstLine="452"/>
        <w:rPr>
          <w:rFonts w:ascii="黑体" w:eastAsia="黑体" w:hAnsi="黑体" w:cs="黑体"/>
          <w:bCs/>
          <w:sz w:val="32"/>
          <w:szCs w:val="32"/>
        </w:rPr>
      </w:pPr>
      <w:r>
        <w:rPr>
          <w:rFonts w:ascii="仿宋_GB2312" w:eastAsia="仿宋_GB2312" w:hAnsi="Segoe UI" w:cs="Segoe UI" w:hint="eastAsia"/>
          <w:color w:val="333333"/>
          <w:spacing w:val="8"/>
          <w:szCs w:val="32"/>
          <w:shd w:val="clear" w:color="auto" w:fill="FFFFFF"/>
        </w:rPr>
        <w:t xml:space="preserve">  </w:t>
      </w:r>
      <w:r>
        <w:rPr>
          <w:rFonts w:ascii="黑体" w:eastAsia="黑体" w:hAnsi="黑体" w:cs="黑体" w:hint="eastAsia"/>
          <w:bCs/>
          <w:sz w:val="32"/>
          <w:szCs w:val="32"/>
        </w:rPr>
        <w:t>一、总体要求</w:t>
      </w:r>
    </w:p>
    <w:p w:rsidR="00F42E9A" w:rsidRDefault="00DF4248">
      <w:pPr>
        <w:widowControl/>
        <w:overflowPunct w:val="0"/>
        <w:spacing w:line="560" w:lineRule="exact"/>
        <w:ind w:firstLineChars="200" w:firstLine="640"/>
        <w:rPr>
          <w:rFonts w:ascii="楷体_GB2312" w:eastAsia="楷体_GB2312" w:hAnsi="仿宋_GB2312" w:cs="仿宋_GB2312"/>
          <w:b/>
          <w:bCs/>
          <w:sz w:val="32"/>
          <w:szCs w:val="32"/>
        </w:rPr>
      </w:pPr>
      <w:r>
        <w:rPr>
          <w:rFonts w:ascii="楷体_GB2312" w:eastAsia="楷体_GB2312" w:hAnsi="黑体" w:cs="黑体" w:hint="eastAsia"/>
          <w:bCs/>
          <w:sz w:val="32"/>
          <w:szCs w:val="32"/>
        </w:rPr>
        <w:t>（一）总体思路</w:t>
      </w:r>
    </w:p>
    <w:p w:rsidR="00F42E9A" w:rsidRDefault="00DF4248">
      <w:pPr>
        <w:widowContro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十五五”时期，坚持以习近平新时代中国特色社会主义思想为指导，全面贯彻党的二十大和二十届历次全会精神，深入贯彻习近平总书记对北京重要讲话和对金融工作的重要指示精神。坚持党中央对金融工作的集中统一领导，</w:t>
      </w:r>
      <w:r>
        <w:rPr>
          <w:rFonts w:ascii="仿宋_GB2312" w:eastAsia="仿宋_GB2312" w:hAnsi="仿宋_GB2312" w:cs="仿宋_GB2312" w:hint="eastAsia"/>
          <w:sz w:val="32"/>
          <w:szCs w:val="32"/>
        </w:rPr>
        <w:t>深刻把握金融工作的政</w:t>
      </w:r>
      <w:r>
        <w:rPr>
          <w:rFonts w:ascii="仿宋_GB2312" w:eastAsia="仿宋_GB2312" w:hAnsi="仿宋_GB2312" w:cs="仿宋_GB2312" w:hint="eastAsia"/>
          <w:sz w:val="32"/>
          <w:szCs w:val="32"/>
        </w:rPr>
        <w:lastRenderedPageBreak/>
        <w:t>治性、人民性。完整准确全面贯彻新发展理念，坚持以新时代首都发展为统领，加强“四个中心”功能建设，提高“四个服务”水平，以防风险、强监管、促高质量发展为主线，按照“一二三四五”总体思路推进工作：</w:t>
      </w:r>
      <w:r>
        <w:rPr>
          <w:rFonts w:ascii="仿宋_GB2312" w:eastAsia="仿宋_GB2312" w:hAnsi="仿宋_GB2312" w:cs="仿宋_GB2312" w:hint="eastAsia"/>
          <w:b/>
          <w:bCs/>
          <w:sz w:val="32"/>
          <w:szCs w:val="32"/>
        </w:rPr>
        <w:t>聚焦1个中心任务</w:t>
      </w:r>
      <w:r>
        <w:rPr>
          <w:rFonts w:ascii="仿宋_GB2312" w:eastAsia="仿宋_GB2312" w:hAnsi="仿宋_GB2312" w:cs="仿宋_GB2312" w:hint="eastAsia"/>
          <w:sz w:val="32"/>
          <w:szCs w:val="32"/>
        </w:rPr>
        <w:t>：强化服务保障国家金融管理中心功能；</w:t>
      </w:r>
      <w:r>
        <w:rPr>
          <w:rFonts w:ascii="仿宋_GB2312" w:eastAsia="仿宋_GB2312" w:hAnsi="仿宋_GB2312" w:cs="仿宋_GB2312" w:hint="eastAsia"/>
          <w:b/>
          <w:bCs/>
          <w:sz w:val="32"/>
          <w:szCs w:val="32"/>
        </w:rPr>
        <w:t>打造2个生态圈</w:t>
      </w:r>
      <w:r>
        <w:rPr>
          <w:rFonts w:ascii="仿宋_GB2312" w:eastAsia="仿宋_GB2312" w:hAnsi="仿宋_GB2312" w:cs="仿宋_GB2312" w:hint="eastAsia"/>
          <w:sz w:val="32"/>
          <w:szCs w:val="32"/>
        </w:rPr>
        <w:t>：构建以北交所为核心的资本市场生态圈和“科技-产业-金融”循环赋能生态圈；</w:t>
      </w:r>
      <w:r>
        <w:rPr>
          <w:rFonts w:ascii="仿宋_GB2312" w:eastAsia="仿宋_GB2312" w:hAnsi="仿宋_GB2312" w:cs="仿宋_GB2312" w:hint="eastAsia"/>
          <w:b/>
          <w:bCs/>
          <w:sz w:val="32"/>
          <w:szCs w:val="32"/>
        </w:rPr>
        <w:t>实现3个着力提升</w:t>
      </w:r>
      <w:r>
        <w:rPr>
          <w:rFonts w:ascii="仿宋_GB2312" w:eastAsia="仿宋_GB2312" w:hAnsi="仿宋_GB2312" w:cs="仿宋_GB2312" w:hint="eastAsia"/>
          <w:sz w:val="32"/>
          <w:szCs w:val="32"/>
        </w:rPr>
        <w:t>：提升营商环境、法治环境和金融街城市环境品质；</w:t>
      </w:r>
      <w:r>
        <w:rPr>
          <w:rFonts w:ascii="仿宋_GB2312" w:eastAsia="仿宋_GB2312" w:hAnsi="仿宋_GB2312" w:cs="仿宋_GB2312" w:hint="eastAsia"/>
          <w:b/>
          <w:bCs/>
          <w:sz w:val="32"/>
          <w:szCs w:val="32"/>
        </w:rPr>
        <w:t>突出4个重点产业方向：</w:t>
      </w:r>
      <w:r>
        <w:rPr>
          <w:rFonts w:ascii="仿宋_GB2312" w:eastAsia="仿宋_GB2312" w:hAnsi="仿宋_GB2312" w:cs="仿宋_GB2312" w:hint="eastAsia"/>
          <w:sz w:val="32"/>
          <w:szCs w:val="32"/>
        </w:rPr>
        <w:t>深化资管高地和金融科技高地建设，打造保险创新示范区和优质基金聚集区；</w:t>
      </w:r>
      <w:bookmarkStart w:id="6" w:name="OLE_LINK1"/>
      <w:bookmarkStart w:id="7" w:name="OLE_LINK5"/>
      <w:r>
        <w:rPr>
          <w:rFonts w:ascii="仿宋_GB2312" w:eastAsia="仿宋_GB2312" w:hAnsi="仿宋_GB2312" w:cs="仿宋_GB2312" w:hint="eastAsia"/>
          <w:b/>
          <w:bCs/>
          <w:sz w:val="32"/>
          <w:szCs w:val="32"/>
        </w:rPr>
        <w:t>打造5个标杆示范区</w:t>
      </w:r>
      <w:r>
        <w:rPr>
          <w:rFonts w:ascii="仿宋_GB2312" w:eastAsia="仿宋_GB2312" w:hAnsi="仿宋_GB2312" w:cs="仿宋_GB2312" w:hint="eastAsia"/>
          <w:sz w:val="32"/>
          <w:szCs w:val="32"/>
        </w:rPr>
        <w:t>：系统推进金融标准策源区、政策赋能试验区、</w:t>
      </w:r>
      <w:bookmarkStart w:id="8" w:name="OLE_LINK6"/>
      <w:bookmarkStart w:id="9" w:name="OLE_LINK8"/>
      <w:r>
        <w:rPr>
          <w:rFonts w:ascii="仿宋_GB2312" w:eastAsia="仿宋_GB2312" w:hAnsi="仿宋_GB2312" w:cs="仿宋_GB2312" w:hint="eastAsia"/>
          <w:sz w:val="32"/>
          <w:szCs w:val="32"/>
        </w:rPr>
        <w:t>金融“五篇大文章”融合示范区</w:t>
      </w:r>
      <w:bookmarkEnd w:id="8"/>
      <w:bookmarkEnd w:id="9"/>
      <w:r>
        <w:rPr>
          <w:rFonts w:ascii="仿宋_GB2312" w:eastAsia="仿宋_GB2312" w:hAnsi="仿宋_GB2312" w:cs="仿宋_GB2312" w:hint="eastAsia"/>
          <w:sz w:val="32"/>
          <w:szCs w:val="32"/>
        </w:rPr>
        <w:t>、金融开放合作枢纽区以及金融文化引领区建设，为金融强国建设作出更大贡献。</w:t>
      </w:r>
    </w:p>
    <w:p w:rsidR="00F42E9A" w:rsidRDefault="00DF4248">
      <w:pPr>
        <w:widowControl/>
        <w:overflowPunct w:val="0"/>
        <w:spacing w:line="560" w:lineRule="exact"/>
        <w:ind w:firstLineChars="200" w:firstLine="640"/>
        <w:rPr>
          <w:rFonts w:ascii="楷体_GB2312" w:eastAsia="楷体_GB2312" w:hAnsi="仿宋_GB2312" w:cs="仿宋_GB2312"/>
          <w:b/>
          <w:bCs/>
          <w:sz w:val="32"/>
          <w:szCs w:val="32"/>
        </w:rPr>
      </w:pPr>
      <w:r>
        <w:rPr>
          <w:rFonts w:ascii="楷体_GB2312" w:eastAsia="楷体_GB2312" w:hAnsi="仿宋_GB2312" w:cs="仿宋_GB2312" w:hint="eastAsia"/>
          <w:sz w:val="32"/>
          <w:szCs w:val="32"/>
        </w:rPr>
        <w:t>（二）主要目标</w:t>
      </w:r>
    </w:p>
    <w:bookmarkEnd w:id="6"/>
    <w:bookmarkEnd w:id="7"/>
    <w:p w:rsidR="00F42E9A" w:rsidRDefault="00DF4248">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主动对标金融强国建设使命和北京市“十五五”时期金融业发展任务部署，综合考虑发展趋势和现实条件,到“十五五”期末，实现如下目标：</w:t>
      </w:r>
    </w:p>
    <w:p w:rsidR="00F42E9A" w:rsidRDefault="00DF4248">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金融管理中心决策监管、标准制定、资产管理、支付结算、信息交流、国际合作、文化引领、法治示范功能持续强化，有效服务和承载国家经济金融改革发展。现代金融业态结构和生态结构不断优化，货币金融服务业优势进一步巩固，资本市场服务业竞争力增强，保险、资产管理、基金、金融科技等重点产业发展特色更加鲜明。以北交所为核心的资本市场生态圈吸附作用</w:t>
      </w:r>
      <w:r>
        <w:rPr>
          <w:rFonts w:ascii="仿宋_GB2312" w:eastAsia="仿宋_GB2312" w:hAnsi="仿宋_GB2312" w:cs="仿宋_GB2312" w:hint="eastAsia"/>
          <w:sz w:val="32"/>
          <w:szCs w:val="32"/>
        </w:rPr>
        <w:lastRenderedPageBreak/>
        <w:t>持续提升。金融“五篇大文章”发展取得显著成效，“科技-产业-金融”循环机制进一步健全，金融服务新质生产力示范效应更加凸显。金融高水平扩大开放走在前列，金融街论坛国际化水平和影响力进一步提升，有效发挥国家重要开放平台作用，金融国际城市交流合作持续深化。金融街环境品质持续提升，金融法治建设迈上新台阶，有效维护区域金融安全稳定，加快形成市场化、法治化、国际化一流营商环境。</w:t>
      </w:r>
    </w:p>
    <w:p w:rsidR="00F42E9A" w:rsidRDefault="00DF424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到2035年把金融街基本建成功能要素完备、金融机构聚集、金融人才荟萃、产业生态优良、创新活力迸发、国际交流活跃的国家金融管理中心。有效服务国家重大战略实施、经济金融改革和金融创新政策实践，引领金融高水平制度型开放，有效服务和参与全球金融治理，在构建具有高度适应性、竞争力、普惠性的中国特色现代金融体系中走在前、做表率，成为金融强国建设的重要支撑。</w:t>
      </w:r>
    </w:p>
    <w:bookmarkEnd w:id="4"/>
    <w:bookmarkEnd w:id="5"/>
    <w:p w:rsidR="00F42E9A" w:rsidRDefault="00DF4248" w:rsidP="00970437">
      <w:pPr>
        <w:widowControl/>
        <w:overflowPunct w:val="0"/>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表1 西城区“十五五”时期金融业主要预期性指标表</w:t>
      </w:r>
    </w:p>
    <w:tbl>
      <w:tblPr>
        <w:tblStyle w:val="ac"/>
        <w:tblW w:w="9061" w:type="dxa"/>
        <w:tblLayout w:type="fixed"/>
        <w:tblLook w:val="04A0" w:firstRow="1" w:lastRow="0" w:firstColumn="1" w:lastColumn="0" w:noHBand="0" w:noVBand="1"/>
      </w:tblPr>
      <w:tblGrid>
        <w:gridCol w:w="1140"/>
        <w:gridCol w:w="3931"/>
        <w:gridCol w:w="2162"/>
        <w:gridCol w:w="1828"/>
      </w:tblGrid>
      <w:tr w:rsidR="00F42E9A">
        <w:trPr>
          <w:trHeight w:val="457"/>
        </w:trPr>
        <w:tc>
          <w:tcPr>
            <w:tcW w:w="1140" w:type="dxa"/>
            <w:tcBorders>
              <w:top w:val="single" w:sz="4" w:space="0" w:color="auto"/>
              <w:left w:val="single" w:sz="4" w:space="0" w:color="auto"/>
              <w:bottom w:val="single" w:sz="4" w:space="0" w:color="auto"/>
              <w:right w:val="single" w:sz="4" w:space="0" w:color="auto"/>
            </w:tcBorders>
            <w:vAlign w:val="center"/>
          </w:tcPr>
          <w:p w:rsidR="00F42E9A" w:rsidRDefault="00DF4248">
            <w:pPr>
              <w:jc w:val="center"/>
              <w:rPr>
                <w:rFonts w:ascii="黑体" w:eastAsia="黑体" w:hAnsi="黑体" w:cs="黑体"/>
                <w:sz w:val="28"/>
                <w:szCs w:val="28"/>
              </w:rPr>
            </w:pPr>
            <w:r>
              <w:rPr>
                <w:rFonts w:ascii="黑体" w:eastAsia="黑体" w:hAnsi="黑体" w:cs="黑体" w:hint="eastAsia"/>
                <w:sz w:val="28"/>
                <w:szCs w:val="28"/>
              </w:rPr>
              <w:t>序号</w:t>
            </w:r>
          </w:p>
        </w:tc>
        <w:tc>
          <w:tcPr>
            <w:tcW w:w="3931" w:type="dxa"/>
            <w:tcBorders>
              <w:top w:val="single" w:sz="4" w:space="0" w:color="auto"/>
              <w:left w:val="single" w:sz="4" w:space="0" w:color="auto"/>
              <w:bottom w:val="single" w:sz="4" w:space="0" w:color="auto"/>
              <w:right w:val="single" w:sz="4" w:space="0" w:color="auto"/>
            </w:tcBorders>
            <w:vAlign w:val="center"/>
          </w:tcPr>
          <w:p w:rsidR="00F42E9A" w:rsidRDefault="00DF4248">
            <w:pPr>
              <w:jc w:val="center"/>
              <w:rPr>
                <w:rFonts w:ascii="黑体" w:eastAsia="黑体" w:hAnsi="黑体" w:cs="黑体"/>
                <w:sz w:val="28"/>
                <w:szCs w:val="28"/>
              </w:rPr>
            </w:pPr>
            <w:r>
              <w:rPr>
                <w:rFonts w:ascii="黑体" w:eastAsia="黑体" w:hAnsi="黑体" w:cs="黑体" w:hint="eastAsia"/>
                <w:sz w:val="28"/>
                <w:szCs w:val="28"/>
              </w:rPr>
              <w:t>指标名称</w:t>
            </w:r>
          </w:p>
        </w:tc>
        <w:tc>
          <w:tcPr>
            <w:tcW w:w="2162" w:type="dxa"/>
            <w:tcBorders>
              <w:top w:val="single" w:sz="4" w:space="0" w:color="auto"/>
              <w:left w:val="single" w:sz="4" w:space="0" w:color="auto"/>
              <w:bottom w:val="single" w:sz="4" w:space="0" w:color="auto"/>
              <w:right w:val="single" w:sz="4" w:space="0" w:color="auto"/>
            </w:tcBorders>
            <w:vAlign w:val="center"/>
          </w:tcPr>
          <w:p w:rsidR="00F42E9A" w:rsidRDefault="00DF4248">
            <w:pPr>
              <w:jc w:val="center"/>
              <w:rPr>
                <w:rFonts w:ascii="黑体" w:eastAsia="黑体" w:hAnsi="黑体" w:cs="黑体"/>
                <w:sz w:val="28"/>
                <w:szCs w:val="28"/>
              </w:rPr>
            </w:pPr>
            <w:r>
              <w:rPr>
                <w:rFonts w:ascii="黑体" w:eastAsia="黑体" w:hAnsi="黑体" w:cs="黑体" w:hint="eastAsia"/>
                <w:sz w:val="28"/>
                <w:szCs w:val="28"/>
              </w:rPr>
              <w:t>目标（指标）</w:t>
            </w:r>
          </w:p>
        </w:tc>
        <w:tc>
          <w:tcPr>
            <w:tcW w:w="1828" w:type="dxa"/>
            <w:tcBorders>
              <w:top w:val="single" w:sz="4" w:space="0" w:color="auto"/>
              <w:left w:val="single" w:sz="4" w:space="0" w:color="auto"/>
              <w:bottom w:val="single" w:sz="4" w:space="0" w:color="auto"/>
              <w:right w:val="single" w:sz="4" w:space="0" w:color="auto"/>
            </w:tcBorders>
            <w:vAlign w:val="center"/>
          </w:tcPr>
          <w:p w:rsidR="00F42E9A" w:rsidRDefault="00DF4248">
            <w:pPr>
              <w:jc w:val="center"/>
              <w:rPr>
                <w:rFonts w:ascii="黑体" w:eastAsia="黑体" w:hAnsi="黑体" w:cs="黑体"/>
                <w:sz w:val="28"/>
                <w:szCs w:val="28"/>
              </w:rPr>
            </w:pPr>
            <w:r>
              <w:rPr>
                <w:rFonts w:ascii="黑体" w:eastAsia="黑体" w:hAnsi="黑体" w:cs="黑体" w:hint="eastAsia"/>
                <w:sz w:val="28"/>
                <w:szCs w:val="28"/>
              </w:rPr>
              <w:t>属性</w:t>
            </w:r>
          </w:p>
        </w:tc>
      </w:tr>
      <w:tr w:rsidR="00F42E9A">
        <w:trPr>
          <w:trHeight w:hRule="exact" w:val="680"/>
        </w:trPr>
        <w:tc>
          <w:tcPr>
            <w:tcW w:w="1140"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3931"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金融业增加值年均增幅（%）</w:t>
            </w:r>
          </w:p>
        </w:tc>
        <w:tc>
          <w:tcPr>
            <w:tcW w:w="2162"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5.5%左右</w:t>
            </w:r>
          </w:p>
        </w:tc>
        <w:tc>
          <w:tcPr>
            <w:tcW w:w="1828"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预期性</w:t>
            </w:r>
          </w:p>
        </w:tc>
      </w:tr>
      <w:tr w:rsidR="00F42E9A">
        <w:trPr>
          <w:trHeight w:hRule="exact" w:val="680"/>
        </w:trPr>
        <w:tc>
          <w:tcPr>
            <w:tcW w:w="1140"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3931"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资产管理规模年均增速（%）</w:t>
            </w:r>
          </w:p>
        </w:tc>
        <w:tc>
          <w:tcPr>
            <w:tcW w:w="2162"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5.5%</w:t>
            </w:r>
          </w:p>
        </w:tc>
        <w:tc>
          <w:tcPr>
            <w:tcW w:w="1828"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预期性</w:t>
            </w:r>
          </w:p>
        </w:tc>
      </w:tr>
      <w:tr w:rsidR="00F42E9A">
        <w:trPr>
          <w:trHeight w:hRule="exact" w:val="680"/>
        </w:trPr>
        <w:tc>
          <w:tcPr>
            <w:tcW w:w="1140"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3931"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保险资金运用余额</w:t>
            </w:r>
          </w:p>
        </w:tc>
        <w:tc>
          <w:tcPr>
            <w:tcW w:w="2162"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20万亿元</w:t>
            </w:r>
          </w:p>
        </w:tc>
        <w:tc>
          <w:tcPr>
            <w:tcW w:w="1828"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预期性</w:t>
            </w:r>
          </w:p>
        </w:tc>
      </w:tr>
      <w:tr w:rsidR="00F42E9A">
        <w:trPr>
          <w:trHeight w:hRule="exact" w:val="680"/>
        </w:trPr>
        <w:tc>
          <w:tcPr>
            <w:tcW w:w="1140"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3931"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私募基金管理规模</w:t>
            </w:r>
          </w:p>
        </w:tc>
        <w:tc>
          <w:tcPr>
            <w:tcW w:w="2162"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超1万亿元</w:t>
            </w:r>
          </w:p>
        </w:tc>
        <w:tc>
          <w:tcPr>
            <w:tcW w:w="1828"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预期性</w:t>
            </w:r>
          </w:p>
        </w:tc>
      </w:tr>
    </w:tbl>
    <w:p w:rsidR="00F42E9A" w:rsidRDefault="00DF4248">
      <w:pPr>
        <w:pStyle w:val="1"/>
        <w:spacing w:before="0" w:after="0" w:line="560" w:lineRule="exact"/>
        <w:ind w:firstLineChars="200" w:firstLine="640"/>
        <w:rPr>
          <w:rFonts w:ascii="仿宋_GB2312" w:eastAsia="仿宋_GB2312" w:hAnsi="仿宋_GB2312" w:cs="仿宋_GB2312"/>
          <w:sz w:val="32"/>
          <w:szCs w:val="32"/>
        </w:rPr>
      </w:pPr>
      <w:bookmarkStart w:id="10" w:name="_Toc26156"/>
      <w:bookmarkStart w:id="11" w:name="_Toc10455"/>
      <w:bookmarkStart w:id="12" w:name="_Toc30894"/>
      <w:bookmarkStart w:id="13" w:name="_Toc10594"/>
      <w:bookmarkStart w:id="14" w:name="_Toc32411"/>
      <w:bookmarkStart w:id="15" w:name="_Toc7586"/>
      <w:bookmarkStart w:id="16" w:name="_Toc28220"/>
      <w:bookmarkStart w:id="17" w:name="_Toc5230"/>
      <w:bookmarkStart w:id="18" w:name="_Toc30837"/>
      <w:bookmarkStart w:id="19" w:name="_Toc19523"/>
      <w:r>
        <w:rPr>
          <w:rFonts w:ascii="黑体" w:eastAsia="黑体" w:hAnsi="黑体" w:cs="黑体" w:hint="eastAsia"/>
          <w:b w:val="0"/>
          <w:bCs/>
          <w:sz w:val="32"/>
          <w:szCs w:val="32"/>
        </w:rPr>
        <w:lastRenderedPageBreak/>
        <w:t>二、服务保障国家金融管理中心</w:t>
      </w:r>
      <w:bookmarkEnd w:id="10"/>
      <w:bookmarkEnd w:id="11"/>
      <w:bookmarkEnd w:id="12"/>
      <w:bookmarkEnd w:id="13"/>
      <w:bookmarkEnd w:id="14"/>
      <w:bookmarkEnd w:id="15"/>
      <w:bookmarkEnd w:id="16"/>
      <w:bookmarkEnd w:id="17"/>
      <w:bookmarkEnd w:id="18"/>
      <w:bookmarkEnd w:id="19"/>
      <w:r>
        <w:rPr>
          <w:rFonts w:ascii="黑体" w:eastAsia="黑体" w:hAnsi="黑体" w:cs="黑体" w:hint="eastAsia"/>
          <w:b w:val="0"/>
          <w:bCs/>
          <w:sz w:val="32"/>
          <w:szCs w:val="32"/>
        </w:rPr>
        <w:t>功能</w:t>
      </w:r>
    </w:p>
    <w:p w:rsidR="00F42E9A" w:rsidRDefault="00DF4248">
      <w:pPr>
        <w:pStyle w:val="2"/>
        <w:spacing w:before="0" w:after="0" w:line="560" w:lineRule="exact"/>
        <w:ind w:firstLineChars="200" w:firstLine="640"/>
        <w:rPr>
          <w:rFonts w:ascii="楷体" w:eastAsia="楷体" w:hAnsi="楷体" w:cs="楷体"/>
          <w:szCs w:val="32"/>
        </w:rPr>
      </w:pPr>
      <w:bookmarkStart w:id="20" w:name="_Toc25176"/>
      <w:bookmarkStart w:id="21" w:name="_Toc13170"/>
      <w:bookmarkStart w:id="22" w:name="_Toc30730"/>
      <w:bookmarkStart w:id="23" w:name="_Toc15414"/>
      <w:bookmarkStart w:id="24" w:name="_Toc22714"/>
      <w:bookmarkStart w:id="25" w:name="_Toc32426"/>
      <w:bookmarkStart w:id="26" w:name="_Toc15203"/>
      <w:bookmarkStart w:id="27" w:name="_Toc18687"/>
      <w:bookmarkStart w:id="28" w:name="_Toc30384"/>
      <w:bookmarkStart w:id="29" w:name="_Toc25587"/>
      <w:bookmarkStart w:id="30" w:name="_Toc210895560"/>
      <w:bookmarkStart w:id="31" w:name="_Toc23847"/>
      <w:bookmarkStart w:id="32" w:name="_Toc7636"/>
      <w:bookmarkStart w:id="33" w:name="_Toc16694"/>
      <w:bookmarkStart w:id="34" w:name="_Toc31651"/>
      <w:bookmarkStart w:id="35" w:name="_Toc23608"/>
      <w:bookmarkStart w:id="36" w:name="_Toc26090"/>
      <w:bookmarkStart w:id="37" w:name="_Toc18658"/>
      <w:bookmarkStart w:id="38" w:name="_Toc13698"/>
      <w:bookmarkStart w:id="39" w:name="_Toc29514"/>
      <w:bookmarkStart w:id="40" w:name="_Toc30379"/>
      <w:r>
        <w:rPr>
          <w:rFonts w:ascii="楷体" w:eastAsia="楷体" w:hAnsi="楷体" w:cs="楷体" w:hint="eastAsia"/>
          <w:b w:val="0"/>
          <w:bCs/>
        </w:rPr>
        <w:t>（一）</w:t>
      </w:r>
      <w:bookmarkEnd w:id="20"/>
      <w:bookmarkEnd w:id="21"/>
      <w:bookmarkEnd w:id="22"/>
      <w:bookmarkEnd w:id="23"/>
      <w:bookmarkEnd w:id="24"/>
      <w:bookmarkEnd w:id="25"/>
      <w:bookmarkEnd w:id="26"/>
      <w:bookmarkEnd w:id="27"/>
      <w:bookmarkEnd w:id="28"/>
      <w:bookmarkEnd w:id="29"/>
      <w:r>
        <w:rPr>
          <w:rFonts w:ascii="楷体" w:eastAsia="楷体" w:hAnsi="楷体" w:cs="楷体" w:hint="eastAsia"/>
          <w:b w:val="0"/>
          <w:bCs/>
        </w:rPr>
        <w:t>服务国家金融决策监管</w:t>
      </w:r>
    </w:p>
    <w:p w:rsidR="00F42E9A" w:rsidRDefault="00DF4248">
      <w:pPr>
        <w:pStyle w:val="a4"/>
        <w:spacing w:line="560" w:lineRule="exact"/>
        <w:ind w:firstLineChars="200" w:firstLine="640"/>
        <w:rPr>
          <w:rFonts w:ascii="楷体_GB2312" w:eastAsia="楷体_GB2312" w:hAnsi="楷体" w:cs="楷体"/>
          <w:bCs/>
          <w:sz w:val="32"/>
          <w:szCs w:val="32"/>
        </w:rPr>
      </w:pPr>
      <w:bookmarkStart w:id="41" w:name="_Toc14951"/>
      <w:bookmarkStart w:id="42" w:name="_Toc26253"/>
      <w:bookmarkStart w:id="43" w:name="_Toc9140"/>
      <w:bookmarkStart w:id="44" w:name="_Toc7531"/>
      <w:bookmarkStart w:id="45" w:name="_Toc8424"/>
      <w:bookmarkStart w:id="46" w:name="_Toc210895558"/>
      <w:bookmarkStart w:id="47" w:name="_Toc11675"/>
      <w:bookmarkStart w:id="48" w:name="_Toc24475"/>
      <w:bookmarkStart w:id="49" w:name="_Toc7956"/>
      <w:bookmarkStart w:id="50" w:name="_Toc17845"/>
      <w:bookmarkStart w:id="51" w:name="_Toc27587"/>
      <w:r>
        <w:rPr>
          <w:rFonts w:ascii="仿宋_GB2312" w:eastAsia="仿宋_GB2312" w:hint="eastAsia"/>
          <w:sz w:val="32"/>
          <w:szCs w:val="32"/>
        </w:rPr>
        <w:t>提升“四个服务”水平，建立健全与中央金融管理部门、市级金融管理部门常态化协作机制，巩固加强国家金融管理中心地位和作用。服务金融管理部门深化国际监管交流合作，参与全球治理。发挥金融街金融生态优势，积极承接金融改革创新试点，推动形成更多可复制可推广的经验做法。充分发挥金融管理部门、金融行业协会作用，积极构建“金融街实践－国家规范－全国推广”的有效路径，推动“国家标准金融街首研首发”，打造国家重要金融标准的研究、起草与优先发布核心承载地。</w:t>
      </w:r>
    </w:p>
    <w:p w:rsidR="00F42E9A" w:rsidRDefault="00DF4248">
      <w:pPr>
        <w:pStyle w:val="a4"/>
        <w:spacing w:line="560" w:lineRule="exact"/>
        <w:ind w:firstLineChars="200" w:firstLine="640"/>
        <w:rPr>
          <w:rFonts w:ascii="楷体_GB2312" w:eastAsia="楷体_GB2312" w:hAnsi="黑体" w:cs="楷体"/>
          <w:sz w:val="32"/>
          <w:szCs w:val="32"/>
        </w:rPr>
      </w:pPr>
      <w:r>
        <w:rPr>
          <w:rFonts w:ascii="楷体_GB2312" w:eastAsia="楷体_GB2312" w:hAnsi="楷体" w:cs="楷体" w:hint="eastAsia"/>
          <w:bCs/>
          <w:sz w:val="32"/>
          <w:szCs w:val="32"/>
        </w:rPr>
        <w:t>（</w:t>
      </w:r>
      <w:r>
        <w:rPr>
          <w:rFonts w:ascii="楷体_GB2312" w:eastAsia="楷体_GB2312" w:hAnsi="黑体" w:cs="楷体" w:hint="eastAsia"/>
          <w:bCs/>
          <w:sz w:val="32"/>
          <w:szCs w:val="32"/>
        </w:rPr>
        <w:t>二）保障金融基础设施</w:t>
      </w:r>
      <w:bookmarkEnd w:id="41"/>
      <w:bookmarkEnd w:id="42"/>
      <w:bookmarkEnd w:id="43"/>
      <w:bookmarkEnd w:id="44"/>
      <w:bookmarkEnd w:id="45"/>
      <w:bookmarkEnd w:id="46"/>
      <w:bookmarkEnd w:id="47"/>
      <w:bookmarkEnd w:id="48"/>
      <w:bookmarkEnd w:id="49"/>
      <w:bookmarkEnd w:id="50"/>
      <w:bookmarkEnd w:id="51"/>
      <w:r>
        <w:rPr>
          <w:rFonts w:ascii="楷体_GB2312" w:eastAsia="楷体_GB2312" w:hAnsi="黑体" w:cs="楷体" w:hint="eastAsia"/>
          <w:bCs/>
          <w:sz w:val="32"/>
          <w:szCs w:val="32"/>
        </w:rPr>
        <w:t>建设</w:t>
      </w:r>
    </w:p>
    <w:p w:rsidR="00F42E9A" w:rsidRDefault="00DF424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保障金融基础设施安全可靠运行，支持提升风险管理能力、治理水平和科技支撑能力。积极探索承接新型金融基础设施，争取跨境支付结算、数字金融、风险监测等新型金融基础设施落地。高水平打造“人工智能+金融”应用基地和示范场景项目。依托国有大型金融机构，探索全球金融资产交易中心和全球金融资产托管中心建设。服务保障金融基础设施数智化转型，稳步提升金融业数智基础设施安全防护水平。</w:t>
      </w:r>
    </w:p>
    <w:p w:rsidR="00F42E9A" w:rsidRDefault="00DF4248">
      <w:pPr>
        <w:pStyle w:val="2"/>
        <w:spacing w:before="0" w:after="0" w:line="560" w:lineRule="exact"/>
        <w:ind w:firstLineChars="200" w:firstLine="640"/>
        <w:rPr>
          <w:rFonts w:ascii="楷体" w:eastAsia="楷体" w:hAnsi="楷体" w:cs="楷体"/>
          <w:b w:val="0"/>
          <w:bCs/>
        </w:rPr>
      </w:pPr>
      <w:r>
        <w:rPr>
          <w:rFonts w:ascii="楷体" w:eastAsia="楷体" w:hAnsi="楷体" w:cs="楷体" w:hint="eastAsia"/>
          <w:b w:val="0"/>
          <w:bCs/>
        </w:rPr>
        <w:t>（三）支持金融机构总部发展</w:t>
      </w:r>
    </w:p>
    <w:p w:rsidR="00F42E9A" w:rsidRDefault="00DF4248">
      <w:pPr>
        <w:spacing w:line="560" w:lineRule="exact"/>
        <w:rPr>
          <w:rFonts w:ascii="仿宋_GB2312" w:eastAsia="仿宋_GB2312" w:hAnsi="仿宋_GB2312" w:cs="仿宋_GB2312"/>
          <w:sz w:val="32"/>
          <w:szCs w:val="32"/>
        </w:rPr>
      </w:pPr>
      <w:r>
        <w:t xml:space="preserve">     </w:t>
      </w:r>
      <w:r>
        <w:rPr>
          <w:rFonts w:ascii="仿宋_GB2312" w:eastAsia="仿宋_GB2312" w:hAnsi="仿宋_GB2312" w:cs="仿宋_GB2312" w:hint="eastAsia"/>
          <w:sz w:val="32"/>
          <w:szCs w:val="32"/>
        </w:rPr>
        <w:t>完善驻区金融机构总部联络服务机制，精准对接需求，创造良好环境，保障安全稳定高效运行。支持金融机构总部强化战略规划、资产管理、资源配置、风控合规、科技创新等管理职能，</w:t>
      </w:r>
      <w:r>
        <w:rPr>
          <w:rFonts w:ascii="仿宋_GB2312" w:eastAsia="仿宋_GB2312" w:hAnsi="仿宋_GB2312" w:cs="仿宋_GB2312" w:hint="eastAsia"/>
          <w:sz w:val="32"/>
          <w:szCs w:val="32"/>
        </w:rPr>
        <w:lastRenderedPageBreak/>
        <w:t>充分发挥政策传导“最先一公里”和落地生效“最后一公里”作用。服务金融机构“走出去”，拓展海外业务布局，加强产品与服务创新，建设强大金融机构。积极服务金融机构总部新设和衍生板块落地发展。</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（四）优化金融人才</w:t>
      </w:r>
      <w:bookmarkEnd w:id="30"/>
      <w:bookmarkEnd w:id="31"/>
      <w:r>
        <w:rPr>
          <w:rFonts w:ascii="楷体" w:eastAsia="楷体" w:hAnsi="楷体" w:cs="楷体" w:hint="eastAsia"/>
          <w:b w:val="0"/>
          <w:bCs/>
        </w:rPr>
        <w:t>服务</w:t>
      </w:r>
      <w:bookmarkEnd w:id="32"/>
      <w:bookmarkEnd w:id="33"/>
      <w:bookmarkEnd w:id="34"/>
      <w:bookmarkEnd w:id="35"/>
      <w:bookmarkEnd w:id="36"/>
      <w:bookmarkEnd w:id="37"/>
      <w:bookmarkEnd w:id="38"/>
      <w:bookmarkEnd w:id="39"/>
      <w:bookmarkEnd w:id="40"/>
      <w:r>
        <w:rPr>
          <w:rFonts w:ascii="楷体" w:eastAsia="楷体" w:hAnsi="楷体" w:cs="楷体" w:hint="eastAsia"/>
          <w:b w:val="0"/>
          <w:bCs/>
        </w:rPr>
        <w:t>体系</w:t>
      </w:r>
    </w:p>
    <w:p w:rsidR="00F42E9A" w:rsidRPr="00970437" w:rsidRDefault="00DF4248">
      <w:pPr>
        <w:spacing w:line="560" w:lineRule="exact"/>
        <w:ind w:firstLineChars="200" w:firstLine="640"/>
        <w:rPr>
          <w:rFonts w:ascii="仿宋_GB2312" w:eastAsia="仿宋_GB2312" w:hAnsi="仿宋_GB2312" w:cs="仿宋_GB2312"/>
          <w:sz w:val="32"/>
          <w:szCs w:val="32"/>
        </w:rPr>
      </w:pPr>
      <w:bookmarkStart w:id="52" w:name="_Toc188"/>
      <w:bookmarkStart w:id="53" w:name="_Toc27567"/>
      <w:bookmarkStart w:id="54" w:name="_Toc7571"/>
      <w:bookmarkStart w:id="55" w:name="_Toc9483"/>
      <w:bookmarkStart w:id="56" w:name="_Toc32399"/>
      <w:bookmarkStart w:id="57" w:name="_Toc16606"/>
      <w:bookmarkStart w:id="58" w:name="_Toc23809"/>
      <w:bookmarkStart w:id="59" w:name="_Toc2155"/>
      <w:bookmarkStart w:id="60" w:name="_Toc31469"/>
      <w:bookmarkStart w:id="61" w:name="_Toc30580"/>
      <w:bookmarkStart w:id="62" w:name="_Toc210895562"/>
      <w:r>
        <w:rPr>
          <w:rFonts w:ascii="仿宋_GB2312" w:eastAsia="仿宋_GB2312" w:hAnsi="仿宋_GB2312" w:cs="仿宋_GB2312" w:hint="eastAsia"/>
          <w:sz w:val="32"/>
          <w:szCs w:val="32"/>
        </w:rPr>
        <w:t>强化人才引进激励机制建设，吸引集聚优秀人才，依托区域现有人才政策基础，畅通人才招引通道，增强首都金融人才的吸引力。优化资源供给与环境营造，提升政策保障力度，打造国际一流人才服务生态。系统整合区域资源，提升人才归属感和满意度。搭建产教融合载体与培育体系，强化复合型人才梯队建设。联合金融监管部门、高校、金融机构等，有针对性地培养业务精、能力强、国际化的复合型人才，</w:t>
      </w:r>
      <w:r w:rsidRPr="00970437">
        <w:rPr>
          <w:rFonts w:ascii="仿宋_GB2312" w:eastAsia="仿宋_GB2312" w:hAnsi="仿宋_GB2312" w:cs="仿宋_GB2312" w:hint="eastAsia"/>
          <w:sz w:val="32"/>
          <w:szCs w:val="32"/>
        </w:rPr>
        <w:t>为服务保障国家金融管理中心建设提供“源头活水”。</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（五）弘扬中国特色金融文化</w:t>
      </w:r>
      <w:bookmarkEnd w:id="52"/>
      <w:bookmarkEnd w:id="53"/>
      <w:bookmarkEnd w:id="54"/>
      <w:bookmarkEnd w:id="55"/>
      <w:bookmarkEnd w:id="56"/>
      <w:bookmarkEnd w:id="57"/>
      <w:bookmarkEnd w:id="58"/>
      <w:bookmarkEnd w:id="59"/>
      <w:bookmarkEnd w:id="60"/>
      <w:bookmarkEnd w:id="61"/>
      <w:bookmarkEnd w:id="62"/>
    </w:p>
    <w:p w:rsidR="00F42E9A" w:rsidRDefault="00DF4248">
      <w:pPr>
        <w:widowContro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依托聚力·金融街、党建论坛等平台，强化金融文化价值引领，支持金融机构将“</w:t>
      </w:r>
      <w:bookmarkStart w:id="63" w:name="OLE_LINK12"/>
      <w:r>
        <w:rPr>
          <w:rFonts w:ascii="仿宋_GB2312" w:eastAsia="仿宋_GB2312" w:hAnsi="仿宋_GB2312" w:cs="仿宋_GB2312" w:hint="eastAsia"/>
          <w:sz w:val="32"/>
          <w:szCs w:val="32"/>
        </w:rPr>
        <w:t>五要五不</w:t>
      </w:r>
      <w:bookmarkEnd w:id="63"/>
      <w:r>
        <w:rPr>
          <w:rFonts w:ascii="仿宋_GB2312" w:eastAsia="仿宋_GB2312" w:hAnsi="仿宋_GB2312" w:cs="仿宋_GB2312" w:hint="eastAsia"/>
          <w:sz w:val="32"/>
          <w:szCs w:val="32"/>
        </w:rPr>
        <w:t>”</w:t>
      </w:r>
      <w:r>
        <w:rPr>
          <w:rStyle w:val="af0"/>
          <w:rFonts w:ascii="仿宋_GB2312" w:eastAsia="仿宋_GB2312" w:hAnsi="仿宋_GB2312" w:cs="仿宋_GB2312"/>
          <w:sz w:val="32"/>
          <w:szCs w:val="32"/>
        </w:rPr>
        <w:footnoteReference w:id="1"/>
      </w:r>
      <w:r>
        <w:rPr>
          <w:rFonts w:ascii="仿宋_GB2312" w:eastAsia="仿宋_GB2312" w:hAnsi="仿宋_GB2312" w:cs="仿宋_GB2312" w:hint="eastAsia"/>
          <w:sz w:val="32"/>
          <w:szCs w:val="32"/>
        </w:rPr>
        <w:t>为核心的中国特色金融文化深度融入战略规划、制度建设与员工行为准则，实现从价值倡导到行动自觉的转化。提升金融文化影响力，创新“物理空间+数字平台”双载体叙事方式，充分利用街区空间、商业配套区域、常</w:t>
      </w:r>
      <w:r>
        <w:rPr>
          <w:rFonts w:ascii="仿宋_GB2312" w:eastAsia="仿宋_GB2312" w:hAnsi="仿宋_GB2312" w:cs="仿宋_GB2312" w:hint="eastAsia"/>
          <w:sz w:val="32"/>
          <w:szCs w:val="32"/>
        </w:rPr>
        <w:lastRenderedPageBreak/>
        <w:t>设展馆等载体，利用数字技术赋能，多样化金融动态发布、文化宣传、交流互动方式，以公众听得懂、易接受的形式传递金融知识、金融文化，助力构建兼具中国特色与时代精神的区域金融文化生态，为金融强国建设夯实软实力根基。</w:t>
      </w:r>
    </w:p>
    <w:tbl>
      <w:tblPr>
        <w:tblStyle w:val="ac"/>
        <w:tblW w:w="0" w:type="auto"/>
        <w:jc w:val="center"/>
        <w:tblLook w:val="04A0" w:firstRow="1" w:lastRow="0" w:firstColumn="1" w:lastColumn="0" w:noHBand="0" w:noVBand="1"/>
      </w:tblPr>
      <w:tblGrid>
        <w:gridCol w:w="8821"/>
      </w:tblGrid>
      <w:tr w:rsidR="00F42E9A">
        <w:trPr>
          <w:trHeight w:val="612"/>
          <w:jc w:val="center"/>
        </w:trPr>
        <w:tc>
          <w:tcPr>
            <w:tcW w:w="8821" w:type="dxa"/>
            <w:tcBorders>
              <w:top w:val="single" w:sz="4" w:space="0" w:color="auto"/>
              <w:left w:val="single" w:sz="4" w:space="0" w:color="auto"/>
              <w:bottom w:val="single" w:sz="4" w:space="0" w:color="auto"/>
              <w:right w:val="single" w:sz="4" w:space="0" w:color="auto"/>
            </w:tcBorders>
            <w:shd w:val="clear" w:color="auto" w:fill="91ABDF" w:themeFill="accent1" w:themeFillTint="99"/>
          </w:tcPr>
          <w:p w:rsidR="00F42E9A" w:rsidRDefault="00DF4248">
            <w:pPr>
              <w:spacing w:line="600" w:lineRule="exact"/>
              <w:jc w:val="center"/>
              <w:rPr>
                <w:rFonts w:ascii="黑体" w:eastAsia="黑体" w:hAnsi="黑体" w:cs="方正小标宋简体"/>
                <w:sz w:val="32"/>
                <w:szCs w:val="32"/>
              </w:rPr>
            </w:pPr>
            <w:r>
              <w:rPr>
                <w:rFonts w:ascii="黑体" w:eastAsia="黑体" w:hAnsi="黑体" w:cs="方正小标宋简体" w:hint="eastAsia"/>
                <w:sz w:val="32"/>
                <w:szCs w:val="32"/>
              </w:rPr>
              <w:t>专栏1</w:t>
            </w:r>
            <w:r>
              <w:rPr>
                <w:rFonts w:ascii="黑体" w:eastAsia="黑体" w:hAnsi="黑体" w:cs="仿宋_GB2312" w:hint="eastAsia"/>
                <w:bCs/>
                <w:sz w:val="32"/>
                <w:szCs w:val="32"/>
              </w:rPr>
              <w:t xml:space="preserve">  5个标杆示范区</w:t>
            </w:r>
          </w:p>
        </w:tc>
      </w:tr>
      <w:tr w:rsidR="00F42E9A">
        <w:trPr>
          <w:trHeight w:val="699"/>
          <w:jc w:val="center"/>
        </w:trPr>
        <w:tc>
          <w:tcPr>
            <w:tcW w:w="8821" w:type="dxa"/>
            <w:tcBorders>
              <w:top w:val="single" w:sz="4" w:space="0" w:color="auto"/>
              <w:left w:val="single" w:sz="4" w:space="0" w:color="auto"/>
              <w:bottom w:val="single" w:sz="4" w:space="0" w:color="auto"/>
              <w:right w:val="single" w:sz="4" w:space="0" w:color="auto"/>
            </w:tcBorders>
          </w:tcPr>
          <w:p w:rsidR="00F42E9A" w:rsidRDefault="00DF4248">
            <w:pPr>
              <w:spacing w:line="400" w:lineRule="exact"/>
              <w:ind w:firstLineChars="200" w:firstLine="562"/>
              <w:rPr>
                <w:rFonts w:ascii="仿宋_GB2312" w:eastAsia="仿宋_GB2312" w:hAnsi="仿宋_GB2312" w:cs="仿宋_GB2312"/>
                <w:bCs/>
                <w:sz w:val="28"/>
                <w:szCs w:val="28"/>
              </w:rPr>
            </w:pPr>
            <w:r>
              <w:rPr>
                <w:rFonts w:ascii="仿宋_GB2312" w:eastAsia="仿宋_GB2312" w:hAnsi="仿宋_GB2312" w:cs="仿宋_GB2312" w:hint="eastAsia"/>
                <w:b/>
                <w:sz w:val="28"/>
                <w:szCs w:val="28"/>
              </w:rPr>
              <w:t>金融标准策源区</w:t>
            </w:r>
            <w:r>
              <w:rPr>
                <w:rFonts w:ascii="仿宋_GB2312" w:eastAsia="仿宋_GB2312" w:hAnsi="仿宋_GB2312" w:cs="仿宋_GB2312" w:hint="eastAsia"/>
                <w:b/>
                <w:bCs/>
                <w:sz w:val="28"/>
                <w:szCs w:val="28"/>
              </w:rPr>
              <w:t>：</w:t>
            </w:r>
            <w:r>
              <w:rPr>
                <w:rFonts w:ascii="仿宋_GB2312" w:eastAsia="仿宋_GB2312" w:hAnsi="仿宋_GB2312" w:cs="仿宋_GB2312" w:hint="eastAsia"/>
                <w:bCs/>
                <w:sz w:val="28"/>
                <w:szCs w:val="28"/>
              </w:rPr>
              <w:t>依托金融街区位优势，重点参与科技金融、金融科技等领域国际国内标准的研究制定，推动标准成果在区域内先行应用并向全国推广，提升国家金融标准的国际影响力。</w:t>
            </w:r>
          </w:p>
          <w:p w:rsidR="00F42E9A" w:rsidRDefault="00DF4248">
            <w:pPr>
              <w:spacing w:line="400" w:lineRule="exact"/>
              <w:ind w:firstLineChars="200" w:firstLine="562"/>
              <w:rPr>
                <w:rFonts w:ascii="仿宋_GB2312" w:eastAsia="仿宋_GB2312" w:hAnsi="仿宋_GB2312" w:cs="仿宋_GB2312"/>
                <w:bCs/>
                <w:sz w:val="28"/>
                <w:szCs w:val="28"/>
              </w:rPr>
            </w:pPr>
            <w:r>
              <w:rPr>
                <w:rFonts w:ascii="仿宋_GB2312" w:eastAsia="仿宋_GB2312" w:hAnsi="仿宋_GB2312" w:cs="仿宋_GB2312" w:hint="eastAsia"/>
                <w:b/>
                <w:sz w:val="28"/>
                <w:szCs w:val="28"/>
              </w:rPr>
              <w:t>政策赋能试验区</w:t>
            </w:r>
            <w:r>
              <w:rPr>
                <w:rFonts w:ascii="仿宋_GB2312" w:eastAsia="仿宋_GB2312" w:hAnsi="仿宋_GB2312" w:cs="仿宋_GB2312" w:hint="eastAsia"/>
                <w:bCs/>
                <w:sz w:val="28"/>
                <w:szCs w:val="28"/>
              </w:rPr>
              <w:t>：积极承接国家金融监管机构政策改革成果，争取在资本项目可兑换、数字货币创新、跨境资金流动便利化等前沿政策上先行先试，为西城金融高质量发展注入强劲政策动力。</w:t>
            </w:r>
          </w:p>
          <w:p w:rsidR="00F42E9A" w:rsidRDefault="00DF4248">
            <w:pPr>
              <w:spacing w:line="400" w:lineRule="exact"/>
              <w:ind w:firstLineChars="200" w:firstLine="562"/>
              <w:rPr>
                <w:rFonts w:ascii="仿宋_GB2312" w:eastAsia="仿宋_GB2312" w:hAnsi="仿宋_GB2312" w:cs="仿宋_GB2312"/>
                <w:bCs/>
                <w:sz w:val="28"/>
                <w:szCs w:val="28"/>
              </w:rPr>
            </w:pPr>
            <w:r>
              <w:rPr>
                <w:rFonts w:ascii="仿宋_GB2312" w:eastAsia="仿宋_GB2312" w:hAnsi="仿宋_GB2312" w:cs="仿宋_GB2312" w:hint="eastAsia"/>
                <w:b/>
                <w:bCs/>
                <w:sz w:val="28"/>
                <w:szCs w:val="28"/>
              </w:rPr>
              <w:t>金融“五篇大文章”融合示范区：</w:t>
            </w:r>
            <w:r>
              <w:rPr>
                <w:rFonts w:ascii="仿宋_GB2312" w:eastAsia="仿宋_GB2312" w:hAnsi="仿宋_GB2312" w:cs="仿宋_GB2312" w:hint="eastAsia"/>
                <w:bCs/>
                <w:sz w:val="28"/>
                <w:szCs w:val="28"/>
              </w:rPr>
              <w:t>积极推动结合区域产业特点开展金融创新试点，探索形成可复制推广的经验模式，为全国金融改革创新提供实践样本，做好金融“五篇大文章”。</w:t>
            </w:r>
          </w:p>
          <w:p w:rsidR="00F42E9A" w:rsidRDefault="00DF4248">
            <w:pPr>
              <w:spacing w:line="400" w:lineRule="exact"/>
              <w:ind w:firstLineChars="200" w:firstLine="562"/>
              <w:rPr>
                <w:rFonts w:ascii="仿宋_GB2312" w:eastAsia="仿宋_GB2312" w:hAnsi="仿宋_GB2312" w:cs="仿宋_GB2312"/>
                <w:bCs/>
                <w:sz w:val="28"/>
                <w:szCs w:val="28"/>
              </w:rPr>
            </w:pPr>
            <w:r>
              <w:rPr>
                <w:rFonts w:ascii="仿宋_GB2312" w:eastAsia="仿宋_GB2312" w:hAnsi="仿宋_GB2312" w:cs="仿宋_GB2312" w:hint="eastAsia"/>
                <w:b/>
                <w:bCs/>
                <w:sz w:val="28"/>
                <w:szCs w:val="28"/>
              </w:rPr>
              <w:t>金融开放合作枢纽区：</w:t>
            </w:r>
            <w:r>
              <w:rPr>
                <w:rFonts w:ascii="仿宋_GB2312" w:eastAsia="仿宋_GB2312" w:hAnsi="仿宋_GB2312" w:cs="仿宋_GB2312" w:hint="eastAsia"/>
                <w:bCs/>
                <w:sz w:val="28"/>
                <w:szCs w:val="28"/>
              </w:rPr>
              <w:t>积极服务国际金融机构</w:t>
            </w:r>
            <w:r w:rsidR="001C1212">
              <w:rPr>
                <w:rFonts w:ascii="仿宋_GB2312" w:eastAsia="仿宋_GB2312" w:hAnsi="仿宋_GB2312" w:cs="仿宋_GB2312" w:hint="eastAsia"/>
                <w:bCs/>
                <w:sz w:val="28"/>
                <w:szCs w:val="28"/>
              </w:rPr>
              <w:t>与</w:t>
            </w:r>
            <w:r>
              <w:rPr>
                <w:rFonts w:ascii="仿宋_GB2312" w:eastAsia="仿宋_GB2312" w:hAnsi="仿宋_GB2312" w:cs="仿宋_GB2312" w:hint="eastAsia"/>
                <w:bCs/>
                <w:sz w:val="28"/>
                <w:szCs w:val="28"/>
              </w:rPr>
              <w:t>组织落户展业，探索开放创新试点，高水平举办金融街论坛，推动与国际金融中心城市建立常态化合作机制，将金融街打造为展示中国金融开放成就的首都窗口。</w:t>
            </w:r>
          </w:p>
          <w:p w:rsidR="00F42E9A" w:rsidRDefault="00DF4248">
            <w:pPr>
              <w:spacing w:line="400" w:lineRule="exact"/>
              <w:ind w:firstLineChars="200" w:firstLine="562"/>
              <w:rPr>
                <w:rFonts w:ascii="仿宋_GB2312" w:eastAsia="仿宋_GB2312" w:hAnsi="仿宋_GB2312" w:cs="仿宋_GB2312"/>
                <w:bCs/>
                <w:sz w:val="28"/>
                <w:szCs w:val="28"/>
              </w:rPr>
            </w:pPr>
            <w:r>
              <w:rPr>
                <w:rFonts w:ascii="仿宋_GB2312" w:eastAsia="仿宋_GB2312" w:hAnsi="仿宋_GB2312" w:cs="仿宋_GB2312" w:hint="eastAsia"/>
                <w:b/>
                <w:bCs/>
                <w:sz w:val="28"/>
                <w:szCs w:val="28"/>
              </w:rPr>
              <w:t>金融文化引领区：</w:t>
            </w:r>
            <w:r>
              <w:rPr>
                <w:rFonts w:ascii="仿宋_GB2312" w:eastAsia="仿宋_GB2312" w:hAnsi="仿宋_GB2312" w:cs="仿宋_GB2312" w:hint="eastAsia"/>
                <w:bCs/>
                <w:sz w:val="28"/>
                <w:szCs w:val="28"/>
              </w:rPr>
              <w:t>深挖金融街历史文脉与当代价值，通过举办高端金融文化活动等，塑造具有国家金融管理中心特征的金融管理文化品牌，增强中国特色金融文化的凝聚力和辐射力。</w:t>
            </w:r>
          </w:p>
        </w:tc>
      </w:tr>
    </w:tbl>
    <w:p w:rsidR="00F42E9A" w:rsidRDefault="00DF4248">
      <w:pPr>
        <w:pStyle w:val="1"/>
        <w:spacing w:before="0" w:after="0" w:line="560" w:lineRule="exact"/>
        <w:ind w:firstLineChars="200" w:firstLine="640"/>
        <w:rPr>
          <w:rFonts w:ascii="仿宋_GB2312" w:eastAsia="仿宋_GB2312"/>
          <w:color w:val="000000" w:themeColor="text1"/>
          <w:sz w:val="32"/>
          <w:szCs w:val="32"/>
        </w:rPr>
      </w:pPr>
      <w:r>
        <w:rPr>
          <w:rFonts w:ascii="黑体" w:eastAsia="黑体" w:hAnsi="黑体" w:cs="黑体" w:hint="eastAsia"/>
          <w:b w:val="0"/>
          <w:bCs/>
          <w:sz w:val="32"/>
          <w:szCs w:val="32"/>
        </w:rPr>
        <w:t>三、优化区域金融业态</w:t>
      </w:r>
      <w:r w:rsidR="005E0819">
        <w:rPr>
          <w:rFonts w:ascii="黑体" w:eastAsia="黑体" w:hAnsi="黑体" w:cs="黑体" w:hint="eastAsia"/>
          <w:b w:val="0"/>
          <w:bCs/>
          <w:sz w:val="32"/>
          <w:szCs w:val="32"/>
        </w:rPr>
        <w:t>结</w:t>
      </w:r>
      <w:r>
        <w:rPr>
          <w:rFonts w:ascii="黑体" w:eastAsia="黑体" w:hAnsi="黑体" w:cs="黑体" w:hint="eastAsia"/>
          <w:b w:val="0"/>
          <w:bCs/>
          <w:sz w:val="32"/>
          <w:szCs w:val="32"/>
        </w:rPr>
        <w:t>构</w:t>
      </w:r>
    </w:p>
    <w:p w:rsidR="00F42E9A" w:rsidRDefault="00DF4248">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巩固货币金融服务业发展优势，支持开发性和政策性银行、国有大型商业银行、股份制银行、城市商业银行、农村商业银行高质量发展。促进金融资产管理公司、财务公司、信托公司、金融租赁公司、消费金融公司等非银行金融机构特色化经营、差异化发展。提升保险业发展优势，促进保险创新发展，发挥保险保</w:t>
      </w:r>
      <w:r>
        <w:rPr>
          <w:rFonts w:ascii="仿宋_GB2312" w:eastAsia="仿宋_GB2312" w:hAnsi="仿宋_GB2312" w:cs="仿宋_GB2312" w:hint="eastAsia"/>
          <w:color w:val="000000" w:themeColor="text1"/>
          <w:sz w:val="32"/>
          <w:szCs w:val="32"/>
        </w:rPr>
        <w:lastRenderedPageBreak/>
        <w:t>障功能。加快发展证券、基金等资本市场服务业，完善多层次资本市场结构。</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（一）巩固资产管理高地优势</w:t>
      </w:r>
    </w:p>
    <w:p w:rsidR="00F42E9A" w:rsidRDefault="00DF4248">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通过政策引导、专业服务、资源整合、人才支撑，建立全生命周期资管机构服务体系，巩固银行理财、保险资管、公募基金、信托公司等资管机构优势，加快券商资管、另类资产和专业服务机构发展，完善多元化资管机构体系。</w:t>
      </w:r>
      <w:r>
        <w:rPr>
          <w:rFonts w:ascii="仿宋_GB2312" w:eastAsia="仿宋_GB2312" w:hAnsi="仿宋_GB2312" w:cs="仿宋_GB2312" w:hint="eastAsia"/>
          <w:sz w:val="32"/>
          <w:szCs w:val="32"/>
        </w:rPr>
        <w:t>支持资管机构开展资管领域前沿研究。</w:t>
      </w:r>
      <w:r>
        <w:rPr>
          <w:rFonts w:ascii="仿宋_GB2312" w:eastAsia="仿宋_GB2312" w:hAnsi="仿宋_GB2312" w:cs="仿宋_GB2312" w:hint="eastAsia"/>
          <w:color w:val="000000" w:themeColor="text1"/>
          <w:sz w:val="32"/>
          <w:szCs w:val="32"/>
        </w:rPr>
        <w:t>支持资管机构创新和数字化转型，建设多元化资管产品和服务体系，服务资管双向开放，促进境内外市场互联互通。发挥金融街合作发展理事会资管专委会作用，促进金融监管部门与资管机构开展常态化交流，发布研究成果</w:t>
      </w:r>
      <w:r>
        <w:rPr>
          <w:rFonts w:ascii="仿宋_GB2312" w:eastAsia="仿宋_GB2312" w:hAnsi="仿宋_GB2312" w:cs="仿宋_GB2312" w:hint="eastAsia"/>
          <w:sz w:val="32"/>
          <w:szCs w:val="32"/>
        </w:rPr>
        <w:t>。鼓励驻区机构进一步加大投资者教育力度，做好投资者适当性管理，支持发挥行业协会自律作用，不断优化投资环境。</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（二）打造优质基金聚集区</w:t>
      </w:r>
    </w:p>
    <w:p w:rsidR="00F42E9A" w:rsidRDefault="00DF4248">
      <w:pPr>
        <w:pStyle w:val="a4"/>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聚焦国家级、国际化、市场化发展方向，支持主权基金、</w:t>
      </w:r>
      <w:r w:rsidRPr="00242F9D">
        <w:rPr>
          <w:rFonts w:ascii="仿宋_GB2312" w:eastAsia="仿宋_GB2312" w:hAnsi="仿宋_GB2312" w:cs="仿宋_GB2312" w:hint="eastAsia"/>
          <w:color w:val="000000" w:themeColor="text1"/>
          <w:sz w:val="32"/>
          <w:szCs w:val="32"/>
        </w:rPr>
        <w:t>全球风投机构和</w:t>
      </w:r>
      <w:r>
        <w:rPr>
          <w:rFonts w:ascii="仿宋_GB2312" w:eastAsia="仿宋_GB2312" w:hAnsi="仿宋_GB2312" w:cs="仿宋_GB2312" w:hint="eastAsia"/>
          <w:color w:val="000000" w:themeColor="text1"/>
          <w:sz w:val="32"/>
          <w:szCs w:val="32"/>
        </w:rPr>
        <w:t>国家级产业基金、创投基金、股权基金、并购基金、S基金发展，构建监管高效、资本聚集、人才汇聚、服务优质、产融结合的基金生态体系。优化私募基金全链条服务工作机制，健全私募股权基金服务实体经济链路支撑体系，打造万亿级优质私募基金集群，引导长期资本、耐心资本系统精准支持国家战略发展的重点领域，赋能战略性新兴产业和未来产业提质发展。</w:t>
      </w:r>
    </w:p>
    <w:p w:rsidR="00F42E9A" w:rsidRDefault="00F42E9A">
      <w:pPr>
        <w:rPr>
          <w:rFonts w:ascii="仿宋_GB2312" w:eastAsia="仿宋_GB2312" w:hAnsi="仿宋_GB2312" w:cs="仿宋_GB2312"/>
          <w:color w:val="000000" w:themeColor="text1"/>
          <w:sz w:val="32"/>
          <w:szCs w:val="32"/>
        </w:rPr>
      </w:pPr>
    </w:p>
    <w:tbl>
      <w:tblPr>
        <w:tblStyle w:val="ac"/>
        <w:tblpPr w:leftFromText="180" w:rightFromText="180" w:vertAnchor="text" w:horzAnchor="margin" w:tblpXSpec="center" w:tblpYSpec="bottom"/>
        <w:tblW w:w="0" w:type="auto"/>
        <w:tblLook w:val="04A0" w:firstRow="1" w:lastRow="0" w:firstColumn="1" w:lastColumn="0" w:noHBand="0" w:noVBand="1"/>
      </w:tblPr>
      <w:tblGrid>
        <w:gridCol w:w="8296"/>
      </w:tblGrid>
      <w:tr w:rsidR="00F42E9A">
        <w:tc>
          <w:tcPr>
            <w:tcW w:w="8296" w:type="dxa"/>
            <w:tcBorders>
              <w:top w:val="single" w:sz="4" w:space="0" w:color="auto"/>
              <w:left w:val="single" w:sz="4" w:space="0" w:color="auto"/>
              <w:bottom w:val="single" w:sz="4" w:space="0" w:color="auto"/>
              <w:right w:val="single" w:sz="4" w:space="0" w:color="auto"/>
            </w:tcBorders>
            <w:shd w:val="clear" w:color="auto" w:fill="91ABDF" w:themeFill="accent1" w:themeFillTint="99"/>
          </w:tcPr>
          <w:p w:rsidR="00F42E9A" w:rsidRDefault="00DF4248">
            <w:pPr>
              <w:spacing w:line="600" w:lineRule="exact"/>
              <w:jc w:val="center"/>
              <w:rPr>
                <w:rFonts w:ascii="黑体" w:eastAsia="黑体" w:hAnsi="黑体" w:cs="方正小标宋简体"/>
                <w:sz w:val="32"/>
                <w:szCs w:val="32"/>
              </w:rPr>
            </w:pPr>
            <w:r>
              <w:rPr>
                <w:rFonts w:ascii="黑体" w:eastAsia="黑体" w:hAnsi="黑体" w:cs="方正小标宋简体" w:hint="eastAsia"/>
                <w:sz w:val="32"/>
                <w:szCs w:val="32"/>
              </w:rPr>
              <w:lastRenderedPageBreak/>
              <w:t>专栏2  优质基金聚集区</w:t>
            </w:r>
          </w:p>
        </w:tc>
      </w:tr>
      <w:tr w:rsidR="00F42E9A">
        <w:trPr>
          <w:trHeight w:val="841"/>
        </w:trPr>
        <w:tc>
          <w:tcPr>
            <w:tcW w:w="8296" w:type="dxa"/>
            <w:tcBorders>
              <w:top w:val="single" w:sz="4" w:space="0" w:color="auto"/>
              <w:left w:val="single" w:sz="4" w:space="0" w:color="auto"/>
              <w:bottom w:val="single" w:sz="4" w:space="0" w:color="auto"/>
              <w:right w:val="single" w:sz="4" w:space="0" w:color="auto"/>
            </w:tcBorders>
          </w:tcPr>
          <w:p w:rsidR="00F42E9A" w:rsidRDefault="00DF4248">
            <w:pPr>
              <w:spacing w:line="400" w:lineRule="exact"/>
              <w:ind w:firstLineChars="200" w:firstLine="560"/>
              <w:rPr>
                <w:rFonts w:ascii="仿宋_GB2312" w:eastAsia="仿宋_GB2312"/>
                <w:bCs/>
                <w:sz w:val="28"/>
                <w:szCs w:val="28"/>
              </w:rPr>
            </w:pPr>
            <w:r>
              <w:rPr>
                <w:rFonts w:ascii="仿宋_GB2312" w:eastAsia="仿宋_GB2312" w:hint="eastAsia"/>
                <w:bCs/>
                <w:sz w:val="28"/>
                <w:szCs w:val="28"/>
              </w:rPr>
              <w:t>优质基金聚集区，核心是依托区域产业基础、政策优势、金融配套资源，集聚不同属性、不同功能的股权投资、产业投资基金，构建层级清晰、分工互补、协同联动、紧扣区域发展方向的完整基金生态体系。</w:t>
            </w:r>
          </w:p>
          <w:p w:rsidR="00F42E9A" w:rsidRDefault="00DF4248">
            <w:pPr>
              <w:spacing w:line="400" w:lineRule="exact"/>
              <w:ind w:firstLineChars="200" w:firstLine="560"/>
              <w:rPr>
                <w:rFonts w:ascii="仿宋_GB2312" w:eastAsia="仿宋_GB2312"/>
                <w:bCs/>
                <w:sz w:val="28"/>
                <w:szCs w:val="28"/>
              </w:rPr>
            </w:pPr>
            <w:r>
              <w:rPr>
                <w:rFonts w:ascii="仿宋_GB2312" w:eastAsia="仿宋_GB2312" w:hint="eastAsia"/>
                <w:bCs/>
                <w:sz w:val="28"/>
                <w:szCs w:val="28"/>
              </w:rPr>
              <w:t>1.国家级政府投资基金，以服务全局发展为首要目标，依托财政资金出资运作，通过撬动社会资本，布局投资关键核心技术攻关、战略性新兴产业等国家重点领域，是统筹产业布局、补齐发展短板、培育新质生产力的核心耐心资本。</w:t>
            </w:r>
          </w:p>
          <w:p w:rsidR="00F42E9A" w:rsidRDefault="00DF4248">
            <w:pPr>
              <w:spacing w:line="400" w:lineRule="exact"/>
              <w:ind w:firstLineChars="200" w:firstLine="560"/>
              <w:rPr>
                <w:rFonts w:ascii="仿宋_GB2312" w:eastAsia="仿宋_GB2312"/>
                <w:bCs/>
                <w:sz w:val="28"/>
                <w:szCs w:val="28"/>
              </w:rPr>
            </w:pPr>
            <w:r>
              <w:rPr>
                <w:rFonts w:ascii="仿宋_GB2312" w:eastAsia="仿宋_GB2312" w:hint="eastAsia"/>
                <w:bCs/>
                <w:sz w:val="28"/>
                <w:szCs w:val="28"/>
              </w:rPr>
              <w:t>2.央国企基金，是中央企业、地方国有企业牵头发起设立，围绕央国企自身主业链条，立足主业版图搭建产业资本平台，主要依托央企国企产业资源、场景资源、项目资源开展投资布局。</w:t>
            </w:r>
          </w:p>
          <w:p w:rsidR="00F42E9A" w:rsidRDefault="00DF4248">
            <w:pPr>
              <w:spacing w:line="400" w:lineRule="exact"/>
              <w:ind w:firstLineChars="200" w:firstLine="560"/>
              <w:rPr>
                <w:rFonts w:ascii="楷体_GB2312" w:eastAsia="楷体_GB2312" w:hAnsi="仿宋_GB2312" w:cs="仿宋_GB2312"/>
                <w:sz w:val="28"/>
                <w:szCs w:val="28"/>
              </w:rPr>
            </w:pPr>
            <w:r>
              <w:rPr>
                <w:rFonts w:ascii="仿宋_GB2312" w:eastAsia="仿宋_GB2312" w:hint="eastAsia"/>
                <w:bCs/>
                <w:sz w:val="28"/>
                <w:szCs w:val="28"/>
              </w:rPr>
              <w:t>3.其他市场化基金，主要指行业头部、市场信誉优良的市场化私募股权和创投基金，由专业私募基金管理机构发起设立，资金来源以社会资本为主，市场化运作、风控体系完备，依托专业投研能力投资优质成长企业。</w:t>
            </w:r>
          </w:p>
        </w:tc>
      </w:tr>
    </w:tbl>
    <w:p w:rsidR="00F42E9A" w:rsidRDefault="00DF4248">
      <w:pPr>
        <w:pStyle w:val="2"/>
        <w:keepNext w:val="0"/>
        <w:keepLines w:val="0"/>
        <w:spacing w:before="0" w:after="0" w:line="560" w:lineRule="exact"/>
        <w:ind w:firstLineChars="200" w:firstLine="640"/>
        <w:rPr>
          <w:rFonts w:ascii="楷体" w:eastAsia="楷体" w:hAnsi="楷体" w:cs="楷体"/>
          <w:b w:val="0"/>
          <w:bCs/>
        </w:rPr>
      </w:pPr>
      <w:r>
        <w:rPr>
          <w:rFonts w:ascii="楷体" w:eastAsia="楷体" w:hAnsi="楷体" w:cs="楷体" w:hint="eastAsia"/>
          <w:b w:val="0"/>
          <w:bCs/>
        </w:rPr>
        <w:t>（三）建设保险创新发展示范区</w:t>
      </w:r>
    </w:p>
    <w:p w:rsidR="00F42E9A" w:rsidRDefault="00DF4248">
      <w:pPr>
        <w:spacing w:line="560" w:lineRule="exact"/>
        <w:ind w:firstLineChars="200" w:firstLine="640"/>
        <w:rPr>
          <w:rFonts w:ascii="仿宋_GB2312" w:eastAsia="仿宋_GB2312"/>
          <w:sz w:val="32"/>
          <w:szCs w:val="32"/>
        </w:rPr>
      </w:pPr>
      <w:r>
        <w:rPr>
          <w:rFonts w:ascii="仿宋_GB2312" w:eastAsia="仿宋_GB2312" w:hint="eastAsia"/>
          <w:sz w:val="32"/>
          <w:szCs w:val="32"/>
        </w:rPr>
        <w:t>打造保险业服务新质生产力、助力提升社会治理效能的先行样板。打造养老保险资金运营中心，鼓励机构聚焦养老资金集约化、专业化、市场化运作，通过多元化配置实现稳健增值；整合养老、健康、医疗、财富管理等服务，促进保险与养老服务良性互动，服务多层次养老保障体系构建。建设保险服务创新中心，主动承接国家和北京市科技保险中心建设相关工作，推进保险产品研发与商业模式革新，积极参与智能驾驶、人形机器人、生物医药等领域共保体建设，构建科技保险综合服务体系。支持构建巨灾保险产品研发与风险管理中心，鼓励机构聚焦巨灾风险防控、</w:t>
      </w:r>
      <w:r>
        <w:rPr>
          <w:rFonts w:ascii="仿宋_GB2312" w:eastAsia="仿宋_GB2312" w:hint="eastAsia"/>
          <w:sz w:val="32"/>
          <w:szCs w:val="32"/>
        </w:rPr>
        <w:lastRenderedPageBreak/>
        <w:t>灾害快速理赔等核心业务场景，通过巨灾风险模型、数据升级不断优化产品体系及风险定价，推动风险监测、预警、处置等全链条风险治理。支持机构在境内探索发行巨灾债券。</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（四）提升金融科技高地能级</w:t>
      </w:r>
    </w:p>
    <w:p w:rsidR="00F42E9A" w:rsidRDefault="00DF4248">
      <w:pPr>
        <w:spacing w:line="560" w:lineRule="exact"/>
        <w:ind w:firstLineChars="200" w:firstLine="640"/>
        <w:rPr>
          <w:rFonts w:ascii="仿宋_GB2312" w:eastAsia="仿宋_GB2312"/>
          <w:sz w:val="32"/>
          <w:szCs w:val="32"/>
        </w:rPr>
      </w:pPr>
      <w:r>
        <w:rPr>
          <w:rFonts w:ascii="仿宋_GB2312" w:eastAsia="仿宋_GB2312" w:hint="eastAsia"/>
          <w:sz w:val="32"/>
          <w:szCs w:val="32"/>
        </w:rPr>
        <w:t>高水平建设国家级金融科技示范区，加强金融科技产业创新发展生态顶层设计，构建功能完备、系统高效、共建共享的创新生态体系，加强金融科技领军企业和具有高成长潜力创新型企业引进，提升产业集聚效应。高水平举办金融科技大会等品牌活动。服务推进金融科技创新监管工具应用和资本市场金融科技创新试点，服务现代金融体系安全可控发展需求。支持高校院所与科技企业合作，共建金融科技联合创新实验室等创新平台。探索构建“技术赋能－场景应用－生态闭环”协同模式，推动各类金融科技应用场景落地。</w:t>
      </w:r>
    </w:p>
    <w:p w:rsidR="00F42E9A" w:rsidRDefault="00DF4248">
      <w:pPr>
        <w:pStyle w:val="1"/>
        <w:spacing w:before="0" w:after="0" w:line="560" w:lineRule="exact"/>
        <w:ind w:firstLineChars="200" w:firstLine="640"/>
        <w:rPr>
          <w:rFonts w:ascii="黑体" w:eastAsia="黑体" w:hAnsi="黑体" w:cs="黑体"/>
          <w:b w:val="0"/>
          <w:bCs/>
          <w:sz w:val="32"/>
          <w:szCs w:val="32"/>
        </w:rPr>
      </w:pPr>
      <w:r>
        <w:rPr>
          <w:rFonts w:ascii="黑体" w:eastAsia="黑体" w:hAnsi="黑体" w:cs="黑体" w:hint="eastAsia"/>
          <w:b w:val="0"/>
          <w:bCs/>
          <w:sz w:val="32"/>
          <w:szCs w:val="32"/>
        </w:rPr>
        <w:t>四、打造以北京证券交易所为核心的资本市场生态圈</w:t>
      </w:r>
    </w:p>
    <w:p w:rsidR="00F42E9A" w:rsidRDefault="00DF4248">
      <w:pPr>
        <w:spacing w:line="560" w:lineRule="exact"/>
        <w:ind w:firstLineChars="200" w:firstLine="640"/>
        <w:rPr>
          <w:rFonts w:ascii="楷体_GB2312" w:eastAsia="楷体_GB2312"/>
          <w:sz w:val="32"/>
          <w:szCs w:val="32"/>
        </w:rPr>
      </w:pPr>
      <w:r>
        <w:rPr>
          <w:rFonts w:ascii="楷体_GB2312" w:eastAsia="楷体_GB2312" w:hint="eastAsia"/>
          <w:sz w:val="32"/>
          <w:szCs w:val="32"/>
        </w:rPr>
        <w:t>（一）全力服务北京证券交易所高质量发展</w:t>
      </w:r>
    </w:p>
    <w:p w:rsidR="00F42E9A" w:rsidRDefault="00DF424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整合各类资源，保障北交所安全、平稳、有序运转。服务北交所高标准建设政府债券市场，推进信用债市场建设，研究推出公开发行可转债。支持北交所丰富指数体系，稳步扩大指数化投资。服务北交所提升法治化建设水平，做好公共法律服务，开展法治宣传教育，支持北交所不断健全投资者保护长效机制。服务北交所提升国际化水平，依托金融街论坛年会、京港洽谈会等活动机制，搭建常态化沟通互动平台，支持北交所加强同境外交易</w:t>
      </w:r>
      <w:r>
        <w:rPr>
          <w:rFonts w:ascii="仿宋_GB2312" w:eastAsia="仿宋_GB2312" w:hAnsi="仿宋_GB2312" w:cs="仿宋_GB2312" w:hint="eastAsia"/>
          <w:sz w:val="32"/>
          <w:szCs w:val="32"/>
        </w:rPr>
        <w:lastRenderedPageBreak/>
        <w:t>所合作交流，建立常态化互动和沟通机制。支持国际金融机构参与北交所发展，不断提升北交所国际影响力。</w:t>
      </w:r>
    </w:p>
    <w:p w:rsidR="00F42E9A" w:rsidRDefault="00DF4248">
      <w:pPr>
        <w:spacing w:line="560" w:lineRule="exact"/>
        <w:ind w:firstLineChars="200" w:firstLine="640"/>
        <w:rPr>
          <w:rFonts w:ascii="楷体_GB2312" w:eastAsia="楷体_GB2312"/>
          <w:sz w:val="32"/>
          <w:szCs w:val="32"/>
        </w:rPr>
      </w:pPr>
      <w:r>
        <w:rPr>
          <w:rFonts w:ascii="楷体_GB2312" w:eastAsia="楷体_GB2312" w:hint="eastAsia"/>
          <w:sz w:val="32"/>
          <w:szCs w:val="32"/>
        </w:rPr>
        <w:t>（二）推动资本市场生态提质升级</w:t>
      </w:r>
    </w:p>
    <w:p w:rsidR="00F42E9A" w:rsidRDefault="00DF4248">
      <w:pPr>
        <w:spacing w:line="560" w:lineRule="exact"/>
        <w:ind w:firstLineChars="200" w:firstLine="640"/>
        <w:rPr>
          <w:rFonts w:ascii="仿宋_GB2312" w:eastAsia="仿宋_GB2312"/>
          <w:sz w:val="32"/>
          <w:szCs w:val="32"/>
        </w:rPr>
      </w:pPr>
      <w:r>
        <w:rPr>
          <w:rFonts w:ascii="仿宋_GB2312" w:eastAsia="仿宋_GB2312" w:hint="eastAsia"/>
          <w:bCs/>
          <w:sz w:val="32"/>
          <w:szCs w:val="32"/>
        </w:rPr>
        <w:t>支持证券公司、金融资产投资公司、公募基金、私募基金、创业投资机构等集聚发展，为企业资本市场融资提供专业投资与保荐，加强全链条金融服务。提升专业服务水平，积极发展会计审计、法律服务、信用评级、资产评估、投资研究等专业服务集群，鼓励基金登记、估值核算、咨询资讯、基金评价、托管等第三方服务机构发展。支持金融机构结合市场环境和投资者需求，设立特色化、差异化的金融产品，扩大市场投资渠道，优化金融机构投资生态</w:t>
      </w:r>
      <w:r>
        <w:rPr>
          <w:rFonts w:ascii="仿宋_GB2312" w:eastAsia="仿宋_GB2312" w:hint="eastAsia"/>
          <w:sz w:val="32"/>
          <w:szCs w:val="32"/>
        </w:rPr>
        <w:t>。</w:t>
      </w:r>
      <w:r>
        <w:rPr>
          <w:rFonts w:ascii="仿宋_GB2312" w:eastAsia="仿宋_GB2312" w:hint="eastAsia"/>
          <w:bCs/>
          <w:sz w:val="32"/>
          <w:szCs w:val="32"/>
        </w:rPr>
        <w:t>发挥行业协会桥梁纽带作用，</w:t>
      </w:r>
      <w:r>
        <w:rPr>
          <w:rFonts w:ascii="仿宋_GB2312" w:eastAsia="仿宋_GB2312" w:hint="eastAsia"/>
          <w:sz w:val="32"/>
          <w:szCs w:val="32"/>
        </w:rPr>
        <w:t>搭建行业交流平台，引导证券基金机构深耕上市公司研究，加快业务与产品创新，提升行业发展质效。</w:t>
      </w:r>
    </w:p>
    <w:p w:rsidR="00F42E9A" w:rsidRDefault="00DF4248">
      <w:pPr>
        <w:spacing w:line="540" w:lineRule="exact"/>
        <w:ind w:firstLineChars="200" w:firstLine="640"/>
        <w:rPr>
          <w:rFonts w:ascii="楷体_GB2312" w:eastAsia="楷体_GB2312"/>
          <w:sz w:val="32"/>
          <w:szCs w:val="32"/>
        </w:rPr>
      </w:pPr>
      <w:r>
        <w:rPr>
          <w:rFonts w:ascii="楷体_GB2312" w:eastAsia="楷体_GB2312" w:hint="eastAsia"/>
          <w:sz w:val="32"/>
          <w:szCs w:val="32"/>
        </w:rPr>
        <w:t>（三）强化企业综合培育与上市全周期服务</w:t>
      </w:r>
    </w:p>
    <w:p w:rsidR="00F42E9A" w:rsidRDefault="00DF4248">
      <w:pPr>
        <w:snapToGrid w:val="0"/>
        <w:spacing w:line="540" w:lineRule="exact"/>
        <w:ind w:firstLineChars="200" w:firstLine="640"/>
        <w:rPr>
          <w:rFonts w:ascii="仿宋_GB2312" w:eastAsia="仿宋_GB2312"/>
          <w:sz w:val="32"/>
          <w:szCs w:val="32"/>
        </w:rPr>
      </w:pPr>
      <w:r>
        <w:rPr>
          <w:rFonts w:ascii="仿宋_GB2312" w:eastAsia="仿宋_GB2312" w:hint="eastAsia"/>
          <w:sz w:val="32"/>
          <w:szCs w:val="32"/>
        </w:rPr>
        <w:t>挖掘、培育一批符合新质生产力或国家战略发展要求的创新型企业，</w:t>
      </w:r>
      <w:r>
        <w:rPr>
          <w:rFonts w:ascii="仿宋_GB2312" w:eastAsia="仿宋_GB2312" w:hint="eastAsia"/>
          <w:bCs/>
          <w:sz w:val="32"/>
          <w:szCs w:val="32"/>
        </w:rPr>
        <w:t>搭建分层分类企业培育体系，</w:t>
      </w:r>
      <w:r>
        <w:rPr>
          <w:rFonts w:ascii="仿宋_GB2312" w:eastAsia="仿宋_GB2312" w:hint="eastAsia"/>
          <w:sz w:val="32"/>
          <w:szCs w:val="32"/>
        </w:rPr>
        <w:t>加强优质创新型企业资源储备，建立梯队培育库，为资本市场输送优质上市资源。</w:t>
      </w:r>
      <w:r>
        <w:rPr>
          <w:rFonts w:ascii="仿宋_GB2312" w:eastAsia="仿宋_GB2312" w:hint="eastAsia"/>
          <w:bCs/>
          <w:sz w:val="32"/>
          <w:szCs w:val="32"/>
        </w:rPr>
        <w:t>依托上市大会等平台，促进企业间信息交流和业务联动。</w:t>
      </w:r>
      <w:r>
        <w:rPr>
          <w:rFonts w:ascii="仿宋_GB2312" w:eastAsia="仿宋_GB2312" w:hint="eastAsia"/>
          <w:sz w:val="32"/>
          <w:szCs w:val="32"/>
        </w:rPr>
        <w:t>强化企业融资全链条服务，发挥政府投资基金引导作用，引导金融资本赋能科技创新，加大对突破关键核心技术的科技型企业股权融资支持力度。</w:t>
      </w:r>
      <w:r>
        <w:rPr>
          <w:rFonts w:ascii="仿宋_GB2312" w:eastAsia="仿宋_GB2312" w:hint="eastAsia"/>
          <w:bCs/>
          <w:sz w:val="32"/>
          <w:szCs w:val="32"/>
        </w:rPr>
        <w:t>服务上市公司提质增效，</w:t>
      </w:r>
      <w:r>
        <w:rPr>
          <w:rFonts w:ascii="仿宋_GB2312" w:eastAsia="仿宋_GB2312" w:hint="eastAsia"/>
          <w:sz w:val="32"/>
          <w:szCs w:val="32"/>
        </w:rPr>
        <w:t>推动上市挂牌公司加大科技创新，搭建多元有效交流互动平台，支持上市公司开展产业整合、设立并购基金，规范市值管理，为上市公司营造良好发展环境。</w:t>
      </w:r>
    </w:p>
    <w:tbl>
      <w:tblPr>
        <w:tblStyle w:val="ac"/>
        <w:tblpPr w:leftFromText="180" w:rightFromText="180" w:vertAnchor="text" w:horzAnchor="margin" w:tblpY="294"/>
        <w:tblOverlap w:val="never"/>
        <w:tblW w:w="8926" w:type="dxa"/>
        <w:tblLook w:val="04A0" w:firstRow="1" w:lastRow="0" w:firstColumn="1" w:lastColumn="0" w:noHBand="0" w:noVBand="1"/>
      </w:tblPr>
      <w:tblGrid>
        <w:gridCol w:w="8926"/>
      </w:tblGrid>
      <w:tr w:rsidR="00F42E9A">
        <w:trPr>
          <w:trHeight w:val="558"/>
        </w:trPr>
        <w:tc>
          <w:tcPr>
            <w:tcW w:w="8926" w:type="dxa"/>
            <w:tcBorders>
              <w:top w:val="single" w:sz="4" w:space="0" w:color="auto"/>
              <w:left w:val="single" w:sz="4" w:space="0" w:color="auto"/>
              <w:bottom w:val="single" w:sz="4" w:space="0" w:color="auto"/>
              <w:right w:val="single" w:sz="4" w:space="0" w:color="auto"/>
            </w:tcBorders>
            <w:shd w:val="clear" w:color="auto" w:fill="91ABDF" w:themeFill="accent1" w:themeFillTint="99"/>
          </w:tcPr>
          <w:p w:rsidR="00F42E9A" w:rsidRDefault="00DF4248">
            <w:pPr>
              <w:snapToGrid w:val="0"/>
              <w:spacing w:line="600" w:lineRule="exact"/>
              <w:jc w:val="center"/>
              <w:rPr>
                <w:rFonts w:ascii="黑体" w:eastAsia="黑体" w:hAnsi="黑体" w:cs="仿宋_GB2312"/>
                <w:sz w:val="32"/>
                <w:szCs w:val="32"/>
              </w:rPr>
            </w:pPr>
            <w:bookmarkStart w:id="64" w:name="_Toc20047"/>
            <w:bookmarkStart w:id="65" w:name="_Toc2746"/>
            <w:bookmarkStart w:id="66" w:name="_Toc26367"/>
            <w:bookmarkStart w:id="67" w:name="_Toc2728"/>
            <w:bookmarkStart w:id="68" w:name="_Toc31793"/>
            <w:bookmarkStart w:id="69" w:name="_Toc21756"/>
            <w:bookmarkStart w:id="70" w:name="_Toc23987"/>
            <w:r>
              <w:rPr>
                <w:rFonts w:ascii="黑体" w:eastAsia="黑体" w:hAnsi="黑体" w:cs="黑体" w:hint="eastAsia"/>
                <w:bCs/>
                <w:sz w:val="32"/>
                <w:szCs w:val="32"/>
              </w:rPr>
              <w:lastRenderedPageBreak/>
              <w:t>专栏3 以北交所为核心的资本市场生态圈</w:t>
            </w:r>
          </w:p>
        </w:tc>
      </w:tr>
      <w:tr w:rsidR="00F42E9A">
        <w:trPr>
          <w:trHeight w:val="8881"/>
        </w:trPr>
        <w:tc>
          <w:tcPr>
            <w:tcW w:w="8926" w:type="dxa"/>
            <w:tcBorders>
              <w:top w:val="single" w:sz="4" w:space="0" w:color="auto"/>
              <w:left w:val="single" w:sz="4" w:space="0" w:color="auto"/>
              <w:bottom w:val="single" w:sz="4" w:space="0" w:color="auto"/>
              <w:right w:val="single" w:sz="4" w:space="0" w:color="auto"/>
            </w:tcBorders>
          </w:tcPr>
          <w:p w:rsidR="00F42E9A" w:rsidRDefault="00DF4248">
            <w:pPr>
              <w:snapToGrid w:val="0"/>
              <w:spacing w:line="400" w:lineRule="exact"/>
              <w:ind w:firstLine="641"/>
              <w:rPr>
                <w:rFonts w:ascii="仿宋_GB2312" w:eastAsia="仿宋_GB2312" w:hAnsi="楷体" w:cs="楷体"/>
                <w:bCs/>
                <w:sz w:val="28"/>
                <w:szCs w:val="28"/>
              </w:rPr>
            </w:pPr>
            <w:r>
              <w:rPr>
                <w:rFonts w:hint="eastAsia"/>
                <w:noProof/>
              </w:rPr>
              <w:drawing>
                <wp:anchor distT="0" distB="0" distL="114300" distR="114300" simplePos="0" relativeHeight="251659264" behindDoc="0" locked="0" layoutInCell="1" allowOverlap="1">
                  <wp:simplePos x="0" y="0"/>
                  <wp:positionH relativeFrom="column">
                    <wp:posOffset>691515</wp:posOffset>
                  </wp:positionH>
                  <wp:positionV relativeFrom="paragraph">
                    <wp:posOffset>1735455</wp:posOffset>
                  </wp:positionV>
                  <wp:extent cx="4101465" cy="368109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01465" cy="3681095"/>
                          </a:xfrm>
                          <a:prstGeom prst="rect">
                            <a:avLst/>
                          </a:prstGeom>
                          <a:noFill/>
                        </pic:spPr>
                      </pic:pic>
                    </a:graphicData>
                  </a:graphic>
                </wp:anchor>
              </w:drawing>
            </w:r>
            <w:r>
              <w:rPr>
                <w:rFonts w:ascii="仿宋_GB2312" w:eastAsia="仿宋_GB2312" w:hAnsi="楷体" w:cs="楷体" w:hint="eastAsia"/>
                <w:bCs/>
                <w:sz w:val="28"/>
                <w:szCs w:val="28"/>
              </w:rPr>
              <w:t>从政策协同、产业联动、资本赋能、创新驱动等多维度，促进“产业—资本—政策—人才”良性循环，</w:t>
            </w:r>
            <w:r>
              <w:rPr>
                <w:rFonts w:ascii="仿宋_GB2312" w:eastAsia="仿宋_GB2312" w:hAnsi="楷体" w:cs="楷体" w:hint="eastAsia"/>
                <w:sz w:val="28"/>
                <w:szCs w:val="28"/>
              </w:rPr>
              <w:t>丰富北交所产品体系，支持各类金融机构和投资机构为北交所上市公司提供投资与保荐，推进多层次资本市场服务体系建设，</w:t>
            </w:r>
            <w:r>
              <w:rPr>
                <w:rFonts w:ascii="仿宋_GB2312" w:eastAsia="仿宋_GB2312" w:hAnsi="楷体" w:cs="楷体" w:hint="eastAsia"/>
                <w:bCs/>
                <w:sz w:val="28"/>
                <w:szCs w:val="28"/>
              </w:rPr>
              <w:t>通过金融街论坛、上市大会等平台，建设监管部门、上市企业与金融机构信息交流机制，力争到2030年，形成功能完备、结构合理、运行高效的北交所生态圈。</w:t>
            </w:r>
          </w:p>
          <w:p w:rsidR="00F42E9A" w:rsidRDefault="00F42E9A">
            <w:pPr>
              <w:snapToGrid w:val="0"/>
              <w:spacing w:line="600" w:lineRule="exact"/>
              <w:ind w:firstLine="641"/>
            </w:pPr>
          </w:p>
        </w:tc>
      </w:tr>
    </w:tbl>
    <w:p w:rsidR="00F42E9A" w:rsidRDefault="00DF4248">
      <w:pPr>
        <w:pStyle w:val="1"/>
        <w:spacing w:before="0" w:after="0" w:line="540" w:lineRule="exact"/>
        <w:ind w:firstLineChars="200" w:firstLine="640"/>
        <w:rPr>
          <w:rFonts w:ascii="仿宋_GB2312" w:eastAsia="仿宋_GB2312" w:hAnsi="仿宋_GB2312" w:cs="仿宋_GB2312"/>
          <w:color w:val="000000" w:themeColor="text1"/>
          <w:sz w:val="32"/>
          <w:szCs w:val="32"/>
        </w:rPr>
      </w:pPr>
      <w:r>
        <w:rPr>
          <w:rFonts w:ascii="黑体" w:eastAsia="黑体" w:hAnsi="黑体" w:cs="黑体" w:hint="eastAsia"/>
          <w:b w:val="0"/>
          <w:bCs/>
          <w:sz w:val="32"/>
          <w:szCs w:val="32"/>
        </w:rPr>
        <w:t>五、做好金融“五篇大文章”</w:t>
      </w:r>
      <w:bookmarkEnd w:id="64"/>
      <w:bookmarkEnd w:id="65"/>
      <w:bookmarkEnd w:id="66"/>
      <w:bookmarkEnd w:id="67"/>
      <w:bookmarkEnd w:id="68"/>
      <w:bookmarkEnd w:id="69"/>
      <w:bookmarkEnd w:id="70"/>
      <w:r>
        <w:rPr>
          <w:rFonts w:ascii="黑体" w:eastAsia="黑体" w:hAnsi="黑体" w:cs="黑体" w:hint="eastAsia"/>
          <w:b w:val="0"/>
          <w:bCs/>
          <w:sz w:val="32"/>
          <w:szCs w:val="32"/>
        </w:rPr>
        <w:t>西城篇章</w:t>
      </w:r>
    </w:p>
    <w:p w:rsidR="00F42E9A" w:rsidRDefault="00DF4248">
      <w:pPr>
        <w:pStyle w:val="2"/>
        <w:spacing w:before="0" w:after="0" w:line="540" w:lineRule="exact"/>
        <w:ind w:firstLineChars="200" w:firstLine="640"/>
        <w:rPr>
          <w:rFonts w:ascii="楷体" w:eastAsia="楷体" w:hAnsi="楷体" w:cs="楷体"/>
          <w:szCs w:val="32"/>
        </w:rPr>
      </w:pPr>
      <w:bookmarkStart w:id="71" w:name="_Toc6799"/>
      <w:bookmarkStart w:id="72" w:name="_Toc26886"/>
      <w:bookmarkStart w:id="73" w:name="_Toc30192"/>
      <w:bookmarkStart w:id="74" w:name="_Toc14364"/>
      <w:bookmarkStart w:id="75" w:name="_Toc8381"/>
      <w:bookmarkStart w:id="76" w:name="_Toc13870"/>
      <w:bookmarkStart w:id="77" w:name="_Toc22937"/>
      <w:r>
        <w:rPr>
          <w:rFonts w:ascii="楷体" w:eastAsia="楷体" w:hAnsi="楷体" w:cs="楷体" w:hint="eastAsia"/>
          <w:b w:val="0"/>
          <w:bCs/>
        </w:rPr>
        <w:t>（一）擦亮科技金融服务品牌</w:t>
      </w:r>
    </w:p>
    <w:p w:rsidR="00F42E9A" w:rsidRDefault="00DF4248">
      <w:pPr>
        <w:spacing w:line="540" w:lineRule="exact"/>
        <w:ind w:firstLineChars="200" w:firstLine="640"/>
        <w:rPr>
          <w:rFonts w:ascii="仿宋_GB2312" w:eastAsia="仿宋_GB2312"/>
          <w:sz w:val="32"/>
          <w:szCs w:val="32"/>
        </w:rPr>
      </w:pPr>
      <w:r>
        <w:rPr>
          <w:rFonts w:ascii="仿宋_GB2312" w:eastAsia="仿宋_GB2312" w:hint="eastAsia"/>
          <w:sz w:val="32"/>
          <w:szCs w:val="32"/>
        </w:rPr>
        <w:t>依托金融街资源优势，服务北京（京津冀）国际科创中心建设，精准落实金融支持科创中心建设相关政策，积极承接科技金融政策试点，推动“产-学-研-金”深度融合，构建技术创新、</w:t>
      </w:r>
      <w:r>
        <w:rPr>
          <w:rFonts w:ascii="仿宋_GB2312" w:eastAsia="仿宋_GB2312" w:hint="eastAsia"/>
          <w:sz w:val="32"/>
          <w:szCs w:val="32"/>
        </w:rPr>
        <w:lastRenderedPageBreak/>
        <w:t>产业生态、金融服务和政策支持体系。擦亮“融享汇”“融启荟”科技金融服务品牌，联合驻区金融机构在区政务服务中心、银行网点等开展贯通式科技金融服务。搭建各类对接交流平台，积极推动高校院所、产业园区、商务楼宇、孵化器与金融机构合作。整合银行、证券、基金等金融机构资源，聚焦新兴产业领域成果转化和产业培育构建投融资链条；支持发展科技保险，推进保险机构服务风险减量；积极发挥担保机构风险分担和增信功能，打造投贷保担联动的金融支持体系。</w:t>
      </w:r>
    </w:p>
    <w:tbl>
      <w:tblPr>
        <w:tblStyle w:val="ac"/>
        <w:tblW w:w="0" w:type="auto"/>
        <w:tblLayout w:type="fixed"/>
        <w:tblLook w:val="04A0" w:firstRow="1" w:lastRow="0" w:firstColumn="1" w:lastColumn="0" w:noHBand="0" w:noVBand="1"/>
      </w:tblPr>
      <w:tblGrid>
        <w:gridCol w:w="8784"/>
      </w:tblGrid>
      <w:tr w:rsidR="00F42E9A">
        <w:tc>
          <w:tcPr>
            <w:tcW w:w="8784" w:type="dxa"/>
            <w:tcBorders>
              <w:top w:val="single" w:sz="4" w:space="0" w:color="auto"/>
              <w:left w:val="single" w:sz="4" w:space="0" w:color="auto"/>
              <w:bottom w:val="single" w:sz="4" w:space="0" w:color="auto"/>
              <w:right w:val="single" w:sz="4" w:space="0" w:color="auto"/>
            </w:tcBorders>
            <w:shd w:val="clear" w:color="auto" w:fill="91ABDF" w:themeFill="accent1" w:themeFillTint="99"/>
          </w:tcPr>
          <w:bookmarkEnd w:id="71"/>
          <w:bookmarkEnd w:id="72"/>
          <w:bookmarkEnd w:id="73"/>
          <w:bookmarkEnd w:id="74"/>
          <w:bookmarkEnd w:id="75"/>
          <w:bookmarkEnd w:id="76"/>
          <w:bookmarkEnd w:id="77"/>
          <w:p w:rsidR="00F42E9A" w:rsidRDefault="00DF4248">
            <w:pPr>
              <w:spacing w:line="600" w:lineRule="exact"/>
              <w:jc w:val="center"/>
              <w:rPr>
                <w:rFonts w:ascii="黑体" w:eastAsia="黑体" w:hAnsi="黑体" w:cs="仿宋_GB2312"/>
                <w:sz w:val="32"/>
                <w:szCs w:val="32"/>
              </w:rPr>
            </w:pPr>
            <w:r>
              <w:rPr>
                <w:rFonts w:ascii="黑体" w:eastAsia="黑体" w:hAnsi="黑体" w:cs="方正小标宋简体" w:hint="eastAsia"/>
                <w:sz w:val="32"/>
                <w:szCs w:val="32"/>
              </w:rPr>
              <w:t>专栏4 “科技-产业-金融”循环赋能生态圈</w:t>
            </w:r>
          </w:p>
        </w:tc>
      </w:tr>
      <w:tr w:rsidR="00F42E9A">
        <w:trPr>
          <w:trHeight w:val="3522"/>
        </w:trPr>
        <w:tc>
          <w:tcPr>
            <w:tcW w:w="8784" w:type="dxa"/>
            <w:tcBorders>
              <w:top w:val="single" w:sz="4" w:space="0" w:color="auto"/>
              <w:left w:val="single" w:sz="4" w:space="0" w:color="auto"/>
              <w:bottom w:val="single" w:sz="4" w:space="0" w:color="auto"/>
              <w:right w:val="single" w:sz="4" w:space="0" w:color="auto"/>
            </w:tcBorders>
            <w:vAlign w:val="center"/>
          </w:tcPr>
          <w:p w:rsidR="00F42E9A" w:rsidRDefault="00DF4248">
            <w:pPr>
              <w:spacing w:line="4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科技-产业-金融”循环赋能生态圈是以科技为核心驱动力、产业为实体支撑、金融资源为纽带，深化产学研金协同机制，促进“金融赋能科技创新、科技创新驱动产业升级、产业升级吸引金融投入”的良性循环，是金融服务实体经济的生动体现。</w:t>
            </w:r>
          </w:p>
          <w:p w:rsidR="00F42E9A" w:rsidRDefault="00DF4248">
            <w:pPr>
              <w:spacing w:line="400" w:lineRule="exact"/>
              <w:ind w:firstLineChars="200" w:firstLine="560"/>
              <w:rPr>
                <w:rFonts w:ascii="仿宋_GB2312" w:eastAsia="仿宋_GB2312" w:hAnsi="仿宋_GB2312" w:cs="仿宋_GB2312"/>
                <w:sz w:val="32"/>
                <w:szCs w:val="32"/>
              </w:rPr>
            </w:pPr>
            <w:r>
              <w:rPr>
                <w:rFonts w:ascii="仿宋_GB2312" w:eastAsia="仿宋_GB2312" w:hAnsi="仿宋_GB2312" w:cs="仿宋_GB2312" w:hint="eastAsia"/>
                <w:sz w:val="28"/>
                <w:szCs w:val="28"/>
              </w:rPr>
              <w:t>“科技-产业-金融”循环赋能生态圈的主要内容包括：分类引导各类型社会资本积极参与，充分发挥银行业主导的货币金融服务业优势，强化对推动科技金融发展、产品创新的支撑作用；激发政府引导母基金动能，着力打造“天使基金、创投基金、产业基金”矩阵，构建覆盖科技企业全生命周期的基金体系，促进产学研金深度融合，加强金融街与中关村科创金融改革试验区联动，鼓励金融资本深化产品、组织和服务模式创新，深度对接科技产业发展需求，推动科技成果在京落地转化。</w:t>
            </w:r>
          </w:p>
        </w:tc>
      </w:tr>
    </w:tbl>
    <w:p w:rsidR="00F42E9A" w:rsidRDefault="00DF4248">
      <w:pPr>
        <w:pStyle w:val="2"/>
        <w:spacing w:before="0" w:after="0" w:line="560" w:lineRule="exact"/>
        <w:ind w:firstLineChars="200" w:firstLine="640"/>
        <w:rPr>
          <w:rFonts w:ascii="楷体" w:eastAsia="楷体" w:hAnsi="楷体" w:cs="楷体"/>
          <w:b w:val="0"/>
          <w:szCs w:val="32"/>
        </w:rPr>
      </w:pPr>
      <w:bookmarkStart w:id="78" w:name="_Toc30246"/>
      <w:bookmarkStart w:id="79" w:name="_Toc2165"/>
      <w:bookmarkStart w:id="80" w:name="_Toc16975"/>
      <w:bookmarkStart w:id="81" w:name="_Toc28441"/>
      <w:bookmarkStart w:id="82" w:name="_Toc21583"/>
      <w:bookmarkStart w:id="83" w:name="_Toc14583"/>
      <w:bookmarkStart w:id="84" w:name="_Toc21452"/>
      <w:bookmarkStart w:id="85" w:name="OLE_LINK2"/>
      <w:bookmarkStart w:id="86" w:name="_Toc8576"/>
      <w:bookmarkStart w:id="87" w:name="_Toc14066"/>
      <w:bookmarkStart w:id="88" w:name="_Toc4017"/>
      <w:bookmarkStart w:id="89" w:name="_Toc4813"/>
      <w:bookmarkStart w:id="90" w:name="_Toc27927"/>
      <w:bookmarkStart w:id="91" w:name="_Toc23082"/>
      <w:bookmarkStart w:id="92" w:name="_Toc17818"/>
      <w:bookmarkStart w:id="93" w:name="_Toc455"/>
      <w:bookmarkStart w:id="94" w:name="_Toc24218"/>
      <w:bookmarkStart w:id="95" w:name="_Toc14614"/>
      <w:r>
        <w:rPr>
          <w:rFonts w:ascii="楷体" w:eastAsia="楷体" w:hAnsi="楷体" w:cs="楷体" w:hint="eastAsia"/>
          <w:b w:val="0"/>
          <w:bCs/>
        </w:rPr>
        <w:t>（二）服务绿色金融</w:t>
      </w:r>
      <w:bookmarkEnd w:id="78"/>
      <w:bookmarkEnd w:id="79"/>
      <w:bookmarkEnd w:id="80"/>
      <w:bookmarkEnd w:id="81"/>
      <w:bookmarkEnd w:id="82"/>
      <w:bookmarkEnd w:id="83"/>
      <w:bookmarkEnd w:id="84"/>
      <w:r>
        <w:rPr>
          <w:rFonts w:ascii="楷体" w:eastAsia="楷体" w:hAnsi="楷体" w:cs="楷体" w:hint="eastAsia"/>
          <w:b w:val="0"/>
          <w:bCs/>
        </w:rPr>
        <w:t>做优</w:t>
      </w:r>
    </w:p>
    <w:p w:rsidR="00F42E9A" w:rsidRDefault="00DF4248">
      <w:pPr>
        <w:tabs>
          <w:tab w:val="center" w:pos="4153"/>
        </w:tabs>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金融管理部门、行业协会探索建立与国际接轨的绿色金融标准。发挥金融机构总部聚集优势，完善绿色金融发展机制，创新信贷、债券、金融衍生品等各类绿色金融产品，加大对绿色产业发展支持力度。鼓励金融机构开展碳核算和可持续信息披露，支持企业、金融机构开展环境、社会和公司治理（ESG）投融资</w:t>
      </w:r>
      <w:r>
        <w:rPr>
          <w:rFonts w:ascii="仿宋_GB2312" w:eastAsia="仿宋_GB2312" w:hAnsi="仿宋_GB2312" w:cs="仿宋_GB2312" w:hint="eastAsia"/>
          <w:sz w:val="32"/>
          <w:szCs w:val="32"/>
        </w:rPr>
        <w:lastRenderedPageBreak/>
        <w:t>实践，推动碳足迹在绿色金融领域应用。依托金融街论坛等平台，完善绿色投融资对接工作机制，吸引全球绿色资本。</w:t>
      </w:r>
    </w:p>
    <w:p w:rsidR="00F42E9A" w:rsidRDefault="00DF4248">
      <w:pPr>
        <w:pStyle w:val="2"/>
        <w:spacing w:before="0" w:after="0" w:line="560" w:lineRule="exact"/>
        <w:ind w:firstLineChars="200" w:firstLine="640"/>
        <w:rPr>
          <w:rFonts w:ascii="楷体" w:eastAsia="楷体" w:hAnsi="楷体" w:cs="楷体"/>
          <w:szCs w:val="32"/>
        </w:rPr>
      </w:pPr>
      <w:bookmarkStart w:id="96" w:name="_Toc10808"/>
      <w:bookmarkStart w:id="97" w:name="_Toc28002"/>
      <w:bookmarkStart w:id="98" w:name="_Toc15283"/>
      <w:bookmarkStart w:id="99" w:name="_Toc20737"/>
      <w:bookmarkStart w:id="100" w:name="_Toc24005"/>
      <w:bookmarkStart w:id="101" w:name="_Toc22933"/>
      <w:bookmarkStart w:id="102" w:name="_Toc27293"/>
      <w:r>
        <w:rPr>
          <w:rFonts w:ascii="楷体" w:eastAsia="楷体" w:hAnsi="楷体" w:cs="楷体" w:hint="eastAsia"/>
          <w:b w:val="0"/>
          <w:bCs/>
        </w:rPr>
        <w:t>（三）</w:t>
      </w:r>
      <w:bookmarkStart w:id="103" w:name="OLE_LINK4"/>
      <w:r>
        <w:rPr>
          <w:rFonts w:ascii="楷体" w:eastAsia="楷体" w:hAnsi="楷体" w:cs="楷体" w:hint="eastAsia"/>
          <w:b w:val="0"/>
          <w:bCs/>
        </w:rPr>
        <w:t>促进普惠金融</w:t>
      </w:r>
      <w:bookmarkEnd w:id="96"/>
      <w:bookmarkEnd w:id="97"/>
      <w:bookmarkEnd w:id="98"/>
      <w:bookmarkEnd w:id="99"/>
      <w:bookmarkEnd w:id="100"/>
      <w:bookmarkEnd w:id="101"/>
      <w:bookmarkEnd w:id="102"/>
      <w:r>
        <w:rPr>
          <w:rFonts w:ascii="楷体" w:eastAsia="楷体" w:hAnsi="楷体" w:cs="楷体" w:hint="eastAsia"/>
          <w:b w:val="0"/>
          <w:bCs/>
        </w:rPr>
        <w:t>产品供给</w:t>
      </w:r>
    </w:p>
    <w:bookmarkEnd w:id="103"/>
    <w:p w:rsidR="00F42E9A" w:rsidRDefault="00DF4248">
      <w:pPr>
        <w:tabs>
          <w:tab w:val="center" w:pos="4153"/>
        </w:tabs>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优化支持中小微企业融资协调工作机制，畅通政银企对接渠道，扩大金融政策覆盖面与触达率，健全投贷保担联动。引导驻区金融机构开发更多符合中小微企业特点的信贷产品，丰富普惠金融综合服务供给。引导银行建立健全敢贷、愿贷、能贷、会贷长效机制，优化贷款结构。加强普惠保险对慢病人群、老年群体、学生、儿童和“两新”人群等特殊群体的保障作用。</w:t>
      </w:r>
    </w:p>
    <w:p w:rsidR="00F42E9A" w:rsidRDefault="00DF4248">
      <w:pPr>
        <w:pStyle w:val="2"/>
        <w:spacing w:before="0" w:after="0" w:line="560" w:lineRule="exact"/>
        <w:ind w:firstLineChars="200" w:firstLine="640"/>
        <w:rPr>
          <w:rFonts w:ascii="楷体" w:eastAsia="楷体" w:hAnsi="楷体" w:cs="楷体"/>
          <w:szCs w:val="32"/>
        </w:rPr>
      </w:pPr>
      <w:bookmarkStart w:id="104" w:name="_Toc23663"/>
      <w:bookmarkStart w:id="105" w:name="_Toc16709"/>
      <w:bookmarkStart w:id="106" w:name="_Toc18448"/>
      <w:bookmarkStart w:id="107" w:name="_Toc6823"/>
      <w:bookmarkStart w:id="108" w:name="_Toc11627"/>
      <w:bookmarkStart w:id="109" w:name="_Toc8170"/>
      <w:bookmarkStart w:id="110" w:name="_Toc24257"/>
      <w:r>
        <w:rPr>
          <w:rFonts w:ascii="楷体" w:eastAsia="楷体" w:hAnsi="楷体" w:cs="楷体" w:hint="eastAsia"/>
          <w:b w:val="0"/>
          <w:bCs/>
        </w:rPr>
        <w:t>（四）以养老金融</w:t>
      </w:r>
      <w:bookmarkEnd w:id="104"/>
      <w:bookmarkEnd w:id="105"/>
      <w:bookmarkEnd w:id="106"/>
      <w:bookmarkEnd w:id="107"/>
      <w:bookmarkEnd w:id="108"/>
      <w:bookmarkEnd w:id="109"/>
      <w:bookmarkEnd w:id="110"/>
      <w:r>
        <w:rPr>
          <w:rFonts w:ascii="楷体" w:eastAsia="楷体" w:hAnsi="楷体" w:cs="楷体" w:hint="eastAsia"/>
          <w:b w:val="0"/>
          <w:bCs/>
        </w:rPr>
        <w:t>完善养老服务</w:t>
      </w:r>
    </w:p>
    <w:p w:rsidR="00F42E9A" w:rsidRDefault="00DF4248">
      <w:pPr>
        <w:tabs>
          <w:tab w:val="center" w:pos="4153"/>
        </w:tabs>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驻区金融机构加强养老金融产品和服务创新，参与养老金“第三支柱”建设，加强养老产业链和金融服务链协同，促进健康产业、养老产业、银发经济发展。引导金融机构提升服务适老化水平，结合老年群体服务需求，加强老年人金融知识宣传教育和消费者权益保护。加强与驻区金融机构合作，完善“西城区父母食堂”“西城养老+”等服务，引导社会资本积极参与养老设施建设、养老产业运营，推动养老服务从“单点供给”向“系统集成”转型升级。</w:t>
      </w:r>
    </w:p>
    <w:p w:rsidR="00F42E9A" w:rsidRDefault="00DF4248">
      <w:pPr>
        <w:pStyle w:val="2"/>
        <w:spacing w:before="0" w:after="0" w:line="560" w:lineRule="exact"/>
        <w:ind w:firstLineChars="200" w:firstLine="640"/>
        <w:rPr>
          <w:rFonts w:ascii="楷体" w:eastAsia="楷体" w:hAnsi="楷体" w:cs="楷体"/>
          <w:szCs w:val="32"/>
        </w:rPr>
      </w:pPr>
      <w:bookmarkStart w:id="111" w:name="_Toc20165"/>
      <w:bookmarkStart w:id="112" w:name="_Toc12546"/>
      <w:bookmarkStart w:id="113" w:name="_Toc30908"/>
      <w:bookmarkStart w:id="114" w:name="_Toc11291"/>
      <w:bookmarkStart w:id="115" w:name="_Toc12793"/>
      <w:bookmarkStart w:id="116" w:name="_Toc18090"/>
      <w:bookmarkStart w:id="117" w:name="_Toc10163"/>
      <w:r>
        <w:rPr>
          <w:rFonts w:ascii="楷体" w:eastAsia="楷体" w:hAnsi="楷体" w:cs="楷体" w:hint="eastAsia"/>
          <w:b w:val="0"/>
          <w:bCs/>
        </w:rPr>
        <w:t>（五）</w:t>
      </w:r>
      <w:bookmarkStart w:id="118" w:name="OLE_LINK7"/>
      <w:bookmarkStart w:id="119" w:name="OLE_LINK9"/>
      <w:r>
        <w:rPr>
          <w:rFonts w:ascii="楷体" w:eastAsia="楷体" w:hAnsi="楷体" w:cs="楷体" w:hint="eastAsia"/>
          <w:b w:val="0"/>
          <w:bCs/>
        </w:rPr>
        <w:t>推动数字金融</w:t>
      </w:r>
      <w:bookmarkEnd w:id="111"/>
      <w:bookmarkEnd w:id="112"/>
      <w:bookmarkEnd w:id="113"/>
      <w:bookmarkEnd w:id="114"/>
      <w:bookmarkEnd w:id="115"/>
      <w:bookmarkEnd w:id="116"/>
      <w:bookmarkEnd w:id="117"/>
      <w:r>
        <w:rPr>
          <w:rFonts w:ascii="楷体" w:eastAsia="楷体" w:hAnsi="楷体" w:cs="楷体" w:hint="eastAsia"/>
          <w:b w:val="0"/>
          <w:bCs/>
        </w:rPr>
        <w:t>与数据产业联动发展</w:t>
      </w:r>
    </w:p>
    <w:bookmarkEnd w:id="118"/>
    <w:bookmarkEnd w:id="119"/>
    <w:p w:rsidR="00F42E9A" w:rsidRDefault="00DF4248">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发挥金科新区、中国数据街叠加优势，深化人工智能、量子信息、大数据等技术研发应用，引导金融机构数字化转型。探索建立数据开发共享机制，推动金融、商业和公共信用数据共享共</w:t>
      </w:r>
      <w:r>
        <w:rPr>
          <w:rFonts w:ascii="仿宋_GB2312" w:eastAsia="仿宋_GB2312" w:hAnsi="仿宋_GB2312" w:cs="仿宋_GB2312" w:hint="eastAsia"/>
          <w:color w:val="000000" w:themeColor="text1"/>
          <w:sz w:val="32"/>
          <w:szCs w:val="32"/>
        </w:rPr>
        <w:lastRenderedPageBreak/>
        <w:t>用和高效流通，支持驻区有条件的金融机构、企业探索设立数字金融实验室。发挥清分结算中心作为全国医保数据基础设施优势，推动金融科技与数据要素创新，促进“医保＋商保”协同互通，服务多层次医疗保障体系建设。高质量推进数字人民币全域全场景试点建设，持续丰富数字人民币应用场景。</w:t>
      </w:r>
    </w:p>
    <w:bookmarkEnd w:id="85"/>
    <w:p w:rsidR="00F42E9A" w:rsidRDefault="00DF4248">
      <w:pPr>
        <w:pStyle w:val="1"/>
        <w:spacing w:before="0" w:after="0" w:line="560" w:lineRule="exact"/>
        <w:ind w:firstLineChars="200" w:firstLine="640"/>
        <w:rPr>
          <w:rFonts w:ascii="黑体" w:eastAsia="黑体" w:hAnsi="黑体" w:cs="黑体"/>
          <w:b w:val="0"/>
          <w:bCs/>
          <w:color w:val="FF0000"/>
          <w:sz w:val="32"/>
          <w:szCs w:val="32"/>
        </w:rPr>
      </w:pPr>
      <w:r>
        <w:rPr>
          <w:rFonts w:ascii="黑体" w:eastAsia="黑体" w:hAnsi="黑体" w:cs="黑体" w:hint="eastAsia"/>
          <w:b w:val="0"/>
          <w:bCs/>
          <w:sz w:val="32"/>
          <w:szCs w:val="32"/>
        </w:rPr>
        <w:t xml:space="preserve">六、推进金融高水平开放 </w:t>
      </w:r>
    </w:p>
    <w:p w:rsidR="00F42E9A" w:rsidRDefault="00DF4248">
      <w:pPr>
        <w:spacing w:line="560" w:lineRule="exact"/>
        <w:ind w:firstLineChars="200" w:firstLine="640"/>
        <w:rPr>
          <w:rFonts w:ascii="楷体_GB2312" w:eastAsia="楷体_GB2312"/>
          <w:sz w:val="32"/>
          <w:szCs w:val="32"/>
        </w:rPr>
      </w:pPr>
      <w:bookmarkStart w:id="120" w:name="_Toc20177"/>
      <w:bookmarkStart w:id="121" w:name="_Toc7431"/>
      <w:bookmarkStart w:id="122" w:name="_Toc32458"/>
      <w:bookmarkStart w:id="123" w:name="_Toc6171"/>
      <w:bookmarkStart w:id="124" w:name="_Toc14236"/>
      <w:bookmarkStart w:id="125" w:name="_Toc23385"/>
      <w:bookmarkStart w:id="126" w:name="_Toc4431"/>
      <w:bookmarkStart w:id="127" w:name="_Toc31197"/>
      <w:bookmarkStart w:id="128" w:name="_Toc29699"/>
      <w:bookmarkStart w:id="129" w:name="_Toc12131"/>
      <w:bookmarkStart w:id="130" w:name="_Toc1023"/>
      <w:bookmarkStart w:id="131" w:name="_Toc1797"/>
      <w:bookmarkStart w:id="132" w:name="_Toc17018"/>
      <w:bookmarkStart w:id="133" w:name="_Toc8720"/>
      <w:bookmarkStart w:id="134" w:name="_Toc4950"/>
      <w:bookmarkStart w:id="135" w:name="_Toc30975"/>
      <w:bookmarkStart w:id="136" w:name="_Toc21360"/>
      <w:bookmarkStart w:id="137" w:name="_Toc29988"/>
      <w:bookmarkStart w:id="138" w:name="_Toc6633"/>
      <w:bookmarkStart w:id="139" w:name="_Toc26046"/>
      <w:bookmarkEnd w:id="86"/>
      <w:bookmarkEnd w:id="87"/>
      <w:bookmarkEnd w:id="88"/>
      <w:bookmarkEnd w:id="89"/>
      <w:bookmarkEnd w:id="90"/>
      <w:bookmarkEnd w:id="91"/>
      <w:bookmarkEnd w:id="92"/>
      <w:bookmarkEnd w:id="93"/>
      <w:bookmarkEnd w:id="94"/>
      <w:bookmarkEnd w:id="95"/>
      <w:r>
        <w:rPr>
          <w:rFonts w:ascii="楷体_GB2312" w:eastAsia="楷体_GB2312" w:hint="eastAsia"/>
          <w:bCs/>
          <w:sz w:val="32"/>
          <w:szCs w:val="32"/>
        </w:rPr>
        <w:t>（一）打造国家金融开放发展重要平台</w:t>
      </w:r>
    </w:p>
    <w:p w:rsidR="00F42E9A" w:rsidRDefault="00DF4248">
      <w:pPr>
        <w:spacing w:line="560" w:lineRule="exact"/>
        <w:ind w:firstLineChars="200" w:firstLine="640"/>
        <w:rPr>
          <w:rFonts w:ascii="仿宋_GB2312" w:eastAsia="仿宋_GB2312"/>
          <w:sz w:val="32"/>
          <w:szCs w:val="32"/>
        </w:rPr>
      </w:pPr>
      <w:r>
        <w:rPr>
          <w:rFonts w:ascii="仿宋_GB2312" w:eastAsia="仿宋_GB2312"/>
          <w:sz w:val="32"/>
          <w:szCs w:val="32"/>
        </w:rPr>
        <w:t>高质量办好金融街论坛，持续强化</w:t>
      </w:r>
      <w:r>
        <w:rPr>
          <w:rFonts w:ascii="仿宋_GB2312" w:eastAsia="仿宋_GB2312" w:hint="eastAsia"/>
          <w:sz w:val="32"/>
          <w:szCs w:val="32"/>
        </w:rPr>
        <w:t>论坛年会</w:t>
      </w:r>
      <w:r>
        <w:rPr>
          <w:rFonts w:ascii="仿宋_GB2312" w:eastAsia="仿宋_GB2312"/>
          <w:sz w:val="32"/>
          <w:szCs w:val="32"/>
        </w:rPr>
        <w:t>国家级金融政策宣传权威发布平台、金融与实体经济良性互动平台、中国参与全球金融治理发声平台、国际</w:t>
      </w:r>
      <w:r>
        <w:rPr>
          <w:rFonts w:ascii="仿宋_GB2312" w:eastAsia="仿宋_GB2312" w:hint="eastAsia"/>
          <w:sz w:val="32"/>
          <w:szCs w:val="32"/>
        </w:rPr>
        <w:t>间</w:t>
      </w:r>
      <w:r>
        <w:rPr>
          <w:rFonts w:ascii="仿宋_GB2312" w:eastAsia="仿宋_GB2312"/>
          <w:sz w:val="32"/>
          <w:szCs w:val="32"/>
        </w:rPr>
        <w:t>金融交流合作平台</w:t>
      </w:r>
      <w:r>
        <w:rPr>
          <w:rFonts w:ascii="仿宋_GB2312" w:eastAsia="仿宋_GB2312" w:hint="eastAsia"/>
          <w:sz w:val="32"/>
          <w:szCs w:val="32"/>
        </w:rPr>
        <w:t>功能。</w:t>
      </w:r>
      <w:r>
        <w:rPr>
          <w:rFonts w:ascii="仿宋_GB2312" w:eastAsia="仿宋_GB2312"/>
          <w:sz w:val="32"/>
          <w:szCs w:val="32"/>
        </w:rPr>
        <w:t>促进国际金融交流合作，</w:t>
      </w:r>
      <w:r>
        <w:rPr>
          <w:rFonts w:ascii="仿宋_GB2312" w:eastAsia="仿宋_GB2312" w:hint="eastAsia"/>
          <w:sz w:val="32"/>
          <w:szCs w:val="32"/>
        </w:rPr>
        <w:t>提升论坛国际化水平，</w:t>
      </w:r>
      <w:r>
        <w:rPr>
          <w:rFonts w:ascii="仿宋_GB2312" w:eastAsia="仿宋_GB2312"/>
          <w:sz w:val="32"/>
          <w:szCs w:val="32"/>
        </w:rPr>
        <w:t>积极争取金融监管部门高规格国际会议及全球金融治理多边对话机制融入论坛框架，打造服务金融双向开放的国家级会客厅。</w:t>
      </w:r>
      <w:r>
        <w:rPr>
          <w:rFonts w:ascii="仿宋_GB2312" w:eastAsia="仿宋_GB2312" w:hint="eastAsia"/>
          <w:sz w:val="32"/>
          <w:szCs w:val="32"/>
        </w:rPr>
        <w:t>提升论坛实效，常态化举办论坛系列活动，</w:t>
      </w:r>
      <w:r>
        <w:rPr>
          <w:rFonts w:ascii="仿宋_GB2312" w:eastAsia="仿宋_GB2312"/>
          <w:sz w:val="32"/>
          <w:szCs w:val="32"/>
        </w:rPr>
        <w:t>聚焦金融服务实体经济，深化成果转化，精准匹配国家重大战略、重点产业、重点项目融资需求，推动投融资合作成果落地见效。</w:t>
      </w:r>
    </w:p>
    <w:p w:rsidR="00F42E9A" w:rsidRDefault="00DF4248">
      <w:pPr>
        <w:spacing w:line="560" w:lineRule="exact"/>
        <w:ind w:firstLineChars="200" w:firstLine="640"/>
        <w:rPr>
          <w:rFonts w:ascii="楷体_GB2312" w:eastAsia="楷体_GB2312"/>
          <w:b/>
          <w:bCs/>
          <w:sz w:val="32"/>
          <w:szCs w:val="32"/>
        </w:rPr>
      </w:pPr>
      <w:r>
        <w:rPr>
          <w:rFonts w:ascii="楷体_GB2312" w:eastAsia="楷体_GB2312" w:hint="eastAsia"/>
          <w:bCs/>
          <w:sz w:val="32"/>
          <w:szCs w:val="32"/>
        </w:rPr>
        <w:t>（二）促进国际金融机构与组织集聚发展</w:t>
      </w:r>
      <w:bookmarkEnd w:id="120"/>
      <w:bookmarkEnd w:id="121"/>
      <w:bookmarkEnd w:id="122"/>
      <w:bookmarkEnd w:id="123"/>
      <w:bookmarkEnd w:id="124"/>
      <w:bookmarkEnd w:id="125"/>
      <w:bookmarkEnd w:id="126"/>
      <w:bookmarkEnd w:id="127"/>
      <w:bookmarkEnd w:id="128"/>
      <w:bookmarkEnd w:id="129"/>
    </w:p>
    <w:p w:rsidR="00F42E9A" w:rsidRDefault="00DF4248">
      <w:pPr>
        <w:spacing w:line="560" w:lineRule="exact"/>
        <w:ind w:firstLineChars="200" w:firstLine="640"/>
        <w:rPr>
          <w:rFonts w:ascii="仿宋_GB2312" w:eastAsia="仿宋_GB2312"/>
          <w:sz w:val="32"/>
          <w:szCs w:val="32"/>
        </w:rPr>
      </w:pPr>
      <w:r>
        <w:rPr>
          <w:rFonts w:ascii="仿宋_GB2312" w:eastAsia="仿宋_GB2312"/>
          <w:sz w:val="32"/>
          <w:szCs w:val="32"/>
        </w:rPr>
        <w:t>完善国际金融机构及组织落地服务机制，</w:t>
      </w:r>
      <w:r>
        <w:rPr>
          <w:rFonts w:ascii="仿宋_GB2312" w:eastAsia="仿宋_GB2312" w:hint="eastAsia"/>
          <w:sz w:val="32"/>
          <w:szCs w:val="32"/>
        </w:rPr>
        <w:t>强化与世界领先的各类金融机构、组织的交流对接，提升金融生态吸引力，引导支持国际金融资源在西城设立机构，深化布局。加大国际专业服务机构引聚力度，做好“一带一路”共建国家金融机构落户金融街的服务保障。支持驻区金融机构积极拓展跨境业务，助力构建金</w:t>
      </w:r>
      <w:r>
        <w:rPr>
          <w:rFonts w:ascii="仿宋_GB2312" w:eastAsia="仿宋_GB2312" w:hint="eastAsia"/>
          <w:sz w:val="32"/>
          <w:szCs w:val="32"/>
        </w:rPr>
        <w:lastRenderedPageBreak/>
        <w:t>融街金融双向开放新格局。</w:t>
      </w:r>
    </w:p>
    <w:p w:rsidR="00F42E9A" w:rsidRDefault="00DF4248">
      <w:pPr>
        <w:spacing w:line="560" w:lineRule="exact"/>
        <w:ind w:firstLineChars="200" w:firstLine="640"/>
        <w:rPr>
          <w:rFonts w:ascii="楷体_GB2312" w:eastAsia="楷体_GB2312"/>
          <w:b/>
          <w:bCs/>
          <w:sz w:val="32"/>
          <w:szCs w:val="32"/>
        </w:rPr>
      </w:pPr>
      <w:bookmarkStart w:id="140" w:name="_Toc15409"/>
      <w:bookmarkStart w:id="141" w:name="_Toc27433"/>
      <w:bookmarkStart w:id="142" w:name="_Toc3005"/>
      <w:bookmarkStart w:id="143" w:name="_Toc4464"/>
      <w:bookmarkStart w:id="144" w:name="_Toc6441"/>
      <w:bookmarkStart w:id="145" w:name="_Toc1502"/>
      <w:bookmarkStart w:id="146" w:name="_Toc6646"/>
      <w:bookmarkStart w:id="147" w:name="_Toc28231"/>
      <w:bookmarkStart w:id="148" w:name="_Toc1220"/>
      <w:bookmarkStart w:id="149" w:name="_Toc1555"/>
      <w:r>
        <w:rPr>
          <w:rFonts w:ascii="楷体_GB2312" w:eastAsia="楷体_GB2312" w:hint="eastAsia"/>
          <w:bCs/>
          <w:sz w:val="32"/>
          <w:szCs w:val="32"/>
        </w:rPr>
        <w:t>（三）</w:t>
      </w:r>
      <w:bookmarkEnd w:id="140"/>
      <w:bookmarkEnd w:id="141"/>
      <w:bookmarkEnd w:id="142"/>
      <w:bookmarkEnd w:id="143"/>
      <w:bookmarkEnd w:id="144"/>
      <w:bookmarkEnd w:id="145"/>
      <w:bookmarkEnd w:id="146"/>
      <w:bookmarkEnd w:id="147"/>
      <w:bookmarkEnd w:id="148"/>
      <w:bookmarkEnd w:id="149"/>
      <w:r>
        <w:rPr>
          <w:rFonts w:ascii="楷体_GB2312" w:eastAsia="楷体_GB2312" w:hint="eastAsia"/>
          <w:bCs/>
          <w:sz w:val="32"/>
          <w:szCs w:val="32"/>
        </w:rPr>
        <w:t>服务金融开放创新发展</w:t>
      </w:r>
    </w:p>
    <w:p w:rsidR="00F42E9A" w:rsidRDefault="00DF4248">
      <w:pPr>
        <w:spacing w:line="560" w:lineRule="exact"/>
        <w:ind w:firstLineChars="200" w:firstLine="640"/>
        <w:rPr>
          <w:rFonts w:ascii="仿宋_GB2312" w:eastAsia="仿宋_GB2312"/>
          <w:sz w:val="32"/>
          <w:szCs w:val="32"/>
        </w:rPr>
      </w:pPr>
      <w:bookmarkStart w:id="150" w:name="_Toc5809"/>
      <w:bookmarkStart w:id="151" w:name="_Toc28348"/>
      <w:bookmarkStart w:id="152" w:name="_Toc28278"/>
      <w:bookmarkStart w:id="153" w:name="_Toc1028"/>
      <w:bookmarkStart w:id="154" w:name="_Toc28448"/>
      <w:bookmarkStart w:id="155" w:name="_Toc17131"/>
      <w:bookmarkStart w:id="156" w:name="_Toc3656"/>
      <w:bookmarkStart w:id="157" w:name="_Toc23279"/>
      <w:bookmarkStart w:id="158" w:name="_Toc10049"/>
      <w:bookmarkStart w:id="159" w:name="_Toc9134"/>
      <w:r>
        <w:rPr>
          <w:rFonts w:ascii="仿宋_GB2312" w:eastAsia="仿宋_GB2312" w:hint="eastAsia"/>
          <w:sz w:val="32"/>
          <w:szCs w:val="32"/>
        </w:rPr>
        <w:t>加快金融领域“两区”建设，参与推进北京地区跨境贸易投资高水平开放试点，拓展自由贸易账户功能。推动标志性跨境金融项目落地。做好境外投资者参与北交所的服务对接，深化债券通、跨境理财通等试点政策宣传与需求挖掘，引导境外长期资金入市。配合推进人民币国际化进程基础设施建设，服务跨境支付、清算等金融基础设施国际合作，助力加快建设多元化人民币跨境支付体系。促进金融机构提升国际服务能力，为中资企业“走出去”提供优质金融服务。</w:t>
      </w:r>
    </w:p>
    <w:p w:rsidR="00F42E9A" w:rsidRDefault="00DF4248">
      <w:pPr>
        <w:spacing w:line="560" w:lineRule="exact"/>
        <w:ind w:firstLineChars="200" w:firstLine="640"/>
        <w:rPr>
          <w:rFonts w:ascii="楷体_GB2312" w:eastAsia="楷体_GB2312"/>
          <w:sz w:val="32"/>
          <w:szCs w:val="32"/>
        </w:rPr>
      </w:pPr>
      <w:bookmarkStart w:id="160" w:name="_Toc27035"/>
      <w:bookmarkStart w:id="161" w:name="_Toc29457"/>
      <w:bookmarkStart w:id="162" w:name="_Toc207702906"/>
      <w:bookmarkStart w:id="163" w:name="_Toc210895583"/>
      <w:bookmarkStart w:id="164" w:name="_Toc208934318"/>
      <w:bookmarkStart w:id="165" w:name="_Toc7212"/>
      <w:bookmarkStart w:id="166" w:name="_Toc19538"/>
      <w:bookmarkStart w:id="167" w:name="_Toc27258"/>
      <w:bookmarkStart w:id="168" w:name="_Toc24135"/>
      <w:bookmarkStart w:id="169" w:name="_Toc3265"/>
      <w:bookmarkStart w:id="170" w:name="_Toc28148"/>
      <w:bookmarkStart w:id="171" w:name="_Toc16319"/>
      <w:bookmarkStart w:id="172" w:name="_Toc29134"/>
      <w:bookmarkEnd w:id="150"/>
      <w:bookmarkEnd w:id="151"/>
      <w:bookmarkEnd w:id="152"/>
      <w:bookmarkEnd w:id="153"/>
      <w:bookmarkEnd w:id="154"/>
      <w:bookmarkEnd w:id="155"/>
      <w:bookmarkEnd w:id="156"/>
      <w:bookmarkEnd w:id="157"/>
      <w:bookmarkEnd w:id="158"/>
      <w:bookmarkEnd w:id="159"/>
      <w:r>
        <w:rPr>
          <w:rFonts w:ascii="楷体_GB2312" w:eastAsia="楷体_GB2312" w:hint="eastAsia"/>
          <w:bCs/>
          <w:sz w:val="32"/>
          <w:szCs w:val="32"/>
        </w:rPr>
        <w:t>（四）</w:t>
      </w:r>
      <w:bookmarkStart w:id="173" w:name="OLE_LINK3"/>
      <w:bookmarkStart w:id="174" w:name="OLE_LINK13"/>
      <w:r>
        <w:rPr>
          <w:rFonts w:ascii="楷体_GB2312" w:eastAsia="楷体_GB2312" w:hint="eastAsia"/>
          <w:bCs/>
          <w:sz w:val="32"/>
          <w:szCs w:val="32"/>
        </w:rPr>
        <w:t>拓展金融街国际合作“朋友圈”</w:t>
      </w:r>
      <w:bookmarkEnd w:id="160"/>
      <w:bookmarkEnd w:id="161"/>
      <w:bookmarkEnd w:id="162"/>
      <w:bookmarkEnd w:id="163"/>
      <w:bookmarkEnd w:id="164"/>
      <w:bookmarkEnd w:id="165"/>
      <w:bookmarkEnd w:id="166"/>
      <w:bookmarkEnd w:id="167"/>
      <w:bookmarkEnd w:id="168"/>
      <w:bookmarkEnd w:id="169"/>
      <w:bookmarkEnd w:id="170"/>
      <w:bookmarkEnd w:id="171"/>
      <w:bookmarkEnd w:id="172"/>
    </w:p>
    <w:bookmarkEnd w:id="173"/>
    <w:bookmarkEnd w:id="174"/>
    <w:p w:rsidR="00F42E9A" w:rsidRDefault="00DF4248">
      <w:pPr>
        <w:spacing w:line="560" w:lineRule="exact"/>
        <w:ind w:firstLineChars="200" w:firstLine="640"/>
        <w:rPr>
          <w:rFonts w:ascii="仿宋_GB2312" w:eastAsia="仿宋_GB2312"/>
          <w:sz w:val="32"/>
          <w:szCs w:val="32"/>
        </w:rPr>
      </w:pPr>
      <w:r>
        <w:rPr>
          <w:rFonts w:ascii="仿宋_GB2312" w:eastAsia="仿宋_GB2312"/>
          <w:sz w:val="32"/>
          <w:szCs w:val="32"/>
        </w:rPr>
        <w:t>全方位、多层次拓宽</w:t>
      </w:r>
      <w:r>
        <w:rPr>
          <w:rFonts w:ascii="仿宋_GB2312" w:eastAsia="仿宋_GB2312" w:hint="eastAsia"/>
          <w:sz w:val="32"/>
          <w:szCs w:val="32"/>
        </w:rPr>
        <w:t>金融街</w:t>
      </w:r>
      <w:r>
        <w:rPr>
          <w:rFonts w:ascii="仿宋_GB2312" w:eastAsia="仿宋_GB2312"/>
          <w:sz w:val="32"/>
          <w:szCs w:val="32"/>
        </w:rPr>
        <w:t>国际合作，构建机制化对外合作格局，持续提升金融街国际化能级与全球影响力。深化与全球金融枢纽城市的机制化互访交流、跨国金融产业招商、高端论坛协同共建，推动各类涉外战略合作协议落地</w:t>
      </w:r>
      <w:r>
        <w:rPr>
          <w:rFonts w:ascii="仿宋_GB2312" w:eastAsia="仿宋_GB2312" w:hint="eastAsia"/>
          <w:sz w:val="32"/>
          <w:szCs w:val="32"/>
        </w:rPr>
        <w:t>。拓展</w:t>
      </w:r>
      <w:r>
        <w:rPr>
          <w:rFonts w:ascii="仿宋_GB2312" w:eastAsia="仿宋_GB2312"/>
          <w:sz w:val="32"/>
          <w:szCs w:val="32"/>
        </w:rPr>
        <w:t>国际金融中心</w:t>
      </w:r>
      <w:r>
        <w:rPr>
          <w:rFonts w:ascii="仿宋_GB2312" w:eastAsia="仿宋_GB2312" w:hint="eastAsia"/>
          <w:sz w:val="32"/>
          <w:szCs w:val="32"/>
        </w:rPr>
        <w:t>城市</w:t>
      </w:r>
      <w:r>
        <w:rPr>
          <w:rFonts w:ascii="仿宋_GB2312" w:eastAsia="仿宋_GB2312"/>
          <w:sz w:val="32"/>
          <w:szCs w:val="32"/>
        </w:rPr>
        <w:t>合作网络</w:t>
      </w:r>
      <w:r>
        <w:rPr>
          <w:rFonts w:ascii="仿宋_GB2312" w:eastAsia="仿宋_GB2312" w:hint="eastAsia"/>
          <w:sz w:val="32"/>
          <w:szCs w:val="32"/>
        </w:rPr>
        <w:t>，落实</w:t>
      </w:r>
      <w:r>
        <w:rPr>
          <w:rFonts w:ascii="仿宋_GB2312" w:eastAsia="仿宋_GB2312"/>
          <w:sz w:val="32"/>
          <w:szCs w:val="32"/>
        </w:rPr>
        <w:t>国家对外开放政策，统筹布局覆盖欧洲、美洲、非洲及东南亚等全球重点区域的国际金融中心城市战略合作体系</w:t>
      </w:r>
      <w:r>
        <w:rPr>
          <w:rFonts w:ascii="仿宋_GB2312" w:eastAsia="仿宋_GB2312" w:hint="eastAsia"/>
          <w:sz w:val="32"/>
          <w:szCs w:val="32"/>
        </w:rPr>
        <w:t>。</w:t>
      </w:r>
      <w:r>
        <w:rPr>
          <w:rFonts w:ascii="仿宋_GB2312" w:eastAsia="仿宋_GB2312"/>
          <w:sz w:val="32"/>
          <w:szCs w:val="32"/>
        </w:rPr>
        <w:t>充分发挥金融街合作发展理事会国际合作专委会作用，常态化举办高端金融对话、政策研讨与资源对接活动。</w:t>
      </w:r>
      <w:r>
        <w:rPr>
          <w:rFonts w:ascii="仿宋_GB2312" w:eastAsia="仿宋_GB2312" w:hint="eastAsia"/>
          <w:sz w:val="32"/>
          <w:szCs w:val="32"/>
        </w:rPr>
        <w:t>深化并拓展与</w:t>
      </w:r>
      <w:r>
        <w:rPr>
          <w:rFonts w:ascii="仿宋_GB2312" w:eastAsia="仿宋_GB2312"/>
          <w:sz w:val="32"/>
          <w:szCs w:val="32"/>
        </w:rPr>
        <w:t>全球性、区域性金融权威机构</w:t>
      </w:r>
      <w:r>
        <w:rPr>
          <w:rFonts w:ascii="仿宋_GB2312" w:eastAsia="仿宋_GB2312" w:hint="eastAsia"/>
          <w:sz w:val="32"/>
          <w:szCs w:val="32"/>
        </w:rPr>
        <w:t>、</w:t>
      </w:r>
      <w:r>
        <w:rPr>
          <w:rFonts w:ascii="仿宋_GB2312" w:eastAsia="仿宋_GB2312"/>
          <w:sz w:val="32"/>
          <w:szCs w:val="32"/>
        </w:rPr>
        <w:t>多边会议平台</w:t>
      </w:r>
      <w:r>
        <w:rPr>
          <w:rFonts w:ascii="仿宋_GB2312" w:eastAsia="仿宋_GB2312" w:hint="eastAsia"/>
          <w:sz w:val="32"/>
          <w:szCs w:val="32"/>
        </w:rPr>
        <w:t>合作，探索</w:t>
      </w:r>
      <w:r>
        <w:rPr>
          <w:rFonts w:ascii="仿宋_GB2312" w:eastAsia="仿宋_GB2312"/>
          <w:sz w:val="32"/>
          <w:szCs w:val="32"/>
        </w:rPr>
        <w:t>建立多层级战略合作机制。</w:t>
      </w:r>
    </w:p>
    <w:p w:rsidR="00F42E9A" w:rsidRDefault="00DF4248">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七、优化金融产业发展环境</w:t>
      </w:r>
      <w:bookmarkStart w:id="175" w:name="_Toc8956"/>
      <w:bookmarkStart w:id="176" w:name="_Toc208934321"/>
      <w:bookmarkStart w:id="177" w:name="_Toc22562"/>
      <w:bookmarkStart w:id="178" w:name="_Toc210895586"/>
      <w:bookmarkStart w:id="179" w:name="_Toc1633"/>
      <w:bookmarkStart w:id="180" w:name="_Toc18767"/>
      <w:bookmarkStart w:id="181" w:name="_Toc30766"/>
      <w:bookmarkStart w:id="182" w:name="_Toc9794"/>
      <w:bookmarkStart w:id="183" w:name="_Toc4492"/>
      <w:bookmarkStart w:id="184" w:name="_Toc21469"/>
      <w:bookmarkStart w:id="185" w:name="_Toc27346"/>
      <w:bookmarkStart w:id="186" w:name="_Toc14801"/>
      <w:bookmarkEnd w:id="130"/>
      <w:bookmarkEnd w:id="131"/>
      <w:bookmarkEnd w:id="132"/>
      <w:bookmarkEnd w:id="133"/>
      <w:bookmarkEnd w:id="134"/>
      <w:bookmarkEnd w:id="135"/>
      <w:bookmarkEnd w:id="136"/>
      <w:bookmarkEnd w:id="137"/>
      <w:bookmarkEnd w:id="138"/>
      <w:bookmarkEnd w:id="139"/>
    </w:p>
    <w:p w:rsidR="00F42E9A" w:rsidRDefault="00DF4248">
      <w:pPr>
        <w:spacing w:line="560" w:lineRule="exact"/>
        <w:ind w:firstLineChars="200" w:firstLine="640"/>
        <w:rPr>
          <w:rFonts w:ascii="楷体" w:eastAsia="楷体" w:hAnsi="楷体" w:cs="楷体"/>
          <w:bCs/>
          <w:sz w:val="32"/>
          <w:szCs w:val="32"/>
        </w:rPr>
      </w:pPr>
      <w:r>
        <w:rPr>
          <w:rFonts w:ascii="楷体" w:eastAsia="楷体" w:hAnsi="楷体" w:cs="楷体" w:hint="eastAsia"/>
          <w:bCs/>
          <w:sz w:val="32"/>
          <w:szCs w:val="32"/>
        </w:rPr>
        <w:lastRenderedPageBreak/>
        <w:t>（一）持续优化金融领域营商环境</w:t>
      </w:r>
    </w:p>
    <w:p w:rsidR="00F42E9A" w:rsidRPr="00F21AB0" w:rsidRDefault="00DF4248">
      <w:pPr>
        <w:spacing w:line="560" w:lineRule="exact"/>
        <w:ind w:firstLineChars="200" w:firstLine="640"/>
        <w:rPr>
          <w:rFonts w:ascii="仿宋_GB2312" w:eastAsia="仿宋_GB2312" w:hAnsi="仿宋" w:cs="仿宋_GB2312"/>
          <w:color w:val="000000" w:themeColor="text1"/>
          <w:sz w:val="32"/>
          <w:szCs w:val="32"/>
        </w:rPr>
      </w:pPr>
      <w:r w:rsidRPr="00F21AB0">
        <w:rPr>
          <w:rFonts w:ascii="仿宋_GB2312" w:eastAsia="仿宋_GB2312" w:hAnsi="仿宋" w:cs="仿宋_GB2312" w:hint="eastAsia"/>
          <w:color w:val="000000" w:themeColor="text1"/>
          <w:sz w:val="32"/>
          <w:szCs w:val="32"/>
        </w:rPr>
        <w:t>深入践行共商共建共治共享理念，完善“四位一体”</w:t>
      </w:r>
      <w:r w:rsidRPr="00F21AB0">
        <w:rPr>
          <w:rStyle w:val="af0"/>
          <w:rFonts w:ascii="仿宋_GB2312" w:eastAsia="仿宋_GB2312" w:hAnsi="仿宋" w:cs="仿宋_GB2312" w:hint="eastAsia"/>
          <w:color w:val="000000" w:themeColor="text1"/>
          <w:sz w:val="32"/>
          <w:szCs w:val="32"/>
        </w:rPr>
        <w:footnoteReference w:id="2"/>
      </w:r>
      <w:r w:rsidRPr="00F21AB0">
        <w:rPr>
          <w:rFonts w:ascii="仿宋_GB2312" w:eastAsia="仿宋_GB2312" w:hAnsi="仿宋" w:cs="仿宋_GB2312" w:hint="eastAsia"/>
          <w:color w:val="000000" w:themeColor="text1"/>
          <w:sz w:val="32"/>
          <w:szCs w:val="32"/>
        </w:rPr>
        <w:t>服务机制，发挥金融街合作发展理事会跨界共治和协调议事平台作用，深化“6R”</w:t>
      </w:r>
      <w:r w:rsidRPr="00F21AB0">
        <w:rPr>
          <w:rStyle w:val="af0"/>
          <w:rFonts w:ascii="仿宋_GB2312" w:eastAsia="仿宋_GB2312" w:hAnsi="仿宋" w:cs="仿宋_GB2312" w:hint="eastAsia"/>
          <w:color w:val="000000" w:themeColor="text1"/>
          <w:sz w:val="32"/>
          <w:szCs w:val="32"/>
        </w:rPr>
        <w:footnoteReference w:id="3"/>
      </w:r>
      <w:r w:rsidRPr="00F21AB0">
        <w:rPr>
          <w:rFonts w:ascii="仿宋_GB2312" w:eastAsia="仿宋_GB2312" w:hAnsi="仿宋" w:cs="仿宋_GB2312" w:hint="eastAsia"/>
          <w:color w:val="000000" w:themeColor="text1"/>
          <w:sz w:val="32"/>
          <w:szCs w:val="32"/>
        </w:rPr>
        <w:t>服务体系，做优双管家服务，强化聚力·金融街党群服务中心、金融街研究院、《金融街观察》、金融街发布、金融街I客厅等平台功能，构建金融机构全周期服务生态，提升服务精准化、精细化和专业化水平。</w:t>
      </w:r>
      <w:r w:rsidRPr="00F21AB0">
        <w:rPr>
          <w:rFonts w:ascii="仿宋_GB2312" w:eastAsia="仿宋_GB2312" w:hAnsi="仿宋" w:cs="仿宋_GB2312" w:hint="eastAsia"/>
          <w:color w:val="000000"/>
          <w:kern w:val="0"/>
          <w:sz w:val="32"/>
          <w:szCs w:val="32"/>
          <w:lang w:bidi="ar"/>
        </w:rPr>
        <w:t>积极争取中央和北京市相关政策支持，营造良好金融业发展环境。</w:t>
      </w:r>
    </w:p>
    <w:p w:rsidR="00F42E9A" w:rsidRDefault="00DF4248">
      <w:pPr>
        <w:pStyle w:val="2"/>
        <w:spacing w:before="0" w:after="0" w:line="560" w:lineRule="exact"/>
        <w:ind w:firstLineChars="200" w:firstLine="640"/>
        <w:rPr>
          <w:rFonts w:ascii="楷体" w:eastAsia="楷体" w:hAnsi="楷体" w:cs="楷体"/>
          <w:szCs w:val="32"/>
        </w:rPr>
      </w:pPr>
      <w:r>
        <w:rPr>
          <w:rFonts w:ascii="楷体" w:eastAsia="楷体" w:hAnsi="楷体" w:cs="楷体" w:hint="eastAsia"/>
          <w:b w:val="0"/>
          <w:bCs/>
        </w:rPr>
        <w:t>（二）提升金融法治环境建设水平</w:t>
      </w:r>
    </w:p>
    <w:p w:rsidR="00F42E9A" w:rsidRDefault="00DF4248">
      <w:pPr>
        <w:adjustRightInd w:val="0"/>
        <w:snapToGrid w:val="0"/>
        <w:spacing w:line="560" w:lineRule="exact"/>
        <w:ind w:firstLineChars="200" w:firstLine="640"/>
        <w:rPr>
          <w:rFonts w:ascii="仿宋_GB2312" w:eastAsia="仿宋_GB2312" w:hAnsi="仿宋_GB2312" w:cs="仿宋_GB2312"/>
          <w:sz w:val="32"/>
          <w:szCs w:val="32"/>
        </w:rPr>
      </w:pPr>
      <w:bookmarkStart w:id="187" w:name="_Toc12668"/>
      <w:bookmarkStart w:id="188" w:name="_Toc206433879"/>
      <w:bookmarkStart w:id="189" w:name="_Toc29499"/>
      <w:bookmarkStart w:id="190" w:name="_Toc10855"/>
      <w:bookmarkStart w:id="191" w:name="_Toc207702913"/>
      <w:bookmarkStart w:id="192" w:name="_Toc210895589"/>
      <w:bookmarkStart w:id="193" w:name="_Toc20582"/>
      <w:bookmarkStart w:id="194" w:name="_Toc25807"/>
      <w:bookmarkStart w:id="195" w:name="_Toc1336"/>
      <w:bookmarkStart w:id="196" w:name="_Toc3816"/>
      <w:bookmarkStart w:id="197" w:name="_Toc13815"/>
      <w:bookmarkStart w:id="198" w:name="_Toc19321"/>
      <w:bookmarkStart w:id="199" w:name="_Toc208934325"/>
      <w:bookmarkStart w:id="200" w:name="_Toc10457"/>
      <w:bookmarkEnd w:id="175"/>
      <w:bookmarkEnd w:id="176"/>
      <w:bookmarkEnd w:id="177"/>
      <w:bookmarkEnd w:id="178"/>
      <w:bookmarkEnd w:id="179"/>
      <w:bookmarkEnd w:id="180"/>
      <w:bookmarkEnd w:id="181"/>
      <w:bookmarkEnd w:id="182"/>
      <w:bookmarkEnd w:id="183"/>
      <w:bookmarkEnd w:id="184"/>
      <w:bookmarkEnd w:id="185"/>
      <w:bookmarkEnd w:id="186"/>
      <w:r>
        <w:rPr>
          <w:rFonts w:ascii="仿宋_GB2312" w:eastAsia="仿宋_GB2312" w:hAnsi="仿宋_GB2312" w:cs="仿宋_GB2312" w:hint="eastAsia"/>
          <w:sz w:val="32"/>
          <w:szCs w:val="32"/>
        </w:rPr>
        <w:t>支持北京金融法院提升金融审判能力，完善金融法治协同，服务保障国家金融战略实施。高质量建设全国人大常委会法工委北京金融街服务局基层立法联系点，深入开展相关金融立法调研、草案征询、立法论证等工作，强化“直通车”“连心桥”功能。加强对外宣传交流，讲好中国金融法治故事。依托金融街合作发展理事会金融法治建设专业委员会，办好金融街论坛年会金融法治平行论坛，打造国家级金融法治品牌。发挥中国（北京）证券期货仲裁中心作用，提升金融纠纷预防和多元化解能力。健全与国家金融管理部门风险信息协同共享机制，完善防范和打击非法金融活动长效机制，维护区域金融安全稳定。</w:t>
      </w:r>
    </w:p>
    <w:p w:rsidR="00F42E9A" w:rsidRDefault="00DF4248">
      <w:pPr>
        <w:pStyle w:val="2"/>
        <w:spacing w:before="0" w:after="0" w:line="560" w:lineRule="exact"/>
        <w:ind w:firstLineChars="200" w:firstLine="640"/>
        <w:rPr>
          <w:rFonts w:ascii="楷体" w:eastAsia="楷体" w:hAnsi="楷体" w:cs="楷体"/>
          <w:b w:val="0"/>
          <w:bCs/>
        </w:rPr>
      </w:pPr>
      <w:r>
        <w:rPr>
          <w:rFonts w:ascii="楷体" w:eastAsia="楷体" w:hAnsi="楷体" w:cs="楷体" w:hint="eastAsia"/>
          <w:b w:val="0"/>
          <w:bCs/>
        </w:rPr>
        <w:lastRenderedPageBreak/>
        <w:t>（三）提升金融街综合环境品质</w:t>
      </w:r>
    </w:p>
    <w:p w:rsidR="00F42E9A" w:rsidRDefault="00DF4248" w:rsidP="006B0651">
      <w:pPr>
        <w:tabs>
          <w:tab w:val="center" w:pos="4153"/>
        </w:tabs>
        <w:spacing w:line="560" w:lineRule="exact"/>
        <w:ind w:firstLineChars="200" w:firstLine="640"/>
        <w:rPr>
          <w:rFonts w:ascii="仿宋_GB2312" w:eastAsia="仿宋_GB2312" w:hAnsi="仿宋_GB2312" w:cs="仿宋_GB2312"/>
          <w:color w:val="000000" w:themeColor="text1"/>
          <w:sz w:val="32"/>
          <w:szCs w:val="32"/>
        </w:rPr>
      </w:pPr>
      <w:bookmarkStart w:id="201" w:name="_Toc21318"/>
      <w:bookmarkStart w:id="202" w:name="_Toc28533"/>
      <w:bookmarkStart w:id="203" w:name="_Toc3839"/>
      <w:bookmarkStart w:id="204" w:name="_Toc13579"/>
      <w:bookmarkStart w:id="205" w:name="_Toc11345"/>
      <w:bookmarkStart w:id="206" w:name="_Toc30363"/>
      <w:bookmarkStart w:id="207" w:name="_Toc3878"/>
      <w:bookmarkStart w:id="208" w:name="_Toc10403"/>
      <w:bookmarkStart w:id="209" w:name="_Toc25339"/>
      <w:bookmarkStart w:id="210" w:name="_Toc19590"/>
      <w:bookmarkStart w:id="211" w:name="_Toc21089559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Fonts w:ascii="仿宋_GB2312" w:eastAsia="仿宋_GB2312" w:hAnsi="仿宋_GB2312" w:cs="仿宋_GB2312" w:hint="eastAsia"/>
          <w:color w:val="000000" w:themeColor="text1"/>
          <w:sz w:val="32"/>
          <w:szCs w:val="32"/>
        </w:rPr>
        <w:t>优化空间品质，增强区域活力。提升区域既有绿地空间、历史文化空间使用效率。完善街道家具布置，分类推动楼宇首层空间、大堂等开放活化，促进设施共享，加强街区功能性和人文关怀。提升区域内生活服务设施匹配度，增强服务保障便利度。打造金融街文化休闲场景，激活公共空间与文化消费，提升街区文化感知。完善国际服务，营造国际化开放氛围。完善交通治理，保障金融街运行效力。提升地铁站点、接驳班车等服务能力，强化公共交通支撑；分路段管控、分区域引导、精细化治理非机动车停放，强化街区承载功能。</w:t>
      </w:r>
    </w:p>
    <w:p w:rsidR="00F42E9A" w:rsidRDefault="00DF4248">
      <w:pPr>
        <w:pStyle w:val="1"/>
        <w:spacing w:before="0" w:after="0" w:line="560" w:lineRule="exact"/>
        <w:ind w:firstLineChars="200" w:firstLine="640"/>
        <w:rPr>
          <w:rFonts w:ascii="黑体" w:eastAsia="黑体" w:hAnsi="黑体" w:cs="仿宋_GB2312"/>
          <w:b w:val="0"/>
          <w:kern w:val="2"/>
          <w:sz w:val="32"/>
          <w:szCs w:val="32"/>
        </w:rPr>
      </w:pPr>
      <w:r>
        <w:rPr>
          <w:rFonts w:ascii="黑体" w:eastAsia="黑体" w:hAnsi="黑体" w:cs="仿宋_GB2312" w:hint="eastAsia"/>
          <w:b w:val="0"/>
          <w:kern w:val="2"/>
          <w:sz w:val="32"/>
          <w:szCs w:val="32"/>
        </w:rPr>
        <w:t>八、保障措施</w:t>
      </w:r>
      <w:bookmarkEnd w:id="201"/>
      <w:bookmarkEnd w:id="202"/>
      <w:bookmarkEnd w:id="203"/>
      <w:bookmarkEnd w:id="204"/>
      <w:bookmarkEnd w:id="205"/>
      <w:bookmarkEnd w:id="206"/>
      <w:bookmarkEnd w:id="207"/>
      <w:bookmarkEnd w:id="208"/>
      <w:bookmarkEnd w:id="209"/>
      <w:bookmarkEnd w:id="210"/>
      <w:bookmarkEnd w:id="211"/>
    </w:p>
    <w:p w:rsidR="00F42E9A" w:rsidRDefault="00DF4248">
      <w:pPr>
        <w:widowControl/>
        <w:numPr>
          <w:ilvl w:val="255"/>
          <w:numId w:val="0"/>
        </w:numPr>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与中央、北京市金融管理部门长效协作机制，做好央地协同。积极争取金融管理部门、金融行业协会专业指导和支持。实施“金融街吹哨，全区报到”模式，提升国家金融管理中心服务需求的响应速度、处置能力和服务水平。加强任务分解和责任落实，强化责任部门协同配合，构建有效跟进反馈机制，通过台账管理、动态跟踪等方式，定期查进度、评成效，科学评价规划实施效果，促进各项任务按期顺利完成。</w:t>
      </w:r>
    </w:p>
    <w:p w:rsidR="00F42E9A" w:rsidRDefault="00F42E9A">
      <w:pPr>
        <w:widowControl/>
        <w:numPr>
          <w:ilvl w:val="255"/>
          <w:numId w:val="0"/>
        </w:numPr>
        <w:overflowPunct w:val="0"/>
        <w:spacing w:line="560" w:lineRule="exact"/>
        <w:ind w:firstLineChars="1200" w:firstLine="3840"/>
        <w:rPr>
          <w:rFonts w:ascii="仿宋_GB2312" w:eastAsia="仿宋_GB2312" w:hAnsi="仿宋_GB2312" w:cs="仿宋_GB2312"/>
          <w:bCs/>
          <w:sz w:val="32"/>
          <w:szCs w:val="32"/>
        </w:rPr>
      </w:pPr>
    </w:p>
    <w:sectPr w:rsidR="00F42E9A">
      <w:footerReference w:type="even" r:id="rId11"/>
      <w:footerReference w:type="default" r:id="rId12"/>
      <w:pgSz w:w="11906" w:h="16838"/>
      <w:pgMar w:top="2098" w:right="1474" w:bottom="1985" w:left="158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ECA" w:rsidRDefault="002A5ECA">
      <w:r>
        <w:separator/>
      </w:r>
    </w:p>
  </w:endnote>
  <w:endnote w:type="continuationSeparator" w:id="0">
    <w:p w:rsidR="002A5ECA" w:rsidRDefault="002A5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embedRegular r:id="rId1" w:subsetted="1" w:fontKey="{FF6D4D74-9F52-44F7-8578-82CC3037024C}"/>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D2F07F85-7E56-4B5E-8BCB-963987F0256B}"/>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embedRegular r:id="rId3" w:subsetted="1" w:fontKey="{716CF4D9-F967-4FDE-BC54-8F8FA43F4951}"/>
    <w:embedBold r:id="rId4" w:subsetted="1" w:fontKey="{19B815EE-F8DA-43CB-A4A7-04928C5D0D6C}"/>
  </w:font>
  <w:font w:name="Calibri Light">
    <w:panose1 w:val="020F0302020204030204"/>
    <w:charset w:val="00"/>
    <w:family w:val="swiss"/>
    <w:pitch w:val="variable"/>
    <w:sig w:usb0="E0002AFF" w:usb1="C000247B" w:usb2="00000009" w:usb3="00000000" w:csb0="000001FF" w:csb1="00000000"/>
  </w:font>
  <w:font w:name="方正小标宋简体">
    <w:panose1 w:val="02000000000000000000"/>
    <w:charset w:val="86"/>
    <w:family w:val="auto"/>
    <w:pitch w:val="variable"/>
    <w:sig w:usb0="A00002BF" w:usb1="184F6CFA" w:usb2="00000012" w:usb3="00000000" w:csb0="00040001" w:csb1="00000000"/>
    <w:embedRegular r:id="rId5" w:subsetted="1" w:fontKey="{4CBC5238-C992-4FC3-B14A-EFB066AFA6FF}"/>
  </w:font>
  <w:font w:name="楷体_GB2312">
    <w:panose1 w:val="02010609030101010101"/>
    <w:charset w:val="86"/>
    <w:family w:val="modern"/>
    <w:pitch w:val="fixed"/>
    <w:sig w:usb0="00000001" w:usb1="080E0000" w:usb2="00000010" w:usb3="00000000" w:csb0="00040000" w:csb1="00000000"/>
    <w:embedRegular r:id="rId6" w:subsetted="1" w:fontKey="{8A87F44B-4CF2-4D2F-AFE4-EE8CB54A8872}"/>
  </w:font>
  <w:font w:name="Segoe UI">
    <w:altName w:val="Noto Naskh Arabic"/>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embedRegular r:id="rId7" w:subsetted="1" w:fontKey="{C1CF5B2E-6EA0-4982-9945-348CF46CB62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E9A" w:rsidRDefault="00DF4248">
    <w:pPr>
      <w:pStyle w:val="a6"/>
      <w:tabs>
        <w:tab w:val="clear" w:pos="4153"/>
        <w:tab w:val="left" w:pos="4872"/>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E9A" w:rsidRDefault="00DF4248">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42E9A" w:rsidRDefault="00F42E9A">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42E9A" w:rsidRDefault="00F42E9A">
                    <w:pPr>
                      <w:pStyle w:val="a6"/>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E9A" w:rsidRDefault="00DF4248">
    <w:pPr>
      <w:pStyle w:val="a6"/>
      <w:rPr>
        <w:rFonts w:asciiTheme="minorEastAsia" w:eastAsiaTheme="minorEastAsia" w:hAnsiTheme="minor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22A49" w:rsidRPr="00D22A49">
      <w:rPr>
        <w:rFonts w:asciiTheme="minorEastAsia" w:eastAsiaTheme="minorEastAsia" w:hAnsiTheme="minorEastAsia"/>
        <w:noProof/>
        <w:sz w:val="28"/>
        <w:szCs w:val="28"/>
        <w:lang w:val="zh-CN"/>
      </w:rPr>
      <w:t>16</w:t>
    </w:r>
    <w:r>
      <w:rPr>
        <w:rFonts w:asciiTheme="minorEastAsia" w:eastAsiaTheme="minorEastAsia" w:hAnsiTheme="minorEastAsia"/>
        <w:sz w:val="28"/>
        <w:szCs w:val="28"/>
      </w:rPr>
      <w:fldChar w:fldCharType="end"/>
    </w:r>
    <w:r>
      <w:rPr>
        <w:rFonts w:asciiTheme="minorEastAsia" w:eastAsiaTheme="minorEastAsia" w:hAnsiTheme="minorEastAsia"/>
        <w:sz w:val="28"/>
        <w:szCs w:val="28"/>
      </w:rPr>
      <w:t xml:space="preserve"> </w:t>
    </w:r>
    <w:r>
      <w:rPr>
        <w:rFonts w:asciiTheme="minorEastAsia" w:eastAsiaTheme="minorEastAsia" w:hAnsiTheme="minorEastAsia" w:cstheme="minorEastAsia" w:hint="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eastAsiaTheme="minorEastAsia" w:hAnsiTheme="minorEastAsia"/>
      </w:rPr>
      <w:id w:val="1652324635"/>
    </w:sdtPr>
    <w:sdtEndPr>
      <w:rPr>
        <w:sz w:val="28"/>
        <w:szCs w:val="28"/>
      </w:rPr>
    </w:sdtEndPr>
    <w:sdtContent>
      <w:p w:rsidR="00F42E9A" w:rsidRDefault="00DF4248">
        <w:pPr>
          <w:pStyle w:val="a6"/>
          <w:jc w:val="right"/>
          <w:rPr>
            <w:rFonts w:asciiTheme="minorEastAsia" w:eastAsiaTheme="minorEastAsia" w:hAnsiTheme="minorEastAsia"/>
            <w:sz w:val="28"/>
            <w:szCs w:val="28"/>
          </w:rPr>
        </w:pPr>
        <w:r>
          <w:rPr>
            <w:rFonts w:asciiTheme="minorEastAsia" w:eastAsiaTheme="minorEastAsia" w:hAnsiTheme="minorEastAsia"/>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22A49" w:rsidRPr="00D22A49">
          <w:rPr>
            <w:rFonts w:asciiTheme="minorEastAsia" w:eastAsiaTheme="minorEastAsia" w:hAnsiTheme="minorEastAsia"/>
            <w:noProof/>
            <w:sz w:val="28"/>
            <w:szCs w:val="28"/>
            <w:lang w:val="zh-CN"/>
          </w:rPr>
          <w:t>17</w:t>
        </w:r>
        <w:r>
          <w:rPr>
            <w:rFonts w:asciiTheme="minorEastAsia" w:eastAsiaTheme="minorEastAsia" w:hAnsiTheme="minorEastAsia"/>
            <w:sz w:val="28"/>
            <w:szCs w:val="28"/>
          </w:rPr>
          <w:fldChar w:fldCharType="end"/>
        </w:r>
        <w:r>
          <w:rPr>
            <w:rFonts w:asciiTheme="minorEastAsia" w:eastAsiaTheme="minorEastAsia" w:hAnsiTheme="minorEastAsia"/>
            <w:sz w:val="28"/>
            <w:szCs w:val="28"/>
          </w:rPr>
          <w:t xml:space="preserve"> </w:t>
        </w:r>
        <w:r>
          <w:rPr>
            <w:rFonts w:asciiTheme="minorEastAsia" w:eastAsiaTheme="minorEastAsia" w:hAnsiTheme="minorEastAsia" w:cstheme="minorEastAsia" w:hint="eastAsia"/>
            <w:sz w:val="28"/>
            <w:szCs w:val="28"/>
          </w:rPr>
          <w:t>—</w:t>
        </w:r>
      </w:p>
    </w:sdtContent>
  </w:sdt>
  <w:p w:rsidR="00F42E9A" w:rsidRDefault="00F42E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ECA" w:rsidRDefault="002A5ECA">
      <w:r>
        <w:separator/>
      </w:r>
    </w:p>
  </w:footnote>
  <w:footnote w:type="continuationSeparator" w:id="0">
    <w:p w:rsidR="002A5ECA" w:rsidRDefault="002A5ECA">
      <w:r>
        <w:continuationSeparator/>
      </w:r>
    </w:p>
  </w:footnote>
  <w:footnote w:id="1">
    <w:p w:rsidR="00F42E9A" w:rsidRDefault="00DF4248">
      <w:pPr>
        <w:snapToGrid w:val="0"/>
        <w:rPr>
          <w:rFonts w:ascii="仿宋_GB2312" w:eastAsia="仿宋_GB2312" w:hAnsi="仿宋_GB2312" w:cs="仿宋_GB2312"/>
          <w:sz w:val="24"/>
        </w:rPr>
      </w:pPr>
      <w:r>
        <w:rPr>
          <w:rStyle w:val="af0"/>
        </w:rPr>
        <w:footnoteRef/>
      </w:r>
      <w:r>
        <w:t xml:space="preserve"> </w:t>
      </w:r>
      <w:r>
        <w:rPr>
          <w:rFonts w:ascii="仿宋_GB2312" w:eastAsia="仿宋_GB2312" w:hAnsi="仿宋_GB2312" w:cs="仿宋_GB2312" w:hint="eastAsia"/>
          <w:sz w:val="24"/>
        </w:rPr>
        <w:t>2024年1月，习近平总书记在省部级主要领导干部推动金融高质量发展专题研讨班开班式上，首次提出“积极培育中国特色金融文化”这一重大命题，并将其概括为五个方面的实践要求，即“五要五不”：诚实守信，不逾越底线；以义取利，不唯利是图；稳健审慎，不急功近利；守正创新，不脱实向虚；依法合规，不胡作非为。</w:t>
      </w:r>
    </w:p>
    <w:p w:rsidR="00F42E9A" w:rsidRDefault="00F42E9A">
      <w:pPr>
        <w:pStyle w:val="a8"/>
      </w:pPr>
    </w:p>
  </w:footnote>
  <w:footnote w:id="2">
    <w:p w:rsidR="00F42E9A" w:rsidRDefault="00DF4248">
      <w:pPr>
        <w:snapToGrid w:val="0"/>
        <w:rPr>
          <w:rFonts w:ascii="仿宋_GB2312" w:eastAsia="仿宋_GB2312" w:hAnsi="仿宋_GB2312" w:cs="仿宋_GB2312"/>
          <w:sz w:val="24"/>
        </w:rPr>
      </w:pPr>
      <w:r>
        <w:rPr>
          <w:rStyle w:val="af0"/>
          <w:rFonts w:ascii="仿宋_GB2312" w:eastAsia="仿宋_GB2312" w:hint="eastAsia"/>
          <w:sz w:val="24"/>
        </w:rPr>
        <w:footnoteRef/>
      </w:r>
      <w:r w:rsidR="00F21AB0">
        <w:rPr>
          <w:rFonts w:ascii="仿宋_GB2312" w:eastAsia="仿宋_GB2312" w:hAnsi="仿宋_GB2312" w:cs="仿宋_GB2312" w:hint="eastAsia"/>
          <w:sz w:val="24"/>
        </w:rPr>
        <w:t xml:space="preserve"> </w:t>
      </w:r>
      <w:r>
        <w:rPr>
          <w:rFonts w:ascii="仿宋_GB2312" w:eastAsia="仿宋_GB2312" w:hAnsi="仿宋_GB2312" w:cs="仿宋_GB2312" w:hint="eastAsia"/>
          <w:sz w:val="24"/>
        </w:rPr>
        <w:t>按照“政府授权+跨界共治+专业运作+</w:t>
      </w:r>
      <w:r w:rsidR="00F21AB0">
        <w:rPr>
          <w:rFonts w:ascii="仿宋_GB2312" w:eastAsia="仿宋_GB2312" w:hAnsi="仿宋_GB2312" w:cs="仿宋_GB2312" w:hint="eastAsia"/>
          <w:sz w:val="24"/>
        </w:rPr>
        <w:t>市场机制”的架构模式，形成</w:t>
      </w:r>
      <w:r>
        <w:rPr>
          <w:rFonts w:ascii="仿宋_GB2312" w:eastAsia="仿宋_GB2312" w:hAnsi="仿宋_GB2312" w:cs="仿宋_GB2312" w:hint="eastAsia"/>
          <w:sz w:val="24"/>
        </w:rPr>
        <w:t>北京金融街合作发展理事会、北京金融街服务局、北京金融街服务中心有限公司、金融街论坛四位一体服务支持体系，提升服务国家金融管理中心能级。</w:t>
      </w:r>
    </w:p>
  </w:footnote>
  <w:footnote w:id="3">
    <w:p w:rsidR="00F42E9A" w:rsidRDefault="00DF4248">
      <w:pPr>
        <w:snapToGrid w:val="0"/>
        <w:rPr>
          <w:rFonts w:ascii="仿宋_GB2312" w:eastAsia="仿宋_GB2312"/>
          <w:sz w:val="24"/>
        </w:rPr>
      </w:pPr>
      <w:r>
        <w:rPr>
          <w:rStyle w:val="af0"/>
          <w:rFonts w:ascii="仿宋_GB2312" w:eastAsia="仿宋_GB2312" w:hint="eastAsia"/>
          <w:sz w:val="24"/>
        </w:rPr>
        <w:footnoteRef/>
      </w:r>
      <w:r w:rsidR="00F21AB0">
        <w:rPr>
          <w:rFonts w:ascii="仿宋_GB2312" w:eastAsia="仿宋_GB2312" w:hint="eastAsia"/>
          <w:sz w:val="24"/>
        </w:rPr>
        <w:t xml:space="preserve"> </w:t>
      </w:r>
      <w:r>
        <w:rPr>
          <w:rStyle w:val="af0"/>
          <w:rFonts w:ascii="仿宋_GB2312" w:eastAsia="仿宋_GB2312" w:hint="eastAsia"/>
          <w:sz w:val="24"/>
          <w:vertAlign w:val="baseline"/>
        </w:rPr>
        <w:t>聚焦监管支持、机构运营、环境优</w:t>
      </w:r>
      <w:r w:rsidR="00F21AB0">
        <w:rPr>
          <w:rStyle w:val="af0"/>
          <w:rFonts w:ascii="仿宋_GB2312" w:eastAsia="仿宋_GB2312" w:hint="eastAsia"/>
          <w:sz w:val="24"/>
          <w:vertAlign w:val="baseline"/>
        </w:rPr>
        <w:t>化、关系促进、专业研究、人才发展，提升服务金融机构和市场参与者</w:t>
      </w:r>
      <w:r>
        <w:rPr>
          <w:rStyle w:val="af0"/>
          <w:rFonts w:ascii="仿宋_GB2312" w:eastAsia="仿宋_GB2312" w:hint="eastAsia"/>
          <w:sz w:val="24"/>
          <w:vertAlign w:val="baseline"/>
        </w:rPr>
        <w:t>水平。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8B6B8A"/>
    <w:rsid w:val="638B6B8A"/>
    <w:rsid w:val="9AA93EE4"/>
    <w:rsid w:val="9BFAE0A9"/>
    <w:rsid w:val="9C3B414D"/>
    <w:rsid w:val="9DEF510D"/>
    <w:rsid w:val="A75DD3A5"/>
    <w:rsid w:val="A7FBA7C9"/>
    <w:rsid w:val="A9FD44FB"/>
    <w:rsid w:val="B6FF4E0F"/>
    <w:rsid w:val="B7E798C6"/>
    <w:rsid w:val="B7EC86E8"/>
    <w:rsid w:val="BADF36D6"/>
    <w:rsid w:val="BCB7502B"/>
    <w:rsid w:val="BCF7A9BC"/>
    <w:rsid w:val="BDE5DA81"/>
    <w:rsid w:val="BEBA396B"/>
    <w:rsid w:val="BFB31763"/>
    <w:rsid w:val="BFEF402D"/>
    <w:rsid w:val="BFFF972B"/>
    <w:rsid w:val="CF9D0A5B"/>
    <w:rsid w:val="D2EB3733"/>
    <w:rsid w:val="D5A89626"/>
    <w:rsid w:val="E13FCF41"/>
    <w:rsid w:val="E2FFADE7"/>
    <w:rsid w:val="E53C993D"/>
    <w:rsid w:val="E725F7FB"/>
    <w:rsid w:val="EB3FD4C8"/>
    <w:rsid w:val="EE2FA7B9"/>
    <w:rsid w:val="EFCBA55B"/>
    <w:rsid w:val="EFCF7BC2"/>
    <w:rsid w:val="EFDCE7FB"/>
    <w:rsid w:val="EFEACD4C"/>
    <w:rsid w:val="EFFD79D9"/>
    <w:rsid w:val="F56E586F"/>
    <w:rsid w:val="F78CFD8A"/>
    <w:rsid w:val="F7BFB0FA"/>
    <w:rsid w:val="F7FD06E6"/>
    <w:rsid w:val="F93D353D"/>
    <w:rsid w:val="F9FD74E8"/>
    <w:rsid w:val="FAF460EC"/>
    <w:rsid w:val="FBCD5DE9"/>
    <w:rsid w:val="FCEEF342"/>
    <w:rsid w:val="FD9DA1AB"/>
    <w:rsid w:val="FDF3A938"/>
    <w:rsid w:val="FDF52869"/>
    <w:rsid w:val="FE9F8858"/>
    <w:rsid w:val="FED34D47"/>
    <w:rsid w:val="FEEB4CEC"/>
    <w:rsid w:val="FF399A1F"/>
    <w:rsid w:val="FFDDDE69"/>
    <w:rsid w:val="FFDF7818"/>
    <w:rsid w:val="FFFAC10F"/>
    <w:rsid w:val="00000B38"/>
    <w:rsid w:val="00011C99"/>
    <w:rsid w:val="00015301"/>
    <w:rsid w:val="000236D2"/>
    <w:rsid w:val="00023E17"/>
    <w:rsid w:val="00030330"/>
    <w:rsid w:val="00042C49"/>
    <w:rsid w:val="000575C0"/>
    <w:rsid w:val="00060762"/>
    <w:rsid w:val="00065809"/>
    <w:rsid w:val="00075F51"/>
    <w:rsid w:val="000814A6"/>
    <w:rsid w:val="00086E27"/>
    <w:rsid w:val="0009745C"/>
    <w:rsid w:val="000B2610"/>
    <w:rsid w:val="000B34C6"/>
    <w:rsid w:val="000B42BA"/>
    <w:rsid w:val="000C325F"/>
    <w:rsid w:val="000D0BFA"/>
    <w:rsid w:val="000E2990"/>
    <w:rsid w:val="000E46D0"/>
    <w:rsid w:val="000E5B5B"/>
    <w:rsid w:val="00105F9B"/>
    <w:rsid w:val="001118D3"/>
    <w:rsid w:val="001148DC"/>
    <w:rsid w:val="00142088"/>
    <w:rsid w:val="00143008"/>
    <w:rsid w:val="0014537C"/>
    <w:rsid w:val="00146D1A"/>
    <w:rsid w:val="00151784"/>
    <w:rsid w:val="001622E7"/>
    <w:rsid w:val="001744A0"/>
    <w:rsid w:val="00175CEF"/>
    <w:rsid w:val="00176266"/>
    <w:rsid w:val="0019364C"/>
    <w:rsid w:val="001B37A1"/>
    <w:rsid w:val="001C1212"/>
    <w:rsid w:val="001D50A2"/>
    <w:rsid w:val="001D626C"/>
    <w:rsid w:val="001E24E4"/>
    <w:rsid w:val="001E3785"/>
    <w:rsid w:val="001F41C6"/>
    <w:rsid w:val="001F4A97"/>
    <w:rsid w:val="002050B5"/>
    <w:rsid w:val="00220C05"/>
    <w:rsid w:val="0023423A"/>
    <w:rsid w:val="0023716B"/>
    <w:rsid w:val="00242B92"/>
    <w:rsid w:val="00242F9D"/>
    <w:rsid w:val="00250513"/>
    <w:rsid w:val="00250E55"/>
    <w:rsid w:val="00250E58"/>
    <w:rsid w:val="00252CC9"/>
    <w:rsid w:val="0025640E"/>
    <w:rsid w:val="002601A4"/>
    <w:rsid w:val="002612F0"/>
    <w:rsid w:val="0027257D"/>
    <w:rsid w:val="00274D2D"/>
    <w:rsid w:val="00274D96"/>
    <w:rsid w:val="00293967"/>
    <w:rsid w:val="002A2E56"/>
    <w:rsid w:val="002A5196"/>
    <w:rsid w:val="002A5ECA"/>
    <w:rsid w:val="002A7C33"/>
    <w:rsid w:val="002B2E44"/>
    <w:rsid w:val="002B5B99"/>
    <w:rsid w:val="002C1366"/>
    <w:rsid w:val="002C2DC2"/>
    <w:rsid w:val="002C4554"/>
    <w:rsid w:val="002D3F0A"/>
    <w:rsid w:val="002E6AE2"/>
    <w:rsid w:val="002E7077"/>
    <w:rsid w:val="003110CE"/>
    <w:rsid w:val="00311F16"/>
    <w:rsid w:val="00312BA5"/>
    <w:rsid w:val="00325722"/>
    <w:rsid w:val="00352DAF"/>
    <w:rsid w:val="00363D33"/>
    <w:rsid w:val="00366088"/>
    <w:rsid w:val="00372886"/>
    <w:rsid w:val="00374F02"/>
    <w:rsid w:val="00381124"/>
    <w:rsid w:val="00382517"/>
    <w:rsid w:val="003871BC"/>
    <w:rsid w:val="00392FCA"/>
    <w:rsid w:val="003979EF"/>
    <w:rsid w:val="003A10A7"/>
    <w:rsid w:val="003A5D98"/>
    <w:rsid w:val="003B161A"/>
    <w:rsid w:val="003B7318"/>
    <w:rsid w:val="003C1348"/>
    <w:rsid w:val="003C2611"/>
    <w:rsid w:val="003C4606"/>
    <w:rsid w:val="003C4FF5"/>
    <w:rsid w:val="003F0AE7"/>
    <w:rsid w:val="003F2806"/>
    <w:rsid w:val="003F4DB6"/>
    <w:rsid w:val="00400AEE"/>
    <w:rsid w:val="00413FD9"/>
    <w:rsid w:val="0041666B"/>
    <w:rsid w:val="00436E24"/>
    <w:rsid w:val="004377BA"/>
    <w:rsid w:val="004411DA"/>
    <w:rsid w:val="00447A26"/>
    <w:rsid w:val="004522BB"/>
    <w:rsid w:val="004536B5"/>
    <w:rsid w:val="00462517"/>
    <w:rsid w:val="004679DF"/>
    <w:rsid w:val="00476E79"/>
    <w:rsid w:val="00480856"/>
    <w:rsid w:val="004848B2"/>
    <w:rsid w:val="00486B3C"/>
    <w:rsid w:val="00487638"/>
    <w:rsid w:val="00490B57"/>
    <w:rsid w:val="004A35C1"/>
    <w:rsid w:val="004B2B21"/>
    <w:rsid w:val="004B4CED"/>
    <w:rsid w:val="004D1DAC"/>
    <w:rsid w:val="004D2850"/>
    <w:rsid w:val="004D4DBA"/>
    <w:rsid w:val="00504168"/>
    <w:rsid w:val="0050469B"/>
    <w:rsid w:val="00505658"/>
    <w:rsid w:val="00506EFC"/>
    <w:rsid w:val="005121DE"/>
    <w:rsid w:val="0053527D"/>
    <w:rsid w:val="005365DB"/>
    <w:rsid w:val="00545C1F"/>
    <w:rsid w:val="00550AC8"/>
    <w:rsid w:val="00552BE3"/>
    <w:rsid w:val="005542FC"/>
    <w:rsid w:val="005560AF"/>
    <w:rsid w:val="00561A16"/>
    <w:rsid w:val="00565CA6"/>
    <w:rsid w:val="00567D3C"/>
    <w:rsid w:val="005704F0"/>
    <w:rsid w:val="00572000"/>
    <w:rsid w:val="00576223"/>
    <w:rsid w:val="00577E62"/>
    <w:rsid w:val="005862CD"/>
    <w:rsid w:val="005904F9"/>
    <w:rsid w:val="005C0E04"/>
    <w:rsid w:val="005C6752"/>
    <w:rsid w:val="005D08D6"/>
    <w:rsid w:val="005E0819"/>
    <w:rsid w:val="005E5EE5"/>
    <w:rsid w:val="005E677F"/>
    <w:rsid w:val="005F41EC"/>
    <w:rsid w:val="005F5489"/>
    <w:rsid w:val="005F5AE4"/>
    <w:rsid w:val="006174F4"/>
    <w:rsid w:val="0063196E"/>
    <w:rsid w:val="00637D21"/>
    <w:rsid w:val="00640F8E"/>
    <w:rsid w:val="006422B5"/>
    <w:rsid w:val="0064260A"/>
    <w:rsid w:val="006469EC"/>
    <w:rsid w:val="00650CF9"/>
    <w:rsid w:val="0066498A"/>
    <w:rsid w:val="0067312B"/>
    <w:rsid w:val="006763BB"/>
    <w:rsid w:val="006811D0"/>
    <w:rsid w:val="0068151F"/>
    <w:rsid w:val="00687D6A"/>
    <w:rsid w:val="00692A60"/>
    <w:rsid w:val="00693CDC"/>
    <w:rsid w:val="00694393"/>
    <w:rsid w:val="006A0BFA"/>
    <w:rsid w:val="006A5E79"/>
    <w:rsid w:val="006B0651"/>
    <w:rsid w:val="006B0DEF"/>
    <w:rsid w:val="006B3D74"/>
    <w:rsid w:val="006C52B7"/>
    <w:rsid w:val="006C64E9"/>
    <w:rsid w:val="006D2330"/>
    <w:rsid w:val="006E05CF"/>
    <w:rsid w:val="006E5339"/>
    <w:rsid w:val="006F0560"/>
    <w:rsid w:val="006F7961"/>
    <w:rsid w:val="0070151F"/>
    <w:rsid w:val="0070543D"/>
    <w:rsid w:val="00721C53"/>
    <w:rsid w:val="00723E52"/>
    <w:rsid w:val="00724C8D"/>
    <w:rsid w:val="00725432"/>
    <w:rsid w:val="00741DFB"/>
    <w:rsid w:val="007555F2"/>
    <w:rsid w:val="00762A1C"/>
    <w:rsid w:val="00767AB7"/>
    <w:rsid w:val="00771C8E"/>
    <w:rsid w:val="007764F3"/>
    <w:rsid w:val="00780A00"/>
    <w:rsid w:val="00791266"/>
    <w:rsid w:val="0079509D"/>
    <w:rsid w:val="007957D7"/>
    <w:rsid w:val="00796444"/>
    <w:rsid w:val="007A6F0D"/>
    <w:rsid w:val="007B3005"/>
    <w:rsid w:val="007C05D9"/>
    <w:rsid w:val="007C45FE"/>
    <w:rsid w:val="007C4883"/>
    <w:rsid w:val="007D3C54"/>
    <w:rsid w:val="007D4293"/>
    <w:rsid w:val="007E0AF1"/>
    <w:rsid w:val="007E28C9"/>
    <w:rsid w:val="007E3FD6"/>
    <w:rsid w:val="00803A18"/>
    <w:rsid w:val="00822485"/>
    <w:rsid w:val="008400C7"/>
    <w:rsid w:val="00844E40"/>
    <w:rsid w:val="00856C78"/>
    <w:rsid w:val="0086598B"/>
    <w:rsid w:val="0087343D"/>
    <w:rsid w:val="008764C8"/>
    <w:rsid w:val="00880C82"/>
    <w:rsid w:val="008A319D"/>
    <w:rsid w:val="008C351B"/>
    <w:rsid w:val="008D46B2"/>
    <w:rsid w:val="008D74A9"/>
    <w:rsid w:val="008E0F9F"/>
    <w:rsid w:val="008E192A"/>
    <w:rsid w:val="008E2334"/>
    <w:rsid w:val="008E62B4"/>
    <w:rsid w:val="008E67DC"/>
    <w:rsid w:val="008F5582"/>
    <w:rsid w:val="0090534C"/>
    <w:rsid w:val="00906FB5"/>
    <w:rsid w:val="00924834"/>
    <w:rsid w:val="009360DB"/>
    <w:rsid w:val="00942561"/>
    <w:rsid w:val="00954707"/>
    <w:rsid w:val="00963050"/>
    <w:rsid w:val="0097030D"/>
    <w:rsid w:val="00970437"/>
    <w:rsid w:val="0098191B"/>
    <w:rsid w:val="009863D1"/>
    <w:rsid w:val="009944FC"/>
    <w:rsid w:val="009948A0"/>
    <w:rsid w:val="009C2A12"/>
    <w:rsid w:val="009C4577"/>
    <w:rsid w:val="009D6AB1"/>
    <w:rsid w:val="009E07DC"/>
    <w:rsid w:val="009E684A"/>
    <w:rsid w:val="00A00407"/>
    <w:rsid w:val="00A21428"/>
    <w:rsid w:val="00A26E9C"/>
    <w:rsid w:val="00A511E8"/>
    <w:rsid w:val="00A62499"/>
    <w:rsid w:val="00A70C1F"/>
    <w:rsid w:val="00A7719A"/>
    <w:rsid w:val="00A8228F"/>
    <w:rsid w:val="00A86848"/>
    <w:rsid w:val="00AA3124"/>
    <w:rsid w:val="00AB479E"/>
    <w:rsid w:val="00AC0384"/>
    <w:rsid w:val="00AC21FF"/>
    <w:rsid w:val="00AD2B96"/>
    <w:rsid w:val="00B1102B"/>
    <w:rsid w:val="00B35288"/>
    <w:rsid w:val="00B37E9E"/>
    <w:rsid w:val="00B55C5B"/>
    <w:rsid w:val="00B838B5"/>
    <w:rsid w:val="00B94AD0"/>
    <w:rsid w:val="00BA12EF"/>
    <w:rsid w:val="00BA2239"/>
    <w:rsid w:val="00BC0101"/>
    <w:rsid w:val="00BC50D7"/>
    <w:rsid w:val="00BC5EF4"/>
    <w:rsid w:val="00BD04A4"/>
    <w:rsid w:val="00BE0E5A"/>
    <w:rsid w:val="00BE4EE4"/>
    <w:rsid w:val="00BF3BB5"/>
    <w:rsid w:val="00BF4810"/>
    <w:rsid w:val="00C00DF3"/>
    <w:rsid w:val="00C04FBE"/>
    <w:rsid w:val="00C06188"/>
    <w:rsid w:val="00C120E3"/>
    <w:rsid w:val="00C3195C"/>
    <w:rsid w:val="00C3722D"/>
    <w:rsid w:val="00C41590"/>
    <w:rsid w:val="00C4582F"/>
    <w:rsid w:val="00C45AB5"/>
    <w:rsid w:val="00C473B1"/>
    <w:rsid w:val="00C50054"/>
    <w:rsid w:val="00C5459C"/>
    <w:rsid w:val="00C70288"/>
    <w:rsid w:val="00C8792E"/>
    <w:rsid w:val="00C9211E"/>
    <w:rsid w:val="00CA0246"/>
    <w:rsid w:val="00CB22A2"/>
    <w:rsid w:val="00CB353E"/>
    <w:rsid w:val="00CC2858"/>
    <w:rsid w:val="00CC3CB0"/>
    <w:rsid w:val="00CD001A"/>
    <w:rsid w:val="00CD050F"/>
    <w:rsid w:val="00CD1A02"/>
    <w:rsid w:val="00CD7500"/>
    <w:rsid w:val="00CE0ED8"/>
    <w:rsid w:val="00CE1F74"/>
    <w:rsid w:val="00CE3BC4"/>
    <w:rsid w:val="00CE703F"/>
    <w:rsid w:val="00D023D9"/>
    <w:rsid w:val="00D05C86"/>
    <w:rsid w:val="00D06FA7"/>
    <w:rsid w:val="00D1175F"/>
    <w:rsid w:val="00D1467F"/>
    <w:rsid w:val="00D201EF"/>
    <w:rsid w:val="00D202BF"/>
    <w:rsid w:val="00D22A49"/>
    <w:rsid w:val="00D33F05"/>
    <w:rsid w:val="00D55786"/>
    <w:rsid w:val="00D713C8"/>
    <w:rsid w:val="00D7252D"/>
    <w:rsid w:val="00D74B0C"/>
    <w:rsid w:val="00D75A77"/>
    <w:rsid w:val="00D84DFF"/>
    <w:rsid w:val="00D85E87"/>
    <w:rsid w:val="00D87285"/>
    <w:rsid w:val="00D902DB"/>
    <w:rsid w:val="00D9117E"/>
    <w:rsid w:val="00D91B46"/>
    <w:rsid w:val="00D976E1"/>
    <w:rsid w:val="00DA16C9"/>
    <w:rsid w:val="00DB09A1"/>
    <w:rsid w:val="00DB0DCF"/>
    <w:rsid w:val="00DD49FF"/>
    <w:rsid w:val="00DF4248"/>
    <w:rsid w:val="00E01D51"/>
    <w:rsid w:val="00E03446"/>
    <w:rsid w:val="00E1022F"/>
    <w:rsid w:val="00E1242C"/>
    <w:rsid w:val="00E16D54"/>
    <w:rsid w:val="00E23C2F"/>
    <w:rsid w:val="00E23D70"/>
    <w:rsid w:val="00E417AA"/>
    <w:rsid w:val="00E4386F"/>
    <w:rsid w:val="00E46D00"/>
    <w:rsid w:val="00E51FBA"/>
    <w:rsid w:val="00E65CA8"/>
    <w:rsid w:val="00E70A5D"/>
    <w:rsid w:val="00E715F6"/>
    <w:rsid w:val="00E75938"/>
    <w:rsid w:val="00E82C44"/>
    <w:rsid w:val="00E86703"/>
    <w:rsid w:val="00E87F23"/>
    <w:rsid w:val="00E91CBD"/>
    <w:rsid w:val="00E94E2D"/>
    <w:rsid w:val="00E97246"/>
    <w:rsid w:val="00EA00DB"/>
    <w:rsid w:val="00EA0971"/>
    <w:rsid w:val="00EA2FA3"/>
    <w:rsid w:val="00EB38C2"/>
    <w:rsid w:val="00EB3E55"/>
    <w:rsid w:val="00EB7603"/>
    <w:rsid w:val="00EC0DBE"/>
    <w:rsid w:val="00ED2D4A"/>
    <w:rsid w:val="00ED42CD"/>
    <w:rsid w:val="00EE02F9"/>
    <w:rsid w:val="00EE1EB7"/>
    <w:rsid w:val="00EE4C7E"/>
    <w:rsid w:val="00EE5D23"/>
    <w:rsid w:val="00F00B08"/>
    <w:rsid w:val="00F036BB"/>
    <w:rsid w:val="00F07C66"/>
    <w:rsid w:val="00F11F5D"/>
    <w:rsid w:val="00F14115"/>
    <w:rsid w:val="00F21AB0"/>
    <w:rsid w:val="00F24393"/>
    <w:rsid w:val="00F25D2B"/>
    <w:rsid w:val="00F27586"/>
    <w:rsid w:val="00F34B80"/>
    <w:rsid w:val="00F37FE4"/>
    <w:rsid w:val="00F401B7"/>
    <w:rsid w:val="00F42E9A"/>
    <w:rsid w:val="00F5081E"/>
    <w:rsid w:val="00F511D2"/>
    <w:rsid w:val="00F513F6"/>
    <w:rsid w:val="00F52C1A"/>
    <w:rsid w:val="00F60E8D"/>
    <w:rsid w:val="00F61FC5"/>
    <w:rsid w:val="00F65CDA"/>
    <w:rsid w:val="00F67602"/>
    <w:rsid w:val="00F7193D"/>
    <w:rsid w:val="00F72541"/>
    <w:rsid w:val="00F73B62"/>
    <w:rsid w:val="00F82CB7"/>
    <w:rsid w:val="00F838FD"/>
    <w:rsid w:val="00F843FD"/>
    <w:rsid w:val="00F8486A"/>
    <w:rsid w:val="00F86625"/>
    <w:rsid w:val="00F875C6"/>
    <w:rsid w:val="00FA30F6"/>
    <w:rsid w:val="00FA584B"/>
    <w:rsid w:val="00FC08AA"/>
    <w:rsid w:val="00FD16B5"/>
    <w:rsid w:val="00FD2E83"/>
    <w:rsid w:val="00FD2F87"/>
    <w:rsid w:val="00FE362E"/>
    <w:rsid w:val="00FF0F54"/>
    <w:rsid w:val="00FF527B"/>
    <w:rsid w:val="00FF6A21"/>
    <w:rsid w:val="017738D9"/>
    <w:rsid w:val="01B4086F"/>
    <w:rsid w:val="01C0767E"/>
    <w:rsid w:val="01C7267B"/>
    <w:rsid w:val="0227311A"/>
    <w:rsid w:val="02284AF7"/>
    <w:rsid w:val="0241242E"/>
    <w:rsid w:val="025417B8"/>
    <w:rsid w:val="027A418D"/>
    <w:rsid w:val="028203C5"/>
    <w:rsid w:val="02C24E60"/>
    <w:rsid w:val="02E71B05"/>
    <w:rsid w:val="02F079B0"/>
    <w:rsid w:val="0318296D"/>
    <w:rsid w:val="031A67DB"/>
    <w:rsid w:val="032400FF"/>
    <w:rsid w:val="034024A5"/>
    <w:rsid w:val="035A6842"/>
    <w:rsid w:val="035E2CE1"/>
    <w:rsid w:val="03652D7E"/>
    <w:rsid w:val="03A21320"/>
    <w:rsid w:val="03AD764F"/>
    <w:rsid w:val="04827200"/>
    <w:rsid w:val="048633EA"/>
    <w:rsid w:val="04A62A1C"/>
    <w:rsid w:val="04B14F1D"/>
    <w:rsid w:val="04E5578A"/>
    <w:rsid w:val="04E672BC"/>
    <w:rsid w:val="050530E8"/>
    <w:rsid w:val="05480D41"/>
    <w:rsid w:val="058A4AF8"/>
    <w:rsid w:val="05AD1B88"/>
    <w:rsid w:val="05B747B5"/>
    <w:rsid w:val="05CA44E8"/>
    <w:rsid w:val="06261EED"/>
    <w:rsid w:val="06732DD2"/>
    <w:rsid w:val="06737F82"/>
    <w:rsid w:val="06E337D6"/>
    <w:rsid w:val="071D7CBE"/>
    <w:rsid w:val="072365A6"/>
    <w:rsid w:val="07247C28"/>
    <w:rsid w:val="07320597"/>
    <w:rsid w:val="075620F8"/>
    <w:rsid w:val="076E7848"/>
    <w:rsid w:val="077C5CB6"/>
    <w:rsid w:val="079269DC"/>
    <w:rsid w:val="07986E84"/>
    <w:rsid w:val="07F65C0F"/>
    <w:rsid w:val="084C0BF8"/>
    <w:rsid w:val="08CC4A1B"/>
    <w:rsid w:val="094A0A7B"/>
    <w:rsid w:val="094D790A"/>
    <w:rsid w:val="09D51991"/>
    <w:rsid w:val="09D52596"/>
    <w:rsid w:val="09EF09C1"/>
    <w:rsid w:val="0A7C792F"/>
    <w:rsid w:val="0B0D3F2D"/>
    <w:rsid w:val="0B1A6BEA"/>
    <w:rsid w:val="0B212FE5"/>
    <w:rsid w:val="0B2A7AE0"/>
    <w:rsid w:val="0B6B22C9"/>
    <w:rsid w:val="0BAB6A68"/>
    <w:rsid w:val="0C380BC5"/>
    <w:rsid w:val="0C84675C"/>
    <w:rsid w:val="0CD745AC"/>
    <w:rsid w:val="0CEC743A"/>
    <w:rsid w:val="0CF30396"/>
    <w:rsid w:val="0CF62528"/>
    <w:rsid w:val="0D6C3285"/>
    <w:rsid w:val="0D8E2857"/>
    <w:rsid w:val="0DA82DCF"/>
    <w:rsid w:val="0DB735A4"/>
    <w:rsid w:val="0DE93AC0"/>
    <w:rsid w:val="0DF915F5"/>
    <w:rsid w:val="0E1327A4"/>
    <w:rsid w:val="0E2055ED"/>
    <w:rsid w:val="0E342FB7"/>
    <w:rsid w:val="0E7616B1"/>
    <w:rsid w:val="0E784769"/>
    <w:rsid w:val="0E925DBF"/>
    <w:rsid w:val="0EDE2DB2"/>
    <w:rsid w:val="0EE61A68"/>
    <w:rsid w:val="0F11737B"/>
    <w:rsid w:val="0F1A64E0"/>
    <w:rsid w:val="0F380764"/>
    <w:rsid w:val="0F4C41C0"/>
    <w:rsid w:val="0F501F02"/>
    <w:rsid w:val="0F742659"/>
    <w:rsid w:val="0F9D0EBF"/>
    <w:rsid w:val="0FC23E5C"/>
    <w:rsid w:val="0FD22917"/>
    <w:rsid w:val="0FFC7994"/>
    <w:rsid w:val="1090632E"/>
    <w:rsid w:val="10BE7925"/>
    <w:rsid w:val="10E16B8A"/>
    <w:rsid w:val="115B1E2A"/>
    <w:rsid w:val="117852DF"/>
    <w:rsid w:val="11862732"/>
    <w:rsid w:val="120B231D"/>
    <w:rsid w:val="121E6E66"/>
    <w:rsid w:val="129465AA"/>
    <w:rsid w:val="136B6D53"/>
    <w:rsid w:val="13877EBC"/>
    <w:rsid w:val="13A206C4"/>
    <w:rsid w:val="13BD538D"/>
    <w:rsid w:val="13C047CE"/>
    <w:rsid w:val="13CB7DA9"/>
    <w:rsid w:val="141E4D13"/>
    <w:rsid w:val="14727EC2"/>
    <w:rsid w:val="149D101A"/>
    <w:rsid w:val="14A8633C"/>
    <w:rsid w:val="150A7F85"/>
    <w:rsid w:val="15AD64BF"/>
    <w:rsid w:val="15FD6214"/>
    <w:rsid w:val="160B29D2"/>
    <w:rsid w:val="161729A1"/>
    <w:rsid w:val="165840B5"/>
    <w:rsid w:val="169F376F"/>
    <w:rsid w:val="16B95677"/>
    <w:rsid w:val="16D50F3F"/>
    <w:rsid w:val="16E573D4"/>
    <w:rsid w:val="16F77107"/>
    <w:rsid w:val="16FE0496"/>
    <w:rsid w:val="172B6DB1"/>
    <w:rsid w:val="173E26B2"/>
    <w:rsid w:val="175B2A83"/>
    <w:rsid w:val="176B6899"/>
    <w:rsid w:val="17710C68"/>
    <w:rsid w:val="177E15D6"/>
    <w:rsid w:val="17B1135D"/>
    <w:rsid w:val="18131D1F"/>
    <w:rsid w:val="184E2D57"/>
    <w:rsid w:val="18730A0F"/>
    <w:rsid w:val="18AA36AE"/>
    <w:rsid w:val="18C646BC"/>
    <w:rsid w:val="192B5AC6"/>
    <w:rsid w:val="192E2464"/>
    <w:rsid w:val="19636CD6"/>
    <w:rsid w:val="196A0064"/>
    <w:rsid w:val="1ABF1DD5"/>
    <w:rsid w:val="1AC51710"/>
    <w:rsid w:val="1ADD0A22"/>
    <w:rsid w:val="1AE65FE7"/>
    <w:rsid w:val="1B2B2CFF"/>
    <w:rsid w:val="1B682203"/>
    <w:rsid w:val="1B88761D"/>
    <w:rsid w:val="1C235C4C"/>
    <w:rsid w:val="1C3861F8"/>
    <w:rsid w:val="1C744654"/>
    <w:rsid w:val="1CA35CB1"/>
    <w:rsid w:val="1CCE3829"/>
    <w:rsid w:val="1CD37CCF"/>
    <w:rsid w:val="1CDF2201"/>
    <w:rsid w:val="1D2A6024"/>
    <w:rsid w:val="1D3C5874"/>
    <w:rsid w:val="1D6A50D1"/>
    <w:rsid w:val="1D7B2840"/>
    <w:rsid w:val="1DA5166B"/>
    <w:rsid w:val="1DFE521F"/>
    <w:rsid w:val="1E7B0D00"/>
    <w:rsid w:val="1E9E77C7"/>
    <w:rsid w:val="1EA65E20"/>
    <w:rsid w:val="1EDC0B06"/>
    <w:rsid w:val="1EFC186F"/>
    <w:rsid w:val="1F111D05"/>
    <w:rsid w:val="1F1538F8"/>
    <w:rsid w:val="1F470500"/>
    <w:rsid w:val="1F971487"/>
    <w:rsid w:val="1FB113F8"/>
    <w:rsid w:val="202E7F97"/>
    <w:rsid w:val="20436F19"/>
    <w:rsid w:val="207D067D"/>
    <w:rsid w:val="2080430F"/>
    <w:rsid w:val="20A774A8"/>
    <w:rsid w:val="20E00C0C"/>
    <w:rsid w:val="20FD531A"/>
    <w:rsid w:val="21074871"/>
    <w:rsid w:val="2179268B"/>
    <w:rsid w:val="217A696B"/>
    <w:rsid w:val="217C26E3"/>
    <w:rsid w:val="21A47F3B"/>
    <w:rsid w:val="21A7055E"/>
    <w:rsid w:val="21BA76AF"/>
    <w:rsid w:val="21C940B9"/>
    <w:rsid w:val="21D86AF7"/>
    <w:rsid w:val="22097CEF"/>
    <w:rsid w:val="22A243CB"/>
    <w:rsid w:val="22E40773"/>
    <w:rsid w:val="22F62969"/>
    <w:rsid w:val="234611FA"/>
    <w:rsid w:val="23AD74CB"/>
    <w:rsid w:val="23B214C2"/>
    <w:rsid w:val="23D022DC"/>
    <w:rsid w:val="23E90F9A"/>
    <w:rsid w:val="24651B54"/>
    <w:rsid w:val="24BC3DA3"/>
    <w:rsid w:val="24E94533"/>
    <w:rsid w:val="24FD3B3B"/>
    <w:rsid w:val="256F255E"/>
    <w:rsid w:val="25950217"/>
    <w:rsid w:val="25CA7543"/>
    <w:rsid w:val="26937061"/>
    <w:rsid w:val="26984749"/>
    <w:rsid w:val="26AC3A6A"/>
    <w:rsid w:val="26FB3F19"/>
    <w:rsid w:val="27135897"/>
    <w:rsid w:val="273C17A5"/>
    <w:rsid w:val="273E70D0"/>
    <w:rsid w:val="27B150B0"/>
    <w:rsid w:val="27B34984"/>
    <w:rsid w:val="27C941A8"/>
    <w:rsid w:val="27CF0AE6"/>
    <w:rsid w:val="27DF5779"/>
    <w:rsid w:val="27ED6C10"/>
    <w:rsid w:val="27FE80E4"/>
    <w:rsid w:val="28017DE6"/>
    <w:rsid w:val="28687E65"/>
    <w:rsid w:val="28702875"/>
    <w:rsid w:val="28B7519A"/>
    <w:rsid w:val="28CB21A2"/>
    <w:rsid w:val="290D27BA"/>
    <w:rsid w:val="298634DF"/>
    <w:rsid w:val="29E62217"/>
    <w:rsid w:val="2A0543D2"/>
    <w:rsid w:val="2A581813"/>
    <w:rsid w:val="2A7F4FF2"/>
    <w:rsid w:val="2A8E3487"/>
    <w:rsid w:val="2A952A67"/>
    <w:rsid w:val="2AAA4765"/>
    <w:rsid w:val="2AC42822"/>
    <w:rsid w:val="2B231E21"/>
    <w:rsid w:val="2B3208CC"/>
    <w:rsid w:val="2B483069"/>
    <w:rsid w:val="2B4C1378"/>
    <w:rsid w:val="2B8F2FFD"/>
    <w:rsid w:val="2BCD5547"/>
    <w:rsid w:val="2BD308C1"/>
    <w:rsid w:val="2BEC2B5B"/>
    <w:rsid w:val="2BF10171"/>
    <w:rsid w:val="2BF17288"/>
    <w:rsid w:val="2C060CD8"/>
    <w:rsid w:val="2C1063DB"/>
    <w:rsid w:val="2C1C3440"/>
    <w:rsid w:val="2C365B84"/>
    <w:rsid w:val="2C4B162F"/>
    <w:rsid w:val="2C810833"/>
    <w:rsid w:val="2CBE188F"/>
    <w:rsid w:val="2CFF5755"/>
    <w:rsid w:val="2D3E2F42"/>
    <w:rsid w:val="2DDF1134"/>
    <w:rsid w:val="2DF93D69"/>
    <w:rsid w:val="2E517A87"/>
    <w:rsid w:val="2E56075F"/>
    <w:rsid w:val="2E7114B3"/>
    <w:rsid w:val="2E7F4DBE"/>
    <w:rsid w:val="2E8C5F2F"/>
    <w:rsid w:val="2EFA5A9E"/>
    <w:rsid w:val="2F03666E"/>
    <w:rsid w:val="2F195A15"/>
    <w:rsid w:val="2F6875FB"/>
    <w:rsid w:val="2FA572A9"/>
    <w:rsid w:val="2FAD4648"/>
    <w:rsid w:val="2FBB5220"/>
    <w:rsid w:val="2FDF1E6D"/>
    <w:rsid w:val="2FF548A7"/>
    <w:rsid w:val="2FFF0562"/>
    <w:rsid w:val="301806CD"/>
    <w:rsid w:val="306642BB"/>
    <w:rsid w:val="30CD4C2F"/>
    <w:rsid w:val="31733360"/>
    <w:rsid w:val="31CF685F"/>
    <w:rsid w:val="320D74CD"/>
    <w:rsid w:val="323B3EF4"/>
    <w:rsid w:val="329C25D2"/>
    <w:rsid w:val="32F01183"/>
    <w:rsid w:val="33462B51"/>
    <w:rsid w:val="335A4D4A"/>
    <w:rsid w:val="33903FBE"/>
    <w:rsid w:val="339064C2"/>
    <w:rsid w:val="3422536C"/>
    <w:rsid w:val="34295067"/>
    <w:rsid w:val="344A7D4B"/>
    <w:rsid w:val="344F1ED9"/>
    <w:rsid w:val="34E22CD3"/>
    <w:rsid w:val="34F14D3E"/>
    <w:rsid w:val="35352FE9"/>
    <w:rsid w:val="3575596F"/>
    <w:rsid w:val="35863162"/>
    <w:rsid w:val="35DC3092"/>
    <w:rsid w:val="35DE09A8"/>
    <w:rsid w:val="36050AA1"/>
    <w:rsid w:val="36405407"/>
    <w:rsid w:val="3647730B"/>
    <w:rsid w:val="36C50230"/>
    <w:rsid w:val="36CD05D5"/>
    <w:rsid w:val="373F7FE3"/>
    <w:rsid w:val="37495343"/>
    <w:rsid w:val="374FF787"/>
    <w:rsid w:val="37C41A12"/>
    <w:rsid w:val="37F0111A"/>
    <w:rsid w:val="37F1131A"/>
    <w:rsid w:val="37FCB999"/>
    <w:rsid w:val="383C4522"/>
    <w:rsid w:val="3845434A"/>
    <w:rsid w:val="384C5DD6"/>
    <w:rsid w:val="387243E8"/>
    <w:rsid w:val="388C12E5"/>
    <w:rsid w:val="388E358D"/>
    <w:rsid w:val="38D155B2"/>
    <w:rsid w:val="397954CA"/>
    <w:rsid w:val="39CE2A62"/>
    <w:rsid w:val="39D4535A"/>
    <w:rsid w:val="3A257D00"/>
    <w:rsid w:val="3A492E14"/>
    <w:rsid w:val="3A8D72B7"/>
    <w:rsid w:val="3A9E4B14"/>
    <w:rsid w:val="3AA82343"/>
    <w:rsid w:val="3ACE74BC"/>
    <w:rsid w:val="3AE40CED"/>
    <w:rsid w:val="3B024995"/>
    <w:rsid w:val="3B22630E"/>
    <w:rsid w:val="3B6C3370"/>
    <w:rsid w:val="3B7AC533"/>
    <w:rsid w:val="3BB57293"/>
    <w:rsid w:val="3BDA477E"/>
    <w:rsid w:val="3C0E2679"/>
    <w:rsid w:val="3CA803D8"/>
    <w:rsid w:val="3D18555E"/>
    <w:rsid w:val="3D344362"/>
    <w:rsid w:val="3D355C17"/>
    <w:rsid w:val="3D3946AB"/>
    <w:rsid w:val="3D6E4257"/>
    <w:rsid w:val="3D761C48"/>
    <w:rsid w:val="3D893E03"/>
    <w:rsid w:val="3D98669F"/>
    <w:rsid w:val="3DC834D0"/>
    <w:rsid w:val="3DCEF33D"/>
    <w:rsid w:val="3DD86A9B"/>
    <w:rsid w:val="3DF338D5"/>
    <w:rsid w:val="3E070811"/>
    <w:rsid w:val="3E1F4D90"/>
    <w:rsid w:val="3E436E3A"/>
    <w:rsid w:val="3E9A368F"/>
    <w:rsid w:val="3EE576C2"/>
    <w:rsid w:val="3EE86FC3"/>
    <w:rsid w:val="3EF26282"/>
    <w:rsid w:val="3F973B69"/>
    <w:rsid w:val="3FD634AE"/>
    <w:rsid w:val="3FEB7B6A"/>
    <w:rsid w:val="3FF1AF23"/>
    <w:rsid w:val="400A47FA"/>
    <w:rsid w:val="40153FD6"/>
    <w:rsid w:val="4077259B"/>
    <w:rsid w:val="40AE4610"/>
    <w:rsid w:val="414A7CB0"/>
    <w:rsid w:val="41546D80"/>
    <w:rsid w:val="4194133B"/>
    <w:rsid w:val="41FE1FAC"/>
    <w:rsid w:val="424762A6"/>
    <w:rsid w:val="425B7C9B"/>
    <w:rsid w:val="42E47C90"/>
    <w:rsid w:val="42F77ABC"/>
    <w:rsid w:val="4300779A"/>
    <w:rsid w:val="432DF662"/>
    <w:rsid w:val="435C3C0F"/>
    <w:rsid w:val="4388500A"/>
    <w:rsid w:val="438D3F66"/>
    <w:rsid w:val="439D0089"/>
    <w:rsid w:val="43EC14F2"/>
    <w:rsid w:val="443231BD"/>
    <w:rsid w:val="44727C49"/>
    <w:rsid w:val="44A771C7"/>
    <w:rsid w:val="44B929C2"/>
    <w:rsid w:val="44DF0A86"/>
    <w:rsid w:val="45205E79"/>
    <w:rsid w:val="45425CF5"/>
    <w:rsid w:val="455410FD"/>
    <w:rsid w:val="45570B1B"/>
    <w:rsid w:val="455B1156"/>
    <w:rsid w:val="45792E52"/>
    <w:rsid w:val="45B93656"/>
    <w:rsid w:val="46205483"/>
    <w:rsid w:val="46401681"/>
    <w:rsid w:val="464F7B16"/>
    <w:rsid w:val="46780E1B"/>
    <w:rsid w:val="468913B4"/>
    <w:rsid w:val="469C5366"/>
    <w:rsid w:val="47241014"/>
    <w:rsid w:val="4734568A"/>
    <w:rsid w:val="474227FF"/>
    <w:rsid w:val="47482232"/>
    <w:rsid w:val="474D4056"/>
    <w:rsid w:val="47A0687C"/>
    <w:rsid w:val="47C00CCC"/>
    <w:rsid w:val="47DE55F6"/>
    <w:rsid w:val="47F95F8C"/>
    <w:rsid w:val="4837145C"/>
    <w:rsid w:val="4839282C"/>
    <w:rsid w:val="487970CD"/>
    <w:rsid w:val="48B16C1E"/>
    <w:rsid w:val="48B56435"/>
    <w:rsid w:val="49A07007"/>
    <w:rsid w:val="49F219FE"/>
    <w:rsid w:val="4A08513D"/>
    <w:rsid w:val="4A0918E8"/>
    <w:rsid w:val="4A69025C"/>
    <w:rsid w:val="4AC420D8"/>
    <w:rsid w:val="4AED01C2"/>
    <w:rsid w:val="4B16773E"/>
    <w:rsid w:val="4B592394"/>
    <w:rsid w:val="4B6769AA"/>
    <w:rsid w:val="4BBA3C84"/>
    <w:rsid w:val="4C2D4456"/>
    <w:rsid w:val="4C481290"/>
    <w:rsid w:val="4C6A56AA"/>
    <w:rsid w:val="4C771B75"/>
    <w:rsid w:val="4C7F0B96"/>
    <w:rsid w:val="4CC90623"/>
    <w:rsid w:val="4D7E14CD"/>
    <w:rsid w:val="4D9724CF"/>
    <w:rsid w:val="4D9A0CA7"/>
    <w:rsid w:val="4DBD2C77"/>
    <w:rsid w:val="4E2E058D"/>
    <w:rsid w:val="4E4302C3"/>
    <w:rsid w:val="4E552F5B"/>
    <w:rsid w:val="4E8642F1"/>
    <w:rsid w:val="4E8E32F0"/>
    <w:rsid w:val="4EC866B8"/>
    <w:rsid w:val="4F4C1097"/>
    <w:rsid w:val="4F4E79B1"/>
    <w:rsid w:val="4FA936F4"/>
    <w:rsid w:val="4FAE61D7"/>
    <w:rsid w:val="4FD572DE"/>
    <w:rsid w:val="4FDF63AF"/>
    <w:rsid w:val="4FFB772E"/>
    <w:rsid w:val="50493828"/>
    <w:rsid w:val="50521F46"/>
    <w:rsid w:val="506336A8"/>
    <w:rsid w:val="50AF44AB"/>
    <w:rsid w:val="51177F43"/>
    <w:rsid w:val="512027DB"/>
    <w:rsid w:val="514A7858"/>
    <w:rsid w:val="51752B27"/>
    <w:rsid w:val="519E7ACC"/>
    <w:rsid w:val="51C92E73"/>
    <w:rsid w:val="51D33CF1"/>
    <w:rsid w:val="51E2683E"/>
    <w:rsid w:val="51F42604"/>
    <w:rsid w:val="52CF0E48"/>
    <w:rsid w:val="52D4387D"/>
    <w:rsid w:val="53095C1D"/>
    <w:rsid w:val="53112EDB"/>
    <w:rsid w:val="535E583D"/>
    <w:rsid w:val="53BA0CC5"/>
    <w:rsid w:val="5402266C"/>
    <w:rsid w:val="543A1E06"/>
    <w:rsid w:val="54CB2C6F"/>
    <w:rsid w:val="54CF7158"/>
    <w:rsid w:val="551225C9"/>
    <w:rsid w:val="554F6C78"/>
    <w:rsid w:val="5589013C"/>
    <w:rsid w:val="558E6676"/>
    <w:rsid w:val="55913CA7"/>
    <w:rsid w:val="55A67647"/>
    <w:rsid w:val="55B856D8"/>
    <w:rsid w:val="55C0633B"/>
    <w:rsid w:val="55EA4519"/>
    <w:rsid w:val="55FCF331"/>
    <w:rsid w:val="5625527D"/>
    <w:rsid w:val="56324B78"/>
    <w:rsid w:val="568D446F"/>
    <w:rsid w:val="56A56907"/>
    <w:rsid w:val="56DA31DB"/>
    <w:rsid w:val="56DC1461"/>
    <w:rsid w:val="56F57D08"/>
    <w:rsid w:val="57154464"/>
    <w:rsid w:val="5737262D"/>
    <w:rsid w:val="57562FAA"/>
    <w:rsid w:val="575FB6EB"/>
    <w:rsid w:val="57631674"/>
    <w:rsid w:val="578B621B"/>
    <w:rsid w:val="57A51C8C"/>
    <w:rsid w:val="57B9136E"/>
    <w:rsid w:val="57F4051E"/>
    <w:rsid w:val="589D2821"/>
    <w:rsid w:val="58DA7713"/>
    <w:rsid w:val="58DD0FB2"/>
    <w:rsid w:val="59077EC8"/>
    <w:rsid w:val="590926FB"/>
    <w:rsid w:val="5958096F"/>
    <w:rsid w:val="59B166C6"/>
    <w:rsid w:val="59F31D20"/>
    <w:rsid w:val="5A0C2E27"/>
    <w:rsid w:val="5A0F7891"/>
    <w:rsid w:val="5A5359CF"/>
    <w:rsid w:val="5ACE32A8"/>
    <w:rsid w:val="5AE57326"/>
    <w:rsid w:val="5AF47881"/>
    <w:rsid w:val="5B4041A6"/>
    <w:rsid w:val="5BA504AD"/>
    <w:rsid w:val="5BA81D4B"/>
    <w:rsid w:val="5BEA5EBF"/>
    <w:rsid w:val="5D224B37"/>
    <w:rsid w:val="5D325D70"/>
    <w:rsid w:val="5D397876"/>
    <w:rsid w:val="5D411175"/>
    <w:rsid w:val="5D9E51B4"/>
    <w:rsid w:val="5DB929C7"/>
    <w:rsid w:val="5DFFD67F"/>
    <w:rsid w:val="5E384D13"/>
    <w:rsid w:val="5E782489"/>
    <w:rsid w:val="5E8918A2"/>
    <w:rsid w:val="5ECE7D1A"/>
    <w:rsid w:val="5ED03A93"/>
    <w:rsid w:val="5F053010"/>
    <w:rsid w:val="5F296CFF"/>
    <w:rsid w:val="5F35431E"/>
    <w:rsid w:val="5F931795"/>
    <w:rsid w:val="5F9A5E4E"/>
    <w:rsid w:val="5FB213EA"/>
    <w:rsid w:val="5FBEA932"/>
    <w:rsid w:val="5FE43B72"/>
    <w:rsid w:val="5FFB6643"/>
    <w:rsid w:val="600A4D82"/>
    <w:rsid w:val="60754B2A"/>
    <w:rsid w:val="61671063"/>
    <w:rsid w:val="616D7559"/>
    <w:rsid w:val="61E46D79"/>
    <w:rsid w:val="61EF1338"/>
    <w:rsid w:val="62265778"/>
    <w:rsid w:val="62323E63"/>
    <w:rsid w:val="625E3163"/>
    <w:rsid w:val="62F7168E"/>
    <w:rsid w:val="6320157D"/>
    <w:rsid w:val="632E6FDA"/>
    <w:rsid w:val="6343463D"/>
    <w:rsid w:val="637A5D7B"/>
    <w:rsid w:val="638B6B8A"/>
    <w:rsid w:val="63BD210C"/>
    <w:rsid w:val="63EA73A4"/>
    <w:rsid w:val="63F518A5"/>
    <w:rsid w:val="642B743B"/>
    <w:rsid w:val="64410F8F"/>
    <w:rsid w:val="647B624F"/>
    <w:rsid w:val="64A77044"/>
    <w:rsid w:val="64B67A62"/>
    <w:rsid w:val="64CC6AAA"/>
    <w:rsid w:val="65652A5B"/>
    <w:rsid w:val="66035E7D"/>
    <w:rsid w:val="660F7276"/>
    <w:rsid w:val="661A3845"/>
    <w:rsid w:val="665133F4"/>
    <w:rsid w:val="66742F55"/>
    <w:rsid w:val="66AC7FBC"/>
    <w:rsid w:val="66AE6FB7"/>
    <w:rsid w:val="67115625"/>
    <w:rsid w:val="671958AB"/>
    <w:rsid w:val="67452B44"/>
    <w:rsid w:val="675C0929"/>
    <w:rsid w:val="676110FE"/>
    <w:rsid w:val="676E6AA8"/>
    <w:rsid w:val="67894F4E"/>
    <w:rsid w:val="67A27F96"/>
    <w:rsid w:val="67B44A3F"/>
    <w:rsid w:val="67C972D1"/>
    <w:rsid w:val="67CE0D8B"/>
    <w:rsid w:val="67DFFF00"/>
    <w:rsid w:val="683F48C2"/>
    <w:rsid w:val="684F569A"/>
    <w:rsid w:val="68852F89"/>
    <w:rsid w:val="68FD36D6"/>
    <w:rsid w:val="68FF657D"/>
    <w:rsid w:val="694E24BA"/>
    <w:rsid w:val="696077C1"/>
    <w:rsid w:val="69A135DB"/>
    <w:rsid w:val="69BC3ADF"/>
    <w:rsid w:val="6A955B90"/>
    <w:rsid w:val="6A9C2A7B"/>
    <w:rsid w:val="6AD858E9"/>
    <w:rsid w:val="6AE84C76"/>
    <w:rsid w:val="6B397521"/>
    <w:rsid w:val="6B510AB0"/>
    <w:rsid w:val="6B8A64E8"/>
    <w:rsid w:val="6BA21BA1"/>
    <w:rsid w:val="6BE97F42"/>
    <w:rsid w:val="6C7672FB"/>
    <w:rsid w:val="6C891FBD"/>
    <w:rsid w:val="6C983716"/>
    <w:rsid w:val="6CA433D4"/>
    <w:rsid w:val="6D5B2C93"/>
    <w:rsid w:val="6D650907"/>
    <w:rsid w:val="6D690AF7"/>
    <w:rsid w:val="6DB93944"/>
    <w:rsid w:val="6DFB0400"/>
    <w:rsid w:val="6DFFD031"/>
    <w:rsid w:val="6E2F3C06"/>
    <w:rsid w:val="6E3E48E1"/>
    <w:rsid w:val="6E437D7B"/>
    <w:rsid w:val="6E5F2945"/>
    <w:rsid w:val="6E6727CB"/>
    <w:rsid w:val="6E731D44"/>
    <w:rsid w:val="6E943617"/>
    <w:rsid w:val="6EAE9BE3"/>
    <w:rsid w:val="6EBCA2E7"/>
    <w:rsid w:val="6EBDADC9"/>
    <w:rsid w:val="6F524050"/>
    <w:rsid w:val="6F593A04"/>
    <w:rsid w:val="6F5C0BB9"/>
    <w:rsid w:val="6F8F6751"/>
    <w:rsid w:val="6FC50CC6"/>
    <w:rsid w:val="7080699B"/>
    <w:rsid w:val="709541F4"/>
    <w:rsid w:val="709E4DCA"/>
    <w:rsid w:val="70A20D5A"/>
    <w:rsid w:val="70B044EA"/>
    <w:rsid w:val="70B97A34"/>
    <w:rsid w:val="70FB915B"/>
    <w:rsid w:val="70FF1FB5"/>
    <w:rsid w:val="71245578"/>
    <w:rsid w:val="71306613"/>
    <w:rsid w:val="718D4C00"/>
    <w:rsid w:val="71C31235"/>
    <w:rsid w:val="72E21289"/>
    <w:rsid w:val="73134306"/>
    <w:rsid w:val="7346211D"/>
    <w:rsid w:val="73B75EF5"/>
    <w:rsid w:val="73D66CED"/>
    <w:rsid w:val="73DC038C"/>
    <w:rsid w:val="7416389E"/>
    <w:rsid w:val="741B1024"/>
    <w:rsid w:val="744C0F7F"/>
    <w:rsid w:val="74686B07"/>
    <w:rsid w:val="7490285F"/>
    <w:rsid w:val="7499002B"/>
    <w:rsid w:val="74BF3F35"/>
    <w:rsid w:val="753F1DBD"/>
    <w:rsid w:val="75882579"/>
    <w:rsid w:val="75FB0372"/>
    <w:rsid w:val="761BDB00"/>
    <w:rsid w:val="763B75EC"/>
    <w:rsid w:val="76502EEB"/>
    <w:rsid w:val="76F105F2"/>
    <w:rsid w:val="76F65C09"/>
    <w:rsid w:val="773C275A"/>
    <w:rsid w:val="77AE3DED"/>
    <w:rsid w:val="77B773A1"/>
    <w:rsid w:val="77BF8FC7"/>
    <w:rsid w:val="77E65C7D"/>
    <w:rsid w:val="77E935CE"/>
    <w:rsid w:val="78322C70"/>
    <w:rsid w:val="783562BD"/>
    <w:rsid w:val="78422BB0"/>
    <w:rsid w:val="788F3517"/>
    <w:rsid w:val="78BB0EB8"/>
    <w:rsid w:val="79034F76"/>
    <w:rsid w:val="791D19BA"/>
    <w:rsid w:val="792425B9"/>
    <w:rsid w:val="794F04B1"/>
    <w:rsid w:val="79960FDD"/>
    <w:rsid w:val="799649CC"/>
    <w:rsid w:val="79BE72D2"/>
    <w:rsid w:val="79FFA6D4"/>
    <w:rsid w:val="7A093902"/>
    <w:rsid w:val="7A2605B3"/>
    <w:rsid w:val="7A673299"/>
    <w:rsid w:val="7A883C2D"/>
    <w:rsid w:val="7A9279F6"/>
    <w:rsid w:val="7AB318C3"/>
    <w:rsid w:val="7AC758F2"/>
    <w:rsid w:val="7B3F2D2C"/>
    <w:rsid w:val="7BE424D4"/>
    <w:rsid w:val="7BF02C26"/>
    <w:rsid w:val="7BF542DA"/>
    <w:rsid w:val="7C71D5A2"/>
    <w:rsid w:val="7C981371"/>
    <w:rsid w:val="7CB71996"/>
    <w:rsid w:val="7CBB76D8"/>
    <w:rsid w:val="7D033021"/>
    <w:rsid w:val="7D0736E5"/>
    <w:rsid w:val="7DAF07FB"/>
    <w:rsid w:val="7DBA58BE"/>
    <w:rsid w:val="7DBEB488"/>
    <w:rsid w:val="7DE76D0C"/>
    <w:rsid w:val="7DF84014"/>
    <w:rsid w:val="7E17093E"/>
    <w:rsid w:val="7E82293F"/>
    <w:rsid w:val="7EB0628F"/>
    <w:rsid w:val="7EBE4EFA"/>
    <w:rsid w:val="7EDC1B88"/>
    <w:rsid w:val="7EEE34B0"/>
    <w:rsid w:val="7EF3CC61"/>
    <w:rsid w:val="7F3E014D"/>
    <w:rsid w:val="7F671451"/>
    <w:rsid w:val="7F6D1DBE"/>
    <w:rsid w:val="7F7758A5"/>
    <w:rsid w:val="7F7BB642"/>
    <w:rsid w:val="7F8A0E1C"/>
    <w:rsid w:val="7FAF2DF8"/>
    <w:rsid w:val="7FBC6C6B"/>
    <w:rsid w:val="7FEB2C87"/>
    <w:rsid w:val="7FEDDF95"/>
    <w:rsid w:val="7FF16F6D"/>
    <w:rsid w:val="7FF69554"/>
    <w:rsid w:val="7FFEE961"/>
    <w:rsid w:val="7FFFDFA4"/>
    <w:rsid w:val="8F7F6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108267B7-96C0-4C95-813E-27A93629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Body Text Indent 2" w:uiPriority="99" w:unhideWhenUsed="1" w:qFormat="1"/>
    <w:lsdException w:name="Hyperlink"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Plain Text"/>
    <w:basedOn w:val="a"/>
    <w:next w:val="a"/>
    <w:link w:val="Char0"/>
    <w:uiPriority w:val="99"/>
    <w:qFormat/>
    <w:rPr>
      <w:rFonts w:ascii="宋体" w:hAnsi="Courier New"/>
    </w:rPr>
  </w:style>
  <w:style w:type="paragraph" w:styleId="20">
    <w:name w:val="Body Text Indent 2"/>
    <w:basedOn w:val="a"/>
    <w:uiPriority w:val="99"/>
    <w:unhideWhenUsed/>
    <w:qFormat/>
    <w:pPr>
      <w:ind w:firstLine="480"/>
    </w:pPr>
    <w:rPr>
      <w:rFonts w:ascii="Times New Roman" w:eastAsia="仿宋_GB2312" w:hAnsi="Times New Roman"/>
      <w:sz w:val="32"/>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paragraph" w:styleId="a8">
    <w:name w:val="footnote text"/>
    <w:basedOn w:val="a"/>
    <w:qFormat/>
    <w:pPr>
      <w:snapToGrid w:val="0"/>
      <w:jc w:val="left"/>
    </w:pPr>
    <w:rPr>
      <w:sz w:val="18"/>
      <w:szCs w:val="18"/>
    </w:rPr>
  </w:style>
  <w:style w:type="paragraph" w:styleId="21">
    <w:name w:val="toc 2"/>
    <w:basedOn w:val="a"/>
    <w:next w:val="a"/>
    <w:qFormat/>
    <w:pPr>
      <w:ind w:leftChars="200" w:left="420"/>
    </w:pPr>
  </w:style>
  <w:style w:type="paragraph" w:styleId="a9">
    <w:name w:val="Normal (Web)"/>
    <w:basedOn w:val="a"/>
    <w:qFormat/>
    <w:rPr>
      <w:sz w:val="24"/>
    </w:rPr>
  </w:style>
  <w:style w:type="paragraph" w:styleId="aa">
    <w:name w:val="Title"/>
    <w:basedOn w:val="a"/>
    <w:next w:val="a"/>
    <w:qFormat/>
    <w:pPr>
      <w:spacing w:before="240" w:after="60"/>
      <w:jc w:val="center"/>
      <w:outlineLvl w:val="0"/>
    </w:pPr>
    <w:rPr>
      <w:rFonts w:asciiTheme="majorHAnsi" w:eastAsia="黑体" w:hAnsiTheme="majorHAnsi" w:cstheme="majorBidi"/>
      <w:b/>
      <w:bCs/>
      <w:sz w:val="32"/>
      <w:szCs w:val="32"/>
    </w:rPr>
  </w:style>
  <w:style w:type="paragraph" w:styleId="ab">
    <w:name w:val="annotation subject"/>
    <w:basedOn w:val="a3"/>
    <w:next w:val="a3"/>
    <w:link w:val="Char3"/>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Hyperlink"/>
    <w:basedOn w:val="a0"/>
    <w:uiPriority w:val="99"/>
    <w:unhideWhenUsed/>
    <w:qFormat/>
    <w:rPr>
      <w:color w:val="0026E5" w:themeColor="hyperlink"/>
      <w:u w:val="single"/>
    </w:rPr>
  </w:style>
  <w:style w:type="character" w:styleId="af">
    <w:name w:val="annotation reference"/>
    <w:basedOn w:val="a0"/>
    <w:qFormat/>
    <w:rPr>
      <w:sz w:val="21"/>
      <w:szCs w:val="21"/>
    </w:rPr>
  </w:style>
  <w:style w:type="character" w:styleId="af0">
    <w:name w:val="footnote reference"/>
    <w:basedOn w:val="a0"/>
    <w:qFormat/>
    <w:rPr>
      <w:vertAlign w:val="superscript"/>
    </w:rPr>
  </w:style>
  <w:style w:type="paragraph" w:styleId="af1">
    <w:name w:val="List Paragraph"/>
    <w:basedOn w:val="a"/>
    <w:uiPriority w:val="99"/>
    <w:unhideWhenUsed/>
    <w:qFormat/>
    <w:pPr>
      <w:ind w:firstLineChars="200" w:firstLine="420"/>
    </w:pPr>
  </w:style>
  <w:style w:type="character" w:customStyle="1" w:styleId="Char1">
    <w:name w:val="批注框文本 Char"/>
    <w:basedOn w:val="a0"/>
    <w:link w:val="a5"/>
    <w:qFormat/>
    <w:rPr>
      <w:rFonts w:ascii="Calibri" w:hAnsi="Calibri"/>
      <w:kern w:val="2"/>
      <w:sz w:val="18"/>
      <w:szCs w:val="18"/>
    </w:rPr>
  </w:style>
  <w:style w:type="character" w:customStyle="1" w:styleId="Char0">
    <w:name w:val="纯文本 Char"/>
    <w:basedOn w:val="a0"/>
    <w:link w:val="a4"/>
    <w:uiPriority w:val="99"/>
    <w:qFormat/>
    <w:rPr>
      <w:rFonts w:ascii="宋体" w:hAnsi="Courier New"/>
      <w:kern w:val="2"/>
      <w:sz w:val="21"/>
      <w:szCs w:val="24"/>
    </w:rPr>
  </w:style>
  <w:style w:type="character" w:customStyle="1" w:styleId="Char2">
    <w:name w:val="页脚 Char"/>
    <w:basedOn w:val="a0"/>
    <w:link w:val="a6"/>
    <w:uiPriority w:val="99"/>
    <w:qFormat/>
    <w:rPr>
      <w:rFonts w:ascii="Calibri" w:hAnsi="Calibri"/>
      <w:kern w:val="2"/>
      <w:sz w:val="18"/>
      <w:szCs w:val="24"/>
    </w:rPr>
  </w:style>
  <w:style w:type="character" w:customStyle="1" w:styleId="2Char">
    <w:name w:val="标题 2 Char"/>
    <w:basedOn w:val="a0"/>
    <w:link w:val="2"/>
    <w:qFormat/>
    <w:rPr>
      <w:rFonts w:ascii="Arial" w:eastAsia="黑体" w:hAnsi="Arial"/>
      <w:b/>
      <w:kern w:val="2"/>
      <w:sz w:val="32"/>
      <w:szCs w:val="24"/>
    </w:rPr>
  </w:style>
  <w:style w:type="character" w:customStyle="1" w:styleId="1Char">
    <w:name w:val="标题 1 Char"/>
    <w:basedOn w:val="a0"/>
    <w:link w:val="1"/>
    <w:qFormat/>
    <w:rPr>
      <w:rFonts w:ascii="Calibri" w:hAnsi="Calibri"/>
      <w:b/>
      <w:kern w:val="44"/>
      <w:sz w:val="44"/>
      <w:szCs w:val="24"/>
    </w:rPr>
  </w:style>
  <w:style w:type="character" w:customStyle="1" w:styleId="Char">
    <w:name w:val="批注文字 Char"/>
    <w:basedOn w:val="a0"/>
    <w:link w:val="a3"/>
    <w:qFormat/>
    <w:rPr>
      <w:rFonts w:ascii="Calibri" w:hAnsi="Calibri"/>
      <w:kern w:val="2"/>
      <w:sz w:val="21"/>
      <w:szCs w:val="24"/>
    </w:rPr>
  </w:style>
  <w:style w:type="character" w:customStyle="1" w:styleId="Char3">
    <w:name w:val="批注主题 Char"/>
    <w:basedOn w:val="Char"/>
    <w:link w:val="ab"/>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FDF348-D574-4718-8E8B-FE4CA9F12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21</Pages>
  <Words>1632</Words>
  <Characters>9305</Characters>
  <Application>Microsoft Office Word</Application>
  <DocSecurity>0</DocSecurity>
  <Lines>77</Lines>
  <Paragraphs>21</Paragraphs>
  <ScaleCrop>false</ScaleCrop>
  <Company/>
  <LinksUpToDate>false</LinksUpToDate>
  <CharactersWithSpaces>10916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Randz</dc:creator>
  <cp:lastModifiedBy>王磊</cp:lastModifiedBy>
  <cp:revision>232</cp:revision>
  <cp:lastPrinted>2026-09-10T01:37:00Z</cp:lastPrinted>
  <dcterms:created xsi:type="dcterms:W3CDTF">2026-07-25T19:07:00Z</dcterms:created>
  <dcterms:modified xsi:type="dcterms:W3CDTF">2026-09-10T03:26:00Z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CA14DA6CB763EC1A2F864C6AF37F52D7_43</vt:lpwstr>
  </property>
  <property fmtid="{D5CDD505-2E9C-101B-9397-08002B2CF9AE}" pid="4" name="KSOTemplateDocerSaveRecord">
    <vt:lpwstr>eyJoZGlkIjoiZmEzODA3ZjVkZDU5MDU0OGIxM2MyMzEyMDQzNWEyMjkiLCJ1c2VySWQiOiI5NzMwMzMyMTIifQ==</vt:lpwstr>
  </property>
</Properties>
</file>