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6BA87">
      <w:pPr>
        <w:widowControl/>
        <w:spacing w:line="560" w:lineRule="exact"/>
        <w:jc w:val="center"/>
        <w:rPr>
          <w:rFonts w:hint="eastAsia" w:ascii="方正小标宋简体" w:hAnsi="黑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Times New Roman"/>
          <w:kern w:val="0"/>
          <w:sz w:val="44"/>
          <w:szCs w:val="44"/>
        </w:rPr>
        <w:t>关于《“十五五”时期东城区国际消费中心城市示范区建设发展规划</w:t>
      </w:r>
      <w:r>
        <w:rPr>
          <w:rFonts w:hint="eastAsia" w:ascii="方正小标宋简体" w:hAnsi="黑体" w:eastAsia="方正小标宋简体" w:cs="Times New Roman"/>
          <w:kern w:val="0"/>
          <w:sz w:val="44"/>
          <w:szCs w:val="44"/>
          <w:lang w:eastAsia="zh-CN"/>
        </w:rPr>
        <w:t>（征求意见稿）</w:t>
      </w:r>
      <w:r>
        <w:rPr>
          <w:rFonts w:hint="eastAsia" w:ascii="方正小标宋简体" w:hAnsi="黑体" w:eastAsia="方正小标宋简体" w:cs="Times New Roman"/>
          <w:kern w:val="0"/>
          <w:sz w:val="44"/>
          <w:szCs w:val="44"/>
        </w:rPr>
        <w:t>》的起草说明</w:t>
      </w:r>
    </w:p>
    <w:p w14:paraId="03E7CDC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20BD937F">
      <w:pPr>
        <w:suppressAutoHyphens/>
        <w:spacing w:line="56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hint="eastAsia" w:ascii="Times New Roman" w:hAnsi="Times New Roman" w:eastAsia="黑体" w:cs="Times New Roman"/>
          <w:sz w:val="32"/>
          <w:szCs w:val="40"/>
        </w:rPr>
        <w:t>一、起草背景</w:t>
      </w:r>
    </w:p>
    <w:p w14:paraId="534D4F9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贯彻落实国家、北京市及东城区关于“十五五”规划编制工作的决策部署和工作要求，主动服务扩大内需战略，落实深化国际消费中心城市建设部署，东城区立足首都核心区使命价值，科学谋划“十五五”时期国际消费中心城市示范区建设发展任务，进一步强化消费在全区经济高质量发展中的支撑作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东城</w:t>
      </w:r>
      <w:r>
        <w:rPr>
          <w:rFonts w:hint="eastAsia" w:ascii="仿宋_GB2312" w:hAnsi="仿宋_GB2312" w:eastAsia="仿宋_GB2312" w:cs="仿宋_GB2312"/>
          <w:sz w:val="32"/>
          <w:szCs w:val="32"/>
        </w:rPr>
        <w:t>区商务局牵头研究编制了《“十五五”时期东城区国际消费中心城市示范区建设发展规划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（征求意见稿）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</w:rPr>
        <w:t>（以下简称《规划》）。</w:t>
      </w:r>
    </w:p>
    <w:p w14:paraId="7839AB0B">
      <w:pPr>
        <w:numPr>
          <w:ilvl w:val="0"/>
          <w:numId w:val="1"/>
        </w:numPr>
        <w:adjustRightIn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起草</w:t>
      </w:r>
      <w:r>
        <w:rPr>
          <w:rFonts w:eastAsia="黑体"/>
          <w:sz w:val="32"/>
          <w:szCs w:val="32"/>
        </w:rPr>
        <w:t>依据</w:t>
      </w:r>
    </w:p>
    <w:p w14:paraId="6870772C">
      <w:pPr>
        <w:adjustRightInd w:val="0"/>
        <w:spacing w:line="560" w:lineRule="exact"/>
        <w:ind w:firstLine="640" w:firstLineChars="200"/>
      </w:pPr>
      <w:r>
        <w:rPr>
          <w:rFonts w:hint="eastAsia" w:eastAsia="仿宋_GB2312" w:cs="仿宋_GB2312"/>
          <w:sz w:val="32"/>
          <w:szCs w:val="32"/>
          <w:lang w:eastAsia="zh-CN"/>
        </w:rPr>
        <w:t>主要依据《中华人民共和国国民经济和社会发展第十五个五年规划纲要》</w:t>
      </w:r>
      <w:r>
        <w:rPr>
          <w:rFonts w:hAnsi="仿宋_GB2312" w:eastAsia="仿宋_GB2312"/>
          <w:color w:val="auto"/>
          <w:kern w:val="0"/>
          <w:sz w:val="32"/>
          <w:szCs w:val="32"/>
        </w:rPr>
        <w:t>《扩大消费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“</w:t>
      </w:r>
      <w:r>
        <w:rPr>
          <w:rFonts w:hAnsi="仿宋_GB2312" w:eastAsia="仿宋_GB2312"/>
          <w:color w:val="auto"/>
          <w:kern w:val="0"/>
          <w:sz w:val="32"/>
          <w:szCs w:val="32"/>
        </w:rPr>
        <w:t>十五五</w:t>
      </w:r>
      <w:r>
        <w:rPr>
          <w:rFonts w:hint="eastAsia" w:eastAsia="仿宋_GB2312"/>
          <w:color w:val="auto"/>
          <w:kern w:val="0"/>
          <w:sz w:val="32"/>
          <w:szCs w:val="32"/>
          <w:lang w:eastAsia="zh-CN"/>
        </w:rPr>
        <w:t>”</w:t>
      </w:r>
      <w:r>
        <w:rPr>
          <w:rFonts w:hAnsi="仿宋_GB2312" w:eastAsia="仿宋_GB2312"/>
          <w:color w:val="auto"/>
          <w:kern w:val="0"/>
          <w:sz w:val="32"/>
          <w:szCs w:val="32"/>
        </w:rPr>
        <w:t>规划》</w:t>
      </w:r>
      <w:r>
        <w:rPr>
          <w:rFonts w:ascii="仿宋_GB2312" w:hAnsi="宋体" w:eastAsia="仿宋_GB2312" w:cs="仿宋_GB2312"/>
          <w:color w:val="auto"/>
          <w:kern w:val="0"/>
          <w:sz w:val="31"/>
          <w:szCs w:val="31"/>
        </w:rPr>
        <w:t>《北京市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东城区</w:t>
      </w:r>
      <w:r>
        <w:rPr>
          <w:rFonts w:ascii="仿宋_GB2312" w:hAnsi="宋体" w:eastAsia="仿宋_GB2312" w:cs="仿宋_GB2312"/>
          <w:color w:val="auto"/>
          <w:kern w:val="0"/>
          <w:sz w:val="31"/>
          <w:szCs w:val="31"/>
        </w:rPr>
        <w:t>国民经济和社会发展第十五个五年</w:t>
      </w:r>
      <w:r>
        <w:rPr>
          <w:rFonts w:hint="eastAsia" w:ascii="仿宋_GB2312" w:hAnsi="宋体" w:eastAsia="仿宋_GB2312" w:cs="仿宋_GB2312"/>
          <w:color w:val="auto"/>
          <w:kern w:val="0"/>
          <w:sz w:val="31"/>
          <w:szCs w:val="31"/>
        </w:rPr>
        <w:t>规划纲要》</w:t>
      </w:r>
      <w:r>
        <w:rPr>
          <w:rFonts w:hint="eastAsia" w:eastAsia="仿宋_GB2312" w:cs="仿宋_GB2312"/>
          <w:sz w:val="32"/>
          <w:szCs w:val="32"/>
          <w:lang w:eastAsia="zh-CN"/>
        </w:rPr>
        <w:t>等政策文件。</w:t>
      </w:r>
    </w:p>
    <w:p w14:paraId="3CCB9067">
      <w:pPr>
        <w:suppressAutoHyphens/>
        <w:spacing w:line="56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t>三、</w:t>
      </w:r>
      <w:r>
        <w:rPr>
          <w:rFonts w:hint="eastAsia" w:ascii="Times New Roman" w:hAnsi="Times New Roman" w:eastAsia="黑体" w:cs="Times New Roman"/>
          <w:sz w:val="32"/>
          <w:szCs w:val="40"/>
        </w:rPr>
        <w:t>起草过程</w:t>
      </w:r>
    </w:p>
    <w:p w14:paraId="3B1C92B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在《规划》起草过程中，东城区商务局组建专项课题组</w:t>
      </w:r>
      <w:r>
        <w:rPr>
          <w:rFonts w:hint="eastAsia" w:ascii="仿宋_GB2312" w:hAnsi="仿宋_GB2312" w:eastAsia="仿宋_GB2312" w:cs="仿宋_GB2312"/>
          <w:sz w:val="32"/>
          <w:szCs w:val="32"/>
        </w:rPr>
        <w:t>，梳理全区国际消费中心城市示范区建设基础、研判消费新形势与新要求，围绕重点任务布局与重点项目谋划开展系统调查与研究工作。</w:t>
      </w:r>
      <w:r>
        <w:rPr>
          <w:rFonts w:hint="eastAsia" w:ascii="仿宋_GB2312" w:hAnsi="仿宋_GB2312" w:eastAsia="仿宋_GB2312" w:cs="仿宋_GB2312"/>
          <w:sz w:val="32"/>
        </w:rPr>
        <w:t>期间组织召开多场职能部门、代表企业及专家座谈会，对重点商圈和消费街区进行实地走访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广泛征求职能部门、市场主体、专家学者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、社会各界</w:t>
      </w:r>
      <w:r>
        <w:rPr>
          <w:rFonts w:hint="eastAsia" w:ascii="仿宋_GB2312" w:hAnsi="仿宋_GB2312" w:eastAsia="仿宋_GB2312" w:cs="仿宋_GB2312"/>
          <w:sz w:val="32"/>
        </w:rPr>
        <w:t>意见，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主动做好与上位规划的衔接</w:t>
      </w:r>
      <w:r>
        <w:rPr>
          <w:rFonts w:hint="eastAsia" w:ascii="仿宋_GB2312" w:hAnsi="仿宋_GB2312" w:eastAsia="仿宋_GB2312" w:cs="仿宋_GB2312"/>
          <w:sz w:val="32"/>
        </w:rPr>
        <w:t>。经过反复研究、论证与修改，凝聚共识形成《规划》成果。</w:t>
      </w:r>
    </w:p>
    <w:p w14:paraId="5F55E505">
      <w:pPr>
        <w:suppressAutoHyphens/>
        <w:spacing w:line="560" w:lineRule="exact"/>
        <w:ind w:firstLine="640" w:firstLineChars="200"/>
        <w:outlineLvl w:val="0"/>
        <w:rPr>
          <w:rFonts w:ascii="Times New Roman" w:hAnsi="Times New Roman" w:eastAsia="黑体" w:cs="Times New Roman"/>
          <w:sz w:val="32"/>
          <w:szCs w:val="40"/>
        </w:rPr>
      </w:pP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t>四</w:t>
      </w:r>
      <w:r>
        <w:rPr>
          <w:rFonts w:hint="eastAsia" w:ascii="Times New Roman" w:hAnsi="Times New Roman" w:eastAsia="黑体" w:cs="Times New Roman"/>
          <w:sz w:val="32"/>
          <w:szCs w:val="40"/>
        </w:rPr>
        <w:t>、主要内容</w:t>
      </w:r>
    </w:p>
    <w:p w14:paraId="3C5D7334">
      <w:pPr>
        <w:keepNext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eastAsia="仿宋_GB2312"/>
          <w:sz w:val="32"/>
          <w:szCs w:val="32"/>
        </w:rPr>
        <w:t>《规划》</w:t>
      </w:r>
      <w:r>
        <w:rPr>
          <w:rFonts w:hint="eastAsia" w:eastAsia="仿宋_GB2312"/>
          <w:sz w:val="32"/>
          <w:szCs w:val="32"/>
        </w:rPr>
        <w:t>共计六</w:t>
      </w:r>
      <w:r>
        <w:rPr>
          <w:rFonts w:eastAsia="仿宋_GB2312"/>
          <w:sz w:val="32"/>
          <w:szCs w:val="32"/>
        </w:rPr>
        <w:t>个部分</w:t>
      </w:r>
      <w:r>
        <w:rPr>
          <w:rFonts w:hint="eastAsia" w:ascii="仿宋_GB2312" w:hAnsi="仿宋_GB2312" w:eastAsia="仿宋_GB2312" w:cs="仿宋_GB2312"/>
          <w:sz w:val="32"/>
        </w:rPr>
        <w:t>。第一部分是</w:t>
      </w:r>
      <w:r>
        <w:rPr>
          <w:rFonts w:ascii="仿宋_GB2312" w:hAnsi="仿宋_GB2312" w:eastAsia="仿宋_GB2312" w:cs="仿宋_GB2312"/>
          <w:sz w:val="32"/>
        </w:rPr>
        <w:t>总体要求</w:t>
      </w:r>
      <w:r>
        <w:rPr>
          <w:rFonts w:hint="eastAsia" w:ascii="仿宋_GB2312" w:hAnsi="仿宋_GB2312" w:eastAsia="仿宋_GB2312" w:cs="仿宋_GB2312"/>
          <w:sz w:val="32"/>
        </w:rPr>
        <w:t>，明确指导思想和</w:t>
      </w:r>
      <w:r>
        <w:rPr>
          <w:rFonts w:ascii="仿宋_GB2312" w:hAnsi="仿宋_GB2312" w:eastAsia="仿宋_GB2312" w:cs="仿宋_GB2312"/>
          <w:sz w:val="32"/>
        </w:rPr>
        <w:t>发展目标</w:t>
      </w:r>
      <w:r>
        <w:rPr>
          <w:rFonts w:hint="eastAsia" w:ascii="仿宋_GB2312" w:hAnsi="仿宋_GB2312" w:eastAsia="仿宋_GB2312" w:cs="仿宋_GB2312"/>
          <w:sz w:val="32"/>
        </w:rPr>
        <w:t>，提出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基本建成文化魅力独特、业态创新活跃、具有全球资源配置力的国际消费中心城市示范区</w:t>
      </w:r>
      <w:r>
        <w:rPr>
          <w:rFonts w:hint="eastAsia" w:ascii="仿宋_GB2312" w:hAnsi="仿宋_GB2312" w:eastAsia="仿宋_GB2312" w:cs="仿宋_GB2312"/>
          <w:sz w:val="32"/>
        </w:rPr>
        <w:t>。第二部分是</w:t>
      </w:r>
      <w:r>
        <w:rPr>
          <w:rFonts w:ascii="仿宋_GB2312" w:hAnsi="仿宋_GB2312" w:eastAsia="仿宋_GB2312" w:cs="仿宋_GB2312"/>
          <w:sz w:val="32"/>
        </w:rPr>
        <w:t>构建八类消费场景协同格局</w:t>
      </w:r>
      <w:r>
        <w:rPr>
          <w:rFonts w:hint="eastAsia" w:ascii="仿宋_GB2312" w:hAnsi="仿宋_GB2312" w:eastAsia="仿宋_GB2312" w:cs="仿宋_GB2312"/>
          <w:sz w:val="32"/>
        </w:rPr>
        <w:t>，包括构筑业态创新活跃的商圈消费场景，深耕文化引领融合的街区消费场景，培育戏城交融共生的演艺消费场景，打通“在场”与“在线”的数字消费场景，擦亮烟火艺境兼具的夜间消费场景，丰富特色业态鲜明的园区消费场景，拓展可游可赏可品的公园消费场景，营造水岸魅力彰显的亲水消费场景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sz w:val="32"/>
        </w:rPr>
        <w:t>等八方面任务。第三部分是</w:t>
      </w:r>
      <w:r>
        <w:rPr>
          <w:rFonts w:ascii="仿宋_GB2312" w:hAnsi="仿宋_GB2312" w:eastAsia="仿宋_GB2312" w:cs="仿宋_GB2312"/>
          <w:sz w:val="32"/>
        </w:rPr>
        <w:t>打造高能级主题消费矩阵</w:t>
      </w:r>
      <w:r>
        <w:rPr>
          <w:rFonts w:hint="eastAsia" w:ascii="仿宋_GB2312" w:hAnsi="仿宋_GB2312" w:eastAsia="仿宋_GB2312" w:cs="仿宋_GB2312"/>
          <w:sz w:val="32"/>
        </w:rPr>
        <w:t>，包括壮大时尚消费规模，引领国潮消费热潮</w:t>
      </w:r>
      <w:r>
        <w:rPr>
          <w:rFonts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释放文旅消费活力</w:t>
      </w:r>
      <w:r>
        <w:rPr>
          <w:rFonts w:ascii="仿宋_GB2312" w:hAnsi="仿宋_GB2312" w:eastAsia="仿宋_GB2312" w:cs="仿宋_GB2312"/>
          <w:sz w:val="32"/>
        </w:rPr>
        <w:t>，打响美食消费品牌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ascii="仿宋_GB2312" w:hAnsi="仿宋_GB2312" w:eastAsia="仿宋_GB2312" w:cs="仿宋_GB2312"/>
          <w:sz w:val="32"/>
        </w:rPr>
        <w:t>提升健康消费能级等</w:t>
      </w:r>
      <w:r>
        <w:rPr>
          <w:rFonts w:hint="eastAsia" w:ascii="仿宋_GB2312" w:hAnsi="仿宋_GB2312" w:eastAsia="仿宋_GB2312" w:cs="仿宋_GB2312"/>
          <w:sz w:val="32"/>
        </w:rPr>
        <w:t>五方面任务</w:t>
      </w:r>
      <w:r>
        <w:rPr>
          <w:rFonts w:ascii="仿宋_GB2312" w:hAnsi="仿宋_GB2312" w:eastAsia="仿宋_GB2312" w:cs="仿宋_GB2312"/>
          <w:sz w:val="32"/>
        </w:rPr>
        <w:t>。</w:t>
      </w:r>
      <w:r>
        <w:rPr>
          <w:rFonts w:hint="eastAsia" w:ascii="仿宋_GB2312" w:hAnsi="仿宋_GB2312" w:eastAsia="仿宋_GB2312" w:cs="仿宋_GB2312"/>
          <w:sz w:val="32"/>
        </w:rPr>
        <w:t>第四部分是</w:t>
      </w:r>
      <w:r>
        <w:rPr>
          <w:rFonts w:ascii="仿宋_GB2312" w:hAnsi="仿宋_GB2312" w:eastAsia="仿宋_GB2312" w:cs="仿宋_GB2312"/>
          <w:sz w:val="32"/>
        </w:rPr>
        <w:t>扩容高品质特色消费供给</w:t>
      </w:r>
      <w:r>
        <w:rPr>
          <w:rFonts w:hint="eastAsia" w:ascii="仿宋_GB2312" w:hAnsi="仿宋_GB2312" w:eastAsia="仿宋_GB2312" w:cs="仿宋_GB2312"/>
          <w:sz w:val="32"/>
        </w:rPr>
        <w:t>，包括</w:t>
      </w:r>
      <w:r>
        <w:rPr>
          <w:rFonts w:ascii="仿宋_GB2312" w:hAnsi="仿宋_GB2312" w:eastAsia="仿宋_GB2312" w:cs="仿宋_GB2312"/>
          <w:sz w:val="32"/>
        </w:rPr>
        <w:t>培育</w:t>
      </w:r>
      <w:r>
        <w:rPr>
          <w:rFonts w:hint="eastAsia" w:ascii="仿宋_GB2312" w:hAnsi="仿宋_GB2312" w:eastAsia="仿宋_GB2312" w:cs="仿宋_GB2312"/>
          <w:sz w:val="32"/>
        </w:rPr>
        <w:t>新型</w:t>
      </w:r>
      <w:r>
        <w:rPr>
          <w:rFonts w:ascii="仿宋_GB2312" w:hAnsi="仿宋_GB2312" w:eastAsia="仿宋_GB2312" w:cs="仿宋_GB2312"/>
          <w:sz w:val="32"/>
        </w:rPr>
        <w:t>数字消费生态，增强体育赛事消费动能，</w:t>
      </w:r>
      <w:r>
        <w:rPr>
          <w:rFonts w:hint="eastAsia" w:ascii="仿宋_GB2312" w:hAnsi="仿宋_GB2312" w:eastAsia="仿宋_GB2312" w:cs="仿宋_GB2312"/>
          <w:sz w:val="32"/>
        </w:rPr>
        <w:t>提质教育和培训消费供给</w:t>
      </w:r>
      <w:r>
        <w:rPr>
          <w:rFonts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挖掘银发经济消费潜力</w:t>
      </w:r>
      <w:r>
        <w:rPr>
          <w:rFonts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优化家政服务消费结构</w:t>
      </w:r>
      <w:r>
        <w:rPr>
          <w:rFonts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提升便民生活消费品质</w:t>
      </w:r>
      <w:r>
        <w:rPr>
          <w:rFonts w:ascii="仿宋_GB2312" w:hAnsi="仿宋_GB2312" w:eastAsia="仿宋_GB2312" w:cs="仿宋_GB2312"/>
          <w:sz w:val="32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创新绿色低碳消费模式</w:t>
      </w:r>
      <w:r>
        <w:rPr>
          <w:rFonts w:ascii="仿宋_GB2312" w:hAnsi="仿宋_GB2312" w:eastAsia="仿宋_GB2312" w:cs="仿宋_GB2312"/>
          <w:sz w:val="32"/>
        </w:rPr>
        <w:t>等</w:t>
      </w:r>
      <w:r>
        <w:rPr>
          <w:rFonts w:hint="eastAsia" w:ascii="仿宋_GB2312" w:hAnsi="仿宋_GB2312" w:eastAsia="仿宋_GB2312" w:cs="仿宋_GB2312"/>
          <w:sz w:val="32"/>
        </w:rPr>
        <w:t>七方面任务</w:t>
      </w:r>
      <w:r>
        <w:rPr>
          <w:rFonts w:ascii="仿宋_GB2312" w:hAnsi="仿宋_GB2312" w:eastAsia="仿宋_GB2312" w:cs="仿宋_GB2312"/>
          <w:sz w:val="32"/>
        </w:rPr>
        <w:t>。</w:t>
      </w:r>
      <w:r>
        <w:rPr>
          <w:rFonts w:hint="eastAsia" w:ascii="仿宋_GB2312" w:hAnsi="仿宋_GB2312" w:eastAsia="仿宋_GB2312" w:cs="仿宋_GB2312"/>
          <w:sz w:val="32"/>
        </w:rPr>
        <w:t>第五部分是</w:t>
      </w:r>
      <w:r>
        <w:rPr>
          <w:rFonts w:ascii="仿宋_GB2312" w:hAnsi="仿宋_GB2312" w:eastAsia="仿宋_GB2312" w:cs="仿宋_GB2312"/>
          <w:sz w:val="32"/>
        </w:rPr>
        <w:t>营造国际化一流消费环境</w:t>
      </w:r>
      <w:bookmarkStart w:id="0" w:name="_Toc25543"/>
      <w:r>
        <w:rPr>
          <w:rFonts w:hint="eastAsia" w:ascii="仿宋_GB2312" w:hAnsi="仿宋_GB2312" w:eastAsia="仿宋_GB2312" w:cs="仿宋_GB2312"/>
          <w:sz w:val="32"/>
        </w:rPr>
        <w:t>，包括</w:t>
      </w:r>
      <w:bookmarkEnd w:id="0"/>
      <w:bookmarkStart w:id="1" w:name="_Toc23243"/>
      <w:r>
        <w:rPr>
          <w:rFonts w:hint="eastAsia" w:ascii="仿宋_GB2312" w:hAnsi="仿宋_GB2312" w:eastAsia="仿宋_GB2312" w:cs="仿宋_GB2312"/>
          <w:sz w:val="32"/>
        </w:rPr>
        <w:t>升级国际化消费服务</w:t>
      </w:r>
      <w:r>
        <w:rPr>
          <w:rFonts w:ascii="仿宋_GB2312" w:hAnsi="仿宋_GB2312" w:eastAsia="仿宋_GB2312" w:cs="仿宋_GB2312"/>
          <w:sz w:val="32"/>
        </w:rPr>
        <w:t>，</w:t>
      </w:r>
      <w:bookmarkEnd w:id="1"/>
      <w:bookmarkStart w:id="2" w:name="_Toc32391"/>
      <w:r>
        <w:rPr>
          <w:rFonts w:hint="eastAsia" w:ascii="仿宋_GB2312" w:hAnsi="仿宋_GB2312" w:eastAsia="仿宋_GB2312" w:cs="仿宋_GB2312"/>
          <w:sz w:val="32"/>
        </w:rPr>
        <w:t>健全高标准配套设施</w:t>
      </w:r>
      <w:bookmarkEnd w:id="2"/>
      <w:r>
        <w:rPr>
          <w:rFonts w:hint="eastAsia" w:ascii="仿宋_GB2312" w:hAnsi="仿宋_GB2312" w:eastAsia="仿宋_GB2312" w:cs="仿宋_GB2312"/>
          <w:sz w:val="32"/>
        </w:rPr>
        <w:t>，打造优质高效营商环境等三方面任务</w:t>
      </w:r>
      <w:r>
        <w:rPr>
          <w:rFonts w:ascii="仿宋_GB2312" w:hAnsi="仿宋_GB2312" w:eastAsia="仿宋_GB2312" w:cs="仿宋_GB2312"/>
          <w:sz w:val="32"/>
        </w:rPr>
        <w:t>。</w:t>
      </w:r>
      <w:r>
        <w:rPr>
          <w:rFonts w:hint="eastAsia" w:ascii="仿宋_GB2312" w:hAnsi="仿宋_GB2312" w:eastAsia="仿宋_GB2312" w:cs="仿宋_GB2312"/>
          <w:sz w:val="32"/>
        </w:rPr>
        <w:t>第六部分是</w:t>
      </w:r>
      <w:r>
        <w:rPr>
          <w:rFonts w:ascii="仿宋_GB2312" w:hAnsi="仿宋_GB2312" w:eastAsia="仿宋_GB2312" w:cs="仿宋_GB2312"/>
          <w:sz w:val="32"/>
        </w:rPr>
        <w:t>规划实施保障</w:t>
      </w:r>
      <w:r>
        <w:rPr>
          <w:rFonts w:hint="eastAsia" w:ascii="仿宋_GB2312" w:hAnsi="仿宋_GB2312" w:eastAsia="仿宋_GB2312" w:cs="仿宋_GB2312"/>
          <w:sz w:val="32"/>
        </w:rPr>
        <w:t>。</w:t>
      </w:r>
    </w:p>
    <w:p w14:paraId="13847237">
      <w:pPr>
        <w:pStyle w:val="4"/>
        <w:spacing w:line="560" w:lineRule="exact"/>
        <w:ind w:firstLine="420" w:firstLineChars="200"/>
      </w:pPr>
    </w:p>
    <w:p w14:paraId="0D4C6BA0">
      <w:pPr>
        <w:suppressAutoHyphens/>
        <w:spacing w:line="560" w:lineRule="exact"/>
        <w:ind w:right="7"/>
        <w:jc w:val="center"/>
        <w:outlineLvl w:val="0"/>
        <w:rPr>
          <w:rFonts w:ascii="方正小标宋_GBK" w:hAnsi="方正小标宋_GBK" w:eastAsia="方正小标宋_GBK" w:cs="方正小标宋_GBK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542FB2-6069-4A95-9C46-907FBA21590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23BFEBE-524F-426E-893F-440A6C341D38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3" w:fontKey="{333D0977-4252-4832-B7AE-34448F3A274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48E2A"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6401513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6DA54"/>
    <w:multiLevelType w:val="singleLevel"/>
    <w:tmpl w:val="ED96DA5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6AE1D4D"/>
    <w:rsid w:val="00091015"/>
    <w:rsid w:val="001C745A"/>
    <w:rsid w:val="001D3E5B"/>
    <w:rsid w:val="002B493F"/>
    <w:rsid w:val="003205C4"/>
    <w:rsid w:val="00353916"/>
    <w:rsid w:val="004769A4"/>
    <w:rsid w:val="00501817"/>
    <w:rsid w:val="00510E40"/>
    <w:rsid w:val="006608BE"/>
    <w:rsid w:val="006F544F"/>
    <w:rsid w:val="007269EB"/>
    <w:rsid w:val="00804D62"/>
    <w:rsid w:val="008F39FE"/>
    <w:rsid w:val="00B0090B"/>
    <w:rsid w:val="00B224EA"/>
    <w:rsid w:val="00B55D2A"/>
    <w:rsid w:val="00C8255D"/>
    <w:rsid w:val="00C95274"/>
    <w:rsid w:val="06AE1D4D"/>
    <w:rsid w:val="10606175"/>
    <w:rsid w:val="177D4217"/>
    <w:rsid w:val="1F022AED"/>
    <w:rsid w:val="2B6C709E"/>
    <w:rsid w:val="2C7617D9"/>
    <w:rsid w:val="3A867BB1"/>
    <w:rsid w:val="456357E4"/>
    <w:rsid w:val="48F7696F"/>
    <w:rsid w:val="4C9E35A6"/>
    <w:rsid w:val="545000DE"/>
    <w:rsid w:val="54D6013E"/>
    <w:rsid w:val="57ED7FAB"/>
    <w:rsid w:val="58AD526F"/>
    <w:rsid w:val="5CFF2912"/>
    <w:rsid w:val="73E3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line="317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2"/>
    <w:qFormat/>
    <w:uiPriority w:val="0"/>
    <w:rPr>
      <w:rFonts w:ascii="宋体" w:eastAsia="宋体"/>
      <w:sz w:val="18"/>
      <w:szCs w:val="18"/>
    </w:rPr>
  </w:style>
  <w:style w:type="paragraph" w:styleId="4">
    <w:name w:val="Body Text"/>
    <w:basedOn w:val="1"/>
    <w:next w:val="1"/>
    <w:unhideWhenUsed/>
    <w:qFormat/>
    <w:uiPriority w:val="99"/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4"/>
    <w:unhideWhenUsed/>
    <w:qFormat/>
    <w:uiPriority w:val="99"/>
    <w:pPr>
      <w:ind w:firstLine="420" w:firstLineChars="100"/>
    </w:pPr>
  </w:style>
  <w:style w:type="character" w:customStyle="1" w:styleId="10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文档结构图 Char"/>
    <w:basedOn w:val="9"/>
    <w:link w:val="3"/>
    <w:qFormat/>
    <w:uiPriority w:val="0"/>
    <w:rPr>
      <w:rFonts w:ascii="宋体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D7B25D-1474-4F58-9BDB-588D0D853D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1003</Words>
  <Characters>1003</Characters>
  <Lines>6</Lines>
  <Paragraphs>1</Paragraphs>
  <TotalTime>0</TotalTime>
  <ScaleCrop>false</ScaleCrop>
  <LinksUpToDate>false</LinksUpToDate>
  <CharactersWithSpaces>1003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2026-09-02T03:23:00Z</dcterms:created>
  <dc:creator>郝姑娘</dc:creator>
  <cp:lastModifiedBy>秋荻萧萧</cp:lastModifiedBy>
  <dcterms:modified xsi:type="dcterms:W3CDTF">2026-09-04T03:11:47Z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3F8C97CFEFDF4E8BBCB37A3770A1D598_13</vt:lpwstr>
  </property>
  <property fmtid="{D5CDD505-2E9C-101B-9397-08002B2CF9AE}" pid="4" name="KSOTemplateDocerSaveRecord">
    <vt:lpwstr>eyJoZGlkIjoiOWMzMGFkNTNiMGU2NThjYmMyM2U1ZDEzZDljZjZiZWQiLCJ1c2VySWQiOiIxMTU0OTEwODczIn0=</vt:lpwstr>
  </property>
</Properties>
</file>