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spacing w:line="360" w:lineRule="auto"/>
        <w:jc w:val="center"/>
        <w:rPr>
          <w:rFonts w:eastAsia="方正小标宋简体" w:cs="楷体"/>
          <w:bCs/>
          <w:color w:val="auto"/>
          <w:kern w:val="0"/>
          <w:sz w:val="48"/>
          <w:szCs w:val="44"/>
        </w:rPr>
      </w:pPr>
    </w:p>
    <w:p>
      <w:pPr>
        <w:pStyle w:val="12"/>
        <w:rPr>
          <w:color w:val="auto"/>
        </w:rPr>
      </w:pPr>
    </w:p>
    <w:p>
      <w:pPr>
        <w:keepNext/>
        <w:jc w:val="center"/>
        <w:rPr>
          <w:rFonts w:eastAsia="方正小标宋简体" w:cs="楷体"/>
          <w:bCs/>
          <w:color w:val="auto"/>
          <w:kern w:val="0"/>
          <w:sz w:val="48"/>
          <w:szCs w:val="44"/>
        </w:rPr>
      </w:pPr>
    </w:p>
    <w:p>
      <w:pPr>
        <w:keepNext/>
        <w:spacing w:line="800" w:lineRule="exact"/>
        <w:jc w:val="center"/>
        <w:rPr>
          <w:rFonts w:ascii="黑体" w:hAnsi="黑体" w:eastAsia="黑体" w:cs="楷体"/>
          <w:color w:val="auto"/>
          <w:kern w:val="0"/>
          <w:sz w:val="48"/>
          <w:szCs w:val="44"/>
        </w:rPr>
      </w:pPr>
      <w:r>
        <w:rPr>
          <w:rFonts w:hint="eastAsia" w:ascii="黑体" w:hAnsi="黑体" w:eastAsia="黑体" w:cs="楷体"/>
          <w:color w:val="auto"/>
          <w:kern w:val="0"/>
          <w:sz w:val="48"/>
          <w:szCs w:val="44"/>
        </w:rPr>
        <w:t>“十五五”时期东城区国际消费中心</w:t>
      </w:r>
    </w:p>
    <w:p>
      <w:pPr>
        <w:keepNext/>
        <w:spacing w:line="800" w:lineRule="exact"/>
        <w:jc w:val="center"/>
        <w:rPr>
          <w:rFonts w:ascii="黑体" w:hAnsi="黑体" w:eastAsia="黑体" w:cs="楷体"/>
          <w:color w:val="auto"/>
          <w:kern w:val="0"/>
          <w:sz w:val="48"/>
          <w:szCs w:val="44"/>
        </w:rPr>
      </w:pPr>
      <w:r>
        <w:rPr>
          <w:rFonts w:hint="eastAsia" w:ascii="黑体" w:hAnsi="黑体" w:eastAsia="黑体" w:cs="楷体"/>
          <w:color w:val="auto"/>
          <w:kern w:val="0"/>
          <w:sz w:val="48"/>
          <w:szCs w:val="44"/>
        </w:rPr>
        <w:t>城市示范区</w:t>
      </w:r>
      <w:r>
        <w:rPr>
          <w:rFonts w:ascii="黑体" w:hAnsi="黑体" w:eastAsia="黑体" w:cs="楷体"/>
          <w:color w:val="auto"/>
          <w:kern w:val="0"/>
          <w:sz w:val="48"/>
          <w:szCs w:val="44"/>
        </w:rPr>
        <w:t>建设发展规划</w:t>
      </w:r>
    </w:p>
    <w:p>
      <w:pPr>
        <w:pStyle w:val="12"/>
        <w:spacing w:line="240" w:lineRule="exact"/>
        <w:jc w:val="center"/>
        <w:rPr>
          <w:rFonts w:eastAsia="方正小标宋简体" w:cs="楷体"/>
          <w:bCs/>
          <w:color w:val="auto"/>
          <w:kern w:val="0"/>
          <w:sz w:val="36"/>
          <w:szCs w:val="36"/>
        </w:rPr>
      </w:pPr>
    </w:p>
    <w:p>
      <w:pPr>
        <w:pStyle w:val="12"/>
        <w:jc w:val="center"/>
        <w:rPr>
          <w:rFonts w:hint="eastAsia" w:eastAsia="方正小标宋简体"/>
          <w:color w:val="auto"/>
          <w:sz w:val="36"/>
          <w:szCs w:val="36"/>
          <w:lang w:eastAsia="zh-CN"/>
        </w:rPr>
      </w:pPr>
      <w:r>
        <w:rPr>
          <w:rFonts w:hint="eastAsia" w:eastAsia="方正小标宋简体"/>
          <w:color w:val="auto"/>
          <w:sz w:val="36"/>
          <w:szCs w:val="36"/>
          <w:lang w:eastAsia="zh-CN"/>
        </w:rPr>
        <w:t>（</w:t>
      </w:r>
      <w:r>
        <w:rPr>
          <w:rFonts w:hint="eastAsia" w:eastAsia="方正小标宋简体"/>
          <w:color w:val="auto"/>
          <w:sz w:val="36"/>
          <w:szCs w:val="36"/>
          <w:lang w:val="en-US" w:eastAsia="zh-CN"/>
        </w:rPr>
        <w:t>征求意见</w:t>
      </w:r>
      <w:r>
        <w:rPr>
          <w:rFonts w:hint="eastAsia" w:eastAsia="方正小标宋简体"/>
          <w:color w:val="auto"/>
          <w:sz w:val="36"/>
          <w:szCs w:val="36"/>
          <w:lang w:eastAsia="zh-CN"/>
        </w:rPr>
        <w:t>稿）</w:t>
      </w:r>
    </w:p>
    <w:p>
      <w:pPr>
        <w:keepNext/>
        <w:spacing w:line="360" w:lineRule="auto"/>
        <w:jc w:val="center"/>
        <w:rPr>
          <w:rFonts w:eastAsia="方正小标宋简体" w:cs="楷体"/>
          <w:bCs/>
          <w:color w:val="auto"/>
          <w:kern w:val="0"/>
          <w:sz w:val="40"/>
          <w:szCs w:val="44"/>
        </w:rPr>
      </w:pPr>
    </w:p>
    <w:p>
      <w:pPr>
        <w:spacing w:line="360" w:lineRule="auto"/>
        <w:jc w:val="center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</w:p>
    <w:p>
      <w:pPr>
        <w:spacing w:line="360" w:lineRule="auto"/>
        <w:jc w:val="center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</w:p>
    <w:p>
      <w:pPr>
        <w:spacing w:line="360" w:lineRule="auto"/>
        <w:jc w:val="center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</w:p>
    <w:p>
      <w:pPr>
        <w:spacing w:line="360" w:lineRule="auto"/>
        <w:jc w:val="center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</w:p>
    <w:p>
      <w:pPr>
        <w:spacing w:line="360" w:lineRule="auto"/>
        <w:jc w:val="center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</w:p>
    <w:p>
      <w:pPr>
        <w:spacing w:line="360" w:lineRule="auto"/>
        <w:jc w:val="center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</w:p>
    <w:p>
      <w:pPr>
        <w:spacing w:line="360" w:lineRule="auto"/>
        <w:jc w:val="center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</w:p>
    <w:p>
      <w:pPr>
        <w:spacing w:line="360" w:lineRule="auto"/>
        <w:jc w:val="center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</w:p>
    <w:p>
      <w:pPr>
        <w:spacing w:line="360" w:lineRule="auto"/>
        <w:jc w:val="center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</w:p>
    <w:p>
      <w:pPr>
        <w:pStyle w:val="12"/>
        <w:rPr>
          <w:color w:val="auto"/>
        </w:rPr>
      </w:pPr>
    </w:p>
    <w:p>
      <w:pPr>
        <w:spacing w:line="360" w:lineRule="auto"/>
        <w:jc w:val="center"/>
        <w:rPr>
          <w:rFonts w:ascii="黑体" w:hAnsi="黑体" w:eastAsia="黑体" w:cs="仿宋_GB2312"/>
          <w:bCs/>
          <w:color w:val="auto"/>
          <w:sz w:val="32"/>
          <w:szCs w:val="32"/>
          <w:shd w:val="clear" w:color="auto" w:fill="FFFFFF"/>
        </w:rPr>
      </w:pPr>
      <w:bookmarkStart w:id="0" w:name="_Toc13034"/>
      <w:bookmarkStart w:id="1" w:name="_Toc25615"/>
      <w:bookmarkStart w:id="2" w:name="_Toc6684"/>
      <w:r>
        <w:rPr>
          <w:rFonts w:hint="eastAsia" w:ascii="黑体" w:hAnsi="黑体" w:eastAsia="黑体" w:cs="仿宋_GB2312"/>
          <w:bCs/>
          <w:color w:val="auto"/>
          <w:sz w:val="32"/>
          <w:szCs w:val="32"/>
          <w:shd w:val="clear" w:color="auto" w:fill="FFFFFF"/>
        </w:rPr>
        <w:t>北京市东城区</w:t>
      </w:r>
      <w:bookmarkEnd w:id="0"/>
      <w:bookmarkEnd w:id="1"/>
      <w:bookmarkEnd w:id="2"/>
      <w:r>
        <w:rPr>
          <w:rFonts w:hint="eastAsia" w:ascii="黑体" w:hAnsi="黑体" w:eastAsia="黑体" w:cs="仿宋_GB2312"/>
          <w:bCs/>
          <w:color w:val="auto"/>
          <w:sz w:val="32"/>
          <w:szCs w:val="32"/>
          <w:shd w:val="clear" w:color="auto" w:fill="FFFFFF"/>
        </w:rPr>
        <w:t>商务局</w:t>
      </w:r>
    </w:p>
    <w:p>
      <w:pPr>
        <w:keepNext/>
        <w:jc w:val="center"/>
        <w:rPr>
          <w:rFonts w:ascii="黑体" w:hAnsi="黑体" w:eastAsia="黑体" w:cs="仿宋_GB2312"/>
          <w:bCs/>
          <w:color w:val="auto"/>
          <w:sz w:val="32"/>
          <w:szCs w:val="32"/>
          <w:shd w:val="clear" w:color="auto" w:fill="FFFFFF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仿宋_GB2312"/>
          <w:bCs/>
          <w:color w:val="auto"/>
          <w:sz w:val="32"/>
          <w:szCs w:val="32"/>
          <w:shd w:val="clear" w:color="auto" w:fill="FFFFFF"/>
        </w:rPr>
        <w:t>2026年</w:t>
      </w:r>
      <w:r>
        <w:rPr>
          <w:rFonts w:hint="eastAsia" w:ascii="黑体" w:hAnsi="黑体" w:eastAsia="黑体" w:cs="仿宋_GB2312"/>
          <w:bCs/>
          <w:color w:val="auto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黑体" w:hAnsi="黑体" w:eastAsia="黑体" w:cs="仿宋_GB2312"/>
          <w:bCs/>
          <w:color w:val="auto"/>
          <w:sz w:val="32"/>
          <w:szCs w:val="32"/>
          <w:shd w:val="clear" w:color="auto" w:fill="FFFFFF"/>
        </w:rPr>
        <w:t>月</w:t>
      </w:r>
    </w:p>
    <w:p>
      <w:pPr>
        <w:keepNext/>
        <w:spacing w:beforeLines="50" w:afterLines="50" w:line="560" w:lineRule="exact"/>
        <w:jc w:val="center"/>
        <w:rPr>
          <w:rFonts w:ascii="黑体" w:hAnsi="黑体" w:eastAsia="黑体"/>
          <w:bCs/>
          <w:color w:val="auto"/>
          <w:sz w:val="32"/>
          <w:szCs w:val="36"/>
        </w:rPr>
      </w:pPr>
      <w:r>
        <w:rPr>
          <w:rFonts w:ascii="黑体" w:hAnsi="黑体" w:eastAsia="黑体"/>
          <w:bCs/>
          <w:color w:val="auto"/>
          <w:sz w:val="32"/>
          <w:szCs w:val="36"/>
        </w:rPr>
        <w:t>目</w:t>
      </w:r>
      <w:r>
        <w:rPr>
          <w:rFonts w:hint="eastAsia" w:ascii="黑体" w:hAnsi="黑体" w:eastAsia="黑体"/>
          <w:bCs/>
          <w:color w:val="auto"/>
          <w:sz w:val="32"/>
          <w:szCs w:val="36"/>
        </w:rPr>
        <w:t xml:space="preserve"> </w:t>
      </w:r>
      <w:r>
        <w:rPr>
          <w:rFonts w:ascii="黑体" w:hAnsi="黑体" w:eastAsia="黑体"/>
          <w:bCs/>
          <w:color w:val="auto"/>
          <w:sz w:val="32"/>
          <w:szCs w:val="36"/>
        </w:rPr>
        <w:t>录</w:t>
      </w:r>
    </w:p>
    <w:p>
      <w:pPr>
        <w:pStyle w:val="17"/>
        <w:tabs>
          <w:tab w:val="right" w:leader="dot" w:pos="8306"/>
          <w:tab w:val="clear" w:pos="8296"/>
        </w:tabs>
      </w:pPr>
      <w:r>
        <w:rPr>
          <w:b w:val="0"/>
          <w:bCs/>
          <w:color w:val="auto"/>
        </w:rPr>
        <w:fldChar w:fldCharType="begin"/>
      </w:r>
      <w:r>
        <w:rPr>
          <w:b w:val="0"/>
          <w:bCs/>
          <w:color w:val="auto"/>
        </w:rPr>
        <w:instrText xml:space="preserve"> TOC \o "1-3" \h \z \u </w:instrText>
      </w:r>
      <w:r>
        <w:rPr>
          <w:b w:val="0"/>
          <w:bCs/>
          <w:color w:val="auto"/>
        </w:rPr>
        <w:fldChar w:fldCharType="separate"/>
      </w:r>
      <w:r>
        <w:rPr>
          <w:bCs/>
          <w:color w:val="auto"/>
        </w:rPr>
        <w:fldChar w:fldCharType="begin"/>
      </w:r>
      <w:r>
        <w:rPr>
          <w:bCs/>
        </w:rPr>
        <w:instrText xml:space="preserve"> HYPERLINK \l _Toc27768 </w:instrText>
      </w:r>
      <w:r>
        <w:rPr>
          <w:bCs/>
        </w:rPr>
        <w:fldChar w:fldCharType="separate"/>
      </w:r>
      <w:r>
        <w:rPr>
          <w:rFonts w:hint="eastAsia" w:ascii="黑体" w:hAnsi="黑体" w:eastAsia="黑体"/>
          <w:kern w:val="0"/>
          <w:szCs w:val="32"/>
          <w:highlight w:val="none"/>
          <w:lang w:eastAsia="zh-CN"/>
        </w:rPr>
        <w:t>一、</w:t>
      </w:r>
      <w:r>
        <w:rPr>
          <w:rFonts w:hint="eastAsia" w:ascii="黑体" w:hAnsi="黑体" w:eastAsia="黑体"/>
          <w:kern w:val="0"/>
          <w:szCs w:val="32"/>
          <w:highlight w:val="none"/>
        </w:rPr>
        <w:t>“十五五”时期</w:t>
      </w:r>
      <w:r>
        <w:rPr>
          <w:rFonts w:hint="eastAsia" w:ascii="黑体" w:hAnsi="黑体" w:eastAsia="黑体"/>
          <w:kern w:val="0"/>
          <w:szCs w:val="32"/>
          <w:highlight w:val="none"/>
          <w:lang w:eastAsia="zh-CN"/>
        </w:rPr>
        <w:t>东城区</w:t>
      </w:r>
      <w:r>
        <w:rPr>
          <w:rFonts w:hint="eastAsia" w:ascii="黑体" w:hAnsi="黑体" w:eastAsia="黑体"/>
          <w:kern w:val="0"/>
          <w:szCs w:val="32"/>
          <w:highlight w:val="none"/>
        </w:rPr>
        <w:t>国际消费中心城市</w:t>
      </w:r>
      <w:r>
        <w:rPr>
          <w:rFonts w:hint="eastAsia" w:ascii="黑体" w:hAnsi="黑体" w:eastAsia="黑体"/>
          <w:kern w:val="0"/>
          <w:szCs w:val="32"/>
          <w:highlight w:val="none"/>
          <w:lang w:eastAsia="zh-CN"/>
        </w:rPr>
        <w:t>示范区</w:t>
      </w:r>
      <w:r>
        <w:rPr>
          <w:rFonts w:hint="eastAsia" w:ascii="黑体" w:hAnsi="黑体" w:eastAsia="黑体"/>
          <w:kern w:val="0"/>
          <w:szCs w:val="32"/>
          <w:highlight w:val="none"/>
        </w:rPr>
        <w:t>建设总体要求</w:t>
      </w:r>
      <w:r>
        <w:tab/>
      </w:r>
      <w:r>
        <w:fldChar w:fldCharType="begin"/>
      </w:r>
      <w:r>
        <w:instrText xml:space="preserve"> PAGEREF _Toc27768 \h </w:instrText>
      </w:r>
      <w:r>
        <w:fldChar w:fldCharType="separate"/>
      </w:r>
      <w:r>
        <w:t>1</w:t>
      </w:r>
      <w:r>
        <w:fldChar w:fldCharType="end"/>
      </w:r>
      <w:r>
        <w:rPr>
          <w:bCs/>
          <w:color w:val="auto"/>
        </w:rPr>
        <w:fldChar w:fldCharType="end"/>
      </w:r>
    </w:p>
    <w:p>
      <w:pPr>
        <w:pStyle w:val="21"/>
        <w:tabs>
          <w:tab w:val="right" w:leader="dot" w:pos="8306"/>
          <w:tab w:val="clear" w:pos="8296"/>
        </w:tabs>
      </w:pPr>
      <w:r>
        <w:rPr>
          <w:bCs/>
          <w:color w:val="auto"/>
        </w:rPr>
        <w:fldChar w:fldCharType="begin"/>
      </w:r>
      <w:r>
        <w:rPr>
          <w:bCs/>
        </w:rPr>
        <w:instrText xml:space="preserve"> HYPERLINK \l _Toc13744 </w:instrText>
      </w:r>
      <w:r>
        <w:rPr>
          <w:bCs/>
        </w:rPr>
        <w:fldChar w:fldCharType="separate"/>
      </w:r>
      <w:r>
        <w:rPr>
          <w:rFonts w:hint="eastAsia" w:eastAsia="楷体_GB2312"/>
          <w:szCs w:val="32"/>
        </w:rPr>
        <w:t>（</w:t>
      </w:r>
      <w:r>
        <w:rPr>
          <w:rFonts w:hint="eastAsia" w:eastAsia="楷体_GB2312"/>
          <w:szCs w:val="32"/>
          <w:lang w:eastAsia="zh-CN"/>
        </w:rPr>
        <w:t>一</w:t>
      </w:r>
      <w:r>
        <w:rPr>
          <w:rFonts w:hint="eastAsia" w:eastAsia="楷体_GB2312"/>
          <w:szCs w:val="32"/>
        </w:rPr>
        <w:t>）</w:t>
      </w:r>
      <w:r>
        <w:rPr>
          <w:rFonts w:hint="eastAsia" w:eastAsia="楷体_GB2312"/>
          <w:szCs w:val="32"/>
          <w:lang w:eastAsia="zh-CN"/>
        </w:rPr>
        <w:t>指导思想</w:t>
      </w:r>
      <w:r>
        <w:tab/>
      </w:r>
      <w:r>
        <w:fldChar w:fldCharType="begin"/>
      </w:r>
      <w:r>
        <w:instrText xml:space="preserve"> PAGEREF _Toc13744 \h </w:instrText>
      </w:r>
      <w:r>
        <w:fldChar w:fldCharType="separate"/>
      </w:r>
      <w:r>
        <w:t>1</w:t>
      </w:r>
      <w:r>
        <w:fldChar w:fldCharType="end"/>
      </w:r>
      <w:r>
        <w:rPr>
          <w:bCs/>
          <w:color w:val="auto"/>
        </w:rPr>
        <w:fldChar w:fldCharType="end"/>
      </w:r>
    </w:p>
    <w:p>
      <w:pPr>
        <w:pStyle w:val="21"/>
        <w:tabs>
          <w:tab w:val="right" w:leader="dot" w:pos="8306"/>
          <w:tab w:val="clear" w:pos="8296"/>
        </w:tabs>
      </w:pPr>
      <w:r>
        <w:rPr>
          <w:bCs/>
          <w:color w:val="auto"/>
        </w:rPr>
        <w:fldChar w:fldCharType="begin"/>
      </w:r>
      <w:r>
        <w:rPr>
          <w:bCs/>
        </w:rPr>
        <w:instrText xml:space="preserve"> HYPERLINK \l _Toc2305 </w:instrText>
      </w:r>
      <w:r>
        <w:rPr>
          <w:bCs/>
        </w:rPr>
        <w:fldChar w:fldCharType="separate"/>
      </w:r>
      <w:r>
        <w:rPr>
          <w:rFonts w:hint="eastAsia" w:ascii="楷体_GB2312" w:hAnsi="楷体_GB2312" w:eastAsia="楷体_GB2312" w:cs="楷体_GB2312"/>
          <w:szCs w:val="32"/>
          <w:lang w:eastAsia="zh-CN"/>
        </w:rPr>
        <w:t>（二）发展目标</w:t>
      </w:r>
      <w:r>
        <w:tab/>
      </w:r>
      <w:r>
        <w:fldChar w:fldCharType="begin"/>
      </w:r>
      <w:r>
        <w:instrText xml:space="preserve"> PAGEREF _Toc2305 \h </w:instrText>
      </w:r>
      <w:r>
        <w:fldChar w:fldCharType="separate"/>
      </w:r>
      <w:r>
        <w:t>1</w:t>
      </w:r>
      <w:r>
        <w:fldChar w:fldCharType="end"/>
      </w:r>
      <w:r>
        <w:rPr>
          <w:bCs/>
          <w:color w:val="auto"/>
        </w:rPr>
        <w:fldChar w:fldCharType="end"/>
      </w:r>
    </w:p>
    <w:p>
      <w:pPr>
        <w:pStyle w:val="17"/>
        <w:tabs>
          <w:tab w:val="right" w:leader="dot" w:pos="8306"/>
          <w:tab w:val="clear" w:pos="8296"/>
        </w:tabs>
      </w:pPr>
      <w:r>
        <w:rPr>
          <w:bCs/>
          <w:color w:val="auto"/>
        </w:rPr>
        <w:fldChar w:fldCharType="begin"/>
      </w:r>
      <w:r>
        <w:rPr>
          <w:bCs/>
        </w:rPr>
        <w:instrText xml:space="preserve"> HYPERLINK \l _Toc15121 </w:instrText>
      </w:r>
      <w:r>
        <w:rPr>
          <w:bCs/>
        </w:rPr>
        <w:fldChar w:fldCharType="separate"/>
      </w:r>
      <w:r>
        <w:rPr>
          <w:rFonts w:hint="eastAsia" w:eastAsia="黑体"/>
          <w:smallCaps/>
          <w:szCs w:val="32"/>
        </w:rPr>
        <w:t>二、</w:t>
      </w:r>
      <w:r>
        <w:rPr>
          <w:rFonts w:hint="eastAsia" w:eastAsia="黑体"/>
          <w:smallCaps/>
          <w:szCs w:val="32"/>
          <w:lang w:val="en-US" w:eastAsia="zh-CN"/>
        </w:rPr>
        <w:t>构建新场景，塑强全域多维</w:t>
      </w:r>
      <w:r>
        <w:rPr>
          <w:rFonts w:hint="eastAsia" w:eastAsia="黑体"/>
          <w:smallCaps/>
          <w:szCs w:val="32"/>
        </w:rPr>
        <w:t>消费协同格局</w:t>
      </w:r>
      <w:r>
        <w:tab/>
      </w:r>
      <w:r>
        <w:fldChar w:fldCharType="begin"/>
      </w:r>
      <w:r>
        <w:instrText xml:space="preserve"> PAGEREF _Toc15121 \h </w:instrText>
      </w:r>
      <w:r>
        <w:fldChar w:fldCharType="separate"/>
      </w:r>
      <w:r>
        <w:t>2</w:t>
      </w:r>
      <w:r>
        <w:fldChar w:fldCharType="end"/>
      </w:r>
      <w:r>
        <w:rPr>
          <w:bCs/>
          <w:color w:val="auto"/>
        </w:rPr>
        <w:fldChar w:fldCharType="end"/>
      </w:r>
    </w:p>
    <w:p>
      <w:pPr>
        <w:pStyle w:val="21"/>
        <w:tabs>
          <w:tab w:val="right" w:leader="dot" w:pos="8306"/>
          <w:tab w:val="clear" w:pos="8296"/>
        </w:tabs>
      </w:pPr>
      <w:r>
        <w:rPr>
          <w:bCs/>
          <w:color w:val="auto"/>
        </w:rPr>
        <w:fldChar w:fldCharType="begin"/>
      </w:r>
      <w:r>
        <w:rPr>
          <w:bCs/>
        </w:rPr>
        <w:instrText xml:space="preserve"> HYPERLINK \l _Toc13831 </w:instrText>
      </w:r>
      <w:r>
        <w:rPr>
          <w:bCs/>
        </w:rPr>
        <w:fldChar w:fldCharType="separate"/>
      </w:r>
      <w:r>
        <w:rPr>
          <w:rFonts w:hint="eastAsia" w:eastAsia="楷体_GB2312"/>
          <w:szCs w:val="32"/>
        </w:rPr>
        <w:t>（一）</w:t>
      </w:r>
      <w:r>
        <w:rPr>
          <w:rFonts w:eastAsia="楷体_GB2312"/>
          <w:szCs w:val="32"/>
        </w:rPr>
        <w:t>构筑业态创新活跃的商圈消费场景</w:t>
      </w:r>
      <w:r>
        <w:tab/>
      </w:r>
      <w:r>
        <w:fldChar w:fldCharType="begin"/>
      </w:r>
      <w:r>
        <w:instrText xml:space="preserve"> PAGEREF _Toc13831 \h </w:instrText>
      </w:r>
      <w:r>
        <w:fldChar w:fldCharType="separate"/>
      </w:r>
      <w:r>
        <w:t>2</w:t>
      </w:r>
      <w:r>
        <w:fldChar w:fldCharType="end"/>
      </w:r>
      <w:r>
        <w:rPr>
          <w:bCs/>
          <w:color w:val="auto"/>
        </w:rPr>
        <w:fldChar w:fldCharType="end"/>
      </w:r>
    </w:p>
    <w:p>
      <w:pPr>
        <w:pStyle w:val="21"/>
        <w:tabs>
          <w:tab w:val="right" w:leader="dot" w:pos="8306"/>
          <w:tab w:val="clear" w:pos="8296"/>
        </w:tabs>
      </w:pPr>
      <w:r>
        <w:rPr>
          <w:bCs/>
          <w:color w:val="auto"/>
        </w:rPr>
        <w:fldChar w:fldCharType="begin"/>
      </w:r>
      <w:r>
        <w:rPr>
          <w:bCs/>
        </w:rPr>
        <w:instrText xml:space="preserve"> HYPERLINK \l _Toc4646 </w:instrText>
      </w:r>
      <w:r>
        <w:rPr>
          <w:bCs/>
        </w:rPr>
        <w:fldChar w:fldCharType="separate"/>
      </w:r>
      <w:r>
        <w:rPr>
          <w:rFonts w:hint="eastAsia" w:eastAsia="楷体_GB2312"/>
          <w:szCs w:val="32"/>
        </w:rPr>
        <w:t>（二）</w:t>
      </w:r>
      <w:r>
        <w:rPr>
          <w:rFonts w:eastAsia="楷体_GB2312"/>
          <w:szCs w:val="32"/>
        </w:rPr>
        <w:t>深耕文化引领融合的街区消费场景</w:t>
      </w:r>
      <w:r>
        <w:tab/>
      </w:r>
      <w:r>
        <w:fldChar w:fldCharType="begin"/>
      </w:r>
      <w:r>
        <w:instrText xml:space="preserve"> PAGEREF _Toc4646 \h </w:instrText>
      </w:r>
      <w:r>
        <w:fldChar w:fldCharType="separate"/>
      </w:r>
      <w:r>
        <w:t>3</w:t>
      </w:r>
      <w:r>
        <w:fldChar w:fldCharType="end"/>
      </w:r>
      <w:r>
        <w:rPr>
          <w:bCs/>
          <w:color w:val="auto"/>
        </w:rPr>
        <w:fldChar w:fldCharType="end"/>
      </w:r>
    </w:p>
    <w:p>
      <w:pPr>
        <w:pStyle w:val="21"/>
        <w:tabs>
          <w:tab w:val="right" w:leader="dot" w:pos="8306"/>
          <w:tab w:val="clear" w:pos="8296"/>
        </w:tabs>
      </w:pPr>
      <w:r>
        <w:rPr>
          <w:bCs/>
          <w:color w:val="auto"/>
        </w:rPr>
        <w:fldChar w:fldCharType="begin"/>
      </w:r>
      <w:r>
        <w:rPr>
          <w:bCs/>
        </w:rPr>
        <w:instrText xml:space="preserve"> HYPERLINK \l _Toc21880 </w:instrText>
      </w:r>
      <w:r>
        <w:rPr>
          <w:bCs/>
        </w:rPr>
        <w:fldChar w:fldCharType="separate"/>
      </w:r>
      <w:r>
        <w:rPr>
          <w:rFonts w:hint="eastAsia" w:eastAsia="楷体_GB2312"/>
          <w:szCs w:val="32"/>
        </w:rPr>
        <w:t>（三）</w:t>
      </w:r>
      <w:r>
        <w:rPr>
          <w:rFonts w:eastAsia="楷体_GB2312"/>
          <w:szCs w:val="32"/>
        </w:rPr>
        <w:t>培育戏城交融共生的演艺消费场景</w:t>
      </w:r>
      <w:r>
        <w:tab/>
      </w:r>
      <w:r>
        <w:fldChar w:fldCharType="begin"/>
      </w:r>
      <w:r>
        <w:instrText xml:space="preserve"> PAGEREF _Toc21880 \h </w:instrText>
      </w:r>
      <w:r>
        <w:fldChar w:fldCharType="separate"/>
      </w:r>
      <w:r>
        <w:t>4</w:t>
      </w:r>
      <w:r>
        <w:fldChar w:fldCharType="end"/>
      </w:r>
      <w:r>
        <w:rPr>
          <w:bCs/>
          <w:color w:val="auto"/>
        </w:rPr>
        <w:fldChar w:fldCharType="end"/>
      </w:r>
    </w:p>
    <w:p>
      <w:pPr>
        <w:pStyle w:val="21"/>
        <w:tabs>
          <w:tab w:val="right" w:leader="dot" w:pos="8306"/>
          <w:tab w:val="clear" w:pos="8296"/>
        </w:tabs>
      </w:pPr>
      <w:r>
        <w:rPr>
          <w:bCs/>
          <w:color w:val="auto"/>
        </w:rPr>
        <w:fldChar w:fldCharType="begin"/>
      </w:r>
      <w:r>
        <w:rPr>
          <w:bCs/>
        </w:rPr>
        <w:instrText xml:space="preserve"> HYPERLINK \l _Toc2145 </w:instrText>
      </w:r>
      <w:r>
        <w:rPr>
          <w:bCs/>
        </w:rPr>
        <w:fldChar w:fldCharType="separate"/>
      </w:r>
      <w:r>
        <w:rPr>
          <w:rFonts w:hint="eastAsia" w:eastAsia="楷体_GB2312"/>
          <w:szCs w:val="32"/>
        </w:rPr>
        <w:t>（四）</w:t>
      </w:r>
      <w:r>
        <w:rPr>
          <w:rFonts w:eastAsia="楷体_GB2312"/>
          <w:szCs w:val="32"/>
        </w:rPr>
        <w:t>打通“在场”与“在线”的数字消费场景</w:t>
      </w:r>
      <w:r>
        <w:tab/>
      </w:r>
      <w:r>
        <w:fldChar w:fldCharType="begin"/>
      </w:r>
      <w:r>
        <w:instrText xml:space="preserve"> PAGEREF _Toc2145 \h </w:instrText>
      </w:r>
      <w:r>
        <w:fldChar w:fldCharType="separate"/>
      </w:r>
      <w:r>
        <w:t>4</w:t>
      </w:r>
      <w:r>
        <w:fldChar w:fldCharType="end"/>
      </w:r>
      <w:r>
        <w:rPr>
          <w:bCs/>
          <w:color w:val="auto"/>
        </w:rPr>
        <w:fldChar w:fldCharType="end"/>
      </w:r>
    </w:p>
    <w:p>
      <w:pPr>
        <w:pStyle w:val="21"/>
        <w:tabs>
          <w:tab w:val="right" w:leader="dot" w:pos="8306"/>
          <w:tab w:val="clear" w:pos="8296"/>
        </w:tabs>
      </w:pPr>
      <w:r>
        <w:rPr>
          <w:bCs/>
          <w:color w:val="auto"/>
        </w:rPr>
        <w:fldChar w:fldCharType="begin"/>
      </w:r>
      <w:r>
        <w:rPr>
          <w:bCs/>
        </w:rPr>
        <w:instrText xml:space="preserve"> HYPERLINK \l _Toc11577 </w:instrText>
      </w:r>
      <w:r>
        <w:rPr>
          <w:bCs/>
        </w:rPr>
        <w:fldChar w:fldCharType="separate"/>
      </w:r>
      <w:r>
        <w:rPr>
          <w:rFonts w:hint="eastAsia" w:eastAsia="楷体_GB2312"/>
          <w:szCs w:val="32"/>
        </w:rPr>
        <w:t>（五）</w:t>
      </w:r>
      <w:r>
        <w:rPr>
          <w:rFonts w:eastAsia="楷体_GB2312"/>
          <w:szCs w:val="32"/>
        </w:rPr>
        <w:t>擦亮烟火艺境兼具的夜间消费场景</w:t>
      </w:r>
      <w:r>
        <w:tab/>
      </w:r>
      <w:r>
        <w:fldChar w:fldCharType="begin"/>
      </w:r>
      <w:r>
        <w:instrText xml:space="preserve"> PAGEREF _Toc11577 \h </w:instrText>
      </w:r>
      <w:r>
        <w:fldChar w:fldCharType="separate"/>
      </w:r>
      <w:r>
        <w:t>4</w:t>
      </w:r>
      <w:r>
        <w:fldChar w:fldCharType="end"/>
      </w:r>
      <w:r>
        <w:rPr>
          <w:bCs/>
          <w:color w:val="auto"/>
        </w:rPr>
        <w:fldChar w:fldCharType="end"/>
      </w:r>
    </w:p>
    <w:p>
      <w:pPr>
        <w:pStyle w:val="21"/>
        <w:tabs>
          <w:tab w:val="right" w:leader="dot" w:pos="8306"/>
          <w:tab w:val="clear" w:pos="8296"/>
        </w:tabs>
      </w:pPr>
      <w:r>
        <w:rPr>
          <w:bCs/>
          <w:color w:val="auto"/>
        </w:rPr>
        <w:fldChar w:fldCharType="begin"/>
      </w:r>
      <w:r>
        <w:rPr>
          <w:bCs/>
        </w:rPr>
        <w:instrText xml:space="preserve"> HYPERLINK \l _Toc10602 </w:instrText>
      </w:r>
      <w:r>
        <w:rPr>
          <w:bCs/>
        </w:rPr>
        <w:fldChar w:fldCharType="separate"/>
      </w:r>
      <w:r>
        <w:rPr>
          <w:rFonts w:hint="eastAsia" w:eastAsia="楷体_GB2312"/>
          <w:szCs w:val="32"/>
        </w:rPr>
        <w:t>（六）</w:t>
      </w:r>
      <w:r>
        <w:rPr>
          <w:rFonts w:eastAsia="楷体_GB2312"/>
          <w:szCs w:val="32"/>
        </w:rPr>
        <w:t>丰富特色业态鲜明的园区消费场景</w:t>
      </w:r>
      <w:r>
        <w:tab/>
      </w:r>
      <w:r>
        <w:fldChar w:fldCharType="begin"/>
      </w:r>
      <w:r>
        <w:instrText xml:space="preserve"> PAGEREF _Toc10602 \h </w:instrText>
      </w:r>
      <w:r>
        <w:fldChar w:fldCharType="separate"/>
      </w:r>
      <w:r>
        <w:t>5</w:t>
      </w:r>
      <w:r>
        <w:fldChar w:fldCharType="end"/>
      </w:r>
      <w:r>
        <w:rPr>
          <w:bCs/>
          <w:color w:val="auto"/>
        </w:rPr>
        <w:fldChar w:fldCharType="end"/>
      </w:r>
    </w:p>
    <w:p>
      <w:pPr>
        <w:pStyle w:val="21"/>
        <w:tabs>
          <w:tab w:val="right" w:leader="dot" w:pos="8306"/>
          <w:tab w:val="clear" w:pos="8296"/>
        </w:tabs>
      </w:pPr>
      <w:r>
        <w:rPr>
          <w:bCs/>
          <w:color w:val="auto"/>
        </w:rPr>
        <w:fldChar w:fldCharType="begin"/>
      </w:r>
      <w:r>
        <w:rPr>
          <w:bCs/>
        </w:rPr>
        <w:instrText xml:space="preserve"> HYPERLINK \l _Toc19034 </w:instrText>
      </w:r>
      <w:r>
        <w:rPr>
          <w:bCs/>
        </w:rPr>
        <w:fldChar w:fldCharType="separate"/>
      </w:r>
      <w:r>
        <w:rPr>
          <w:rFonts w:hint="eastAsia" w:eastAsia="楷体_GB2312"/>
          <w:szCs w:val="32"/>
        </w:rPr>
        <w:t>（七）</w:t>
      </w:r>
      <w:r>
        <w:rPr>
          <w:rFonts w:eastAsia="楷体_GB2312"/>
          <w:szCs w:val="32"/>
        </w:rPr>
        <w:t>拓展</w:t>
      </w:r>
      <w:r>
        <w:rPr>
          <w:rFonts w:hint="eastAsia" w:eastAsia="楷体_GB2312"/>
          <w:szCs w:val="32"/>
          <w:lang w:val="en-US" w:eastAsia="zh-CN"/>
        </w:rPr>
        <w:t>可游可赏可品</w:t>
      </w:r>
      <w:r>
        <w:rPr>
          <w:rFonts w:eastAsia="楷体_GB2312"/>
          <w:szCs w:val="32"/>
        </w:rPr>
        <w:t>的公园消费场景</w:t>
      </w:r>
      <w:r>
        <w:tab/>
      </w:r>
      <w:r>
        <w:fldChar w:fldCharType="begin"/>
      </w:r>
      <w:r>
        <w:instrText xml:space="preserve"> PAGEREF _Toc19034 \h </w:instrText>
      </w:r>
      <w:r>
        <w:fldChar w:fldCharType="separate"/>
      </w:r>
      <w:r>
        <w:t>5</w:t>
      </w:r>
      <w:r>
        <w:fldChar w:fldCharType="end"/>
      </w:r>
      <w:r>
        <w:rPr>
          <w:bCs/>
          <w:color w:val="auto"/>
        </w:rPr>
        <w:fldChar w:fldCharType="end"/>
      </w:r>
    </w:p>
    <w:p>
      <w:pPr>
        <w:pStyle w:val="21"/>
        <w:tabs>
          <w:tab w:val="right" w:leader="dot" w:pos="8306"/>
          <w:tab w:val="clear" w:pos="8296"/>
        </w:tabs>
      </w:pPr>
      <w:r>
        <w:rPr>
          <w:bCs/>
          <w:color w:val="auto"/>
        </w:rPr>
        <w:fldChar w:fldCharType="begin"/>
      </w:r>
      <w:r>
        <w:rPr>
          <w:bCs/>
        </w:rPr>
        <w:instrText xml:space="preserve"> HYPERLINK \l _Toc26098 </w:instrText>
      </w:r>
      <w:r>
        <w:rPr>
          <w:bCs/>
        </w:rPr>
        <w:fldChar w:fldCharType="separate"/>
      </w:r>
      <w:r>
        <w:rPr>
          <w:rFonts w:hint="eastAsia" w:eastAsia="楷体_GB2312"/>
          <w:szCs w:val="32"/>
        </w:rPr>
        <w:t>（八）</w:t>
      </w:r>
      <w:r>
        <w:rPr>
          <w:rFonts w:eastAsia="楷体_GB2312"/>
          <w:szCs w:val="32"/>
        </w:rPr>
        <w:t>营造水岸魅力彰显的亲水消费场景</w:t>
      </w:r>
      <w:r>
        <w:tab/>
      </w:r>
      <w:r>
        <w:fldChar w:fldCharType="begin"/>
      </w:r>
      <w:r>
        <w:instrText xml:space="preserve"> PAGEREF _Toc26098 \h </w:instrText>
      </w:r>
      <w:r>
        <w:fldChar w:fldCharType="separate"/>
      </w:r>
      <w:r>
        <w:t>5</w:t>
      </w:r>
      <w:r>
        <w:fldChar w:fldCharType="end"/>
      </w:r>
      <w:r>
        <w:rPr>
          <w:bCs/>
          <w:color w:val="auto"/>
        </w:rPr>
        <w:fldChar w:fldCharType="end"/>
      </w:r>
    </w:p>
    <w:p>
      <w:pPr>
        <w:pStyle w:val="17"/>
        <w:tabs>
          <w:tab w:val="right" w:leader="dot" w:pos="8306"/>
          <w:tab w:val="clear" w:pos="8296"/>
        </w:tabs>
      </w:pPr>
      <w:r>
        <w:rPr>
          <w:bCs/>
          <w:color w:val="auto"/>
        </w:rPr>
        <w:fldChar w:fldCharType="begin"/>
      </w:r>
      <w:r>
        <w:rPr>
          <w:bCs/>
        </w:rPr>
        <w:instrText xml:space="preserve"> HYPERLINK \l _Toc6947 </w:instrText>
      </w:r>
      <w:r>
        <w:rPr>
          <w:bCs/>
        </w:rPr>
        <w:fldChar w:fldCharType="separate"/>
      </w:r>
      <w:r>
        <w:rPr>
          <w:rFonts w:hint="eastAsia" w:eastAsia="黑体"/>
          <w:smallCaps/>
          <w:szCs w:val="32"/>
        </w:rPr>
        <w:t>三</w:t>
      </w:r>
      <w:r>
        <w:rPr>
          <w:rFonts w:eastAsia="黑体"/>
          <w:smallCaps/>
          <w:szCs w:val="32"/>
        </w:rPr>
        <w:t>、</w:t>
      </w:r>
      <w:r>
        <w:rPr>
          <w:rFonts w:hint="eastAsia" w:eastAsia="黑体"/>
          <w:smallCaps/>
          <w:szCs w:val="32"/>
          <w:lang w:val="en-US" w:eastAsia="zh-CN"/>
        </w:rPr>
        <w:t>激发新业态</w:t>
      </w:r>
      <w:r>
        <w:rPr>
          <w:rFonts w:hint="eastAsia" w:eastAsia="黑体"/>
          <w:smallCaps/>
          <w:szCs w:val="32"/>
        </w:rPr>
        <w:t>，打造高能级主题消费矩阵</w:t>
      </w:r>
      <w:r>
        <w:tab/>
      </w:r>
      <w:r>
        <w:fldChar w:fldCharType="begin"/>
      </w:r>
      <w:r>
        <w:instrText xml:space="preserve"> PAGEREF _Toc6947 \h </w:instrText>
      </w:r>
      <w:r>
        <w:fldChar w:fldCharType="separate"/>
      </w:r>
      <w:r>
        <w:t>5</w:t>
      </w:r>
      <w:r>
        <w:fldChar w:fldCharType="end"/>
      </w:r>
      <w:r>
        <w:rPr>
          <w:bCs/>
          <w:color w:val="auto"/>
        </w:rPr>
        <w:fldChar w:fldCharType="end"/>
      </w:r>
    </w:p>
    <w:p>
      <w:pPr>
        <w:pStyle w:val="21"/>
        <w:tabs>
          <w:tab w:val="right" w:leader="dot" w:pos="8306"/>
          <w:tab w:val="clear" w:pos="8296"/>
        </w:tabs>
      </w:pPr>
      <w:r>
        <w:rPr>
          <w:bCs/>
          <w:color w:val="auto"/>
        </w:rPr>
        <w:fldChar w:fldCharType="begin"/>
      </w:r>
      <w:r>
        <w:rPr>
          <w:bCs/>
        </w:rPr>
        <w:instrText xml:space="preserve"> HYPERLINK \l _Toc6672 </w:instrText>
      </w:r>
      <w:r>
        <w:rPr>
          <w:bCs/>
        </w:rPr>
        <w:fldChar w:fldCharType="separate"/>
      </w:r>
      <w:r>
        <w:rPr>
          <w:rFonts w:eastAsia="楷体_GB2312"/>
          <w:szCs w:val="32"/>
        </w:rPr>
        <w:t>（一）</w:t>
      </w:r>
      <w:r>
        <w:rPr>
          <w:rFonts w:hint="eastAsia" w:eastAsia="楷体_GB2312"/>
          <w:szCs w:val="32"/>
        </w:rPr>
        <w:t>壮大时尚消费规模</w:t>
      </w:r>
      <w:r>
        <w:tab/>
      </w:r>
      <w:r>
        <w:fldChar w:fldCharType="begin"/>
      </w:r>
      <w:r>
        <w:instrText xml:space="preserve"> PAGEREF _Toc6672 \h </w:instrText>
      </w:r>
      <w:r>
        <w:fldChar w:fldCharType="separate"/>
      </w:r>
      <w:r>
        <w:t>6</w:t>
      </w:r>
      <w:r>
        <w:fldChar w:fldCharType="end"/>
      </w:r>
      <w:r>
        <w:rPr>
          <w:bCs/>
          <w:color w:val="auto"/>
        </w:rPr>
        <w:fldChar w:fldCharType="end"/>
      </w:r>
    </w:p>
    <w:p>
      <w:pPr>
        <w:pStyle w:val="21"/>
        <w:tabs>
          <w:tab w:val="right" w:leader="dot" w:pos="8306"/>
          <w:tab w:val="clear" w:pos="8296"/>
        </w:tabs>
      </w:pPr>
      <w:r>
        <w:rPr>
          <w:bCs/>
          <w:color w:val="auto"/>
        </w:rPr>
        <w:fldChar w:fldCharType="begin"/>
      </w:r>
      <w:r>
        <w:rPr>
          <w:bCs/>
        </w:rPr>
        <w:instrText xml:space="preserve"> HYPERLINK \l _Toc24187 </w:instrText>
      </w:r>
      <w:r>
        <w:rPr>
          <w:bCs/>
        </w:rPr>
        <w:fldChar w:fldCharType="separate"/>
      </w:r>
      <w:r>
        <w:rPr>
          <w:rFonts w:eastAsia="楷体_GB2312"/>
          <w:szCs w:val="32"/>
        </w:rPr>
        <w:t>（二）</w:t>
      </w:r>
      <w:r>
        <w:rPr>
          <w:rFonts w:hint="eastAsia" w:eastAsia="楷体_GB2312"/>
          <w:szCs w:val="32"/>
          <w:lang w:val="en-US" w:eastAsia="zh-CN"/>
        </w:rPr>
        <w:t>引领</w:t>
      </w:r>
      <w:r>
        <w:rPr>
          <w:rFonts w:eastAsia="楷体_GB2312"/>
          <w:szCs w:val="32"/>
        </w:rPr>
        <w:t>国潮消费</w:t>
      </w:r>
      <w:r>
        <w:rPr>
          <w:rFonts w:hint="eastAsia" w:eastAsia="楷体_GB2312"/>
          <w:szCs w:val="32"/>
          <w:lang w:val="en-US" w:eastAsia="zh-CN"/>
        </w:rPr>
        <w:t>热</w:t>
      </w:r>
      <w:r>
        <w:rPr>
          <w:rFonts w:eastAsia="楷体_GB2312"/>
          <w:szCs w:val="32"/>
        </w:rPr>
        <w:t>潮</w:t>
      </w:r>
      <w:r>
        <w:tab/>
      </w:r>
      <w:r>
        <w:fldChar w:fldCharType="begin"/>
      </w:r>
      <w:r>
        <w:instrText xml:space="preserve"> PAGEREF _Toc24187 \h </w:instrText>
      </w:r>
      <w:r>
        <w:fldChar w:fldCharType="separate"/>
      </w:r>
      <w:r>
        <w:t>6</w:t>
      </w:r>
      <w:r>
        <w:fldChar w:fldCharType="end"/>
      </w:r>
      <w:r>
        <w:rPr>
          <w:bCs/>
          <w:color w:val="auto"/>
        </w:rPr>
        <w:fldChar w:fldCharType="end"/>
      </w:r>
    </w:p>
    <w:p>
      <w:pPr>
        <w:pStyle w:val="21"/>
        <w:tabs>
          <w:tab w:val="right" w:leader="dot" w:pos="8306"/>
          <w:tab w:val="clear" w:pos="8296"/>
        </w:tabs>
      </w:pPr>
      <w:r>
        <w:rPr>
          <w:bCs/>
          <w:color w:val="auto"/>
        </w:rPr>
        <w:fldChar w:fldCharType="begin"/>
      </w:r>
      <w:r>
        <w:rPr>
          <w:bCs/>
        </w:rPr>
        <w:instrText xml:space="preserve"> HYPERLINK \l _Toc14228 </w:instrText>
      </w:r>
      <w:r>
        <w:rPr>
          <w:bCs/>
        </w:rPr>
        <w:fldChar w:fldCharType="separate"/>
      </w:r>
      <w:r>
        <w:rPr>
          <w:rFonts w:eastAsia="楷体_GB2312"/>
          <w:szCs w:val="32"/>
        </w:rPr>
        <w:t>（三）</w:t>
      </w:r>
      <w:r>
        <w:rPr>
          <w:rFonts w:hint="eastAsia" w:eastAsia="楷体_GB2312"/>
          <w:szCs w:val="32"/>
          <w:lang w:val="en-US" w:eastAsia="zh-CN"/>
        </w:rPr>
        <w:t>释放</w:t>
      </w:r>
      <w:r>
        <w:rPr>
          <w:rFonts w:eastAsia="楷体_GB2312"/>
          <w:szCs w:val="32"/>
        </w:rPr>
        <w:t>文旅消费活力</w:t>
      </w:r>
      <w:r>
        <w:tab/>
      </w:r>
      <w:r>
        <w:fldChar w:fldCharType="begin"/>
      </w:r>
      <w:r>
        <w:instrText xml:space="preserve"> PAGEREF _Toc14228 \h </w:instrText>
      </w:r>
      <w:r>
        <w:fldChar w:fldCharType="separate"/>
      </w:r>
      <w:r>
        <w:t>7</w:t>
      </w:r>
      <w:r>
        <w:fldChar w:fldCharType="end"/>
      </w:r>
      <w:r>
        <w:rPr>
          <w:bCs/>
          <w:color w:val="auto"/>
        </w:rPr>
        <w:fldChar w:fldCharType="end"/>
      </w:r>
    </w:p>
    <w:p>
      <w:pPr>
        <w:pStyle w:val="21"/>
        <w:tabs>
          <w:tab w:val="right" w:leader="dot" w:pos="8306"/>
          <w:tab w:val="clear" w:pos="8296"/>
        </w:tabs>
      </w:pPr>
      <w:r>
        <w:rPr>
          <w:bCs/>
          <w:color w:val="auto"/>
        </w:rPr>
        <w:fldChar w:fldCharType="begin"/>
      </w:r>
      <w:r>
        <w:rPr>
          <w:bCs/>
        </w:rPr>
        <w:instrText xml:space="preserve"> HYPERLINK \l _Toc15210 </w:instrText>
      </w:r>
      <w:r>
        <w:rPr>
          <w:bCs/>
        </w:rPr>
        <w:fldChar w:fldCharType="separate"/>
      </w:r>
      <w:r>
        <w:rPr>
          <w:rFonts w:eastAsia="楷体_GB2312"/>
          <w:szCs w:val="32"/>
        </w:rPr>
        <w:t>（四）打响美食消费品牌</w:t>
      </w:r>
      <w:r>
        <w:tab/>
      </w:r>
      <w:r>
        <w:fldChar w:fldCharType="begin"/>
      </w:r>
      <w:r>
        <w:instrText xml:space="preserve"> PAGEREF _Toc15210 \h </w:instrText>
      </w:r>
      <w:r>
        <w:fldChar w:fldCharType="separate"/>
      </w:r>
      <w:r>
        <w:t>8</w:t>
      </w:r>
      <w:r>
        <w:fldChar w:fldCharType="end"/>
      </w:r>
      <w:r>
        <w:rPr>
          <w:bCs/>
          <w:color w:val="auto"/>
        </w:rPr>
        <w:fldChar w:fldCharType="end"/>
      </w:r>
    </w:p>
    <w:p>
      <w:pPr>
        <w:pStyle w:val="21"/>
        <w:tabs>
          <w:tab w:val="right" w:leader="dot" w:pos="8306"/>
          <w:tab w:val="clear" w:pos="8296"/>
        </w:tabs>
      </w:pPr>
      <w:r>
        <w:rPr>
          <w:bCs/>
          <w:color w:val="auto"/>
        </w:rPr>
        <w:fldChar w:fldCharType="begin"/>
      </w:r>
      <w:r>
        <w:rPr>
          <w:bCs/>
        </w:rPr>
        <w:instrText xml:space="preserve"> HYPERLINK \l _Toc15354 </w:instrText>
      </w:r>
      <w:r>
        <w:rPr>
          <w:bCs/>
        </w:rPr>
        <w:fldChar w:fldCharType="separate"/>
      </w:r>
      <w:r>
        <w:rPr>
          <w:rFonts w:eastAsia="楷体_GB2312"/>
          <w:szCs w:val="32"/>
        </w:rPr>
        <w:t>（五）提升健康消费能级</w:t>
      </w:r>
      <w:r>
        <w:tab/>
      </w:r>
      <w:r>
        <w:fldChar w:fldCharType="begin"/>
      </w:r>
      <w:r>
        <w:instrText xml:space="preserve"> PAGEREF _Toc15354 \h </w:instrText>
      </w:r>
      <w:r>
        <w:fldChar w:fldCharType="separate"/>
      </w:r>
      <w:r>
        <w:t>8</w:t>
      </w:r>
      <w:r>
        <w:fldChar w:fldCharType="end"/>
      </w:r>
      <w:r>
        <w:rPr>
          <w:bCs/>
          <w:color w:val="auto"/>
        </w:rPr>
        <w:fldChar w:fldCharType="end"/>
      </w:r>
    </w:p>
    <w:p>
      <w:pPr>
        <w:pStyle w:val="17"/>
        <w:tabs>
          <w:tab w:val="right" w:leader="dot" w:pos="8306"/>
          <w:tab w:val="clear" w:pos="8296"/>
        </w:tabs>
      </w:pPr>
      <w:r>
        <w:rPr>
          <w:bCs/>
          <w:color w:val="auto"/>
        </w:rPr>
        <w:fldChar w:fldCharType="begin"/>
      </w:r>
      <w:r>
        <w:rPr>
          <w:bCs/>
        </w:rPr>
        <w:instrText xml:space="preserve"> HYPERLINK \l _Toc10693 </w:instrText>
      </w:r>
      <w:r>
        <w:rPr>
          <w:bCs/>
        </w:rPr>
        <w:fldChar w:fldCharType="separate"/>
      </w:r>
      <w:r>
        <w:rPr>
          <w:rFonts w:hint="eastAsia" w:eastAsia="黑体"/>
          <w:smallCaps/>
          <w:szCs w:val="32"/>
        </w:rPr>
        <w:t>四、</w:t>
      </w:r>
      <w:r>
        <w:rPr>
          <w:rFonts w:hint="eastAsia" w:eastAsia="黑体"/>
          <w:smallCaps/>
          <w:szCs w:val="32"/>
          <w:lang w:val="en-US" w:eastAsia="zh-CN"/>
        </w:rPr>
        <w:t>催生新模式</w:t>
      </w:r>
      <w:r>
        <w:rPr>
          <w:rFonts w:hint="eastAsia" w:eastAsia="黑体"/>
          <w:smallCaps/>
          <w:szCs w:val="32"/>
        </w:rPr>
        <w:t>，扩容高品质特色消费供给</w:t>
      </w:r>
      <w:r>
        <w:tab/>
      </w:r>
      <w:r>
        <w:fldChar w:fldCharType="begin"/>
      </w:r>
      <w:r>
        <w:instrText xml:space="preserve"> PAGEREF _Toc10693 \h </w:instrText>
      </w:r>
      <w:r>
        <w:fldChar w:fldCharType="separate"/>
      </w:r>
      <w:r>
        <w:t>9</w:t>
      </w:r>
      <w:r>
        <w:fldChar w:fldCharType="end"/>
      </w:r>
      <w:r>
        <w:rPr>
          <w:bCs/>
          <w:color w:val="auto"/>
        </w:rPr>
        <w:fldChar w:fldCharType="end"/>
      </w:r>
    </w:p>
    <w:p>
      <w:pPr>
        <w:pStyle w:val="21"/>
        <w:tabs>
          <w:tab w:val="right" w:leader="dot" w:pos="8306"/>
          <w:tab w:val="clear" w:pos="8296"/>
        </w:tabs>
      </w:pPr>
      <w:r>
        <w:rPr>
          <w:bCs/>
          <w:color w:val="auto"/>
        </w:rPr>
        <w:fldChar w:fldCharType="begin"/>
      </w:r>
      <w:r>
        <w:rPr>
          <w:bCs/>
        </w:rPr>
        <w:instrText xml:space="preserve"> HYPERLINK \l _Toc5854 </w:instrText>
      </w:r>
      <w:r>
        <w:rPr>
          <w:bCs/>
        </w:rPr>
        <w:fldChar w:fldCharType="separate"/>
      </w:r>
      <w:r>
        <w:rPr>
          <w:rFonts w:hint="eastAsia" w:eastAsia="楷体_GB2312"/>
          <w:szCs w:val="32"/>
        </w:rPr>
        <w:t>（一）培育新型数字消费生态</w:t>
      </w:r>
      <w:r>
        <w:tab/>
      </w:r>
      <w:r>
        <w:fldChar w:fldCharType="begin"/>
      </w:r>
      <w:r>
        <w:instrText xml:space="preserve"> PAGEREF _Toc5854 \h </w:instrText>
      </w:r>
      <w:r>
        <w:fldChar w:fldCharType="separate"/>
      </w:r>
      <w:r>
        <w:t>9</w:t>
      </w:r>
      <w:r>
        <w:fldChar w:fldCharType="end"/>
      </w:r>
      <w:r>
        <w:rPr>
          <w:bCs/>
          <w:color w:val="auto"/>
        </w:rPr>
        <w:fldChar w:fldCharType="end"/>
      </w:r>
    </w:p>
    <w:p>
      <w:pPr>
        <w:pStyle w:val="21"/>
        <w:tabs>
          <w:tab w:val="right" w:leader="dot" w:pos="8306"/>
          <w:tab w:val="clear" w:pos="8296"/>
        </w:tabs>
      </w:pPr>
      <w:r>
        <w:rPr>
          <w:bCs/>
          <w:color w:val="auto"/>
        </w:rPr>
        <w:fldChar w:fldCharType="begin"/>
      </w:r>
      <w:r>
        <w:rPr>
          <w:bCs/>
        </w:rPr>
        <w:instrText xml:space="preserve"> HYPERLINK \l _Toc23893 </w:instrText>
      </w:r>
      <w:r>
        <w:rPr>
          <w:bCs/>
        </w:rPr>
        <w:fldChar w:fldCharType="separate"/>
      </w:r>
      <w:r>
        <w:rPr>
          <w:rFonts w:hint="eastAsia" w:eastAsia="楷体_GB2312"/>
          <w:szCs w:val="32"/>
        </w:rPr>
        <w:t>（二）增强体育赛事消费动能</w:t>
      </w:r>
      <w:r>
        <w:tab/>
      </w:r>
      <w:r>
        <w:fldChar w:fldCharType="begin"/>
      </w:r>
      <w:r>
        <w:instrText xml:space="preserve"> PAGEREF _Toc23893 \h </w:instrText>
      </w:r>
      <w:r>
        <w:fldChar w:fldCharType="separate"/>
      </w:r>
      <w:r>
        <w:t>10</w:t>
      </w:r>
      <w:r>
        <w:fldChar w:fldCharType="end"/>
      </w:r>
      <w:r>
        <w:rPr>
          <w:bCs/>
          <w:color w:val="auto"/>
        </w:rPr>
        <w:fldChar w:fldCharType="end"/>
      </w:r>
    </w:p>
    <w:p>
      <w:pPr>
        <w:pStyle w:val="21"/>
        <w:tabs>
          <w:tab w:val="right" w:leader="dot" w:pos="8306"/>
          <w:tab w:val="clear" w:pos="8296"/>
        </w:tabs>
      </w:pPr>
      <w:r>
        <w:rPr>
          <w:bCs/>
          <w:color w:val="auto"/>
        </w:rPr>
        <w:fldChar w:fldCharType="begin"/>
      </w:r>
      <w:r>
        <w:rPr>
          <w:bCs/>
        </w:rPr>
        <w:instrText xml:space="preserve"> HYPERLINK \l _Toc3358 </w:instrText>
      </w:r>
      <w:r>
        <w:rPr>
          <w:bCs/>
        </w:rPr>
        <w:fldChar w:fldCharType="separate"/>
      </w:r>
      <w:r>
        <w:rPr>
          <w:rFonts w:hint="eastAsia" w:eastAsia="楷体_GB2312"/>
          <w:szCs w:val="32"/>
        </w:rPr>
        <w:t>（三）</w:t>
      </w:r>
      <w:r>
        <w:rPr>
          <w:rFonts w:hint="eastAsia" w:eastAsia="楷体_GB2312"/>
          <w:szCs w:val="32"/>
          <w:lang w:val="en-US" w:eastAsia="zh-CN"/>
        </w:rPr>
        <w:t>提质</w:t>
      </w:r>
      <w:r>
        <w:rPr>
          <w:rFonts w:hint="eastAsia" w:eastAsia="楷体_GB2312"/>
          <w:szCs w:val="32"/>
        </w:rPr>
        <w:t>教育和培训消费供给</w:t>
      </w:r>
      <w:r>
        <w:tab/>
      </w:r>
      <w:r>
        <w:fldChar w:fldCharType="begin"/>
      </w:r>
      <w:r>
        <w:instrText xml:space="preserve"> PAGEREF _Toc3358 \h </w:instrText>
      </w:r>
      <w:r>
        <w:fldChar w:fldCharType="separate"/>
      </w:r>
      <w:r>
        <w:t>10</w:t>
      </w:r>
      <w:r>
        <w:fldChar w:fldCharType="end"/>
      </w:r>
      <w:r>
        <w:rPr>
          <w:bCs/>
          <w:color w:val="auto"/>
        </w:rPr>
        <w:fldChar w:fldCharType="end"/>
      </w:r>
    </w:p>
    <w:p>
      <w:pPr>
        <w:pStyle w:val="21"/>
        <w:tabs>
          <w:tab w:val="right" w:leader="dot" w:pos="8306"/>
          <w:tab w:val="clear" w:pos="8296"/>
        </w:tabs>
      </w:pPr>
      <w:r>
        <w:rPr>
          <w:bCs/>
          <w:color w:val="auto"/>
        </w:rPr>
        <w:fldChar w:fldCharType="begin"/>
      </w:r>
      <w:r>
        <w:rPr>
          <w:bCs/>
        </w:rPr>
        <w:instrText xml:space="preserve"> HYPERLINK \l _Toc12006 </w:instrText>
      </w:r>
      <w:r>
        <w:rPr>
          <w:bCs/>
        </w:rPr>
        <w:fldChar w:fldCharType="separate"/>
      </w:r>
      <w:r>
        <w:rPr>
          <w:rFonts w:hint="eastAsia" w:eastAsia="楷体_GB2312"/>
          <w:szCs w:val="32"/>
        </w:rPr>
        <w:t>（</w:t>
      </w:r>
      <w:r>
        <w:rPr>
          <w:rFonts w:hint="eastAsia" w:eastAsia="楷体_GB2312"/>
          <w:szCs w:val="32"/>
          <w:lang w:eastAsia="zh-CN"/>
        </w:rPr>
        <w:t>四</w:t>
      </w:r>
      <w:r>
        <w:rPr>
          <w:rFonts w:hint="eastAsia" w:eastAsia="楷体_GB2312"/>
          <w:szCs w:val="32"/>
        </w:rPr>
        <w:t>）</w:t>
      </w:r>
      <w:r>
        <w:rPr>
          <w:rFonts w:hint="eastAsia" w:eastAsia="楷体_GB2312"/>
          <w:szCs w:val="32"/>
          <w:lang w:val="en-US" w:eastAsia="zh-CN"/>
        </w:rPr>
        <w:t>挖掘</w:t>
      </w:r>
      <w:r>
        <w:rPr>
          <w:rFonts w:hint="eastAsia" w:eastAsia="楷体_GB2312"/>
          <w:szCs w:val="32"/>
        </w:rPr>
        <w:t>银发经济消费潜力</w:t>
      </w:r>
      <w:r>
        <w:tab/>
      </w:r>
      <w:r>
        <w:fldChar w:fldCharType="begin"/>
      </w:r>
      <w:r>
        <w:instrText xml:space="preserve"> PAGEREF _Toc12006 \h </w:instrText>
      </w:r>
      <w:r>
        <w:fldChar w:fldCharType="separate"/>
      </w:r>
      <w:r>
        <w:t>11</w:t>
      </w:r>
      <w:r>
        <w:fldChar w:fldCharType="end"/>
      </w:r>
      <w:r>
        <w:rPr>
          <w:bCs/>
          <w:color w:val="auto"/>
        </w:rPr>
        <w:fldChar w:fldCharType="end"/>
      </w:r>
    </w:p>
    <w:p>
      <w:pPr>
        <w:pStyle w:val="21"/>
        <w:tabs>
          <w:tab w:val="right" w:leader="dot" w:pos="8306"/>
          <w:tab w:val="clear" w:pos="8296"/>
        </w:tabs>
      </w:pPr>
      <w:r>
        <w:rPr>
          <w:bCs/>
          <w:color w:val="auto"/>
        </w:rPr>
        <w:fldChar w:fldCharType="begin"/>
      </w:r>
      <w:r>
        <w:rPr>
          <w:bCs/>
        </w:rPr>
        <w:instrText xml:space="preserve"> HYPERLINK \l _Toc17940 </w:instrText>
      </w:r>
      <w:r>
        <w:rPr>
          <w:bCs/>
        </w:rPr>
        <w:fldChar w:fldCharType="separate"/>
      </w:r>
      <w:r>
        <w:rPr>
          <w:rFonts w:hint="eastAsia" w:eastAsia="楷体_GB2312"/>
          <w:szCs w:val="32"/>
        </w:rPr>
        <w:t>（</w:t>
      </w:r>
      <w:r>
        <w:rPr>
          <w:rFonts w:hint="eastAsia" w:eastAsia="楷体_GB2312"/>
          <w:szCs w:val="32"/>
          <w:lang w:eastAsia="zh-CN"/>
        </w:rPr>
        <w:t>五</w:t>
      </w:r>
      <w:r>
        <w:rPr>
          <w:rFonts w:hint="eastAsia" w:eastAsia="楷体_GB2312"/>
          <w:szCs w:val="32"/>
        </w:rPr>
        <w:t>）</w:t>
      </w:r>
      <w:r>
        <w:rPr>
          <w:rFonts w:hint="eastAsia" w:eastAsia="楷体_GB2312"/>
          <w:szCs w:val="32"/>
          <w:lang w:val="en-US" w:eastAsia="zh-CN"/>
        </w:rPr>
        <w:t>优化</w:t>
      </w:r>
      <w:r>
        <w:rPr>
          <w:rFonts w:hint="eastAsia" w:eastAsia="楷体_GB2312"/>
          <w:szCs w:val="32"/>
        </w:rPr>
        <w:t>家政服务消费</w:t>
      </w:r>
      <w:r>
        <w:rPr>
          <w:rFonts w:hint="eastAsia" w:eastAsia="楷体_GB2312"/>
          <w:szCs w:val="32"/>
          <w:lang w:val="en-US" w:eastAsia="zh-CN"/>
        </w:rPr>
        <w:t>结构</w:t>
      </w:r>
      <w:r>
        <w:tab/>
      </w:r>
      <w:r>
        <w:fldChar w:fldCharType="begin"/>
      </w:r>
      <w:r>
        <w:instrText xml:space="preserve"> PAGEREF _Toc17940 \h </w:instrText>
      </w:r>
      <w:r>
        <w:fldChar w:fldCharType="separate"/>
      </w:r>
      <w:r>
        <w:t>11</w:t>
      </w:r>
      <w:r>
        <w:fldChar w:fldCharType="end"/>
      </w:r>
      <w:r>
        <w:rPr>
          <w:bCs/>
          <w:color w:val="auto"/>
        </w:rPr>
        <w:fldChar w:fldCharType="end"/>
      </w:r>
    </w:p>
    <w:p>
      <w:pPr>
        <w:pStyle w:val="21"/>
        <w:tabs>
          <w:tab w:val="right" w:leader="dot" w:pos="8306"/>
          <w:tab w:val="clear" w:pos="8296"/>
        </w:tabs>
      </w:pPr>
      <w:r>
        <w:rPr>
          <w:bCs/>
          <w:color w:val="auto"/>
        </w:rPr>
        <w:fldChar w:fldCharType="begin"/>
      </w:r>
      <w:r>
        <w:rPr>
          <w:bCs/>
        </w:rPr>
        <w:instrText xml:space="preserve"> HYPERLINK \l _Toc6950 </w:instrText>
      </w:r>
      <w:r>
        <w:rPr>
          <w:bCs/>
        </w:rPr>
        <w:fldChar w:fldCharType="separate"/>
      </w:r>
      <w:r>
        <w:rPr>
          <w:rFonts w:hint="eastAsia" w:eastAsia="楷体_GB2312"/>
          <w:szCs w:val="32"/>
        </w:rPr>
        <w:t>（</w:t>
      </w:r>
      <w:r>
        <w:rPr>
          <w:rFonts w:hint="eastAsia" w:eastAsia="楷体_GB2312"/>
          <w:szCs w:val="32"/>
          <w:lang w:eastAsia="zh-CN"/>
        </w:rPr>
        <w:t>六</w:t>
      </w:r>
      <w:r>
        <w:rPr>
          <w:rFonts w:hint="eastAsia" w:eastAsia="楷体_GB2312"/>
          <w:szCs w:val="32"/>
        </w:rPr>
        <w:t>）</w:t>
      </w:r>
      <w:r>
        <w:rPr>
          <w:rFonts w:eastAsia="楷体_GB2312"/>
          <w:szCs w:val="32"/>
        </w:rPr>
        <w:t>提</w:t>
      </w:r>
      <w:r>
        <w:rPr>
          <w:rFonts w:hint="eastAsia" w:eastAsia="楷体_GB2312"/>
          <w:szCs w:val="32"/>
          <w:lang w:eastAsia="zh-CN"/>
        </w:rPr>
        <w:t>升</w:t>
      </w:r>
      <w:r>
        <w:rPr>
          <w:rFonts w:eastAsia="楷体_GB2312"/>
          <w:szCs w:val="32"/>
        </w:rPr>
        <w:t>便民</w:t>
      </w:r>
      <w:r>
        <w:rPr>
          <w:rFonts w:hint="eastAsia" w:eastAsia="楷体_GB2312"/>
          <w:szCs w:val="32"/>
        </w:rPr>
        <w:t>生活</w:t>
      </w:r>
      <w:r>
        <w:rPr>
          <w:rFonts w:eastAsia="楷体_GB2312"/>
          <w:szCs w:val="32"/>
        </w:rPr>
        <w:t>消费品质</w:t>
      </w:r>
      <w:r>
        <w:tab/>
      </w:r>
      <w:r>
        <w:fldChar w:fldCharType="begin"/>
      </w:r>
      <w:r>
        <w:instrText xml:space="preserve"> PAGEREF _Toc6950 \h </w:instrText>
      </w:r>
      <w:r>
        <w:fldChar w:fldCharType="separate"/>
      </w:r>
      <w:r>
        <w:t>12</w:t>
      </w:r>
      <w:r>
        <w:fldChar w:fldCharType="end"/>
      </w:r>
      <w:r>
        <w:rPr>
          <w:bCs/>
          <w:color w:val="auto"/>
        </w:rPr>
        <w:fldChar w:fldCharType="end"/>
      </w:r>
    </w:p>
    <w:p>
      <w:pPr>
        <w:pStyle w:val="21"/>
        <w:tabs>
          <w:tab w:val="right" w:leader="dot" w:pos="8306"/>
          <w:tab w:val="clear" w:pos="8296"/>
        </w:tabs>
      </w:pPr>
      <w:r>
        <w:rPr>
          <w:bCs/>
          <w:color w:val="auto"/>
        </w:rPr>
        <w:fldChar w:fldCharType="begin"/>
      </w:r>
      <w:r>
        <w:rPr>
          <w:bCs/>
        </w:rPr>
        <w:instrText xml:space="preserve"> HYPERLINK \l _Toc23433 </w:instrText>
      </w:r>
      <w:r>
        <w:rPr>
          <w:bCs/>
        </w:rPr>
        <w:fldChar w:fldCharType="separate"/>
      </w:r>
      <w:r>
        <w:rPr>
          <w:rFonts w:hint="eastAsia" w:eastAsia="楷体_GB2312"/>
          <w:szCs w:val="32"/>
        </w:rPr>
        <w:t>（</w:t>
      </w:r>
      <w:r>
        <w:rPr>
          <w:rFonts w:hint="eastAsia" w:eastAsia="楷体_GB2312"/>
          <w:szCs w:val="32"/>
          <w:lang w:eastAsia="zh-CN"/>
        </w:rPr>
        <w:t>七</w:t>
      </w:r>
      <w:r>
        <w:rPr>
          <w:rFonts w:hint="eastAsia" w:eastAsia="楷体_GB2312"/>
          <w:szCs w:val="32"/>
        </w:rPr>
        <w:t>）</w:t>
      </w:r>
      <w:r>
        <w:rPr>
          <w:rFonts w:eastAsia="楷体_GB2312"/>
          <w:szCs w:val="32"/>
        </w:rPr>
        <w:t>创新绿色低碳消费模式</w:t>
      </w:r>
      <w:r>
        <w:tab/>
      </w:r>
      <w:r>
        <w:fldChar w:fldCharType="begin"/>
      </w:r>
      <w:r>
        <w:instrText xml:space="preserve"> PAGEREF _Toc23433 \h </w:instrText>
      </w:r>
      <w:r>
        <w:fldChar w:fldCharType="separate"/>
      </w:r>
      <w:r>
        <w:t>12</w:t>
      </w:r>
      <w:r>
        <w:fldChar w:fldCharType="end"/>
      </w:r>
      <w:r>
        <w:rPr>
          <w:bCs/>
          <w:color w:val="auto"/>
        </w:rPr>
        <w:fldChar w:fldCharType="end"/>
      </w:r>
    </w:p>
    <w:p>
      <w:pPr>
        <w:pStyle w:val="17"/>
        <w:tabs>
          <w:tab w:val="right" w:leader="dot" w:pos="8306"/>
          <w:tab w:val="clear" w:pos="8296"/>
        </w:tabs>
      </w:pPr>
      <w:r>
        <w:rPr>
          <w:bCs/>
          <w:color w:val="auto"/>
        </w:rPr>
        <w:fldChar w:fldCharType="begin"/>
      </w:r>
      <w:r>
        <w:rPr>
          <w:bCs/>
        </w:rPr>
        <w:instrText xml:space="preserve"> HYPERLINK \l _Toc27974 </w:instrText>
      </w:r>
      <w:r>
        <w:rPr>
          <w:bCs/>
        </w:rPr>
        <w:fldChar w:fldCharType="separate"/>
      </w:r>
      <w:r>
        <w:rPr>
          <w:rFonts w:hint="eastAsia" w:eastAsia="黑体"/>
          <w:smallCaps/>
          <w:szCs w:val="32"/>
        </w:rPr>
        <w:t>五、优化生态</w:t>
      </w:r>
      <w:r>
        <w:rPr>
          <w:rFonts w:hint="eastAsia" w:eastAsia="黑体"/>
          <w:smallCaps/>
          <w:szCs w:val="32"/>
          <w:lang w:val="en-US" w:eastAsia="zh-CN"/>
        </w:rPr>
        <w:t>环境</w:t>
      </w:r>
      <w:r>
        <w:rPr>
          <w:rFonts w:hint="eastAsia" w:eastAsia="黑体"/>
          <w:smallCaps/>
          <w:szCs w:val="32"/>
        </w:rPr>
        <w:t>，营造国际化一流消费环境</w:t>
      </w:r>
      <w:r>
        <w:tab/>
      </w:r>
      <w:r>
        <w:fldChar w:fldCharType="begin"/>
      </w:r>
      <w:r>
        <w:instrText xml:space="preserve"> PAGEREF _Toc27974 \h </w:instrText>
      </w:r>
      <w:r>
        <w:fldChar w:fldCharType="separate"/>
      </w:r>
      <w:r>
        <w:t>13</w:t>
      </w:r>
      <w:r>
        <w:fldChar w:fldCharType="end"/>
      </w:r>
      <w:r>
        <w:rPr>
          <w:bCs/>
          <w:color w:val="auto"/>
        </w:rPr>
        <w:fldChar w:fldCharType="end"/>
      </w:r>
    </w:p>
    <w:p>
      <w:pPr>
        <w:pStyle w:val="21"/>
        <w:tabs>
          <w:tab w:val="right" w:leader="dot" w:pos="8306"/>
          <w:tab w:val="clear" w:pos="8296"/>
        </w:tabs>
      </w:pPr>
      <w:r>
        <w:rPr>
          <w:bCs/>
          <w:color w:val="auto"/>
        </w:rPr>
        <w:fldChar w:fldCharType="begin"/>
      </w:r>
      <w:r>
        <w:rPr>
          <w:bCs/>
        </w:rPr>
        <w:instrText xml:space="preserve"> HYPERLINK \l _Toc19022 </w:instrText>
      </w:r>
      <w:r>
        <w:rPr>
          <w:bCs/>
        </w:rPr>
        <w:fldChar w:fldCharType="separate"/>
      </w:r>
      <w:r>
        <w:rPr>
          <w:rFonts w:hint="eastAsia" w:eastAsia="楷体_GB2312"/>
          <w:szCs w:val="32"/>
        </w:rPr>
        <w:t>（一）</w:t>
      </w:r>
      <w:r>
        <w:rPr>
          <w:rFonts w:eastAsia="楷体_GB2312"/>
          <w:szCs w:val="32"/>
        </w:rPr>
        <w:t>升级国际化消费服务</w:t>
      </w:r>
      <w:r>
        <w:tab/>
      </w:r>
      <w:r>
        <w:fldChar w:fldCharType="begin"/>
      </w:r>
      <w:r>
        <w:instrText xml:space="preserve"> PAGEREF _Toc19022 \h </w:instrText>
      </w:r>
      <w:r>
        <w:fldChar w:fldCharType="separate"/>
      </w:r>
      <w:r>
        <w:t>13</w:t>
      </w:r>
      <w:r>
        <w:fldChar w:fldCharType="end"/>
      </w:r>
      <w:r>
        <w:rPr>
          <w:bCs/>
          <w:color w:val="auto"/>
        </w:rPr>
        <w:fldChar w:fldCharType="end"/>
      </w:r>
    </w:p>
    <w:p>
      <w:pPr>
        <w:pStyle w:val="21"/>
        <w:tabs>
          <w:tab w:val="right" w:leader="dot" w:pos="8306"/>
          <w:tab w:val="clear" w:pos="8296"/>
        </w:tabs>
      </w:pPr>
      <w:r>
        <w:rPr>
          <w:bCs/>
          <w:color w:val="auto"/>
        </w:rPr>
        <w:fldChar w:fldCharType="begin"/>
      </w:r>
      <w:r>
        <w:rPr>
          <w:bCs/>
        </w:rPr>
        <w:instrText xml:space="preserve"> HYPERLINK \l _Toc7083 </w:instrText>
      </w:r>
      <w:r>
        <w:rPr>
          <w:bCs/>
        </w:rPr>
        <w:fldChar w:fldCharType="separate"/>
      </w:r>
      <w:r>
        <w:rPr>
          <w:rFonts w:hint="eastAsia" w:eastAsia="楷体_GB2312"/>
          <w:szCs w:val="32"/>
        </w:rPr>
        <w:t>（二）</w:t>
      </w:r>
      <w:r>
        <w:rPr>
          <w:rFonts w:eastAsia="楷体_GB2312"/>
          <w:szCs w:val="32"/>
        </w:rPr>
        <w:t>健全高标准配套设施</w:t>
      </w:r>
      <w:r>
        <w:tab/>
      </w:r>
      <w:r>
        <w:fldChar w:fldCharType="begin"/>
      </w:r>
      <w:r>
        <w:instrText xml:space="preserve"> PAGEREF _Toc7083 \h </w:instrText>
      </w:r>
      <w:r>
        <w:fldChar w:fldCharType="separate"/>
      </w:r>
      <w:r>
        <w:t>13</w:t>
      </w:r>
      <w:r>
        <w:fldChar w:fldCharType="end"/>
      </w:r>
      <w:r>
        <w:rPr>
          <w:bCs/>
          <w:color w:val="auto"/>
        </w:rPr>
        <w:fldChar w:fldCharType="end"/>
      </w:r>
    </w:p>
    <w:p>
      <w:pPr>
        <w:pStyle w:val="21"/>
        <w:tabs>
          <w:tab w:val="right" w:leader="dot" w:pos="8306"/>
          <w:tab w:val="clear" w:pos="8296"/>
        </w:tabs>
      </w:pPr>
      <w:r>
        <w:rPr>
          <w:bCs/>
          <w:color w:val="auto"/>
        </w:rPr>
        <w:fldChar w:fldCharType="begin"/>
      </w:r>
      <w:r>
        <w:rPr>
          <w:bCs/>
        </w:rPr>
        <w:instrText xml:space="preserve"> HYPERLINK \l _Toc20644 </w:instrText>
      </w:r>
      <w:r>
        <w:rPr>
          <w:bCs/>
        </w:rPr>
        <w:fldChar w:fldCharType="separate"/>
      </w:r>
      <w:r>
        <w:rPr>
          <w:rFonts w:hint="eastAsia" w:eastAsia="楷体_GB2312"/>
          <w:szCs w:val="32"/>
        </w:rPr>
        <w:t>（三）</w:t>
      </w:r>
      <w:r>
        <w:rPr>
          <w:rFonts w:eastAsia="楷体_GB2312"/>
          <w:szCs w:val="32"/>
        </w:rPr>
        <w:t>打造优质高效营商环境</w:t>
      </w:r>
      <w:r>
        <w:tab/>
      </w:r>
      <w:r>
        <w:fldChar w:fldCharType="begin"/>
      </w:r>
      <w:r>
        <w:instrText xml:space="preserve"> PAGEREF _Toc20644 \h </w:instrText>
      </w:r>
      <w:r>
        <w:fldChar w:fldCharType="separate"/>
      </w:r>
      <w:r>
        <w:t>14</w:t>
      </w:r>
      <w:r>
        <w:fldChar w:fldCharType="end"/>
      </w:r>
      <w:r>
        <w:rPr>
          <w:bCs/>
          <w:color w:val="auto"/>
        </w:rPr>
        <w:fldChar w:fldCharType="end"/>
      </w:r>
    </w:p>
    <w:p>
      <w:pPr>
        <w:pStyle w:val="17"/>
        <w:tabs>
          <w:tab w:val="right" w:leader="dot" w:pos="8306"/>
          <w:tab w:val="clear" w:pos="8296"/>
        </w:tabs>
      </w:pPr>
      <w:r>
        <w:rPr>
          <w:bCs/>
          <w:color w:val="auto"/>
        </w:rPr>
        <w:fldChar w:fldCharType="begin"/>
      </w:r>
      <w:r>
        <w:rPr>
          <w:bCs/>
        </w:rPr>
        <w:instrText xml:space="preserve"> HYPERLINK \l _Toc20284 </w:instrText>
      </w:r>
      <w:r>
        <w:rPr>
          <w:bCs/>
        </w:rPr>
        <w:fldChar w:fldCharType="separate"/>
      </w:r>
      <w:r>
        <w:rPr>
          <w:rFonts w:hint="eastAsia" w:eastAsia="黑体"/>
          <w:smallCaps/>
          <w:szCs w:val="32"/>
        </w:rPr>
        <w:t>六、规划实施保障</w:t>
      </w:r>
      <w:r>
        <w:tab/>
      </w:r>
      <w:r>
        <w:fldChar w:fldCharType="begin"/>
      </w:r>
      <w:r>
        <w:instrText xml:space="preserve"> PAGEREF _Toc20284 \h </w:instrText>
      </w:r>
      <w:r>
        <w:fldChar w:fldCharType="separate"/>
      </w:r>
      <w:r>
        <w:t>15</w:t>
      </w:r>
      <w:r>
        <w:fldChar w:fldCharType="end"/>
      </w:r>
      <w:r>
        <w:rPr>
          <w:bCs/>
          <w:color w:val="auto"/>
        </w:rPr>
        <w:fldChar w:fldCharType="end"/>
      </w:r>
    </w:p>
    <w:p>
      <w:pPr>
        <w:pStyle w:val="21"/>
        <w:spacing w:line="240" w:lineRule="auto"/>
        <w:rPr>
          <w:rFonts w:ascii="Times New Roman" w:hAnsi="Times New Roman" w:eastAsia="方正小标宋简体"/>
          <w:color w:val="auto"/>
          <w:sz w:val="44"/>
          <w:szCs w:val="36"/>
        </w:rPr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  <w:r>
        <w:rPr>
          <w:bCs/>
          <w:color w:val="auto"/>
        </w:rPr>
        <w:fldChar w:fldCharType="end"/>
      </w:r>
    </w:p>
    <w:p>
      <w:pPr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bookmarkStart w:id="3" w:name="_Toc199939642"/>
      <w:bookmarkStart w:id="4" w:name="_Toc201044020"/>
      <w:bookmarkStart w:id="5" w:name="_Toc10871"/>
      <w:r>
        <w:rPr>
          <w:rFonts w:hAnsi="仿宋_GB2312" w:eastAsia="仿宋_GB2312"/>
          <w:color w:val="auto"/>
          <w:kern w:val="0"/>
          <w:sz w:val="32"/>
          <w:szCs w:val="32"/>
        </w:rPr>
        <w:t>为贯彻落实国家《扩大消费</w:t>
      </w:r>
      <w:r>
        <w:rPr>
          <w:rFonts w:hint="eastAsia" w:eastAsia="仿宋_GB2312"/>
          <w:color w:val="auto"/>
          <w:kern w:val="0"/>
          <w:sz w:val="32"/>
          <w:szCs w:val="32"/>
          <w:lang w:eastAsia="zh-CN"/>
        </w:rPr>
        <w:t>“</w:t>
      </w:r>
      <w:r>
        <w:rPr>
          <w:rFonts w:hAnsi="仿宋_GB2312" w:eastAsia="仿宋_GB2312"/>
          <w:color w:val="auto"/>
          <w:kern w:val="0"/>
          <w:sz w:val="32"/>
          <w:szCs w:val="32"/>
        </w:rPr>
        <w:t>十五五</w:t>
      </w:r>
      <w:r>
        <w:rPr>
          <w:rFonts w:hint="eastAsia" w:eastAsia="仿宋_GB2312"/>
          <w:color w:val="auto"/>
          <w:kern w:val="0"/>
          <w:sz w:val="32"/>
          <w:szCs w:val="32"/>
          <w:lang w:eastAsia="zh-CN"/>
        </w:rPr>
        <w:t>”</w:t>
      </w:r>
      <w:r>
        <w:rPr>
          <w:rFonts w:hAnsi="仿宋_GB2312" w:eastAsia="仿宋_GB2312"/>
          <w:color w:val="auto"/>
          <w:kern w:val="0"/>
          <w:sz w:val="32"/>
          <w:szCs w:val="32"/>
        </w:rPr>
        <w:t>规划》和</w:t>
      </w:r>
      <w:r>
        <w:rPr>
          <w:rFonts w:eastAsia="仿宋_GB2312"/>
          <w:color w:val="auto"/>
          <w:kern w:val="0"/>
          <w:sz w:val="31"/>
          <w:szCs w:val="31"/>
        </w:rPr>
        <w:t>《北京市</w:t>
      </w:r>
      <w:r>
        <w:rPr>
          <w:rFonts w:hint="eastAsia" w:eastAsia="仿宋_GB2312"/>
          <w:color w:val="auto"/>
          <w:kern w:val="0"/>
          <w:sz w:val="32"/>
          <w:szCs w:val="32"/>
          <w:lang w:eastAsia="zh-CN"/>
        </w:rPr>
        <w:t>“</w:t>
      </w:r>
      <w:r>
        <w:rPr>
          <w:rFonts w:hAnsi="仿宋_GB2312" w:eastAsia="仿宋_GB2312"/>
          <w:color w:val="auto"/>
          <w:kern w:val="0"/>
          <w:sz w:val="32"/>
          <w:szCs w:val="32"/>
        </w:rPr>
        <w:t>十五五</w:t>
      </w:r>
      <w:r>
        <w:rPr>
          <w:rFonts w:hint="eastAsia" w:eastAsia="仿宋_GB2312"/>
          <w:color w:val="auto"/>
          <w:kern w:val="0"/>
          <w:sz w:val="32"/>
          <w:szCs w:val="32"/>
          <w:lang w:eastAsia="zh-CN"/>
        </w:rPr>
        <w:t>”</w:t>
      </w:r>
      <w:r>
        <w:rPr>
          <w:rFonts w:eastAsia="仿宋_GB2312"/>
          <w:color w:val="auto"/>
          <w:kern w:val="0"/>
          <w:sz w:val="31"/>
          <w:szCs w:val="31"/>
        </w:rPr>
        <w:t>时期深化国际消费中心城市建设规划》</w:t>
      </w:r>
      <w:r>
        <w:rPr>
          <w:rFonts w:hint="eastAsia" w:eastAsia="仿宋_GB2312"/>
          <w:color w:val="auto"/>
          <w:kern w:val="0"/>
          <w:sz w:val="31"/>
          <w:szCs w:val="31"/>
        </w:rPr>
        <w:t>，全面落实</w:t>
      </w:r>
      <w:r>
        <w:rPr>
          <w:rFonts w:ascii="仿宋_GB2312" w:hAnsi="宋体" w:eastAsia="仿宋_GB2312" w:cs="仿宋_GB2312"/>
          <w:color w:val="auto"/>
          <w:kern w:val="0"/>
          <w:sz w:val="31"/>
          <w:szCs w:val="31"/>
        </w:rPr>
        <w:t>《北京市</w:t>
      </w:r>
      <w:r>
        <w:rPr>
          <w:rFonts w:hint="eastAsia" w:ascii="仿宋_GB2312" w:hAnsi="宋体" w:eastAsia="仿宋_GB2312" w:cs="仿宋_GB2312"/>
          <w:color w:val="auto"/>
          <w:kern w:val="0"/>
          <w:sz w:val="31"/>
          <w:szCs w:val="31"/>
        </w:rPr>
        <w:t>东城区</w:t>
      </w:r>
      <w:r>
        <w:rPr>
          <w:rFonts w:ascii="仿宋_GB2312" w:hAnsi="宋体" w:eastAsia="仿宋_GB2312" w:cs="仿宋_GB2312"/>
          <w:color w:val="auto"/>
          <w:kern w:val="0"/>
          <w:sz w:val="31"/>
          <w:szCs w:val="31"/>
        </w:rPr>
        <w:t>国民经济和社会发展第十五个五年</w:t>
      </w:r>
      <w:r>
        <w:rPr>
          <w:rFonts w:hint="eastAsia" w:ascii="仿宋_GB2312" w:hAnsi="宋体" w:eastAsia="仿宋_GB2312" w:cs="仿宋_GB2312"/>
          <w:color w:val="auto"/>
          <w:kern w:val="0"/>
          <w:sz w:val="31"/>
          <w:szCs w:val="31"/>
        </w:rPr>
        <w:t>规划纲要》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深化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国际消费中心城市示范区建设，编制本规划。</w:t>
      </w:r>
      <w:bookmarkEnd w:id="3"/>
      <w:bookmarkEnd w:id="4"/>
      <w:bookmarkEnd w:id="5"/>
      <w:bookmarkStart w:id="6" w:name="_Toc16114"/>
      <w:bookmarkStart w:id="7" w:name="_Toc18186"/>
      <w:bookmarkStart w:id="8" w:name="_Toc8355"/>
      <w:bookmarkStart w:id="9" w:name="_Toc12808"/>
      <w:bookmarkStart w:id="10" w:name="_Toc19715"/>
      <w:bookmarkStart w:id="11" w:name="_Toc28272"/>
      <w:bookmarkStart w:id="12" w:name="_Toc19984"/>
      <w:bookmarkStart w:id="13" w:name="_Toc15657"/>
      <w:bookmarkStart w:id="14" w:name="_Toc28621"/>
    </w:p>
    <w:p>
      <w:pPr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outlineLvl w:val="0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</w:pPr>
      <w:bookmarkStart w:id="15" w:name="_Toc27768"/>
      <w:bookmarkStart w:id="16" w:name="_Toc23102"/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  <w:lang w:eastAsia="zh-CN"/>
        </w:rPr>
        <w:t>一、</w:t>
      </w: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  <w:t>“十五五”时期</w:t>
      </w: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  <w:lang w:eastAsia="zh-CN"/>
        </w:rPr>
        <w:t>东城区</w:t>
      </w: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  <w:t>国际消费中心城市</w:t>
      </w: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  <w:lang w:eastAsia="zh-CN"/>
        </w:rPr>
        <w:t>示范区</w:t>
      </w: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  <w:t>建设总体要求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>
      <w:pPr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outlineLvl w:val="1"/>
        <w:rPr>
          <w:rFonts w:hint="eastAsia" w:eastAsia="楷体_GB2312"/>
          <w:color w:val="auto"/>
          <w:sz w:val="32"/>
          <w:szCs w:val="32"/>
          <w:lang w:val="en-US" w:eastAsia="zh-CN"/>
        </w:rPr>
      </w:pPr>
      <w:bookmarkStart w:id="17" w:name="_Toc26326"/>
      <w:bookmarkStart w:id="18" w:name="_Toc13744"/>
      <w:r>
        <w:rPr>
          <w:rFonts w:hint="eastAsia" w:eastAsia="楷体_GB2312"/>
          <w:color w:val="auto"/>
          <w:sz w:val="32"/>
          <w:szCs w:val="32"/>
        </w:rPr>
        <w:t>（</w:t>
      </w:r>
      <w:r>
        <w:rPr>
          <w:rFonts w:hint="eastAsia" w:eastAsia="楷体_GB2312"/>
          <w:color w:val="auto"/>
          <w:sz w:val="32"/>
          <w:szCs w:val="32"/>
          <w:lang w:eastAsia="zh-CN"/>
        </w:rPr>
        <w:t>一</w:t>
      </w:r>
      <w:r>
        <w:rPr>
          <w:rFonts w:hint="eastAsia" w:eastAsia="楷体_GB2312"/>
          <w:color w:val="auto"/>
          <w:sz w:val="32"/>
          <w:szCs w:val="32"/>
        </w:rPr>
        <w:t>）</w:t>
      </w:r>
      <w:r>
        <w:rPr>
          <w:rFonts w:hint="eastAsia" w:eastAsia="楷体_GB2312"/>
          <w:color w:val="auto"/>
          <w:sz w:val="32"/>
          <w:szCs w:val="32"/>
          <w:lang w:eastAsia="zh-CN"/>
        </w:rPr>
        <w:t>指导思想</w:t>
      </w:r>
      <w:bookmarkEnd w:id="17"/>
      <w:bookmarkEnd w:id="18"/>
    </w:p>
    <w:p>
      <w:pPr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坚持以习近平新时代中国特色社会主义思想为指导，全面贯彻党的二十大和二十届历次全会精神，以新时代首都发展为统领，以满足人民日益增长的美好生活需要为根本目的，弘扬核心区使命价值，接续奋斗做优“六字文章”、开拓进取加速“六力提升”，锚定国际消费中心城市示范区建设目标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以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文化消费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为引领，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以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文商旅体展融合发展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为主线，以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数智技术赋能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为动力，突出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国际化、融合化、品质化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三大导向，聚焦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要客、贵客、青客、常客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四类目标群体需求，加强城市有机更新与空间高效利用，焕新构建商圈、街区、演艺、数字、夜间、园区、公园和亲水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八类消费空间场景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，统筹资源协同发力，打造时尚、国潮、文旅、美食和健康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五大高能级主题消费矩阵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，扩容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数字、体育、教育、银发、家政、便民、绿色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eastAsia="zh-CN"/>
        </w:rPr>
        <w:t>七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类高品质特色消费供给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，营造国际化一流消费环境，不断培育消费创新点和增长点，持续扩大东城区消费吸引力、辐射力和影响力，在国际消费中心城市建设中打头阵、当先锋、做表率。</w:t>
      </w:r>
    </w:p>
    <w:p>
      <w:pPr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outlineLvl w:val="1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bookmarkStart w:id="19" w:name="_Toc2305"/>
      <w:bookmarkStart w:id="20" w:name="_Toc10102"/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（二）发展目标</w:t>
      </w:r>
      <w:bookmarkEnd w:id="19"/>
      <w:bookmarkEnd w:id="20"/>
    </w:p>
    <w:p>
      <w:pPr>
        <w:keepNext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到2030年，东城消费市场规模显著扩大，消费活力进一步释放，重点商圈和特色消费街区建设迈上新台阶，成为具有品牌号召力的时尚消费高地，文化消费引领力明显增强，文商旅体展融合发展持续深化，涌现一批沉浸式互动式消费新场景，服务消费供给不断提质扩容，国际化、便利化、高标准的消费环境加快完善，以消费升级支撑城市发展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东城范式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声誉日隆，基本建成文化魅力独特、业态创新活跃、具有全球资源配置力的国际消费中心城市示范区。</w:t>
      </w:r>
    </w:p>
    <w:p>
      <w:pPr>
        <w:keepNext/>
        <w:spacing w:line="560" w:lineRule="exact"/>
        <w:ind w:firstLine="640" w:firstLineChars="200"/>
        <w:jc w:val="left"/>
        <w:outlineLvl w:val="0"/>
        <w:rPr>
          <w:rFonts w:eastAsia="黑体"/>
          <w:smallCaps/>
          <w:color w:val="auto"/>
          <w:sz w:val="32"/>
          <w:szCs w:val="32"/>
        </w:rPr>
      </w:pPr>
      <w:bookmarkStart w:id="21" w:name="_Toc15121"/>
      <w:bookmarkStart w:id="22" w:name="_Toc9738"/>
      <w:bookmarkStart w:id="23" w:name="_Toc199939645"/>
      <w:bookmarkStart w:id="24" w:name="_Toc201044023"/>
      <w:r>
        <w:rPr>
          <w:rFonts w:hint="eastAsia" w:eastAsia="黑体"/>
          <w:smallCaps/>
          <w:color w:val="auto"/>
          <w:sz w:val="32"/>
          <w:szCs w:val="32"/>
        </w:rPr>
        <w:t>二、</w:t>
      </w:r>
      <w:r>
        <w:rPr>
          <w:rFonts w:hint="eastAsia" w:eastAsia="黑体"/>
          <w:smallCaps/>
          <w:color w:val="auto"/>
          <w:sz w:val="32"/>
          <w:szCs w:val="32"/>
          <w:lang w:val="en-US" w:eastAsia="zh-CN"/>
        </w:rPr>
        <w:t>构建新场景，塑强全域多维</w:t>
      </w:r>
      <w:r>
        <w:rPr>
          <w:rFonts w:hint="eastAsia" w:eastAsia="黑体"/>
          <w:smallCaps/>
          <w:color w:val="auto"/>
          <w:sz w:val="32"/>
          <w:szCs w:val="32"/>
        </w:rPr>
        <w:t>消费协同格局</w:t>
      </w:r>
      <w:bookmarkEnd w:id="21"/>
      <w:bookmarkEnd w:id="22"/>
    </w:p>
    <w:bookmarkEnd w:id="23"/>
    <w:bookmarkEnd w:id="24"/>
    <w:p>
      <w:pPr>
        <w:keepNext/>
        <w:adjustRightInd w:val="0"/>
        <w:snapToGrid w:val="0"/>
        <w:spacing w:line="560" w:lineRule="exact"/>
        <w:ind w:firstLine="640" w:firstLineChars="200"/>
        <w:outlineLvl w:val="1"/>
        <w:rPr>
          <w:rFonts w:eastAsia="楷体_GB2312"/>
          <w:color w:val="auto"/>
          <w:sz w:val="32"/>
          <w:szCs w:val="32"/>
        </w:rPr>
      </w:pPr>
      <w:bookmarkStart w:id="25" w:name="_Toc13831"/>
      <w:bookmarkStart w:id="26" w:name="_Toc19937"/>
      <w:r>
        <w:rPr>
          <w:rFonts w:hint="eastAsia" w:eastAsia="楷体_GB2312"/>
          <w:color w:val="auto"/>
          <w:sz w:val="32"/>
          <w:szCs w:val="32"/>
        </w:rPr>
        <w:t>（一）</w:t>
      </w:r>
      <w:r>
        <w:rPr>
          <w:rFonts w:eastAsia="楷体_GB2312"/>
          <w:color w:val="auto"/>
          <w:sz w:val="32"/>
          <w:szCs w:val="32"/>
        </w:rPr>
        <w:t>构筑业态创新活跃的商圈消费场景</w:t>
      </w:r>
      <w:bookmarkEnd w:id="25"/>
      <w:bookmarkEnd w:id="26"/>
    </w:p>
    <w:p>
      <w:pPr>
        <w:keepNext/>
        <w:snapToGrid w:val="0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打造前门—王府井—隆福寺消费升级示范带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持续深化王府井×前门国际消费体验区，全面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推进前门历史街区保护性更新，实现西兴隆街全面开街，用好前门东区织补项目空间优势，打造“老字号+国潮”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传统文化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消费体验区。推动王府井升级建设全球标杆商圈，加快新中国儿童用品商店、利生体育商厦、外文书店等项目改造升级，提升王府井论坛影响力，办好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王府井国际品牌节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开展新品首发首秀首展活动，打造国际首发品牌集聚区。聚焦“文化+复兴”，特色化打造隆福寺商圈，强化老字号体验、艺术展览、时尚发布等功能，促进展览、演艺、餐饮等多业态联动，打造文化消费生活方式目的地。</w:t>
      </w:r>
    </w:p>
    <w:p>
      <w:pPr>
        <w:keepNext/>
        <w:snapToGrid w:val="0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培育都市特色活力商圈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。推动东直门商圈聚焦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/>
        </w:rPr>
        <w:t>枢纽+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fill="auto"/>
          <w:lang w:val="en-US" w:eastAsia="zh-CN"/>
        </w:rPr>
        <w:t>体验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，以东外39Mall为支点撬动商业扩容提质，打造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首都生活方式新地标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。推动崇文门商圈聚焦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品质+活力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，加快升级改造，培育壮大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崇文喜市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消费IP，焕发老商圈新活力。</w:t>
      </w:r>
    </w:p>
    <w:p>
      <w:pPr>
        <w:keepNext/>
        <w:snapToGrid w:val="0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做优京味特色消费街区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。推动红桥市场国际化消费环境建设提升。推动簋街着力优化就餐环境与体验。推动南新仓打造“文化+餐饮+展示”的复合空间。推动金宝街•红星胡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塑造静谧优雅的都市精致生活圈。推动五道营胡同成为潮流青年与国际游客的打卡地。推动南锣鼓巷破解业态同质化难题，深化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文化+商业+体验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融合。</w:t>
      </w:r>
    </w:p>
    <w:p>
      <w:pPr>
        <w:keepNext/>
        <w:adjustRightInd w:val="0"/>
        <w:snapToGrid w:val="0"/>
        <w:spacing w:line="560" w:lineRule="exact"/>
        <w:ind w:firstLine="640" w:firstLineChars="200"/>
        <w:outlineLvl w:val="1"/>
        <w:rPr>
          <w:rFonts w:eastAsia="楷体_GB2312"/>
          <w:color w:val="auto"/>
          <w:sz w:val="32"/>
          <w:szCs w:val="32"/>
        </w:rPr>
      </w:pPr>
      <w:bookmarkStart w:id="27" w:name="_Toc4646"/>
      <w:bookmarkStart w:id="28" w:name="_Toc31956"/>
      <w:r>
        <w:rPr>
          <w:rFonts w:hint="eastAsia" w:eastAsia="楷体_GB2312"/>
          <w:color w:val="auto"/>
          <w:sz w:val="32"/>
          <w:szCs w:val="32"/>
        </w:rPr>
        <w:t>（二）</w:t>
      </w:r>
      <w:r>
        <w:rPr>
          <w:rFonts w:eastAsia="楷体_GB2312"/>
          <w:color w:val="auto"/>
          <w:sz w:val="32"/>
          <w:szCs w:val="32"/>
        </w:rPr>
        <w:t>深耕文化引领融合的街区消费场景</w:t>
      </w:r>
      <w:bookmarkEnd w:id="27"/>
      <w:bookmarkEnd w:id="28"/>
    </w:p>
    <w:p>
      <w:pPr>
        <w:keepNext/>
        <w:snapToGrid w:val="0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打造中轴线文化传承创新轴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。依托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北京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中轴线、大运河文化遗产，推进文物保护利用示范区建设，开发主题游径、举办文化节事，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打造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中轴线上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文化名片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引导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故宫—钟鼓楼段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重点利用腾退空间，发展文化遗产数字化保护、文化IP运营、高端文创产品开发等。永定门—故宫段重点支持沿线街区开展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微更新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，植入演艺、非遗工坊、艺术展览等业态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/>
        <w:snapToGrid w:val="0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fill="FFFF00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</w:rPr>
        <w:t>打响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</w:rPr>
        <w:t>文化金三角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</w:rPr>
        <w:t>消费地标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。联动故宫、王府井、隆福寺三方资源，建立统筹协同机制，探索市场化运营路径，推动联合造节营销，深耕沉浸式融合产品，培育文博艺术、戏剧演艺、时尚休闲、精品美宿等业态，打通“文化内容—流量转化—消费变现”的完整生态链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shd w:val="clear"/>
          <w:lang w:eastAsia="zh-CN"/>
        </w:rPr>
        <w:t>。</w:t>
      </w:r>
    </w:p>
    <w:p>
      <w:pPr>
        <w:keepNext/>
        <w:adjustRightInd w:val="0"/>
        <w:snapToGrid w:val="0"/>
        <w:spacing w:line="560" w:lineRule="exact"/>
        <w:ind w:firstLine="640" w:firstLineChars="200"/>
        <w:outlineLvl w:val="1"/>
        <w:rPr>
          <w:rFonts w:eastAsia="楷体_GB2312"/>
          <w:color w:val="auto"/>
          <w:sz w:val="32"/>
          <w:szCs w:val="32"/>
        </w:rPr>
      </w:pPr>
      <w:bookmarkStart w:id="29" w:name="_Toc2307"/>
      <w:bookmarkStart w:id="30" w:name="_Toc21880"/>
      <w:r>
        <w:rPr>
          <w:rFonts w:hint="eastAsia" w:eastAsia="楷体_GB2312"/>
          <w:color w:val="auto"/>
          <w:sz w:val="32"/>
          <w:szCs w:val="32"/>
        </w:rPr>
        <w:t>（三）</w:t>
      </w:r>
      <w:r>
        <w:rPr>
          <w:rFonts w:eastAsia="楷体_GB2312"/>
          <w:color w:val="auto"/>
          <w:sz w:val="32"/>
          <w:szCs w:val="32"/>
        </w:rPr>
        <w:t>培育戏城交融共生的演艺消费场景</w:t>
      </w:r>
      <w:bookmarkEnd w:id="29"/>
      <w:bookmarkEnd w:id="30"/>
    </w:p>
    <w:p>
      <w:pPr>
        <w:keepNext/>
        <w:adjustRightInd w:val="0"/>
        <w:snapToGrid w:val="0"/>
        <w:spacing w:line="560" w:lineRule="exact"/>
        <w:ind w:firstLine="640" w:firstLineChars="200"/>
        <w:outlineLvl w:val="9"/>
        <w:rPr>
          <w:rFonts w:hint="eastAsia" w:eastAsia="楷体_GB2312"/>
          <w:color w:val="auto"/>
          <w:sz w:val="32"/>
          <w:szCs w:val="32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推动“</w:t>
      </w:r>
      <w:r>
        <w:rPr>
          <w:rFonts w:hint="eastAsia" w:eastAsia="仿宋_GB2312"/>
          <w:color w:val="auto"/>
          <w:sz w:val="32"/>
          <w:szCs w:val="32"/>
        </w:rPr>
        <w:t>王府井戏剧谷”等剧场群建设，吸引中外优秀文化作品在东城首发、首演、首映、首展，以戏剧基因重塑商业地标。鼓励演艺新空间发展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推广前门广和楼活化利用</w:t>
      </w:r>
      <w:r>
        <w:rPr>
          <w:rFonts w:hint="eastAsia" w:eastAsia="仿宋_GB2312"/>
          <w:color w:val="auto"/>
          <w:sz w:val="32"/>
          <w:szCs w:val="32"/>
        </w:rPr>
        <w:t>。完善“大戏东望”常态化运营机制，构建集创作孵化、演出交易、学术研讨、人才培养于一体的综合性戏剧平台。</w:t>
      </w:r>
    </w:p>
    <w:p>
      <w:pPr>
        <w:keepNext/>
        <w:adjustRightInd w:val="0"/>
        <w:snapToGrid w:val="0"/>
        <w:spacing w:line="560" w:lineRule="exact"/>
        <w:ind w:firstLine="640" w:firstLineChars="200"/>
        <w:outlineLvl w:val="1"/>
        <w:rPr>
          <w:rFonts w:eastAsia="楷体_GB2312"/>
          <w:color w:val="auto"/>
          <w:sz w:val="32"/>
          <w:szCs w:val="32"/>
        </w:rPr>
      </w:pPr>
      <w:bookmarkStart w:id="31" w:name="_Toc13331"/>
      <w:bookmarkStart w:id="32" w:name="_Toc2145"/>
      <w:r>
        <w:rPr>
          <w:rFonts w:hint="eastAsia" w:eastAsia="楷体_GB2312"/>
          <w:color w:val="auto"/>
          <w:sz w:val="32"/>
          <w:szCs w:val="32"/>
        </w:rPr>
        <w:t>（四）</w:t>
      </w:r>
      <w:r>
        <w:rPr>
          <w:rFonts w:eastAsia="楷体_GB2312"/>
          <w:color w:val="auto"/>
          <w:sz w:val="32"/>
          <w:szCs w:val="32"/>
        </w:rPr>
        <w:t>打通“在场”与“在线”的数字消费场景</w:t>
      </w:r>
      <w:bookmarkEnd w:id="31"/>
      <w:bookmarkEnd w:id="32"/>
    </w:p>
    <w:p>
      <w:pPr>
        <w:keepNext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深化数字化消费场景创新，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加快王府井智慧综合管理平台、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数字隆福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虚拟前门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等数字化项目建设，实现线上与实体商业的虚实联动。吸引社会资本，搭建云逛街平台，推进智慧商圈、智慧商店、智慧餐厅建设，支持打造新生代数字潮玩聚集地。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推动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北京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中轴线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上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文化遗产数字化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建设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打造数字文旅标杆。实施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人工智能+文旅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创新计划，孵化数字文创、新型文旅等新兴业态。</w:t>
      </w:r>
    </w:p>
    <w:p>
      <w:pPr>
        <w:keepNext/>
        <w:adjustRightInd w:val="0"/>
        <w:snapToGrid w:val="0"/>
        <w:spacing w:line="560" w:lineRule="exact"/>
        <w:ind w:firstLine="640" w:firstLineChars="200"/>
        <w:outlineLvl w:val="1"/>
        <w:rPr>
          <w:rFonts w:eastAsia="楷体_GB2312"/>
          <w:color w:val="auto"/>
          <w:sz w:val="32"/>
          <w:szCs w:val="32"/>
        </w:rPr>
      </w:pPr>
      <w:bookmarkStart w:id="33" w:name="_Toc11577"/>
      <w:bookmarkStart w:id="34" w:name="_Toc13312"/>
      <w:bookmarkStart w:id="35" w:name="_Toc199939646"/>
      <w:bookmarkStart w:id="36" w:name="_Toc201044024"/>
      <w:r>
        <w:rPr>
          <w:rFonts w:hint="eastAsia" w:eastAsia="楷体_GB2312"/>
          <w:color w:val="auto"/>
          <w:sz w:val="32"/>
          <w:szCs w:val="32"/>
        </w:rPr>
        <w:t>（五）</w:t>
      </w:r>
      <w:r>
        <w:rPr>
          <w:rFonts w:eastAsia="楷体_GB2312"/>
          <w:color w:val="auto"/>
          <w:sz w:val="32"/>
          <w:szCs w:val="32"/>
        </w:rPr>
        <w:t>擦亮烟火艺境兼具的夜间消费场景</w:t>
      </w:r>
      <w:bookmarkEnd w:id="33"/>
      <w:bookmarkEnd w:id="34"/>
    </w:p>
    <w:p>
      <w:pPr>
        <w:keepNext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鼓励商业综合体、商户延长经营时长，布局光影秀、夜间展演、即时零售等多元业态。推动完善王府井商圈夜间配套，隆福寺地区打造夜间消费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文化IP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引导和支持剧院、剧场、博物馆等主体延长夜间开放时间，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推出多条夜间游览线路，均衡分流客流，激活夜间消费活力。</w:t>
      </w:r>
    </w:p>
    <w:p>
      <w:pPr>
        <w:keepNext/>
        <w:adjustRightInd w:val="0"/>
        <w:snapToGrid w:val="0"/>
        <w:spacing w:line="560" w:lineRule="exact"/>
        <w:ind w:firstLine="640" w:firstLineChars="200"/>
        <w:outlineLvl w:val="1"/>
        <w:rPr>
          <w:rFonts w:eastAsia="楷体_GB2312"/>
          <w:color w:val="auto"/>
          <w:sz w:val="32"/>
          <w:szCs w:val="32"/>
        </w:rPr>
      </w:pPr>
      <w:bookmarkStart w:id="37" w:name="_Toc8461"/>
      <w:bookmarkStart w:id="38" w:name="_Toc10602"/>
      <w:r>
        <w:rPr>
          <w:rFonts w:hint="eastAsia" w:eastAsia="楷体_GB2312"/>
          <w:color w:val="auto"/>
          <w:sz w:val="32"/>
          <w:szCs w:val="32"/>
        </w:rPr>
        <w:t>（六）</w:t>
      </w:r>
      <w:r>
        <w:rPr>
          <w:rFonts w:eastAsia="楷体_GB2312"/>
          <w:color w:val="auto"/>
          <w:sz w:val="32"/>
          <w:szCs w:val="32"/>
        </w:rPr>
        <w:t>丰富特色业态鲜明的园区消费场景</w:t>
      </w:r>
      <w:bookmarkEnd w:id="37"/>
      <w:bookmarkEnd w:id="38"/>
    </w:p>
    <w:p>
      <w:pPr>
        <w:pStyle w:val="8"/>
        <w:keepNext/>
        <w:spacing w:after="0"/>
        <w:ind w:firstLine="640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推广</w:t>
      </w:r>
      <w:r>
        <w:rPr>
          <w:rFonts w:hint="eastAsia" w:ascii="Times New Roman" w:hAnsi="Times New Roman"/>
          <w:color w:val="auto"/>
          <w:sz w:val="32"/>
          <w:szCs w:val="32"/>
        </w:rPr>
        <w:t>文化产业园区</w:t>
      </w:r>
      <w:r>
        <w:rPr>
          <w:rFonts w:hint="eastAsia" w:ascii="Times New Roman" w:hAnsi="Times New Roman"/>
          <w:color w:val="auto"/>
          <w:sz w:val="32"/>
          <w:szCs w:val="32"/>
          <w:lang w:eastAsia="zh-CN"/>
        </w:rPr>
        <w:t>“</w:t>
      </w:r>
      <w:r>
        <w:rPr>
          <w:rFonts w:ascii="Times New Roman" w:hAnsi="Times New Roman"/>
          <w:color w:val="auto"/>
          <w:sz w:val="32"/>
          <w:szCs w:val="32"/>
        </w:rPr>
        <w:t>主理人</w:t>
      </w:r>
      <w:r>
        <w:rPr>
          <w:rFonts w:hint="eastAsia" w:ascii="Times New Roman" w:hAnsi="Times New Roman"/>
          <w:color w:val="auto"/>
          <w:sz w:val="32"/>
          <w:szCs w:val="32"/>
          <w:lang w:eastAsia="zh-CN"/>
        </w:rPr>
        <w:t>”</w:t>
      </w:r>
      <w:r>
        <w:rPr>
          <w:rFonts w:ascii="Times New Roman" w:hAnsi="Times New Roman"/>
          <w:color w:val="auto"/>
          <w:sz w:val="32"/>
          <w:szCs w:val="32"/>
        </w:rPr>
        <w:t>模式，引入咖啡、运动、艺术展馆、影视工作室等潮流业态，落地各类</w:t>
      </w:r>
      <w:r>
        <w:rPr>
          <w:rFonts w:hint="eastAsia" w:ascii="Times New Roman" w:hAnsi="Times New Roman"/>
          <w:color w:val="auto"/>
          <w:sz w:val="32"/>
          <w:szCs w:val="32"/>
        </w:rPr>
        <w:t>首发首秀首展</w:t>
      </w:r>
      <w:r>
        <w:rPr>
          <w:rFonts w:ascii="Times New Roman" w:hAnsi="Times New Roman"/>
          <w:color w:val="auto"/>
          <w:sz w:val="32"/>
          <w:szCs w:val="32"/>
        </w:rPr>
        <w:t>活动，打造城市文化客厅。</w:t>
      </w:r>
      <w:r>
        <w:rPr>
          <w:rFonts w:hint="eastAsia" w:ascii="Times New Roman" w:hAnsi="Times New Roman"/>
          <w:color w:val="auto"/>
          <w:sz w:val="32"/>
          <w:szCs w:val="32"/>
          <w:lang w:eastAsia="zh-CN"/>
        </w:rPr>
        <w:t>鼓励文化园区</w:t>
      </w:r>
      <w:r>
        <w:rPr>
          <w:rFonts w:ascii="Times New Roman" w:hAnsi="Times New Roman"/>
          <w:color w:val="auto"/>
          <w:sz w:val="32"/>
          <w:szCs w:val="32"/>
        </w:rPr>
        <w:t>布局非遗数字实验室、虚拟偶像创作中心，构建日间工坊、夜间剧场的分时消费模式</w:t>
      </w:r>
      <w:r>
        <w:rPr>
          <w:rFonts w:hint="eastAsia" w:ascii="Times New Roman" w:hAnsi="Times New Roman"/>
          <w:color w:val="auto"/>
          <w:sz w:val="32"/>
          <w:szCs w:val="32"/>
        </w:rPr>
        <w:t>。</w:t>
      </w:r>
      <w:r>
        <w:rPr>
          <w:rFonts w:hint="eastAsia" w:ascii="Times New Roman" w:hAnsi="Times New Roman"/>
          <w:color w:val="auto"/>
          <w:sz w:val="32"/>
          <w:szCs w:val="32"/>
          <w:lang w:val="en-US" w:eastAsia="zh-CN"/>
        </w:rPr>
        <w:t>推动商业消费与科技创新功能深度融合，</w:t>
      </w:r>
      <w:r>
        <w:rPr>
          <w:rFonts w:hint="eastAsia" w:ascii="Times New Roman" w:hAnsi="Times New Roman"/>
          <w:color w:val="auto"/>
          <w:sz w:val="32"/>
          <w:szCs w:val="32"/>
        </w:rPr>
        <w:t>丰富新视听消费。</w:t>
      </w:r>
    </w:p>
    <w:p>
      <w:pPr>
        <w:keepNext/>
        <w:adjustRightInd w:val="0"/>
        <w:snapToGrid w:val="0"/>
        <w:spacing w:line="560" w:lineRule="exact"/>
        <w:ind w:firstLine="640" w:firstLineChars="200"/>
        <w:outlineLvl w:val="1"/>
        <w:rPr>
          <w:rFonts w:eastAsia="楷体_GB2312"/>
          <w:color w:val="auto"/>
          <w:sz w:val="32"/>
          <w:szCs w:val="32"/>
        </w:rPr>
      </w:pPr>
      <w:bookmarkStart w:id="39" w:name="_Toc728"/>
      <w:bookmarkStart w:id="40" w:name="_Toc19034"/>
      <w:r>
        <w:rPr>
          <w:rFonts w:hint="eastAsia" w:eastAsia="楷体_GB2312"/>
          <w:color w:val="auto"/>
          <w:sz w:val="32"/>
          <w:szCs w:val="32"/>
        </w:rPr>
        <w:t>（七）</w:t>
      </w:r>
      <w:r>
        <w:rPr>
          <w:rFonts w:eastAsia="楷体_GB2312"/>
          <w:color w:val="auto"/>
          <w:sz w:val="32"/>
          <w:szCs w:val="32"/>
        </w:rPr>
        <w:t>拓展</w:t>
      </w:r>
      <w:r>
        <w:rPr>
          <w:rFonts w:hint="eastAsia" w:eastAsia="楷体_GB2312"/>
          <w:color w:val="auto"/>
          <w:sz w:val="32"/>
          <w:szCs w:val="32"/>
          <w:lang w:val="en-US" w:eastAsia="zh-CN"/>
        </w:rPr>
        <w:t>可游可赏可品</w:t>
      </w:r>
      <w:r>
        <w:rPr>
          <w:rFonts w:eastAsia="楷体_GB2312"/>
          <w:color w:val="auto"/>
          <w:sz w:val="32"/>
          <w:szCs w:val="32"/>
        </w:rPr>
        <w:t>的公园消费场景</w:t>
      </w:r>
      <w:bookmarkEnd w:id="39"/>
      <w:bookmarkEnd w:id="40"/>
    </w:p>
    <w:p>
      <w:pPr>
        <w:pStyle w:val="8"/>
        <w:keepNext/>
        <w:spacing w:after="0"/>
        <w:ind w:firstLine="64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推动龙潭、龙潭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湖、青年湖等公园从观光场地转向文商旅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体展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融合消费空间，打造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公园+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消费生态，灵活增设茶歇茶饮、书香雅集、非遗工坊等轻业态，探索庙会、游园会等特色活动常态化运营模式，季节性策划主题灯会、文创市集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活动。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加快推动月亮湾公园建设，打造契合中轴线风貌的开放式消费新空间。</w:t>
      </w:r>
    </w:p>
    <w:p>
      <w:pPr>
        <w:keepNext/>
        <w:adjustRightInd w:val="0"/>
        <w:snapToGrid w:val="0"/>
        <w:spacing w:line="560" w:lineRule="exact"/>
        <w:ind w:firstLine="640" w:firstLineChars="200"/>
        <w:outlineLvl w:val="1"/>
        <w:rPr>
          <w:rFonts w:eastAsia="楷体_GB2312"/>
          <w:color w:val="auto"/>
          <w:sz w:val="32"/>
          <w:szCs w:val="32"/>
        </w:rPr>
      </w:pPr>
      <w:bookmarkStart w:id="41" w:name="_Toc26098"/>
      <w:bookmarkStart w:id="42" w:name="_Toc21587"/>
      <w:r>
        <w:rPr>
          <w:rFonts w:hint="eastAsia" w:eastAsia="楷体_GB2312"/>
          <w:color w:val="auto"/>
          <w:sz w:val="32"/>
          <w:szCs w:val="32"/>
        </w:rPr>
        <w:t>（八）</w:t>
      </w:r>
      <w:r>
        <w:rPr>
          <w:rFonts w:eastAsia="楷体_GB2312"/>
          <w:color w:val="auto"/>
          <w:sz w:val="32"/>
          <w:szCs w:val="32"/>
        </w:rPr>
        <w:t>营造水岸魅力彰显的亲水消费场景</w:t>
      </w:r>
      <w:bookmarkEnd w:id="41"/>
      <w:bookmarkEnd w:id="42"/>
    </w:p>
    <w:p>
      <w:pPr>
        <w:pStyle w:val="8"/>
        <w:keepNext/>
        <w:spacing w:after="0"/>
        <w:ind w:firstLine="640"/>
        <w:rPr>
          <w:rFonts w:ascii="Times New Roman" w:hAnsi="Times New Roman"/>
          <w:color w:val="auto"/>
          <w:sz w:val="32"/>
          <w:szCs w:val="32"/>
        </w:rPr>
      </w:pPr>
      <w:r>
        <w:rPr>
          <w:rFonts w:hint="eastAsia" w:ascii="Times New Roman" w:hAnsi="Times New Roman"/>
          <w:color w:val="auto"/>
          <w:sz w:val="32"/>
          <w:szCs w:val="32"/>
          <w:lang w:val="en-US" w:eastAsia="zh-CN"/>
        </w:rPr>
        <w:t>依托</w:t>
      </w:r>
      <w:r>
        <w:rPr>
          <w:rFonts w:ascii="Times New Roman" w:hAnsi="Times New Roman"/>
          <w:color w:val="auto"/>
          <w:sz w:val="32"/>
          <w:szCs w:val="32"/>
        </w:rPr>
        <w:t>南护城河打造兼具文化展示与休闲功能的</w:t>
      </w:r>
      <w:r>
        <w:rPr>
          <w:rFonts w:hint="eastAsia" w:ascii="Times New Roman" w:hAnsi="Times New Roman"/>
          <w:color w:val="auto"/>
          <w:sz w:val="32"/>
          <w:szCs w:val="32"/>
          <w:lang w:eastAsia="zh-CN"/>
        </w:rPr>
        <w:t>“</w:t>
      </w:r>
      <w:r>
        <w:rPr>
          <w:rFonts w:ascii="Times New Roman" w:hAnsi="Times New Roman"/>
          <w:color w:val="auto"/>
          <w:sz w:val="32"/>
          <w:szCs w:val="32"/>
        </w:rPr>
        <w:t>滨水漫步廊道</w:t>
      </w:r>
      <w:r>
        <w:rPr>
          <w:rFonts w:hint="eastAsia" w:ascii="Times New Roman" w:hAnsi="Times New Roman"/>
          <w:color w:val="auto"/>
          <w:sz w:val="32"/>
          <w:szCs w:val="32"/>
          <w:lang w:eastAsia="zh-CN"/>
        </w:rPr>
        <w:t>”</w:t>
      </w:r>
      <w:r>
        <w:rPr>
          <w:rFonts w:hint="eastAsia" w:ascii="Times New Roman" w:hAnsi="Times New Roman"/>
          <w:color w:val="auto"/>
          <w:sz w:val="32"/>
          <w:szCs w:val="32"/>
        </w:rPr>
        <w:t>。</w:t>
      </w:r>
      <w:r>
        <w:rPr>
          <w:rFonts w:hint="eastAsia" w:ascii="Times New Roman" w:hAnsi="Times New Roman"/>
          <w:color w:val="auto"/>
          <w:sz w:val="32"/>
          <w:szCs w:val="32"/>
          <w:lang w:val="en-US" w:eastAsia="zh-CN"/>
        </w:rPr>
        <w:t>推动</w:t>
      </w:r>
      <w:r>
        <w:rPr>
          <w:rFonts w:ascii="Times New Roman" w:hAnsi="Times New Roman"/>
          <w:color w:val="auto"/>
          <w:sz w:val="32"/>
          <w:szCs w:val="32"/>
        </w:rPr>
        <w:t>龙潭中湖发展水上运动、主题灯会、湖畔音乐节等沉浸式体验项目。</w:t>
      </w:r>
      <w:r>
        <w:rPr>
          <w:rFonts w:hint="eastAsia" w:ascii="Times New Roman" w:hAnsi="Times New Roman"/>
          <w:color w:val="auto"/>
          <w:sz w:val="32"/>
          <w:szCs w:val="32"/>
        </w:rPr>
        <w:t>推动青年湖</w:t>
      </w:r>
      <w:r>
        <w:rPr>
          <w:rFonts w:hint="eastAsia" w:ascii="Times New Roman" w:hAnsi="Times New Roman"/>
          <w:color w:val="auto"/>
          <w:sz w:val="32"/>
          <w:szCs w:val="32"/>
          <w:lang w:val="en-US" w:eastAsia="zh-CN"/>
        </w:rPr>
        <w:t>落地</w:t>
      </w:r>
      <w:r>
        <w:rPr>
          <w:rFonts w:ascii="Times New Roman" w:hAnsi="Times New Roman"/>
          <w:color w:val="auto"/>
          <w:sz w:val="32"/>
          <w:szCs w:val="32"/>
        </w:rPr>
        <w:t>亲子亲水乐园、创意市集等生活化消费场景。</w:t>
      </w:r>
      <w:r>
        <w:rPr>
          <w:rFonts w:hint="eastAsia" w:ascii="Times New Roman" w:hAnsi="Times New Roman"/>
          <w:color w:val="auto"/>
          <w:sz w:val="32"/>
          <w:szCs w:val="32"/>
          <w:lang w:val="en-US" w:eastAsia="zh-CN"/>
        </w:rPr>
        <w:t>推动</w:t>
      </w:r>
      <w:r>
        <w:rPr>
          <w:rFonts w:ascii="Times New Roman"/>
          <w:color w:val="auto"/>
          <w:sz w:val="32"/>
          <w:szCs w:val="32"/>
        </w:rPr>
        <w:t>水陆业态融合，将滨水景观升级为集文化、消费、社交于一体的城市亲水空间。</w:t>
      </w:r>
    </w:p>
    <w:bookmarkEnd w:id="35"/>
    <w:bookmarkEnd w:id="36"/>
    <w:p>
      <w:pPr>
        <w:keepNext/>
        <w:spacing w:line="560" w:lineRule="exact"/>
        <w:ind w:firstLine="640" w:firstLineChars="200"/>
        <w:jc w:val="left"/>
        <w:outlineLvl w:val="0"/>
        <w:rPr>
          <w:rFonts w:eastAsia="黑体"/>
          <w:smallCaps/>
          <w:color w:val="auto"/>
          <w:sz w:val="32"/>
          <w:szCs w:val="32"/>
        </w:rPr>
      </w:pPr>
      <w:bookmarkStart w:id="43" w:name="_Toc6947"/>
      <w:bookmarkStart w:id="44" w:name="_Toc26169"/>
      <w:r>
        <w:rPr>
          <w:rFonts w:hint="eastAsia" w:eastAsia="黑体"/>
          <w:smallCaps/>
          <w:color w:val="auto"/>
          <w:sz w:val="32"/>
          <w:szCs w:val="32"/>
        </w:rPr>
        <w:t>三</w:t>
      </w:r>
      <w:r>
        <w:rPr>
          <w:rFonts w:eastAsia="黑体"/>
          <w:smallCaps/>
          <w:color w:val="auto"/>
          <w:sz w:val="32"/>
          <w:szCs w:val="32"/>
        </w:rPr>
        <w:t>、</w:t>
      </w:r>
      <w:r>
        <w:rPr>
          <w:rFonts w:hint="eastAsia" w:eastAsia="黑体"/>
          <w:smallCaps/>
          <w:color w:val="auto"/>
          <w:sz w:val="32"/>
          <w:szCs w:val="32"/>
          <w:lang w:val="en-US" w:eastAsia="zh-CN"/>
        </w:rPr>
        <w:t>激发新业态</w:t>
      </w:r>
      <w:r>
        <w:rPr>
          <w:rFonts w:hint="eastAsia" w:eastAsia="黑体"/>
          <w:smallCaps/>
          <w:color w:val="auto"/>
          <w:sz w:val="32"/>
          <w:szCs w:val="32"/>
        </w:rPr>
        <w:t>，打造高能级主题消费矩阵</w:t>
      </w:r>
      <w:bookmarkEnd w:id="43"/>
      <w:bookmarkEnd w:id="44"/>
    </w:p>
    <w:p>
      <w:pPr>
        <w:keepNext/>
        <w:adjustRightInd w:val="0"/>
        <w:snapToGrid w:val="0"/>
        <w:spacing w:line="560" w:lineRule="exact"/>
        <w:ind w:firstLine="640" w:firstLineChars="200"/>
        <w:outlineLvl w:val="1"/>
        <w:rPr>
          <w:rFonts w:eastAsia="楷体_GB2312"/>
          <w:color w:val="auto"/>
          <w:sz w:val="32"/>
          <w:szCs w:val="32"/>
        </w:rPr>
      </w:pPr>
      <w:bookmarkStart w:id="45" w:name="_Toc7349"/>
      <w:bookmarkStart w:id="46" w:name="_Toc6672"/>
      <w:r>
        <w:rPr>
          <w:rFonts w:eastAsia="楷体_GB2312"/>
          <w:color w:val="auto"/>
          <w:sz w:val="32"/>
          <w:szCs w:val="32"/>
        </w:rPr>
        <w:t>（一）</w:t>
      </w:r>
      <w:r>
        <w:rPr>
          <w:rFonts w:hint="eastAsia" w:eastAsia="楷体_GB2312"/>
          <w:color w:val="auto"/>
          <w:sz w:val="32"/>
          <w:szCs w:val="32"/>
        </w:rPr>
        <w:t>壮大时尚消费规模</w:t>
      </w:r>
      <w:bookmarkEnd w:id="45"/>
      <w:bookmarkEnd w:id="46"/>
    </w:p>
    <w:p>
      <w:pPr>
        <w:pStyle w:val="8"/>
        <w:keepNext/>
        <w:spacing w:after="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打造国际首发经济高地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提升首店经济能级，精准招引国际奢侈品、高端香化、黄金珠宝、新能源汽车、智能产品等领域的高能级首店、旗舰店、概念店和品牌体验中心，推动首店向总店、总部提升发展，引进培育综合零售商。壮大首发经济动能，以王府井商业街首店集聚中心、隆福寺文创园首发活力中心为枢纽，集聚一批传播、传媒、广告、策划等专业服务机构，打造多层次的新品发布平台。</w:t>
      </w:r>
    </w:p>
    <w:p>
      <w:pPr>
        <w:pStyle w:val="8"/>
        <w:keepNext/>
        <w:spacing w:after="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推动实体零售转型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提质升级购物中心，改造低效商业载体，盘活中庭、屋顶等空间，鼓励发展青年、银发、亲子等主题消费区，推动文商旅演艺业态融合。分类更新百货商场，向高端、专业、内容化方向发展，做强首店与高端品牌，推行买手制、策展式零售，依托场景营造打造兼具社交属性与深度体验的多元复合消费载体。</w:t>
      </w:r>
    </w:p>
    <w:p>
      <w:pPr>
        <w:pStyle w:val="8"/>
        <w:keepNext/>
        <w:spacing w:after="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发展免税保税消费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。探索在商圈商街布局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跨境电商体验店、跨境保税生活馆等实体业态，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推行线上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预订</w:t>
      </w:r>
      <w:bookmarkStart w:id="92" w:name="_GoBack"/>
      <w:bookmarkEnd w:id="92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线下自提服务。搭建保税展示平台，试点文创艺术品保税展销新模式。积极引导承载北京及东城文化特色的品牌与商品进入退税、免税渠道，满足国际消费者的购物需求。串联故宫、天坛等世界文化遗产，探索开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免税购物+文化游览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精品线路。</w:t>
      </w:r>
    </w:p>
    <w:p>
      <w:pPr>
        <w:keepNext/>
        <w:adjustRightInd w:val="0"/>
        <w:snapToGrid w:val="0"/>
        <w:spacing w:line="560" w:lineRule="exact"/>
        <w:ind w:firstLine="640" w:firstLineChars="200"/>
        <w:outlineLvl w:val="1"/>
        <w:rPr>
          <w:rFonts w:eastAsia="楷体_GB2312"/>
          <w:color w:val="auto"/>
          <w:sz w:val="32"/>
          <w:szCs w:val="32"/>
        </w:rPr>
      </w:pPr>
      <w:bookmarkStart w:id="47" w:name="_Toc24187"/>
      <w:bookmarkStart w:id="48" w:name="_Toc30504"/>
      <w:r>
        <w:rPr>
          <w:rFonts w:eastAsia="楷体_GB2312"/>
          <w:color w:val="auto"/>
          <w:sz w:val="32"/>
          <w:szCs w:val="32"/>
        </w:rPr>
        <w:t>（二）</w:t>
      </w:r>
      <w:r>
        <w:rPr>
          <w:rFonts w:hint="eastAsia" w:eastAsia="楷体_GB2312"/>
          <w:color w:val="auto"/>
          <w:sz w:val="32"/>
          <w:szCs w:val="32"/>
          <w:lang w:val="en-US" w:eastAsia="zh-CN"/>
        </w:rPr>
        <w:t>引领</w:t>
      </w:r>
      <w:r>
        <w:rPr>
          <w:rFonts w:eastAsia="楷体_GB2312"/>
          <w:color w:val="auto"/>
          <w:sz w:val="32"/>
          <w:szCs w:val="32"/>
        </w:rPr>
        <w:t>国潮消费</w:t>
      </w:r>
      <w:r>
        <w:rPr>
          <w:rFonts w:hint="eastAsia" w:eastAsia="楷体_GB2312"/>
          <w:color w:val="auto"/>
          <w:sz w:val="32"/>
          <w:szCs w:val="32"/>
          <w:lang w:val="en-US" w:eastAsia="zh-CN"/>
        </w:rPr>
        <w:t>热</w:t>
      </w:r>
      <w:r>
        <w:rPr>
          <w:rFonts w:eastAsia="楷体_GB2312"/>
          <w:color w:val="auto"/>
          <w:sz w:val="32"/>
          <w:szCs w:val="32"/>
        </w:rPr>
        <w:t>潮</w:t>
      </w:r>
      <w:bookmarkEnd w:id="47"/>
      <w:bookmarkEnd w:id="48"/>
    </w:p>
    <w:p>
      <w:pPr>
        <w:pStyle w:val="8"/>
        <w:keepNext/>
        <w:spacing w:after="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擦亮老字号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金名片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出台举措推动老字号焕新，完善人才激励机制，鼓励跨界合作、集聚发展、数字化转型，借助服贸会等国际展会提升品牌影响力。推动老字号融合国风与国际审美打造新品，开设旗舰店、举办各类首发首秀活动。联动文旅打造非遗体验线路、国潮旅游产品，融入前门、隆福寺等街区文商旅项目，打造城市文化打卡地标。</w:t>
      </w:r>
    </w:p>
    <w:p>
      <w:pPr>
        <w:pStyle w:val="8"/>
        <w:keepNext/>
        <w:spacing w:after="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推动非遗传承焕新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支持非遗与多业态融合新场景建设，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扶持非遗实践基地与焕新项目，做强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非遗四季工坊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，打造集工坊、体验店、研学基地于一体的综合体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促进非遗技艺活态传承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。搭建非遗数字资源库，运用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人工智能生成内容（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/>
        </w:rPr>
        <w:t>AIGC</w:t>
      </w:r>
      <w:r>
        <w:rPr>
          <w:rFonts w:hint="eastAsia" w:ascii="仿宋_GB2312" w:hAnsi="仿宋_GB2312" w:cs="仿宋_GB2312"/>
          <w:color w:val="auto"/>
          <w:sz w:val="32"/>
          <w:szCs w:val="32"/>
          <w:shd w:val="clear" w:fill="auto"/>
          <w:lang w:eastAsia="zh-CN"/>
        </w:rPr>
        <w:t>）、</w:t>
      </w:r>
      <w:r>
        <w:rPr>
          <w:rFonts w:hint="eastAsia" w:ascii="仿宋_GB2312" w:hAnsi="仿宋_GB2312" w:cs="仿宋_GB2312"/>
          <w:color w:val="auto"/>
          <w:sz w:val="32"/>
          <w:szCs w:val="32"/>
          <w:shd w:val="clear" w:fill="auto"/>
          <w:lang w:val="en-US" w:eastAsia="zh-CN"/>
        </w:rPr>
        <w:t>增强现实（AR）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转化数字消费内容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丰富非遗数字化展示和传播方式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。推动非遗跨界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游戏、戏剧等业态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，丰富消费供给。</w:t>
      </w:r>
    </w:p>
    <w:p>
      <w:pPr>
        <w:pStyle w:val="8"/>
        <w:keepNext/>
        <w:spacing w:after="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加快文创潮玩开发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。深挖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北京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中轴线、故宫等文博资源，打造高端文创矩阵，运营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一礼东芳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品牌，开发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故宫以东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盲盒、数字藏品等新潮IP产品。在核心商圈布局文创旗舰店与国际快闪展，推动文博元素对接国际时尚。面向Z世代</w:t>
      </w:r>
      <w:r>
        <w:rPr>
          <w:rStyle w:val="31"/>
          <w:rFonts w:hint="eastAsia" w:ascii="仿宋_GB2312" w:hAnsi="仿宋_GB2312" w:eastAsia="仿宋_GB2312" w:cs="仿宋_GB2312"/>
          <w:color w:val="auto"/>
          <w:sz w:val="32"/>
          <w:szCs w:val="32"/>
        </w:rPr>
        <w:footnoteReference w:id="0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打造二次元、动漫沉浸式策展商业，发展潮玩、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谷子经济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；联动企业举办潮玩嘉年华、电竞赛事，完善IP开发、场景落地、消费转化全链条。</w:t>
      </w:r>
    </w:p>
    <w:p>
      <w:pPr>
        <w:keepNext/>
        <w:adjustRightInd w:val="0"/>
        <w:snapToGrid w:val="0"/>
        <w:spacing w:line="560" w:lineRule="exact"/>
        <w:ind w:firstLine="640" w:firstLineChars="200"/>
        <w:outlineLvl w:val="1"/>
        <w:rPr>
          <w:rFonts w:eastAsia="楷体_GB2312"/>
          <w:color w:val="auto"/>
          <w:sz w:val="32"/>
          <w:szCs w:val="32"/>
        </w:rPr>
      </w:pPr>
      <w:bookmarkStart w:id="49" w:name="_Toc26314"/>
      <w:bookmarkStart w:id="50" w:name="_Toc14228"/>
      <w:r>
        <w:rPr>
          <w:rFonts w:eastAsia="楷体_GB2312"/>
          <w:color w:val="auto"/>
          <w:sz w:val="32"/>
          <w:szCs w:val="32"/>
        </w:rPr>
        <w:t>（三）</w:t>
      </w:r>
      <w:r>
        <w:rPr>
          <w:rFonts w:hint="eastAsia" w:eastAsia="楷体_GB2312"/>
          <w:color w:val="auto"/>
          <w:sz w:val="32"/>
          <w:szCs w:val="32"/>
          <w:lang w:val="en-US" w:eastAsia="zh-CN"/>
        </w:rPr>
        <w:t>释放</w:t>
      </w:r>
      <w:r>
        <w:rPr>
          <w:rFonts w:eastAsia="楷体_GB2312"/>
          <w:color w:val="auto"/>
          <w:sz w:val="32"/>
          <w:szCs w:val="32"/>
        </w:rPr>
        <w:t>文旅消费活力</w:t>
      </w:r>
      <w:bookmarkEnd w:id="49"/>
      <w:bookmarkEnd w:id="50"/>
    </w:p>
    <w:p>
      <w:pPr>
        <w:pStyle w:val="8"/>
        <w:keepNext/>
        <w:spacing w:after="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做强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故宫以东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品牌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。推深做实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故宫以东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共创计划，联动多类市场主体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开发研学、数字文创、国潮产品；依托区域文博资源打造研学集聚区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开展知名IP跨界联名，打造年轻客群消费场景。优化配套、推出联票，增强“故宫以东•城市度假文化金三角”北京微度假目的地品牌影响力，常态化开展线上线下主题促消费活动。</w:t>
      </w:r>
    </w:p>
    <w:p>
      <w:pPr>
        <w:pStyle w:val="8"/>
        <w:keepNext/>
        <w:spacing w:after="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培育数字演艺新体验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。在商圈、影院、文化园区等多载体构建多渠道观演生态。推进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会馆有戏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活化利用，深化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胡同剧场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生态，打造更多沉浸式演艺新空间，运用光影、数字技术增强体验效果。</w:t>
      </w:r>
    </w:p>
    <w:p>
      <w:pPr>
        <w:pStyle w:val="8"/>
        <w:keepNext/>
        <w:spacing w:after="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放大消费融合乘数效应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。建立健全文商旅体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联动发展统筹协调机制，打破消费融合壁垒。完善促消费活动矩阵，打造特色消费IP。大力发展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票根经济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，跨业态推出联动优惠。绘制全域融合消费数字地图，开发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北京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中轴线遗产探访、胡同漫步等个性化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城市漫步（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City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Walk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线路，拓宽消费动线。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策划引进一批“小而美”精品专业会展，持续释放融合消费潜力。</w:t>
      </w:r>
    </w:p>
    <w:p>
      <w:pPr>
        <w:keepNext/>
        <w:adjustRightInd w:val="0"/>
        <w:snapToGrid w:val="0"/>
        <w:spacing w:line="560" w:lineRule="exact"/>
        <w:ind w:firstLine="640" w:firstLineChars="200"/>
        <w:outlineLvl w:val="1"/>
        <w:rPr>
          <w:rFonts w:eastAsia="楷体_GB2312"/>
          <w:color w:val="auto"/>
          <w:sz w:val="32"/>
          <w:szCs w:val="32"/>
        </w:rPr>
      </w:pPr>
      <w:bookmarkStart w:id="51" w:name="_Toc28895"/>
      <w:bookmarkStart w:id="52" w:name="_Toc15210"/>
      <w:r>
        <w:rPr>
          <w:rFonts w:eastAsia="楷体_GB2312"/>
          <w:color w:val="auto"/>
          <w:sz w:val="32"/>
          <w:szCs w:val="32"/>
        </w:rPr>
        <w:t>（四）打响美食消费品牌</w:t>
      </w:r>
      <w:bookmarkEnd w:id="51"/>
      <w:bookmarkEnd w:id="52"/>
    </w:p>
    <w:p>
      <w:pPr>
        <w:pStyle w:val="8"/>
        <w:keepNext/>
        <w:spacing w:after="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打造中西特色美食集聚区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。集聚米其林、黑珍珠、国际创意餐饮，丰富高端餐饮供给，创新多时段沉浸式餐饮场景。办好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簋街不夜节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前门美食荟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等品牌活动。利用前门鲜鱼口北京特色餐饮聚集街区传承推广京味饮食文化。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支持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品质餐饮进驻文博、体育场馆。培育特色餐饮小店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。</w:t>
      </w:r>
    </w:p>
    <w:p>
      <w:pPr>
        <w:pStyle w:val="8"/>
        <w:keepNext/>
        <w:spacing w:after="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打造国际茶香与咖啡之城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。发展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京韵茶香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，推动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重点企业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茶叶门店增设茶艺研学、文创茶礼，打造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商务休闲茶空间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，推动茶文化走进剧场会馆、高端酒店等。深耕“咖香东城”，引入国际咖啡品牌，开发融入古都文化的特色咖啡产品，探索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咖啡+非遗、艺术展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复合空间。</w:t>
      </w:r>
    </w:p>
    <w:p>
      <w:pPr>
        <w:keepNext/>
        <w:adjustRightInd w:val="0"/>
        <w:snapToGrid w:val="0"/>
        <w:spacing w:line="560" w:lineRule="exact"/>
        <w:ind w:firstLine="640" w:firstLineChars="200"/>
        <w:outlineLvl w:val="1"/>
        <w:rPr>
          <w:rFonts w:eastAsia="楷体_GB2312"/>
          <w:color w:val="auto"/>
          <w:sz w:val="32"/>
          <w:szCs w:val="32"/>
        </w:rPr>
      </w:pPr>
      <w:bookmarkStart w:id="53" w:name="_Toc1506"/>
      <w:bookmarkStart w:id="54" w:name="_Toc15354"/>
      <w:r>
        <w:rPr>
          <w:rFonts w:eastAsia="楷体_GB2312"/>
          <w:color w:val="auto"/>
          <w:sz w:val="32"/>
          <w:szCs w:val="32"/>
        </w:rPr>
        <w:t>（五）提升健康消费能级</w:t>
      </w:r>
      <w:bookmarkEnd w:id="53"/>
      <w:bookmarkEnd w:id="54"/>
    </w:p>
    <w:p>
      <w:pPr>
        <w:pStyle w:val="8"/>
        <w:keepNext/>
        <w:spacing w:after="0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b/>
          <w:color w:val="auto"/>
          <w:sz w:val="32"/>
          <w:szCs w:val="32"/>
        </w:rPr>
        <w:t>壮大新型健康服务业态</w:t>
      </w:r>
      <w:r>
        <w:rPr>
          <w:rFonts w:ascii="Times New Roman" w:hAnsi="Times New Roman"/>
          <w:color w:val="auto"/>
          <w:sz w:val="32"/>
          <w:szCs w:val="32"/>
        </w:rPr>
        <w:t>。推进北京协和医院等国际医疗服务试点建设。依托互联网医院优化医疗服务。推进</w:t>
      </w:r>
      <w:r>
        <w:rPr>
          <w:rFonts w:hint="eastAsia" w:ascii="Times New Roman" w:hAnsi="Times New Roman"/>
          <w:color w:val="auto"/>
          <w:sz w:val="32"/>
          <w:szCs w:val="32"/>
          <w:lang w:val="en-US" w:eastAsia="zh-CN"/>
        </w:rPr>
        <w:t>做好医疗机构</w:t>
      </w:r>
      <w:r>
        <w:rPr>
          <w:rFonts w:ascii="Times New Roman" w:hAnsi="Times New Roman"/>
          <w:color w:val="auto"/>
          <w:sz w:val="32"/>
          <w:szCs w:val="32"/>
        </w:rPr>
        <w:t>特医食品</w:t>
      </w:r>
      <w:r>
        <w:rPr>
          <w:rFonts w:hint="eastAsia" w:ascii="Times New Roman" w:hAnsi="Times New Roman"/>
          <w:color w:val="auto"/>
          <w:sz w:val="32"/>
          <w:szCs w:val="32"/>
          <w:lang w:val="en-US" w:eastAsia="zh-CN"/>
        </w:rPr>
        <w:t>试点工作</w:t>
      </w:r>
      <w:r>
        <w:rPr>
          <w:rFonts w:ascii="Times New Roman" w:hAnsi="Times New Roman"/>
          <w:color w:val="auto"/>
          <w:sz w:val="32"/>
          <w:szCs w:val="32"/>
        </w:rPr>
        <w:t>，推</w:t>
      </w:r>
      <w:r>
        <w:rPr>
          <w:rFonts w:hint="eastAsia" w:ascii="Times New Roman" w:hAnsi="Times New Roman"/>
          <w:color w:val="auto"/>
          <w:sz w:val="32"/>
          <w:szCs w:val="32"/>
          <w:lang w:val="en-US" w:eastAsia="zh-CN"/>
        </w:rPr>
        <w:t>进</w:t>
      </w:r>
      <w:r>
        <w:rPr>
          <w:rFonts w:ascii="Times New Roman" w:hAnsi="Times New Roman"/>
          <w:color w:val="auto"/>
          <w:sz w:val="32"/>
          <w:szCs w:val="32"/>
        </w:rPr>
        <w:t>特医食品行业发展。鼓励发展运动康复新业态，支持发展医养结合、健康管理、高端体检、心理咨询、个性化医美服务</w:t>
      </w:r>
      <w:r>
        <w:rPr>
          <w:rFonts w:ascii="Times New Roman"/>
          <w:color w:val="auto"/>
          <w:sz w:val="32"/>
          <w:szCs w:val="32"/>
        </w:rPr>
        <w:t>，培育特色健康消费品牌</w:t>
      </w:r>
      <w:r>
        <w:rPr>
          <w:rFonts w:ascii="Times New Roman" w:hAnsi="Times New Roman"/>
          <w:color w:val="auto"/>
          <w:sz w:val="32"/>
          <w:szCs w:val="32"/>
        </w:rPr>
        <w:t>。</w:t>
      </w:r>
    </w:p>
    <w:p>
      <w:pPr>
        <w:pStyle w:val="8"/>
        <w:keepNext/>
        <w:spacing w:after="0"/>
        <w:rPr>
          <w:rFonts w:ascii="Times New Roman" w:hAnsi="Times New Roman"/>
          <w:bCs/>
          <w:color w:val="auto"/>
          <w:sz w:val="32"/>
          <w:szCs w:val="32"/>
        </w:rPr>
      </w:pPr>
      <w:r>
        <w:rPr>
          <w:rFonts w:ascii="Times New Roman"/>
          <w:b/>
          <w:color w:val="auto"/>
          <w:sz w:val="32"/>
          <w:szCs w:val="32"/>
        </w:rPr>
        <w:t>做优中医药健康服务品牌</w:t>
      </w:r>
      <w:r>
        <w:rPr>
          <w:rFonts w:ascii="Times New Roman"/>
          <w:color w:val="auto"/>
          <w:sz w:val="32"/>
          <w:szCs w:val="32"/>
        </w:rPr>
        <w:t>。推动中医药活态传承项目，挖掘</w:t>
      </w:r>
      <w:r>
        <w:rPr>
          <w:rFonts w:hint="eastAsia" w:ascii="Times New Roman" w:hAnsi="Times New Roman"/>
          <w:color w:val="auto"/>
          <w:sz w:val="32"/>
          <w:szCs w:val="32"/>
          <w:lang w:eastAsia="zh-CN"/>
        </w:rPr>
        <w:t>“</w:t>
      </w:r>
      <w:r>
        <w:rPr>
          <w:rFonts w:ascii="Times New Roman"/>
          <w:color w:val="auto"/>
          <w:sz w:val="32"/>
          <w:szCs w:val="32"/>
        </w:rPr>
        <w:t>燕京医学</w:t>
      </w:r>
      <w:r>
        <w:rPr>
          <w:rFonts w:hint="eastAsia" w:ascii="Times New Roman" w:hAnsi="Times New Roman"/>
          <w:color w:val="auto"/>
          <w:sz w:val="32"/>
          <w:szCs w:val="32"/>
          <w:lang w:eastAsia="zh-CN"/>
        </w:rPr>
        <w:t>”“</w:t>
      </w:r>
      <w:r>
        <w:rPr>
          <w:rFonts w:ascii="Times New Roman"/>
          <w:color w:val="auto"/>
          <w:sz w:val="32"/>
          <w:szCs w:val="32"/>
        </w:rPr>
        <w:t>宫廷医学</w:t>
      </w:r>
      <w:r>
        <w:rPr>
          <w:rFonts w:hint="eastAsia" w:ascii="Times New Roman" w:hAnsi="Times New Roman"/>
          <w:color w:val="auto"/>
          <w:sz w:val="32"/>
          <w:szCs w:val="32"/>
          <w:lang w:eastAsia="zh-CN"/>
        </w:rPr>
        <w:t>”“</w:t>
      </w:r>
      <w:r>
        <w:rPr>
          <w:rFonts w:ascii="Times New Roman"/>
          <w:color w:val="auto"/>
          <w:sz w:val="32"/>
          <w:szCs w:val="32"/>
        </w:rPr>
        <w:t>老字号</w:t>
      </w:r>
      <w:r>
        <w:rPr>
          <w:rFonts w:hint="eastAsia" w:ascii="Times New Roman" w:hAnsi="Times New Roman"/>
          <w:color w:val="auto"/>
          <w:sz w:val="32"/>
          <w:szCs w:val="32"/>
          <w:lang w:eastAsia="zh-CN"/>
        </w:rPr>
        <w:t>”</w:t>
      </w:r>
      <w:r>
        <w:rPr>
          <w:rFonts w:ascii="Times New Roman"/>
          <w:color w:val="auto"/>
          <w:sz w:val="32"/>
          <w:szCs w:val="32"/>
        </w:rPr>
        <w:t>传统技艺。依托辖区中医院，搭建中医药非遗文化展示区。创新中医药文化体验，开展药材品鉴、理疗体验等活动，持续举办地坛中医药健康文化节，促进中医药与旅游、新消费跨界融合</w:t>
      </w:r>
      <w:bookmarkStart w:id="55" w:name="_Toc201044025"/>
      <w:bookmarkStart w:id="56" w:name="_Toc199939647"/>
      <w:r>
        <w:rPr>
          <w:rFonts w:ascii="Times New Roman"/>
          <w:color w:val="auto"/>
          <w:sz w:val="32"/>
          <w:szCs w:val="32"/>
        </w:rPr>
        <w:t>。</w:t>
      </w:r>
    </w:p>
    <w:p>
      <w:pPr>
        <w:keepNext/>
        <w:spacing w:line="560" w:lineRule="exact"/>
        <w:ind w:firstLine="640" w:firstLineChars="200"/>
        <w:jc w:val="left"/>
        <w:outlineLvl w:val="0"/>
        <w:rPr>
          <w:rFonts w:eastAsia="黑体"/>
          <w:smallCaps/>
          <w:color w:val="auto"/>
          <w:sz w:val="32"/>
          <w:szCs w:val="32"/>
        </w:rPr>
      </w:pPr>
      <w:bookmarkStart w:id="57" w:name="_Toc12930"/>
      <w:bookmarkStart w:id="58" w:name="_Toc10693"/>
      <w:r>
        <w:rPr>
          <w:rFonts w:hint="eastAsia" w:eastAsia="黑体"/>
          <w:smallCaps/>
          <w:color w:val="auto"/>
          <w:sz w:val="32"/>
          <w:szCs w:val="32"/>
        </w:rPr>
        <w:t>四、</w:t>
      </w:r>
      <w:r>
        <w:rPr>
          <w:rFonts w:hint="eastAsia" w:eastAsia="黑体"/>
          <w:smallCaps/>
          <w:color w:val="auto"/>
          <w:sz w:val="32"/>
          <w:szCs w:val="32"/>
          <w:lang w:val="en-US" w:eastAsia="zh-CN"/>
        </w:rPr>
        <w:t>催生新模式</w:t>
      </w:r>
      <w:r>
        <w:rPr>
          <w:rFonts w:hint="eastAsia" w:eastAsia="黑体"/>
          <w:smallCaps/>
          <w:color w:val="auto"/>
          <w:sz w:val="32"/>
          <w:szCs w:val="32"/>
        </w:rPr>
        <w:t>，扩容高品质特色消费供给</w:t>
      </w:r>
      <w:bookmarkEnd w:id="57"/>
      <w:bookmarkEnd w:id="58"/>
    </w:p>
    <w:p>
      <w:pPr>
        <w:keepNext/>
        <w:adjustRightInd w:val="0"/>
        <w:snapToGrid w:val="0"/>
        <w:spacing w:line="560" w:lineRule="exact"/>
        <w:ind w:firstLine="640" w:firstLineChars="200"/>
        <w:outlineLvl w:val="1"/>
        <w:rPr>
          <w:rFonts w:eastAsia="楷体_GB2312"/>
          <w:color w:val="auto"/>
          <w:sz w:val="32"/>
          <w:szCs w:val="32"/>
        </w:rPr>
      </w:pPr>
      <w:bookmarkStart w:id="59" w:name="_Toc6488"/>
      <w:bookmarkStart w:id="60" w:name="_Toc5854"/>
      <w:r>
        <w:rPr>
          <w:rFonts w:hint="eastAsia" w:eastAsia="楷体_GB2312"/>
          <w:color w:val="auto"/>
          <w:sz w:val="32"/>
          <w:szCs w:val="32"/>
        </w:rPr>
        <w:t>（一）培育新型数字消费生态</w:t>
      </w:r>
      <w:bookmarkEnd w:id="59"/>
      <w:bookmarkEnd w:id="60"/>
    </w:p>
    <w:p>
      <w:pPr>
        <w:pStyle w:val="8"/>
        <w:keepNext/>
        <w:spacing w:after="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积极发展新型电商消费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。规划建设1-2个市级直播电商基地，做强红桥珍珠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非遗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直播阵地，拓展王府井、隆福寺商圈直播场景。依托前门、珐琅厂打造老字号、非遗直播矩阵，运用大数据匹配消费需求，同步完成商品销售与传统技艺展示。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推动传统商业向线上线下融合转型，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/>
        </w:rPr>
        <w:t>联动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互联网消费服务平台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开展联动促消费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活动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。布局30分钟即时零售服务圈，覆盖餐饮、生鲜、医药、日用百货，全面接入即时配送平台，提升便民消费效率。</w:t>
      </w:r>
    </w:p>
    <w:p>
      <w:pPr>
        <w:pStyle w:val="8"/>
        <w:keepNext/>
        <w:spacing w:after="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创新发展数字内容消费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。丰富动漫、微短剧、数字演艺等视听内容，举办网文赛事挖掘IP源头，推进微短剧出海、精品游戏出版。依托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人工智能生成内容（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/>
        </w:rPr>
        <w:t>AIGC</w:t>
      </w:r>
      <w:r>
        <w:rPr>
          <w:rFonts w:hint="eastAsia" w:ascii="仿宋_GB2312" w:hAnsi="仿宋_GB2312" w:cs="仿宋_GB2312"/>
          <w:color w:val="auto"/>
          <w:sz w:val="32"/>
          <w:szCs w:val="32"/>
          <w:shd w:val="clear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/>
        </w:rPr>
        <w:t>、</w:t>
      </w:r>
      <w:r>
        <w:rPr>
          <w:rFonts w:hint="eastAsia" w:ascii="仿宋_GB2312" w:hAnsi="仿宋_GB2312" w:cs="仿宋_GB2312"/>
          <w:color w:val="auto"/>
          <w:sz w:val="32"/>
          <w:szCs w:val="32"/>
          <w:shd w:val="clear"/>
          <w:lang w:val="en-US" w:eastAsia="zh-CN"/>
        </w:rPr>
        <w:t>虚拟现实（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/>
        </w:rPr>
        <w:t>VR</w:t>
      </w:r>
      <w:r>
        <w:rPr>
          <w:rFonts w:hint="eastAsia" w:ascii="仿宋_GB2312" w:hAnsi="仿宋_GB2312" w:cs="仿宋_GB2312"/>
          <w:color w:val="auto"/>
          <w:sz w:val="32"/>
          <w:szCs w:val="32"/>
          <w:shd w:val="clear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/>
        </w:rPr>
        <w:t>、元宇宙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技术打造数字文博、虚拟数字人沉浸式产品。推动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人工智能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赋能虚拟场景搭建、精准营销，搭建包含数据分发、交易、金融服务的创作者配套体系，培育创作者经济。</w:t>
      </w:r>
    </w:p>
    <w:p>
      <w:pPr>
        <w:keepNext/>
        <w:adjustRightInd w:val="0"/>
        <w:snapToGrid w:val="0"/>
        <w:spacing w:line="560" w:lineRule="exact"/>
        <w:ind w:firstLine="640" w:firstLineChars="200"/>
        <w:outlineLvl w:val="1"/>
        <w:rPr>
          <w:rFonts w:eastAsia="楷体_GB2312"/>
          <w:color w:val="auto"/>
          <w:sz w:val="32"/>
          <w:szCs w:val="32"/>
        </w:rPr>
      </w:pPr>
      <w:bookmarkStart w:id="61" w:name="_Toc23893"/>
      <w:bookmarkStart w:id="62" w:name="_Toc20384"/>
      <w:r>
        <w:rPr>
          <w:rFonts w:hint="eastAsia" w:eastAsia="楷体_GB2312"/>
          <w:color w:val="auto"/>
          <w:sz w:val="32"/>
          <w:szCs w:val="32"/>
        </w:rPr>
        <w:t>（二）增强体育赛事消费动能</w:t>
      </w:r>
      <w:bookmarkEnd w:id="61"/>
      <w:bookmarkEnd w:id="62"/>
    </w:p>
    <w:p>
      <w:pPr>
        <w:pStyle w:val="8"/>
        <w:keepNext/>
        <w:spacing w:after="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拓展体育消费场景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。完善“三中心一场馆”</w:t>
      </w:r>
      <w:r>
        <w:rPr>
          <w:rStyle w:val="31"/>
          <w:rFonts w:hint="eastAsia" w:ascii="仿宋_GB2312" w:hAnsi="仿宋_GB2312" w:eastAsia="仿宋_GB2312" w:cs="仿宋_GB2312"/>
          <w:color w:val="auto"/>
          <w:sz w:val="32"/>
          <w:szCs w:val="32"/>
        </w:rPr>
        <w:footnoteReference w:id="1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“三公园一中心”</w:t>
      </w:r>
      <w:r>
        <w:rPr>
          <w:rStyle w:val="31"/>
          <w:rFonts w:hint="eastAsia" w:ascii="仿宋_GB2312" w:hAnsi="仿宋_GB2312" w:eastAsia="仿宋_GB2312" w:cs="仿宋_GB2312"/>
          <w:color w:val="auto"/>
          <w:sz w:val="32"/>
          <w:szCs w:val="32"/>
        </w:rPr>
        <w:footnoteReference w:id="2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民健身布局，优化提升公共体育空间，完善龙潭中湖、柳荫、青年湖等公园智慧体育设施和健身服务功能。推进龙潭湖体育产业园空间谋划，围绕体育赛事运营、体育健康等方向，完善产业空间布局，促进优质企业和项目集聚。鼓励社会力量参与体育消费场景建设，结合商圈、城市公共空间资源，探索布局新型消费场景。</w:t>
      </w:r>
    </w:p>
    <w:p>
      <w:pPr>
        <w:pStyle w:val="8"/>
        <w:keepNext/>
        <w:spacing w:after="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激活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体育+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融合消费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。指导体育场馆提升运营效能，推动复合经营模式创新。鼓励体育企业布局体育类首店、体验店等新型消费业态。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完成亮马河体育空间平急两用项目建设，与周边联动发展。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做强“中轴定向”“8•8”体育消费节等本土IP，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常态化开展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全民健身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系列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主题活动，推动赛事进景区、进街区、进商圈，打造新型潮流赛事，推进文体旅深度融合。培育冰雪运动消费场景。依托赛事资源，鼓励市场主体开发体育旅游、赛事文创等衍生产品，延伸体育消费链条。</w:t>
      </w:r>
    </w:p>
    <w:p>
      <w:pPr>
        <w:keepNext/>
        <w:adjustRightInd w:val="0"/>
        <w:snapToGrid w:val="0"/>
        <w:spacing w:line="560" w:lineRule="exact"/>
        <w:ind w:firstLine="640" w:firstLineChars="200"/>
        <w:outlineLvl w:val="1"/>
        <w:rPr>
          <w:rFonts w:eastAsia="楷体_GB2312"/>
          <w:color w:val="auto"/>
          <w:sz w:val="32"/>
          <w:szCs w:val="32"/>
        </w:rPr>
      </w:pPr>
      <w:bookmarkStart w:id="63" w:name="_Toc15029"/>
      <w:bookmarkStart w:id="64" w:name="_Toc11244"/>
      <w:bookmarkStart w:id="65" w:name="_Toc6569"/>
      <w:bookmarkStart w:id="66" w:name="_Toc6301"/>
      <w:bookmarkStart w:id="67" w:name="_Toc25734"/>
      <w:bookmarkStart w:id="68" w:name="_Toc22225"/>
      <w:bookmarkStart w:id="69" w:name="_Toc3358"/>
      <w:bookmarkStart w:id="70" w:name="_Toc236391616"/>
      <w:bookmarkStart w:id="71" w:name="_Toc6558"/>
      <w:r>
        <w:rPr>
          <w:rFonts w:hint="eastAsia" w:eastAsia="楷体_GB2312"/>
          <w:color w:val="auto"/>
          <w:sz w:val="32"/>
          <w:szCs w:val="32"/>
        </w:rPr>
        <w:t>（三）</w:t>
      </w:r>
      <w:r>
        <w:rPr>
          <w:rFonts w:hint="eastAsia" w:eastAsia="楷体_GB2312"/>
          <w:color w:val="auto"/>
          <w:sz w:val="32"/>
          <w:szCs w:val="32"/>
          <w:lang w:val="en-US" w:eastAsia="zh-CN"/>
        </w:rPr>
        <w:t>提质</w:t>
      </w:r>
      <w:r>
        <w:rPr>
          <w:rFonts w:hint="eastAsia" w:eastAsia="楷体_GB2312"/>
          <w:color w:val="auto"/>
          <w:sz w:val="32"/>
          <w:szCs w:val="32"/>
        </w:rPr>
        <w:t>教育和培训消费</w:t>
      </w:r>
      <w:bookmarkEnd w:id="63"/>
      <w:bookmarkEnd w:id="64"/>
      <w:bookmarkEnd w:id="65"/>
      <w:bookmarkEnd w:id="66"/>
      <w:bookmarkEnd w:id="67"/>
      <w:bookmarkEnd w:id="68"/>
      <w:r>
        <w:rPr>
          <w:rFonts w:hint="eastAsia" w:eastAsia="楷体_GB2312"/>
          <w:color w:val="auto"/>
          <w:sz w:val="32"/>
          <w:szCs w:val="32"/>
        </w:rPr>
        <w:t>供给</w:t>
      </w:r>
      <w:bookmarkEnd w:id="69"/>
      <w:bookmarkEnd w:id="70"/>
      <w:bookmarkEnd w:id="71"/>
    </w:p>
    <w:p>
      <w:pPr>
        <w:pStyle w:val="8"/>
        <w:keepNext/>
        <w:spacing w:after="0"/>
        <w:rPr>
          <w:rFonts w:hint="eastAsia" w:ascii="Times New Roman"/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t>提升区域国际教育质量</w:t>
      </w:r>
      <w:r>
        <w:rPr>
          <w:color w:val="auto"/>
          <w:sz w:val="32"/>
          <w:szCs w:val="32"/>
        </w:rPr>
        <w:t>。</w:t>
      </w:r>
      <w:r>
        <w:rPr>
          <w:rFonts w:ascii="Times New Roman"/>
          <w:color w:val="auto"/>
          <w:sz w:val="32"/>
          <w:szCs w:val="32"/>
        </w:rPr>
        <w:t>进一步规范区域内中外合作办学项目</w:t>
      </w:r>
      <w:r>
        <w:rPr>
          <w:rFonts w:hint="eastAsia" w:ascii="Times New Roman"/>
          <w:color w:val="auto"/>
          <w:sz w:val="32"/>
          <w:szCs w:val="32"/>
        </w:rPr>
        <w:t>，</w:t>
      </w:r>
      <w:r>
        <w:rPr>
          <w:rFonts w:ascii="Times New Roman"/>
          <w:color w:val="auto"/>
          <w:sz w:val="32"/>
          <w:szCs w:val="32"/>
        </w:rPr>
        <w:t>充分发挥区域优质教育资源和国际项目优势，营造良好的国际教育环境。</w:t>
      </w:r>
      <w:r>
        <w:rPr>
          <w:rFonts w:hint="eastAsia" w:ascii="Times New Roman"/>
          <w:color w:val="auto"/>
          <w:sz w:val="32"/>
          <w:szCs w:val="32"/>
        </w:rPr>
        <w:t>提高教育国际化水平，为外籍人才子女提供优质教育服务保障。</w:t>
      </w:r>
    </w:p>
    <w:p>
      <w:pPr>
        <w:pStyle w:val="8"/>
        <w:keepNext/>
        <w:spacing w:after="0"/>
        <w:rPr>
          <w:rFonts w:ascii="Times New Roman"/>
          <w:color w:val="auto"/>
          <w:sz w:val="32"/>
          <w:szCs w:val="32"/>
        </w:rPr>
      </w:pPr>
      <w:r>
        <w:rPr>
          <w:rFonts w:hint="eastAsia" w:ascii="Times New Roman"/>
          <w:b/>
          <w:color w:val="auto"/>
          <w:sz w:val="32"/>
          <w:szCs w:val="32"/>
        </w:rPr>
        <w:t>满足教育培训新需求</w:t>
      </w:r>
      <w:r>
        <w:rPr>
          <w:rFonts w:hint="eastAsia" w:ascii="Times New Roman"/>
          <w:color w:val="auto"/>
          <w:sz w:val="32"/>
          <w:szCs w:val="32"/>
        </w:rPr>
        <w:t>。推动驻地院校、科研机构、社会组织共享优质教育资源，满足社会大众化个性化学习需求。规范发展文化艺术、科技、体育等非学科类培训。鼓励以市场化为主导开展职业技能培训，完善培训评价机制。鼓励职业院校与国外知名企业共建基地、共育人才。</w:t>
      </w:r>
    </w:p>
    <w:p>
      <w:pPr>
        <w:keepNext/>
        <w:adjustRightInd w:val="0"/>
        <w:snapToGrid w:val="0"/>
        <w:spacing w:line="560" w:lineRule="exact"/>
        <w:ind w:firstLine="640" w:firstLineChars="200"/>
        <w:outlineLvl w:val="1"/>
        <w:rPr>
          <w:rFonts w:eastAsia="楷体_GB2312"/>
          <w:color w:val="auto"/>
          <w:sz w:val="32"/>
          <w:szCs w:val="32"/>
        </w:rPr>
      </w:pPr>
      <w:bookmarkStart w:id="72" w:name="_Toc12006"/>
      <w:bookmarkStart w:id="73" w:name="_Toc11673"/>
      <w:r>
        <w:rPr>
          <w:rFonts w:hint="eastAsia" w:eastAsia="楷体_GB2312"/>
          <w:color w:val="auto"/>
          <w:sz w:val="32"/>
          <w:szCs w:val="32"/>
        </w:rPr>
        <w:t>（</w:t>
      </w:r>
      <w:r>
        <w:rPr>
          <w:rFonts w:hint="eastAsia" w:eastAsia="楷体_GB2312"/>
          <w:color w:val="auto"/>
          <w:sz w:val="32"/>
          <w:szCs w:val="32"/>
          <w:lang w:eastAsia="zh-CN"/>
        </w:rPr>
        <w:t>四</w:t>
      </w:r>
      <w:r>
        <w:rPr>
          <w:rFonts w:hint="eastAsia" w:eastAsia="楷体_GB2312"/>
          <w:color w:val="auto"/>
          <w:sz w:val="32"/>
          <w:szCs w:val="32"/>
        </w:rPr>
        <w:t>）</w:t>
      </w:r>
      <w:r>
        <w:rPr>
          <w:rFonts w:hint="eastAsia" w:eastAsia="楷体_GB2312"/>
          <w:color w:val="auto"/>
          <w:sz w:val="32"/>
          <w:szCs w:val="32"/>
          <w:lang w:val="en-US" w:eastAsia="zh-CN"/>
        </w:rPr>
        <w:t>挖掘</w:t>
      </w:r>
      <w:r>
        <w:rPr>
          <w:rFonts w:hint="eastAsia" w:eastAsia="楷体_GB2312"/>
          <w:color w:val="auto"/>
          <w:sz w:val="32"/>
          <w:szCs w:val="32"/>
        </w:rPr>
        <w:t>银发经济消费潜力</w:t>
      </w:r>
      <w:bookmarkEnd w:id="72"/>
      <w:bookmarkEnd w:id="73"/>
    </w:p>
    <w:p>
      <w:pPr>
        <w:pStyle w:val="8"/>
        <w:keepNext/>
        <w:spacing w:after="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丰富老年品质生活类消费供给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。全域推进消费场所适老化改造，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引导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商超开设银发专区、举办银发购物节。升级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互联网+助餐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”、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智能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助餐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拓展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健康管理增值服务。推广简化操作、搭载紧急呼叫、认知训练、远程协助功能的适老智能终端，降低老年人数字服务使用门槛。</w:t>
      </w:r>
    </w:p>
    <w:p>
      <w:pPr>
        <w:pStyle w:val="8"/>
        <w:keepNext/>
        <w:spacing w:after="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提升老年健康养生类消费供给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。扩大医养结合远程服务覆盖范围，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打造全场景智慧养老服务，拓展智能设备在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养老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领域中的应用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，依靠智能设备开展康复、慢病监测、健康理疗。完善康复辅具社区租赁网点，面向参保老人提供居家照护服务。推动中医药适老化融合，开发药膳、老年保健食品、药食同源特医食品，普及中医养生生活方式。</w:t>
      </w:r>
    </w:p>
    <w:p>
      <w:pPr>
        <w:keepNext/>
        <w:adjustRightInd w:val="0"/>
        <w:snapToGrid w:val="0"/>
        <w:spacing w:line="560" w:lineRule="exact"/>
        <w:ind w:firstLine="640" w:firstLineChars="200"/>
        <w:outlineLvl w:val="1"/>
        <w:rPr>
          <w:rFonts w:eastAsia="楷体_GB2312"/>
          <w:color w:val="auto"/>
          <w:sz w:val="32"/>
          <w:szCs w:val="32"/>
        </w:rPr>
      </w:pPr>
      <w:bookmarkStart w:id="74" w:name="_Toc17940"/>
      <w:bookmarkStart w:id="75" w:name="_Toc12918"/>
      <w:r>
        <w:rPr>
          <w:rFonts w:hint="eastAsia" w:eastAsia="楷体_GB2312"/>
          <w:color w:val="auto"/>
          <w:sz w:val="32"/>
          <w:szCs w:val="32"/>
        </w:rPr>
        <w:t>（</w:t>
      </w:r>
      <w:r>
        <w:rPr>
          <w:rFonts w:hint="eastAsia" w:eastAsia="楷体_GB2312"/>
          <w:color w:val="auto"/>
          <w:sz w:val="32"/>
          <w:szCs w:val="32"/>
          <w:lang w:eastAsia="zh-CN"/>
        </w:rPr>
        <w:t>五</w:t>
      </w:r>
      <w:r>
        <w:rPr>
          <w:rFonts w:hint="eastAsia" w:eastAsia="楷体_GB2312"/>
          <w:color w:val="auto"/>
          <w:sz w:val="32"/>
          <w:szCs w:val="32"/>
        </w:rPr>
        <w:t>）</w:t>
      </w:r>
      <w:r>
        <w:rPr>
          <w:rFonts w:hint="eastAsia" w:eastAsia="楷体_GB2312"/>
          <w:color w:val="auto"/>
          <w:sz w:val="32"/>
          <w:szCs w:val="32"/>
          <w:lang w:val="en-US" w:eastAsia="zh-CN"/>
        </w:rPr>
        <w:t>优化</w:t>
      </w:r>
      <w:r>
        <w:rPr>
          <w:rFonts w:hint="eastAsia" w:eastAsia="楷体_GB2312"/>
          <w:color w:val="auto"/>
          <w:sz w:val="32"/>
          <w:szCs w:val="32"/>
        </w:rPr>
        <w:t>家政服务消费</w:t>
      </w:r>
      <w:r>
        <w:rPr>
          <w:rFonts w:hint="eastAsia" w:eastAsia="楷体_GB2312"/>
          <w:color w:val="auto"/>
          <w:sz w:val="32"/>
          <w:szCs w:val="32"/>
          <w:lang w:val="en-US" w:eastAsia="zh-CN"/>
        </w:rPr>
        <w:t>结构</w:t>
      </w:r>
      <w:bookmarkEnd w:id="74"/>
      <w:bookmarkEnd w:id="75"/>
    </w:p>
    <w:p>
      <w:pPr>
        <w:pStyle w:val="8"/>
        <w:keepNext/>
        <w:spacing w:after="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扩大优质家政服务供给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。发展高端管家式家政，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鼓励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员工制管理，推动家政服务下沉社区。融合家政、养老、托幼、物业业态，提供一站式定制化服务。拓展收纳、家电清洗、花艺养护等新兴工种，打造全屋一体化、全生命周期家政服务模式，满足多元个性化需求。</w:t>
      </w:r>
    </w:p>
    <w:p>
      <w:pPr>
        <w:pStyle w:val="8"/>
        <w:keepNext/>
        <w:spacing w:after="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支持家政服务品牌化建设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。推行分时段、点单式家政服务，依托互联网、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人工智能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搭建数字化家政运营场景。完善家政从业人员培训、行业标准与信用体系，推广标准化示范合同，保障双方权益。深化省际家政劳务协作，持续夯实家政服务供给基础。</w:t>
      </w:r>
    </w:p>
    <w:p>
      <w:pPr>
        <w:keepNext/>
        <w:adjustRightInd w:val="0"/>
        <w:snapToGrid w:val="0"/>
        <w:spacing w:line="560" w:lineRule="exact"/>
        <w:ind w:firstLine="640" w:firstLineChars="200"/>
        <w:outlineLvl w:val="1"/>
        <w:rPr>
          <w:rFonts w:eastAsia="楷体_GB2312"/>
          <w:color w:val="auto"/>
          <w:sz w:val="32"/>
          <w:szCs w:val="32"/>
        </w:rPr>
      </w:pPr>
      <w:bookmarkStart w:id="76" w:name="_Toc6950"/>
      <w:bookmarkStart w:id="77" w:name="_Toc23908"/>
      <w:r>
        <w:rPr>
          <w:rFonts w:hint="eastAsia" w:eastAsia="楷体_GB2312"/>
          <w:color w:val="auto"/>
          <w:sz w:val="32"/>
          <w:szCs w:val="32"/>
        </w:rPr>
        <w:t>（</w:t>
      </w:r>
      <w:r>
        <w:rPr>
          <w:rFonts w:hint="eastAsia" w:eastAsia="楷体_GB2312"/>
          <w:color w:val="auto"/>
          <w:sz w:val="32"/>
          <w:szCs w:val="32"/>
          <w:lang w:eastAsia="zh-CN"/>
        </w:rPr>
        <w:t>六</w:t>
      </w:r>
      <w:r>
        <w:rPr>
          <w:rFonts w:hint="eastAsia" w:eastAsia="楷体_GB2312"/>
          <w:color w:val="auto"/>
          <w:sz w:val="32"/>
          <w:szCs w:val="32"/>
        </w:rPr>
        <w:t>）</w:t>
      </w:r>
      <w:r>
        <w:rPr>
          <w:rFonts w:eastAsia="楷体_GB2312"/>
          <w:color w:val="auto"/>
          <w:sz w:val="32"/>
          <w:szCs w:val="32"/>
        </w:rPr>
        <w:t>提</w:t>
      </w:r>
      <w:r>
        <w:rPr>
          <w:rFonts w:hint="eastAsia" w:eastAsia="楷体_GB2312"/>
          <w:color w:val="auto"/>
          <w:sz w:val="32"/>
          <w:szCs w:val="32"/>
          <w:lang w:eastAsia="zh-CN"/>
        </w:rPr>
        <w:t>升</w:t>
      </w:r>
      <w:r>
        <w:rPr>
          <w:rFonts w:eastAsia="楷体_GB2312"/>
          <w:color w:val="auto"/>
          <w:sz w:val="32"/>
          <w:szCs w:val="32"/>
        </w:rPr>
        <w:t>便民</w:t>
      </w:r>
      <w:r>
        <w:rPr>
          <w:rFonts w:hint="eastAsia" w:eastAsia="楷体_GB2312"/>
          <w:color w:val="auto"/>
          <w:sz w:val="32"/>
          <w:szCs w:val="32"/>
        </w:rPr>
        <w:t>生活</w:t>
      </w:r>
      <w:r>
        <w:rPr>
          <w:rFonts w:eastAsia="楷体_GB2312"/>
          <w:color w:val="auto"/>
          <w:sz w:val="32"/>
          <w:szCs w:val="32"/>
        </w:rPr>
        <w:t>消费品质</w:t>
      </w:r>
      <w:bookmarkEnd w:id="76"/>
      <w:bookmarkEnd w:id="77"/>
    </w:p>
    <w:p>
      <w:pPr>
        <w:pStyle w:val="8"/>
        <w:keepNext/>
        <w:spacing w:after="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提质社区便民生活圈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cs="仿宋_GB2312"/>
          <w:b w:val="0"/>
          <w:bCs/>
          <w:color w:val="auto"/>
          <w:szCs w:val="32"/>
        </w:rPr>
        <w:t>依托一刻钟便民生活圈建设，结合城市更新盘活胡同、社区闲置边角空间，增设早餐、便利店、书店、咖啡店等多元便民网点。空间紧张社区视情投放自助售货设备，线下便民门店同步完成数字化升级。推广共享客厅、自助寄存、社区寄卖等新业态，规范代厨、整理收纳服务发展。</w:t>
      </w:r>
    </w:p>
    <w:p>
      <w:pPr>
        <w:pStyle w:val="8"/>
        <w:keepNext/>
        <w:spacing w:after="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构建全龄友好型品质生活圈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。围绕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一老一小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完善配套，布局康养理疗、康复辅具租赁等银发服务，配套儿童书店、社区托育、亲子餐饮等童趣业态。标准化改造菜市场、邻里中心，增设适老扶手、儿童游乐区、无障碍设施。</w:t>
      </w:r>
    </w:p>
    <w:p>
      <w:pPr>
        <w:keepNext/>
        <w:adjustRightInd w:val="0"/>
        <w:snapToGrid w:val="0"/>
        <w:spacing w:line="560" w:lineRule="exact"/>
        <w:ind w:firstLine="640" w:firstLineChars="200"/>
        <w:outlineLvl w:val="1"/>
        <w:rPr>
          <w:rFonts w:eastAsia="楷体_GB2312"/>
          <w:color w:val="auto"/>
          <w:sz w:val="32"/>
          <w:szCs w:val="32"/>
        </w:rPr>
      </w:pPr>
      <w:bookmarkStart w:id="78" w:name="_Toc23433"/>
      <w:bookmarkStart w:id="79" w:name="_Toc31802"/>
      <w:r>
        <w:rPr>
          <w:rFonts w:hint="eastAsia" w:eastAsia="楷体_GB2312"/>
          <w:color w:val="auto"/>
          <w:sz w:val="32"/>
          <w:szCs w:val="32"/>
        </w:rPr>
        <w:t>（</w:t>
      </w:r>
      <w:r>
        <w:rPr>
          <w:rFonts w:hint="eastAsia" w:eastAsia="楷体_GB2312"/>
          <w:color w:val="auto"/>
          <w:sz w:val="32"/>
          <w:szCs w:val="32"/>
          <w:lang w:eastAsia="zh-CN"/>
        </w:rPr>
        <w:t>七</w:t>
      </w:r>
      <w:r>
        <w:rPr>
          <w:rFonts w:hint="eastAsia" w:eastAsia="楷体_GB2312"/>
          <w:color w:val="auto"/>
          <w:sz w:val="32"/>
          <w:szCs w:val="32"/>
        </w:rPr>
        <w:t>）</w:t>
      </w:r>
      <w:r>
        <w:rPr>
          <w:rFonts w:eastAsia="楷体_GB2312"/>
          <w:color w:val="auto"/>
          <w:sz w:val="32"/>
          <w:szCs w:val="32"/>
        </w:rPr>
        <w:t>创新绿色低碳消费模式</w:t>
      </w:r>
      <w:bookmarkEnd w:id="78"/>
      <w:bookmarkEnd w:id="79"/>
    </w:p>
    <w:p>
      <w:pPr>
        <w:pStyle w:val="8"/>
        <w:keepNext/>
        <w:spacing w:after="0"/>
        <w:rPr>
          <w:rFonts w:ascii="Times New Roman"/>
          <w:color w:val="auto"/>
          <w:sz w:val="32"/>
          <w:szCs w:val="32"/>
        </w:rPr>
      </w:pPr>
      <w:r>
        <w:rPr>
          <w:rFonts w:hint="eastAsia" w:ascii="Times New Roman"/>
          <w:b/>
          <w:color w:val="auto"/>
          <w:sz w:val="32"/>
          <w:szCs w:val="32"/>
        </w:rPr>
        <w:t>完善绿色产品供给</w:t>
      </w:r>
      <w:r>
        <w:rPr>
          <w:rFonts w:hint="eastAsia" w:ascii="Times New Roman"/>
          <w:color w:val="auto"/>
          <w:sz w:val="32"/>
          <w:szCs w:val="32"/>
        </w:rPr>
        <w:t>。</w:t>
      </w:r>
      <w:r>
        <w:rPr>
          <w:rFonts w:hint="eastAsia" w:ascii="Times New Roman"/>
          <w:color w:val="auto"/>
          <w:sz w:val="32"/>
          <w:szCs w:val="32"/>
          <w:lang w:val="en-US" w:eastAsia="zh-CN"/>
        </w:rPr>
        <w:t>加大绿色家电家装推广力度，</w:t>
      </w:r>
      <w:r>
        <w:rPr>
          <w:rFonts w:ascii="Times New Roman"/>
          <w:color w:val="auto"/>
          <w:sz w:val="32"/>
          <w:szCs w:val="32"/>
        </w:rPr>
        <w:t>扩大节能家电、环保建材等绿色产品供给。</w:t>
      </w:r>
      <w:r>
        <w:rPr>
          <w:rFonts w:hint="eastAsia" w:ascii="Times New Roman"/>
          <w:b w:val="0"/>
          <w:bCs/>
          <w:color w:val="auto"/>
          <w:szCs w:val="32"/>
        </w:rPr>
        <w:t>鼓励各类销售平台开展绿色低碳产品促消费活动</w:t>
      </w:r>
      <w:r>
        <w:rPr>
          <w:rFonts w:hint="eastAsia" w:ascii="Times New Roman"/>
          <w:b w:val="0"/>
          <w:bCs/>
          <w:color w:val="auto"/>
          <w:szCs w:val="32"/>
          <w:lang w:eastAsia="zh-CN"/>
        </w:rPr>
        <w:t>。</w:t>
      </w:r>
      <w:r>
        <w:rPr>
          <w:rFonts w:hint="eastAsia" w:ascii="Times New Roman"/>
          <w:color w:val="auto"/>
          <w:szCs w:val="32"/>
        </w:rPr>
        <w:t>积极培育汽车绿色消费，持续提升餐饮、住宿、家政等生活服务领域绿色消费水平。</w:t>
      </w:r>
    </w:p>
    <w:p>
      <w:pPr>
        <w:pStyle w:val="8"/>
        <w:keepNext/>
        <w:spacing w:after="0"/>
        <w:rPr>
          <w:rFonts w:hint="eastAsia" w:ascii="Times New Roman"/>
          <w:color w:val="auto"/>
          <w:sz w:val="32"/>
          <w:szCs w:val="32"/>
        </w:rPr>
      </w:pPr>
      <w:r>
        <w:rPr>
          <w:rFonts w:hint="eastAsia" w:ascii="Times New Roman"/>
          <w:b/>
          <w:color w:val="auto"/>
          <w:sz w:val="32"/>
          <w:szCs w:val="32"/>
        </w:rPr>
        <w:t>推广绿色生活方式</w:t>
      </w:r>
      <w:r>
        <w:rPr>
          <w:rFonts w:hint="eastAsia" w:ascii="Times New Roman"/>
          <w:color w:val="auto"/>
          <w:sz w:val="32"/>
          <w:szCs w:val="32"/>
        </w:rPr>
        <w:t>。</w:t>
      </w:r>
      <w:r>
        <w:rPr>
          <w:rFonts w:ascii="Times New Roman"/>
          <w:color w:val="auto"/>
          <w:sz w:val="32"/>
          <w:szCs w:val="32"/>
        </w:rPr>
        <w:t>完善覆盖社区、商场的废旧物资回收网络，重点回收家电、家具、纺织品，推行线上预约回收、以旧换新。发展线上二手交易平台，</w:t>
      </w:r>
      <w:r>
        <w:rPr>
          <w:rFonts w:hint="eastAsia" w:ascii="仿宋_GB2312" w:hAnsi="Times New Roman" w:eastAsia="仿宋_GB2312"/>
          <w:sz w:val="32"/>
          <w:szCs w:val="32"/>
          <w:highlight w:val="none"/>
          <w:lang w:val="en-US" w:eastAsia="zh-CN"/>
        </w:rPr>
        <w:t>鼓励</w:t>
      </w:r>
      <w:r>
        <w:rPr>
          <w:rFonts w:hint="eastAsia" w:ascii="仿宋_GB2312" w:hAnsi="Times New Roman" w:eastAsia="仿宋_GB2312"/>
          <w:b w:val="0"/>
          <w:bCs w:val="0"/>
          <w:sz w:val="32"/>
          <w:szCs w:val="32"/>
          <w:highlight w:val="none"/>
        </w:rPr>
        <w:t>二手商品流通</w:t>
      </w:r>
      <w:r>
        <w:rPr>
          <w:rFonts w:ascii="仿宋_GB2312" w:hAnsi="Times New Roman" w:eastAsia="仿宋_GB2312"/>
          <w:sz w:val="32"/>
          <w:szCs w:val="32"/>
          <w:highlight w:val="none"/>
        </w:rPr>
        <w:t>。</w:t>
      </w:r>
    </w:p>
    <w:p>
      <w:pPr>
        <w:keepNext/>
        <w:spacing w:line="560" w:lineRule="exact"/>
        <w:ind w:firstLine="640" w:firstLineChars="200"/>
        <w:jc w:val="left"/>
        <w:outlineLvl w:val="0"/>
        <w:rPr>
          <w:rFonts w:eastAsia="黑体"/>
          <w:smallCaps/>
          <w:color w:val="auto"/>
          <w:sz w:val="32"/>
          <w:szCs w:val="32"/>
        </w:rPr>
      </w:pPr>
      <w:bookmarkStart w:id="80" w:name="_Toc27974"/>
      <w:bookmarkStart w:id="81" w:name="_Toc7238"/>
      <w:r>
        <w:rPr>
          <w:rFonts w:hint="eastAsia" w:eastAsia="黑体"/>
          <w:smallCaps/>
          <w:color w:val="auto"/>
          <w:sz w:val="32"/>
          <w:szCs w:val="32"/>
        </w:rPr>
        <w:t>五、优化生态</w:t>
      </w:r>
      <w:r>
        <w:rPr>
          <w:rFonts w:hint="eastAsia" w:eastAsia="黑体"/>
          <w:smallCaps/>
          <w:color w:val="auto"/>
          <w:sz w:val="32"/>
          <w:szCs w:val="32"/>
          <w:lang w:val="en-US" w:eastAsia="zh-CN"/>
        </w:rPr>
        <w:t>环境</w:t>
      </w:r>
      <w:r>
        <w:rPr>
          <w:rFonts w:hint="eastAsia" w:eastAsia="黑体"/>
          <w:smallCaps/>
          <w:color w:val="auto"/>
          <w:sz w:val="32"/>
          <w:szCs w:val="32"/>
        </w:rPr>
        <w:t>，营造国际化一流消费环境</w:t>
      </w:r>
      <w:bookmarkEnd w:id="55"/>
      <w:bookmarkEnd w:id="56"/>
      <w:bookmarkEnd w:id="80"/>
      <w:bookmarkEnd w:id="81"/>
    </w:p>
    <w:p>
      <w:pPr>
        <w:keepNext/>
        <w:adjustRightInd w:val="0"/>
        <w:snapToGrid w:val="0"/>
        <w:spacing w:line="560" w:lineRule="exact"/>
        <w:ind w:firstLine="640" w:firstLineChars="200"/>
        <w:outlineLvl w:val="1"/>
        <w:rPr>
          <w:rFonts w:eastAsia="楷体_GB2312"/>
          <w:color w:val="auto"/>
          <w:sz w:val="32"/>
          <w:szCs w:val="32"/>
        </w:rPr>
      </w:pPr>
      <w:bookmarkStart w:id="82" w:name="_Toc29732"/>
      <w:bookmarkStart w:id="83" w:name="_Toc19022"/>
      <w:r>
        <w:rPr>
          <w:rFonts w:hint="eastAsia" w:eastAsia="楷体_GB2312"/>
          <w:color w:val="auto"/>
          <w:sz w:val="32"/>
          <w:szCs w:val="32"/>
        </w:rPr>
        <w:t>（一）</w:t>
      </w:r>
      <w:r>
        <w:rPr>
          <w:rFonts w:eastAsia="楷体_GB2312"/>
          <w:color w:val="auto"/>
          <w:sz w:val="32"/>
          <w:szCs w:val="32"/>
        </w:rPr>
        <w:t>升级国际化消费服务</w:t>
      </w:r>
      <w:bookmarkEnd w:id="82"/>
      <w:bookmarkEnd w:id="83"/>
    </w:p>
    <w:p>
      <w:pPr>
        <w:pStyle w:val="8"/>
        <w:keepNext/>
        <w:spacing w:after="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拓展入境消费市场供给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。加强海内外渠道合作，策划入境旅游线路，加大海外城市文化IP宣传。推动王府井、前门、隆福寺等打造国际友好型商圈（场所），汇聚国际品牌、国货潮品、非遗文创及智能产品。优化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即买即退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便利服务，实现退税全流程无纸化办理。扩大离境退税服务网络，丰富老字号、工艺美术、名优特产等退税商品，开发特色伴手礼，满足入境游客需求。</w:t>
      </w:r>
    </w:p>
    <w:p>
      <w:pPr>
        <w:adjustRightInd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完善国际消费体验环境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依托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国际化消费环境建设试点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政策，优化区域国际化消费环境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。用好240小时过境免签政策，优化外籍团签服务。吸引国际化文艺、赛事活动落地，配套建设国际学校、诊所、多语种服务中心。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全面提升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入境消费便利化水平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完成双语标识升级，完善多语种翻译服务，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提升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重点商圈外卡支付覆盖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水平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。建立外籍人士权益保护机制，高效处置涉外投诉，打造优质涉外消费环境。</w:t>
      </w:r>
    </w:p>
    <w:p>
      <w:pPr>
        <w:keepNext/>
        <w:adjustRightInd w:val="0"/>
        <w:snapToGrid w:val="0"/>
        <w:spacing w:line="560" w:lineRule="exact"/>
        <w:ind w:firstLine="640" w:firstLineChars="200"/>
        <w:outlineLvl w:val="1"/>
        <w:rPr>
          <w:rFonts w:eastAsia="楷体_GB2312"/>
          <w:color w:val="auto"/>
          <w:sz w:val="32"/>
          <w:szCs w:val="32"/>
        </w:rPr>
      </w:pPr>
      <w:bookmarkStart w:id="84" w:name="_Toc7083"/>
      <w:bookmarkStart w:id="85" w:name="_Toc31607"/>
      <w:r>
        <w:rPr>
          <w:rFonts w:hint="eastAsia" w:eastAsia="楷体_GB2312"/>
          <w:color w:val="auto"/>
          <w:sz w:val="32"/>
          <w:szCs w:val="32"/>
        </w:rPr>
        <w:t>（二）</w:t>
      </w:r>
      <w:r>
        <w:rPr>
          <w:rFonts w:eastAsia="楷体_GB2312"/>
          <w:color w:val="auto"/>
          <w:sz w:val="32"/>
          <w:szCs w:val="32"/>
        </w:rPr>
        <w:t>健全高标准配套设施</w:t>
      </w:r>
      <w:bookmarkEnd w:id="84"/>
      <w:bookmarkEnd w:id="85"/>
    </w:p>
    <w:p>
      <w:pPr>
        <w:adjustRightInd w:val="0"/>
        <w:snapToGrid w:val="0"/>
        <w:spacing w:line="560" w:lineRule="exact"/>
        <w:ind w:firstLine="643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b/>
          <w:color w:val="auto"/>
          <w:sz w:val="32"/>
          <w:szCs w:val="32"/>
        </w:rPr>
        <w:t>拓展高品质消费新空间</w:t>
      </w:r>
      <w:r>
        <w:rPr>
          <w:rFonts w:hint="eastAsia" w:eastAsia="仿宋_GB2312"/>
          <w:color w:val="auto"/>
          <w:sz w:val="32"/>
          <w:szCs w:val="32"/>
        </w:rPr>
        <w:t>。依托城市更新盘活旧厂房、四合院等存量空间，引入演艺、市集、餐饮业态。</w:t>
      </w:r>
      <w:r>
        <w:rPr>
          <w:rFonts w:eastAsia="仿宋_GB2312"/>
          <w:bCs/>
          <w:color w:val="auto"/>
          <w:sz w:val="32"/>
          <w:szCs w:val="32"/>
        </w:rPr>
        <w:t>推动老旧演艺空间改造，</w:t>
      </w:r>
      <w:r>
        <w:rPr>
          <w:rFonts w:hint="eastAsia" w:eastAsia="仿宋_GB2312"/>
          <w:color w:val="auto"/>
          <w:sz w:val="32"/>
          <w:szCs w:val="32"/>
        </w:rPr>
        <w:t>打造精品演艺新空间。</w:t>
      </w:r>
      <w:r>
        <w:rPr>
          <w:rFonts w:eastAsia="仿宋_GB2312"/>
          <w:bCs/>
          <w:color w:val="auto"/>
          <w:sz w:val="32"/>
          <w:szCs w:val="32"/>
        </w:rPr>
        <w:t>推动酒店</w:t>
      </w:r>
      <w:r>
        <w:rPr>
          <w:rFonts w:hint="eastAsia" w:eastAsia="仿宋_GB2312"/>
          <w:color w:val="auto"/>
          <w:sz w:val="32"/>
          <w:szCs w:val="32"/>
        </w:rPr>
        <w:t>升级，培育特色高品质住宿。严控万米以上商业设施新增和商品交易市场新建，合理管控商业密度。</w:t>
      </w:r>
    </w:p>
    <w:p>
      <w:pPr>
        <w:adjustRightInd w:val="0"/>
        <w:snapToGrid w:val="0"/>
        <w:spacing w:line="560" w:lineRule="exact"/>
        <w:ind w:firstLine="643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b/>
          <w:color w:val="auto"/>
          <w:sz w:val="32"/>
          <w:szCs w:val="32"/>
        </w:rPr>
        <w:t>优化交通配套服务设施</w:t>
      </w:r>
      <w:r>
        <w:rPr>
          <w:rFonts w:hint="eastAsia" w:eastAsia="仿宋_GB2312"/>
          <w:color w:val="auto"/>
          <w:sz w:val="32"/>
          <w:szCs w:val="32"/>
        </w:rPr>
        <w:t>。依托市区两级市政健康、环整、疏整促等工程改造项目，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加大</w:t>
      </w:r>
      <w:r>
        <w:rPr>
          <w:rFonts w:hint="eastAsia" w:eastAsia="仿宋_GB2312"/>
          <w:color w:val="auto"/>
          <w:sz w:val="32"/>
          <w:szCs w:val="32"/>
        </w:rPr>
        <w:t>商圈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周边</w:t>
      </w:r>
      <w:r>
        <w:rPr>
          <w:rFonts w:hint="eastAsia" w:eastAsia="仿宋_GB2312"/>
          <w:color w:val="auto"/>
          <w:sz w:val="32"/>
          <w:szCs w:val="32"/>
        </w:rPr>
        <w:t>交通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综合治理力度</w:t>
      </w:r>
      <w:r>
        <w:rPr>
          <w:rFonts w:hint="eastAsia" w:eastAsia="仿宋_GB2312"/>
          <w:color w:val="auto"/>
          <w:sz w:val="32"/>
          <w:szCs w:val="32"/>
        </w:rPr>
        <w:t>，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优化</w:t>
      </w:r>
      <w:r>
        <w:rPr>
          <w:rFonts w:hint="eastAsia" w:eastAsia="仿宋_GB2312"/>
          <w:color w:val="auto"/>
          <w:sz w:val="32"/>
          <w:szCs w:val="32"/>
        </w:rPr>
        <w:t>道路微循环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路网</w:t>
      </w:r>
      <w:r>
        <w:rPr>
          <w:rFonts w:hint="eastAsia" w:eastAsia="仿宋_GB2312"/>
          <w:color w:val="auto"/>
          <w:sz w:val="32"/>
          <w:szCs w:val="32"/>
        </w:rPr>
        <w:t>，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加强</w:t>
      </w:r>
      <w:r>
        <w:rPr>
          <w:rFonts w:hint="eastAsia" w:eastAsia="仿宋_GB2312"/>
          <w:color w:val="auto"/>
          <w:sz w:val="32"/>
          <w:szCs w:val="32"/>
        </w:rPr>
        <w:t>慢行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路权保障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完善道路</w:t>
      </w:r>
      <w:r>
        <w:rPr>
          <w:rFonts w:eastAsia="仿宋_GB2312"/>
          <w:color w:val="auto"/>
          <w:sz w:val="32"/>
          <w:szCs w:val="32"/>
        </w:rPr>
        <w:t>无障碍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设施，推行慢行示范街道建设</w:t>
      </w:r>
      <w:r>
        <w:rPr>
          <w:rFonts w:hint="eastAsia" w:eastAsia="仿宋_GB2312"/>
          <w:color w:val="auto"/>
          <w:sz w:val="32"/>
          <w:szCs w:val="32"/>
        </w:rPr>
        <w:t>。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优化区域旅游交通组织，</w:t>
      </w:r>
      <w:r>
        <w:rPr>
          <w:rFonts w:eastAsia="仿宋_GB2312"/>
          <w:color w:val="auto"/>
          <w:sz w:val="32"/>
          <w:szCs w:val="32"/>
        </w:rPr>
        <w:t>引导游客动线从重点景区向周边消费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场景</w:t>
      </w:r>
      <w:r>
        <w:rPr>
          <w:rFonts w:eastAsia="仿宋_GB2312"/>
          <w:color w:val="auto"/>
          <w:sz w:val="32"/>
          <w:szCs w:val="32"/>
        </w:rPr>
        <w:t>扩展，将客流转化为消费增量。</w:t>
      </w:r>
    </w:p>
    <w:p>
      <w:pPr>
        <w:adjustRightInd w:val="0"/>
        <w:snapToGrid w:val="0"/>
        <w:spacing w:line="560" w:lineRule="exact"/>
        <w:ind w:firstLine="643" w:firstLineChars="200"/>
        <w:rPr>
          <w:rFonts w:hint="eastAsia" w:eastAsia="仿宋_GB2312"/>
          <w:color w:val="auto"/>
          <w:sz w:val="32"/>
          <w:szCs w:val="32"/>
        </w:rPr>
      </w:pPr>
      <w:r>
        <w:rPr>
          <w:rFonts w:eastAsia="仿宋_GB2312"/>
          <w:b/>
          <w:color w:val="auto"/>
          <w:sz w:val="32"/>
          <w:szCs w:val="32"/>
        </w:rPr>
        <w:t>提升城市公共空间品质</w:t>
      </w:r>
      <w:r>
        <w:rPr>
          <w:rFonts w:hint="eastAsia" w:eastAsia="仿宋_GB2312"/>
          <w:color w:val="auto"/>
          <w:sz w:val="32"/>
          <w:szCs w:val="32"/>
        </w:rPr>
        <w:t>。推进花园城市建设，完善绿道、生态廊道布局，打造无界公园与特色街区。在公共空间增设城市小品、微型景观提升城市美学。完善商圈无障碍、休憩、急救配套，全面优化线下消费体验。</w:t>
      </w:r>
    </w:p>
    <w:p>
      <w:pPr>
        <w:keepNext/>
        <w:adjustRightInd w:val="0"/>
        <w:snapToGrid w:val="0"/>
        <w:spacing w:line="560" w:lineRule="exact"/>
        <w:ind w:firstLine="640" w:firstLineChars="200"/>
        <w:outlineLvl w:val="1"/>
        <w:rPr>
          <w:rFonts w:eastAsia="楷体_GB2312"/>
          <w:color w:val="auto"/>
          <w:sz w:val="32"/>
          <w:szCs w:val="32"/>
        </w:rPr>
      </w:pPr>
      <w:bookmarkStart w:id="86" w:name="_Toc20644"/>
      <w:bookmarkStart w:id="87" w:name="_Toc21478"/>
      <w:r>
        <w:rPr>
          <w:rFonts w:hint="eastAsia" w:eastAsia="楷体_GB2312"/>
          <w:color w:val="auto"/>
          <w:sz w:val="32"/>
          <w:szCs w:val="32"/>
        </w:rPr>
        <w:t>（三）</w:t>
      </w:r>
      <w:r>
        <w:rPr>
          <w:rFonts w:eastAsia="楷体_GB2312"/>
          <w:color w:val="auto"/>
          <w:sz w:val="32"/>
          <w:szCs w:val="32"/>
        </w:rPr>
        <w:t>打造优质高效营商环境</w:t>
      </w:r>
      <w:bookmarkEnd w:id="86"/>
      <w:bookmarkEnd w:id="87"/>
    </w:p>
    <w:p>
      <w:pPr>
        <w:adjustRightInd w:val="0"/>
        <w:snapToGrid w:val="0"/>
        <w:spacing w:line="560" w:lineRule="exact"/>
        <w:ind w:firstLine="643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b/>
          <w:color w:val="auto"/>
          <w:sz w:val="32"/>
          <w:szCs w:val="32"/>
        </w:rPr>
        <w:t>深化消费领域制度创新</w:t>
      </w:r>
      <w:r>
        <w:rPr>
          <w:rFonts w:hint="eastAsia" w:eastAsia="仿宋_GB2312"/>
          <w:color w:val="auto"/>
          <w:sz w:val="32"/>
          <w:szCs w:val="32"/>
        </w:rPr>
        <w:t>。</w:t>
      </w:r>
      <w:r>
        <w:rPr>
          <w:rFonts w:eastAsia="仿宋_GB2312"/>
          <w:color w:val="auto"/>
          <w:sz w:val="32"/>
          <w:szCs w:val="32"/>
        </w:rPr>
        <w:t>承接国家层面消费新业态新模式新场景试点，</w:t>
      </w:r>
      <w:r>
        <w:rPr>
          <w:rFonts w:hint="eastAsia" w:eastAsia="仿宋_GB2312"/>
          <w:color w:val="auto"/>
          <w:sz w:val="32"/>
          <w:szCs w:val="32"/>
        </w:rPr>
        <w:t>落地各类政策红利。在文商旅体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展</w:t>
      </w:r>
      <w:r>
        <w:rPr>
          <w:rFonts w:hint="eastAsia" w:eastAsia="仿宋_GB2312"/>
          <w:color w:val="auto"/>
          <w:sz w:val="32"/>
          <w:szCs w:val="32"/>
        </w:rPr>
        <w:t>集聚区、活力商圈等试点探索商业空间利用、消费促进和监管执法等环节的政策创新。加强新模式新业态包容审慎管理，探索更多消费场景“一件事、一次办”。实施商务</w:t>
      </w:r>
      <w:r>
        <w:rPr>
          <w:rFonts w:eastAsia="仿宋_GB2312"/>
          <w:color w:val="auto"/>
          <w:sz w:val="32"/>
          <w:szCs w:val="32"/>
        </w:rPr>
        <w:t>领域</w:t>
      </w:r>
      <w:r>
        <w:rPr>
          <w:rFonts w:hint="eastAsia" w:eastAsia="仿宋_GB2312"/>
          <w:color w:val="auto"/>
          <w:sz w:val="32"/>
          <w:szCs w:val="32"/>
        </w:rPr>
        <w:t>一体化综合监管，落实企业</w:t>
      </w:r>
      <w:r>
        <w:rPr>
          <w:rFonts w:hint="eastAsia" w:eastAsia="仿宋_GB2312"/>
          <w:color w:val="auto"/>
          <w:sz w:val="32"/>
          <w:szCs w:val="32"/>
          <w:lang w:eastAsia="zh-CN"/>
        </w:rPr>
        <w:t>“</w:t>
      </w:r>
      <w:r>
        <w:rPr>
          <w:rFonts w:eastAsia="仿宋_GB2312"/>
          <w:color w:val="auto"/>
          <w:sz w:val="32"/>
          <w:szCs w:val="32"/>
        </w:rPr>
        <w:t>无事不扰</w:t>
      </w:r>
      <w:r>
        <w:rPr>
          <w:rFonts w:hint="eastAsia" w:eastAsia="仿宋_GB2312"/>
          <w:color w:val="auto"/>
          <w:sz w:val="32"/>
          <w:szCs w:val="32"/>
          <w:lang w:eastAsia="zh-CN"/>
        </w:rPr>
        <w:t>”</w:t>
      </w:r>
      <w:r>
        <w:rPr>
          <w:rFonts w:hint="eastAsia" w:eastAsia="仿宋_GB2312"/>
          <w:color w:val="auto"/>
          <w:sz w:val="32"/>
          <w:szCs w:val="32"/>
        </w:rPr>
        <w:t>白名单、</w:t>
      </w:r>
      <w:r>
        <w:rPr>
          <w:rFonts w:hint="eastAsia" w:eastAsia="仿宋_GB2312"/>
          <w:color w:val="auto"/>
          <w:sz w:val="32"/>
          <w:szCs w:val="32"/>
          <w:lang w:eastAsia="zh-CN"/>
        </w:rPr>
        <w:t>“</w:t>
      </w:r>
      <w:r>
        <w:rPr>
          <w:rFonts w:eastAsia="仿宋_GB2312"/>
          <w:color w:val="auto"/>
          <w:sz w:val="32"/>
          <w:szCs w:val="32"/>
        </w:rPr>
        <w:t>综合查一次</w:t>
      </w:r>
      <w:r>
        <w:rPr>
          <w:rFonts w:hint="eastAsia" w:eastAsia="仿宋_GB2312"/>
          <w:color w:val="auto"/>
          <w:sz w:val="32"/>
          <w:szCs w:val="32"/>
          <w:lang w:eastAsia="zh-CN"/>
        </w:rPr>
        <w:t>”</w:t>
      </w:r>
      <w:r>
        <w:rPr>
          <w:rFonts w:eastAsia="仿宋_GB2312"/>
          <w:color w:val="auto"/>
          <w:sz w:val="32"/>
          <w:szCs w:val="32"/>
        </w:rPr>
        <w:t>试点</w:t>
      </w:r>
      <w:r>
        <w:rPr>
          <w:rFonts w:hint="eastAsia" w:eastAsia="仿宋_GB2312"/>
          <w:color w:val="auto"/>
          <w:sz w:val="32"/>
          <w:szCs w:val="32"/>
        </w:rPr>
        <w:t>等制度。</w:t>
      </w:r>
    </w:p>
    <w:p>
      <w:pPr>
        <w:adjustRightInd w:val="0"/>
        <w:snapToGrid w:val="0"/>
        <w:spacing w:line="560" w:lineRule="exact"/>
        <w:ind w:firstLine="643" w:firstLineChars="200"/>
        <w:rPr>
          <w:rFonts w:hint="eastAsia" w:eastAsia="仿宋_GB2312"/>
          <w:color w:val="auto"/>
          <w:sz w:val="32"/>
          <w:szCs w:val="32"/>
        </w:rPr>
      </w:pPr>
      <w:r>
        <w:rPr>
          <w:rFonts w:eastAsia="仿宋_GB2312"/>
          <w:b/>
          <w:color w:val="auto"/>
          <w:sz w:val="32"/>
          <w:szCs w:val="32"/>
        </w:rPr>
        <w:t>靶向优化企业服务体系</w:t>
      </w:r>
      <w:r>
        <w:rPr>
          <w:rFonts w:hint="eastAsia" w:eastAsia="仿宋_GB2312"/>
          <w:color w:val="auto"/>
          <w:sz w:val="32"/>
          <w:szCs w:val="32"/>
        </w:rPr>
        <w:t>。</w:t>
      </w:r>
      <w:r>
        <w:rPr>
          <w:rFonts w:eastAsia="仿宋_GB2312"/>
          <w:color w:val="auto"/>
          <w:sz w:val="32"/>
          <w:szCs w:val="32"/>
        </w:rPr>
        <w:t>擦亮</w:t>
      </w:r>
      <w:r>
        <w:rPr>
          <w:rFonts w:hint="eastAsia" w:eastAsia="仿宋_GB2312"/>
          <w:color w:val="auto"/>
          <w:sz w:val="32"/>
          <w:szCs w:val="32"/>
          <w:lang w:eastAsia="zh-CN"/>
        </w:rPr>
        <w:t>“</w:t>
      </w:r>
      <w:r>
        <w:rPr>
          <w:rFonts w:eastAsia="仿宋_GB2312"/>
          <w:color w:val="auto"/>
          <w:sz w:val="32"/>
          <w:szCs w:val="32"/>
        </w:rPr>
        <w:t>紫金服务</w:t>
      </w:r>
      <w:r>
        <w:rPr>
          <w:rFonts w:hint="eastAsia" w:eastAsia="仿宋_GB2312"/>
          <w:color w:val="auto"/>
          <w:sz w:val="32"/>
          <w:szCs w:val="32"/>
          <w:lang w:eastAsia="zh-CN"/>
        </w:rPr>
        <w:t>”</w:t>
      </w:r>
      <w:r>
        <w:rPr>
          <w:rFonts w:eastAsia="仿宋_GB2312"/>
          <w:color w:val="auto"/>
          <w:sz w:val="32"/>
          <w:szCs w:val="32"/>
        </w:rPr>
        <w:t>品牌，依托服务包、管家机制常态化对接企业</w:t>
      </w:r>
      <w:r>
        <w:rPr>
          <w:rFonts w:hint="eastAsia" w:eastAsia="仿宋_GB2312"/>
          <w:color w:val="auto"/>
          <w:sz w:val="32"/>
          <w:szCs w:val="32"/>
        </w:rPr>
        <w:t>，</w:t>
      </w:r>
      <w:r>
        <w:rPr>
          <w:rFonts w:eastAsia="仿宋_GB2312"/>
          <w:color w:val="auto"/>
          <w:sz w:val="32"/>
          <w:szCs w:val="32"/>
        </w:rPr>
        <w:t>协调解决跨部门难题</w:t>
      </w:r>
      <w:r>
        <w:rPr>
          <w:rFonts w:hint="eastAsia" w:eastAsia="仿宋_GB2312"/>
          <w:color w:val="auto"/>
          <w:sz w:val="32"/>
          <w:szCs w:val="32"/>
        </w:rPr>
        <w:t>，</w:t>
      </w:r>
      <w:r>
        <w:rPr>
          <w:rFonts w:eastAsia="仿宋_GB2312"/>
          <w:color w:val="auto"/>
          <w:sz w:val="32"/>
          <w:szCs w:val="32"/>
        </w:rPr>
        <w:t>开展消费领域企业族群和产业链招商。支持龙头企业跨界</w:t>
      </w:r>
      <w:r>
        <w:rPr>
          <w:rFonts w:hint="eastAsia" w:eastAsia="仿宋_GB2312"/>
          <w:color w:val="auto"/>
          <w:sz w:val="32"/>
          <w:szCs w:val="32"/>
        </w:rPr>
        <w:t>合作</w:t>
      </w:r>
      <w:r>
        <w:rPr>
          <w:rFonts w:eastAsia="仿宋_GB2312"/>
          <w:color w:val="auto"/>
          <w:sz w:val="32"/>
          <w:szCs w:val="32"/>
        </w:rPr>
        <w:t>联动</w:t>
      </w:r>
      <w:r>
        <w:rPr>
          <w:rFonts w:hint="eastAsia" w:eastAsia="仿宋_GB2312"/>
          <w:color w:val="auto"/>
          <w:sz w:val="32"/>
          <w:szCs w:val="32"/>
        </w:rPr>
        <w:t>，</w:t>
      </w:r>
      <w:r>
        <w:rPr>
          <w:rFonts w:eastAsia="仿宋_GB2312"/>
          <w:color w:val="auto"/>
          <w:sz w:val="32"/>
          <w:szCs w:val="32"/>
        </w:rPr>
        <w:t>延伸文商旅体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展</w:t>
      </w:r>
      <w:r>
        <w:rPr>
          <w:rFonts w:eastAsia="仿宋_GB2312"/>
          <w:color w:val="auto"/>
          <w:sz w:val="32"/>
          <w:szCs w:val="32"/>
        </w:rPr>
        <w:t>产业链</w:t>
      </w:r>
      <w:r>
        <w:rPr>
          <w:rFonts w:hint="eastAsia" w:eastAsia="仿宋_GB2312"/>
          <w:color w:val="auto"/>
          <w:sz w:val="32"/>
          <w:szCs w:val="32"/>
        </w:rPr>
        <w:t>条，</w:t>
      </w:r>
      <w:r>
        <w:rPr>
          <w:rFonts w:eastAsia="仿宋_GB2312"/>
          <w:color w:val="auto"/>
          <w:sz w:val="32"/>
          <w:szCs w:val="32"/>
        </w:rPr>
        <w:t>吸引上下游关联企业落地</w:t>
      </w:r>
      <w:r>
        <w:rPr>
          <w:rFonts w:hint="eastAsia" w:eastAsia="仿宋_GB2312"/>
          <w:color w:val="auto"/>
          <w:sz w:val="32"/>
          <w:szCs w:val="32"/>
        </w:rPr>
        <w:t>。针对文旅、医疗、中医药等领域企业提供专项配套服务。</w:t>
      </w:r>
    </w:p>
    <w:p>
      <w:pPr>
        <w:adjustRightInd w:val="0"/>
        <w:snapToGrid w:val="0"/>
        <w:spacing w:line="560" w:lineRule="exact"/>
        <w:ind w:firstLine="643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b/>
          <w:color w:val="auto"/>
          <w:sz w:val="32"/>
          <w:szCs w:val="32"/>
        </w:rPr>
        <w:t>营造安全放心消费环境</w:t>
      </w:r>
      <w:r>
        <w:rPr>
          <w:rFonts w:hint="eastAsia" w:eastAsia="仿宋_GB2312"/>
          <w:color w:val="auto"/>
          <w:sz w:val="32"/>
          <w:szCs w:val="32"/>
        </w:rPr>
        <w:t>。</w:t>
      </w:r>
      <w:r>
        <w:rPr>
          <w:rFonts w:eastAsia="仿宋_GB2312"/>
          <w:color w:val="auto"/>
          <w:sz w:val="32"/>
          <w:szCs w:val="32"/>
        </w:rPr>
        <w:t>在商圈</w:t>
      </w:r>
      <w:r>
        <w:rPr>
          <w:rFonts w:hint="eastAsia" w:eastAsia="仿宋_GB2312"/>
          <w:color w:val="auto"/>
          <w:sz w:val="32"/>
          <w:szCs w:val="32"/>
        </w:rPr>
        <w:t>、特色街区</w:t>
      </w:r>
      <w:r>
        <w:rPr>
          <w:rFonts w:eastAsia="仿宋_GB2312"/>
          <w:color w:val="auto"/>
          <w:sz w:val="32"/>
          <w:szCs w:val="32"/>
        </w:rPr>
        <w:t>推行信用评价，打造</w:t>
      </w:r>
      <w:r>
        <w:rPr>
          <w:rFonts w:hint="eastAsia" w:eastAsia="仿宋_GB2312"/>
          <w:color w:val="auto"/>
          <w:sz w:val="32"/>
          <w:szCs w:val="32"/>
          <w:lang w:eastAsia="zh-CN"/>
        </w:rPr>
        <w:t>“</w:t>
      </w:r>
      <w:r>
        <w:rPr>
          <w:rFonts w:eastAsia="仿宋_GB2312"/>
          <w:color w:val="auto"/>
          <w:sz w:val="32"/>
          <w:szCs w:val="32"/>
        </w:rPr>
        <w:t>亮照经营示范街</w:t>
      </w:r>
      <w:r>
        <w:rPr>
          <w:rFonts w:hint="eastAsia" w:eastAsia="仿宋_GB2312"/>
          <w:color w:val="auto"/>
          <w:sz w:val="32"/>
          <w:szCs w:val="32"/>
          <w:lang w:eastAsia="zh-CN"/>
        </w:rPr>
        <w:t>”</w:t>
      </w:r>
      <w:r>
        <w:rPr>
          <w:rFonts w:eastAsia="仿宋_GB2312"/>
          <w:color w:val="auto"/>
          <w:sz w:val="32"/>
          <w:szCs w:val="32"/>
        </w:rPr>
        <w:t>、食安楼宇及品质餐饮示范店等标杆载体。推进服务行业信用体系建设，完善平台消费者评价监测机制。强化预付卡综合治理，建立信用奖惩机制。加强消费者权益保护</w:t>
      </w:r>
      <w:r>
        <w:rPr>
          <w:rFonts w:hint="eastAsia" w:eastAsia="仿宋_GB2312"/>
          <w:color w:val="auto"/>
          <w:sz w:val="32"/>
          <w:szCs w:val="32"/>
        </w:rPr>
        <w:t>。不断</w:t>
      </w:r>
      <w:r>
        <w:rPr>
          <w:rFonts w:eastAsia="仿宋_GB2312"/>
          <w:color w:val="auto"/>
          <w:sz w:val="32"/>
          <w:szCs w:val="32"/>
        </w:rPr>
        <w:t>提升从业人员服务</w:t>
      </w:r>
      <w:r>
        <w:rPr>
          <w:rFonts w:hint="eastAsia" w:eastAsia="仿宋_GB2312"/>
          <w:color w:val="auto"/>
          <w:sz w:val="32"/>
          <w:szCs w:val="32"/>
        </w:rPr>
        <w:t>质量与</w:t>
      </w:r>
      <w:r>
        <w:rPr>
          <w:rFonts w:eastAsia="仿宋_GB2312"/>
          <w:color w:val="auto"/>
          <w:sz w:val="32"/>
          <w:szCs w:val="32"/>
        </w:rPr>
        <w:t>消费者满意度</w:t>
      </w:r>
      <w:bookmarkStart w:id="88" w:name="_Toc201044026"/>
      <w:bookmarkStart w:id="89" w:name="_Toc199939648"/>
      <w:r>
        <w:rPr>
          <w:rFonts w:hint="eastAsia" w:eastAsia="仿宋_GB2312"/>
          <w:color w:val="auto"/>
          <w:sz w:val="32"/>
          <w:szCs w:val="32"/>
        </w:rPr>
        <w:t>。</w:t>
      </w:r>
    </w:p>
    <w:p>
      <w:pPr>
        <w:keepNext/>
        <w:spacing w:line="560" w:lineRule="exact"/>
        <w:ind w:firstLine="640" w:firstLineChars="200"/>
        <w:jc w:val="left"/>
        <w:outlineLvl w:val="0"/>
        <w:rPr>
          <w:rFonts w:eastAsia="黑体"/>
          <w:smallCaps/>
          <w:color w:val="auto"/>
          <w:sz w:val="32"/>
          <w:szCs w:val="32"/>
        </w:rPr>
      </w:pPr>
      <w:bookmarkStart w:id="90" w:name="_Toc20284"/>
      <w:bookmarkStart w:id="91" w:name="_Toc28112"/>
      <w:r>
        <w:rPr>
          <w:rFonts w:hint="eastAsia" w:eastAsia="黑体"/>
          <w:smallCaps/>
          <w:color w:val="auto"/>
          <w:sz w:val="32"/>
          <w:szCs w:val="32"/>
        </w:rPr>
        <w:t>六、</w:t>
      </w:r>
      <w:bookmarkEnd w:id="88"/>
      <w:bookmarkEnd w:id="89"/>
      <w:r>
        <w:rPr>
          <w:rFonts w:hint="eastAsia" w:eastAsia="黑体"/>
          <w:smallCaps/>
          <w:color w:val="auto"/>
          <w:sz w:val="32"/>
          <w:szCs w:val="32"/>
        </w:rPr>
        <w:t>规划实施保障</w:t>
      </w:r>
      <w:bookmarkEnd w:id="90"/>
      <w:bookmarkEnd w:id="91"/>
    </w:p>
    <w:p>
      <w:pPr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加强</w:t>
      </w:r>
      <w:r>
        <w:rPr>
          <w:rFonts w:hint="eastAsia" w:eastAsia="仿宋_GB2312"/>
          <w:color w:val="auto"/>
          <w:sz w:val="32"/>
          <w:szCs w:val="32"/>
        </w:rPr>
        <w:t>规划实施</w:t>
      </w:r>
      <w:r>
        <w:rPr>
          <w:rFonts w:eastAsia="仿宋_GB2312"/>
          <w:color w:val="auto"/>
          <w:sz w:val="32"/>
          <w:szCs w:val="32"/>
        </w:rPr>
        <w:t>组织领导</w:t>
      </w:r>
      <w:r>
        <w:rPr>
          <w:rFonts w:hint="eastAsia" w:eastAsia="仿宋_GB2312"/>
          <w:color w:val="auto"/>
          <w:sz w:val="32"/>
          <w:szCs w:val="32"/>
        </w:rPr>
        <w:t>，依托</w:t>
      </w:r>
      <w:r>
        <w:rPr>
          <w:rFonts w:eastAsia="仿宋_GB2312"/>
          <w:color w:val="auto"/>
          <w:sz w:val="32"/>
          <w:szCs w:val="32"/>
        </w:rPr>
        <w:t>区培育建设国际消费中心城市示范区领导小组统筹机制，明确各部门职责分工与协同流程</w:t>
      </w:r>
      <w:r>
        <w:rPr>
          <w:rFonts w:hint="eastAsia" w:eastAsia="仿宋_GB2312"/>
          <w:color w:val="auto"/>
          <w:sz w:val="32"/>
          <w:szCs w:val="32"/>
        </w:rPr>
        <w:t>，</w:t>
      </w:r>
      <w:r>
        <w:rPr>
          <w:rFonts w:eastAsia="仿宋_GB2312"/>
          <w:color w:val="auto"/>
          <w:sz w:val="32"/>
          <w:szCs w:val="32"/>
        </w:rPr>
        <w:t>压实责任、闭环管理，确保</w:t>
      </w:r>
      <w:r>
        <w:rPr>
          <w:rFonts w:hint="eastAsia" w:eastAsia="仿宋_GB2312"/>
          <w:color w:val="auto"/>
          <w:sz w:val="32"/>
          <w:szCs w:val="32"/>
        </w:rPr>
        <w:t>规划</w:t>
      </w:r>
      <w:r>
        <w:rPr>
          <w:rFonts w:eastAsia="仿宋_GB2312"/>
          <w:color w:val="auto"/>
          <w:sz w:val="32"/>
          <w:szCs w:val="32"/>
        </w:rPr>
        <w:t>任务高效落地。</w:t>
      </w:r>
      <w:r>
        <w:rPr>
          <w:rFonts w:hint="eastAsia" w:eastAsia="仿宋_GB2312"/>
          <w:color w:val="auto"/>
          <w:sz w:val="32"/>
          <w:szCs w:val="32"/>
        </w:rPr>
        <w:t>强化</w:t>
      </w:r>
      <w:r>
        <w:rPr>
          <w:rFonts w:eastAsia="仿宋_GB2312"/>
          <w:color w:val="auto"/>
          <w:sz w:val="32"/>
          <w:szCs w:val="32"/>
        </w:rPr>
        <w:t>政策</w:t>
      </w:r>
      <w:r>
        <w:rPr>
          <w:rFonts w:hint="eastAsia" w:eastAsia="仿宋_GB2312"/>
          <w:color w:val="auto"/>
          <w:sz w:val="32"/>
          <w:szCs w:val="32"/>
        </w:rPr>
        <w:t>要素</w:t>
      </w:r>
      <w:r>
        <w:rPr>
          <w:rFonts w:eastAsia="仿宋_GB2312"/>
          <w:color w:val="auto"/>
          <w:sz w:val="32"/>
          <w:szCs w:val="32"/>
        </w:rPr>
        <w:t>支持，用好用足国家及市、区</w:t>
      </w:r>
      <w:r>
        <w:rPr>
          <w:rFonts w:hint="eastAsia" w:eastAsia="仿宋_GB2312"/>
          <w:color w:val="auto"/>
          <w:sz w:val="32"/>
          <w:szCs w:val="32"/>
        </w:rPr>
        <w:t>相关</w:t>
      </w:r>
      <w:r>
        <w:rPr>
          <w:rFonts w:eastAsia="仿宋_GB2312"/>
          <w:color w:val="auto"/>
          <w:sz w:val="32"/>
          <w:szCs w:val="32"/>
        </w:rPr>
        <w:t>政策红利</w:t>
      </w:r>
      <w:r>
        <w:rPr>
          <w:rFonts w:hint="eastAsia" w:eastAsia="仿宋_GB2312"/>
          <w:color w:val="auto"/>
          <w:sz w:val="32"/>
          <w:szCs w:val="32"/>
        </w:rPr>
        <w:t>，</w:t>
      </w:r>
      <w:r>
        <w:rPr>
          <w:rFonts w:eastAsia="仿宋_GB2312"/>
          <w:color w:val="auto"/>
          <w:sz w:val="32"/>
          <w:szCs w:val="32"/>
        </w:rPr>
        <w:t>完善消费惠民政策体系，</w:t>
      </w:r>
      <w:r>
        <w:rPr>
          <w:rFonts w:hint="eastAsia" w:eastAsia="仿宋_GB2312"/>
          <w:color w:val="auto"/>
          <w:sz w:val="32"/>
          <w:szCs w:val="32"/>
        </w:rPr>
        <w:t>优化多元金融服务，</w:t>
      </w:r>
      <w:r>
        <w:rPr>
          <w:rFonts w:eastAsia="仿宋_GB2312"/>
          <w:color w:val="auto"/>
          <w:sz w:val="32"/>
          <w:szCs w:val="32"/>
        </w:rPr>
        <w:t>保障重点消费项目空间供给</w:t>
      </w:r>
      <w:r>
        <w:rPr>
          <w:rFonts w:hint="eastAsia" w:eastAsia="仿宋_GB2312"/>
          <w:color w:val="auto"/>
          <w:sz w:val="32"/>
          <w:szCs w:val="32"/>
        </w:rPr>
        <w:t>。</w:t>
      </w:r>
      <w:r>
        <w:rPr>
          <w:rFonts w:eastAsia="仿宋_GB2312"/>
          <w:color w:val="auto"/>
          <w:sz w:val="32"/>
          <w:szCs w:val="32"/>
        </w:rPr>
        <w:t>搭建线上线下全域宣传矩阵，联动海内外媒体、文旅机构开展精准城市营销，依托新媒体面向目标客群精准引流转化</w:t>
      </w:r>
      <w:r>
        <w:rPr>
          <w:rFonts w:hint="eastAsia" w:eastAsia="仿宋_GB2312"/>
          <w:color w:val="auto"/>
          <w:sz w:val="32"/>
          <w:szCs w:val="32"/>
        </w:rPr>
        <w:t>。积极落实北京国际消费中心城市统计监测工作要求，加强消费市场监测分析，为开展国际消费中心城市示范区建设工作提供统计服务。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仿宋_GB2312"/>
          <w:color w:val="auto"/>
          <w:sz w:val="32"/>
          <w:szCs w:val="32"/>
        </w:rPr>
      </w:pPr>
    </w:p>
    <w:sectPr>
      <w:footerReference r:id="rId5" w:type="default"/>
      <w:pgSz w:w="11906" w:h="16838"/>
      <w:pgMar w:top="1440" w:right="1803" w:bottom="1440" w:left="1803" w:header="851" w:footer="992" w:gutter="0"/>
      <w:pgNumType w:start="1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F1E1E85-369B-4CE9-8E1F-EFF2949232B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AC44567-E001-42F0-90E2-6182075BFFCC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D1B6D1B-7471-4A92-BFCA-3BE53C88E4F0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6DB920C-046B-4D48-9D3A-2ABB46B6D0D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6236615"/>
    </w:sdtPr>
    <w:sdtContent>
      <w:p>
        <w:pPr>
          <w:pStyle w:val="15"/>
        </w:pPr>
      </w:p>
    </w:sdtContent>
  </w:sdt>
  <w:p>
    <w:pPr>
      <w:pStyle w:val="15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467246"/>
      <w:docPartObj>
        <w:docPartGallery w:val="autotext"/>
      </w:docPartObj>
    </w:sdtPr>
    <w:sdtContent>
      <w:p>
        <w:pPr>
          <w:pStyle w:val="1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r>
        <w:separator/>
      </w:r>
    </w:p>
  </w:footnote>
  <w:footnote w:type="continuationSeparator" w:id="7">
    <w:p>
      <w:r>
        <w:continuationSeparator/>
      </w:r>
    </w:p>
  </w:footnote>
  <w:footnote w:id="0">
    <w:p>
      <w:pPr>
        <w:pStyle w:val="19"/>
        <w:snapToGrid w:val="0"/>
      </w:pPr>
      <w:r>
        <w:rPr>
          <w:rStyle w:val="31"/>
        </w:rPr>
        <w:footnoteRef/>
      </w:r>
      <w:r>
        <w:t xml:space="preserve"> </w:t>
      </w:r>
      <w:r>
        <w:rPr>
          <w:rFonts w:hint="eastAsia"/>
          <w:lang w:val="en-US" w:eastAsia="zh-CN"/>
        </w:rPr>
        <w:t>百度百科显示，</w:t>
      </w:r>
      <w:r>
        <w:rPr>
          <w:rFonts w:hint="eastAsia"/>
        </w:rPr>
        <w:t>Z世代，也称为“网生代”“互联网世代”“二次元世代”“数媒土著”，通常是指1995年至2009年出生的一代人</w:t>
      </w:r>
      <w:r>
        <w:rPr>
          <w:rFonts w:hint="eastAsia"/>
          <w:lang w:eastAsia="zh-CN"/>
        </w:rPr>
        <w:t>。</w:t>
      </w:r>
    </w:p>
  </w:footnote>
  <w:footnote w:id="1">
    <w:p>
      <w:pPr>
        <w:pStyle w:val="19"/>
        <w:snapToGrid w:val="0"/>
      </w:pPr>
      <w:r>
        <w:rPr>
          <w:rStyle w:val="31"/>
        </w:rPr>
        <w:footnoteRef/>
      </w:r>
      <w:r>
        <w:t xml:space="preserve"> </w:t>
      </w:r>
      <w:r>
        <w:rPr>
          <w:rFonts w:hint="eastAsia"/>
        </w:rPr>
        <w:t>天坛—东单—地坛—地坛体育馆</w:t>
      </w:r>
    </w:p>
  </w:footnote>
  <w:footnote w:id="2">
    <w:p>
      <w:pPr>
        <w:pStyle w:val="19"/>
        <w:snapToGrid w:val="0"/>
      </w:pPr>
      <w:r>
        <w:rPr>
          <w:rStyle w:val="31"/>
        </w:rPr>
        <w:footnoteRef/>
      </w:r>
      <w:r>
        <w:t xml:space="preserve"> </w:t>
      </w:r>
      <w:r>
        <w:rPr>
          <w:rFonts w:hint="eastAsia"/>
        </w:rPr>
        <w:t>龙潭中湖公园—柳荫公园—青年湖公园—东城区全民健身中心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319"/>
  <w:noPunctuationKerning w:val="1"/>
  <w:characterSpacingControl w:val="compressPunctuation"/>
  <w:footnotePr>
    <w:footnote w:id="6"/>
    <w:footnote w:id="7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3YWIwNzRmOTNjNTBlMmExZDEwYTM0NzU5ZDA1ODcifQ=="/>
  </w:docVars>
  <w:rsids>
    <w:rsidRoot w:val="00687290"/>
    <w:rsid w:val="00000599"/>
    <w:rsid w:val="0000085C"/>
    <w:rsid w:val="000017A6"/>
    <w:rsid w:val="000028DD"/>
    <w:rsid w:val="000029EA"/>
    <w:rsid w:val="00002A79"/>
    <w:rsid w:val="00003314"/>
    <w:rsid w:val="0000343D"/>
    <w:rsid w:val="000036F4"/>
    <w:rsid w:val="000061EC"/>
    <w:rsid w:val="0000623B"/>
    <w:rsid w:val="0000673B"/>
    <w:rsid w:val="0000719B"/>
    <w:rsid w:val="000100BB"/>
    <w:rsid w:val="000103A1"/>
    <w:rsid w:val="0001226E"/>
    <w:rsid w:val="000131D6"/>
    <w:rsid w:val="0001431D"/>
    <w:rsid w:val="000150E6"/>
    <w:rsid w:val="000157E4"/>
    <w:rsid w:val="00016CAA"/>
    <w:rsid w:val="000202EA"/>
    <w:rsid w:val="000206C3"/>
    <w:rsid w:val="00021219"/>
    <w:rsid w:val="00021925"/>
    <w:rsid w:val="00021A86"/>
    <w:rsid w:val="00022912"/>
    <w:rsid w:val="00023803"/>
    <w:rsid w:val="00025167"/>
    <w:rsid w:val="00026EAB"/>
    <w:rsid w:val="000303B3"/>
    <w:rsid w:val="00030697"/>
    <w:rsid w:val="00030B5C"/>
    <w:rsid w:val="00030DCC"/>
    <w:rsid w:val="000315EB"/>
    <w:rsid w:val="00031D81"/>
    <w:rsid w:val="00031E93"/>
    <w:rsid w:val="000327C2"/>
    <w:rsid w:val="00036087"/>
    <w:rsid w:val="000374C3"/>
    <w:rsid w:val="00037594"/>
    <w:rsid w:val="0003781A"/>
    <w:rsid w:val="00041988"/>
    <w:rsid w:val="00041B53"/>
    <w:rsid w:val="00042B05"/>
    <w:rsid w:val="000448A0"/>
    <w:rsid w:val="00045233"/>
    <w:rsid w:val="000452A9"/>
    <w:rsid w:val="00046D84"/>
    <w:rsid w:val="0004727D"/>
    <w:rsid w:val="00047E64"/>
    <w:rsid w:val="00050005"/>
    <w:rsid w:val="00050B36"/>
    <w:rsid w:val="00056AF4"/>
    <w:rsid w:val="00056B07"/>
    <w:rsid w:val="00056B0D"/>
    <w:rsid w:val="00056F26"/>
    <w:rsid w:val="00057901"/>
    <w:rsid w:val="00057CFD"/>
    <w:rsid w:val="000607D8"/>
    <w:rsid w:val="00060EAE"/>
    <w:rsid w:val="0006133F"/>
    <w:rsid w:val="00061957"/>
    <w:rsid w:val="00061A3E"/>
    <w:rsid w:val="00062892"/>
    <w:rsid w:val="00062DBF"/>
    <w:rsid w:val="00064B42"/>
    <w:rsid w:val="000660D3"/>
    <w:rsid w:val="00066930"/>
    <w:rsid w:val="00066C46"/>
    <w:rsid w:val="000702D7"/>
    <w:rsid w:val="0007197F"/>
    <w:rsid w:val="00071F1C"/>
    <w:rsid w:val="000720A8"/>
    <w:rsid w:val="00072106"/>
    <w:rsid w:val="000726BC"/>
    <w:rsid w:val="000729CD"/>
    <w:rsid w:val="00073198"/>
    <w:rsid w:val="000742EC"/>
    <w:rsid w:val="0007483C"/>
    <w:rsid w:val="0007492A"/>
    <w:rsid w:val="00074D3F"/>
    <w:rsid w:val="00076781"/>
    <w:rsid w:val="00080EFA"/>
    <w:rsid w:val="000810E9"/>
    <w:rsid w:val="00081192"/>
    <w:rsid w:val="00081EDC"/>
    <w:rsid w:val="00082A7A"/>
    <w:rsid w:val="00082C8C"/>
    <w:rsid w:val="000838D0"/>
    <w:rsid w:val="00087EAA"/>
    <w:rsid w:val="00092281"/>
    <w:rsid w:val="000928DD"/>
    <w:rsid w:val="00093DA6"/>
    <w:rsid w:val="000940B2"/>
    <w:rsid w:val="0009556B"/>
    <w:rsid w:val="000957AC"/>
    <w:rsid w:val="0009679E"/>
    <w:rsid w:val="00096EFC"/>
    <w:rsid w:val="00097E75"/>
    <w:rsid w:val="000A05ED"/>
    <w:rsid w:val="000A1765"/>
    <w:rsid w:val="000A29ED"/>
    <w:rsid w:val="000A2EDC"/>
    <w:rsid w:val="000A338E"/>
    <w:rsid w:val="000A376A"/>
    <w:rsid w:val="000A3D6E"/>
    <w:rsid w:val="000A4B66"/>
    <w:rsid w:val="000A57E8"/>
    <w:rsid w:val="000A591C"/>
    <w:rsid w:val="000A5C11"/>
    <w:rsid w:val="000A5E52"/>
    <w:rsid w:val="000A5F5B"/>
    <w:rsid w:val="000A7186"/>
    <w:rsid w:val="000A7BC2"/>
    <w:rsid w:val="000B0729"/>
    <w:rsid w:val="000B1B74"/>
    <w:rsid w:val="000B322D"/>
    <w:rsid w:val="000B3BBF"/>
    <w:rsid w:val="000B3FBC"/>
    <w:rsid w:val="000B5586"/>
    <w:rsid w:val="000B5FEC"/>
    <w:rsid w:val="000B71BE"/>
    <w:rsid w:val="000B7A6F"/>
    <w:rsid w:val="000C0C76"/>
    <w:rsid w:val="000C1E6B"/>
    <w:rsid w:val="000C2E56"/>
    <w:rsid w:val="000C3A4A"/>
    <w:rsid w:val="000C42F3"/>
    <w:rsid w:val="000C481B"/>
    <w:rsid w:val="000C482C"/>
    <w:rsid w:val="000C4C4D"/>
    <w:rsid w:val="000C5E40"/>
    <w:rsid w:val="000C682D"/>
    <w:rsid w:val="000C7029"/>
    <w:rsid w:val="000C7418"/>
    <w:rsid w:val="000C79C1"/>
    <w:rsid w:val="000D02B8"/>
    <w:rsid w:val="000D0A01"/>
    <w:rsid w:val="000D0A90"/>
    <w:rsid w:val="000D173C"/>
    <w:rsid w:val="000D1EA5"/>
    <w:rsid w:val="000D2003"/>
    <w:rsid w:val="000D5D79"/>
    <w:rsid w:val="000D5E57"/>
    <w:rsid w:val="000D671D"/>
    <w:rsid w:val="000D6861"/>
    <w:rsid w:val="000D6A09"/>
    <w:rsid w:val="000E0977"/>
    <w:rsid w:val="000E120F"/>
    <w:rsid w:val="000E1311"/>
    <w:rsid w:val="000E177F"/>
    <w:rsid w:val="000E1A08"/>
    <w:rsid w:val="000E2215"/>
    <w:rsid w:val="000E2347"/>
    <w:rsid w:val="000E2CC1"/>
    <w:rsid w:val="000E30F6"/>
    <w:rsid w:val="000E3178"/>
    <w:rsid w:val="000E4452"/>
    <w:rsid w:val="000E49E3"/>
    <w:rsid w:val="000E4E46"/>
    <w:rsid w:val="000E5316"/>
    <w:rsid w:val="000E698F"/>
    <w:rsid w:val="000F03D1"/>
    <w:rsid w:val="000F2A45"/>
    <w:rsid w:val="000F3363"/>
    <w:rsid w:val="000F3FD5"/>
    <w:rsid w:val="000F664A"/>
    <w:rsid w:val="000F6D12"/>
    <w:rsid w:val="000F7001"/>
    <w:rsid w:val="001000F4"/>
    <w:rsid w:val="0010012F"/>
    <w:rsid w:val="00100B79"/>
    <w:rsid w:val="001015CA"/>
    <w:rsid w:val="00103AE6"/>
    <w:rsid w:val="0010438B"/>
    <w:rsid w:val="001050E7"/>
    <w:rsid w:val="00105253"/>
    <w:rsid w:val="00106DB2"/>
    <w:rsid w:val="00107037"/>
    <w:rsid w:val="00107114"/>
    <w:rsid w:val="00107393"/>
    <w:rsid w:val="001077C6"/>
    <w:rsid w:val="00110172"/>
    <w:rsid w:val="00110392"/>
    <w:rsid w:val="0011054F"/>
    <w:rsid w:val="001105F4"/>
    <w:rsid w:val="00110B6C"/>
    <w:rsid w:val="0011159E"/>
    <w:rsid w:val="001116D4"/>
    <w:rsid w:val="00111E88"/>
    <w:rsid w:val="00112119"/>
    <w:rsid w:val="001129BB"/>
    <w:rsid w:val="00112E2F"/>
    <w:rsid w:val="0011367B"/>
    <w:rsid w:val="00113D4D"/>
    <w:rsid w:val="001144B2"/>
    <w:rsid w:val="001149C5"/>
    <w:rsid w:val="00114A4B"/>
    <w:rsid w:val="001156AE"/>
    <w:rsid w:val="00116A8F"/>
    <w:rsid w:val="001175DC"/>
    <w:rsid w:val="00117AD2"/>
    <w:rsid w:val="001226DE"/>
    <w:rsid w:val="00123094"/>
    <w:rsid w:val="0012373F"/>
    <w:rsid w:val="0012377A"/>
    <w:rsid w:val="0012395F"/>
    <w:rsid w:val="00124705"/>
    <w:rsid w:val="00125767"/>
    <w:rsid w:val="00126391"/>
    <w:rsid w:val="001266C8"/>
    <w:rsid w:val="00126F51"/>
    <w:rsid w:val="00127CFC"/>
    <w:rsid w:val="00130C6E"/>
    <w:rsid w:val="00130F70"/>
    <w:rsid w:val="0013198C"/>
    <w:rsid w:val="0013204A"/>
    <w:rsid w:val="001332B3"/>
    <w:rsid w:val="00133763"/>
    <w:rsid w:val="00133C9E"/>
    <w:rsid w:val="0013497C"/>
    <w:rsid w:val="001352D8"/>
    <w:rsid w:val="001357F0"/>
    <w:rsid w:val="001357F9"/>
    <w:rsid w:val="00135E10"/>
    <w:rsid w:val="00137A22"/>
    <w:rsid w:val="00140260"/>
    <w:rsid w:val="0014046D"/>
    <w:rsid w:val="00141217"/>
    <w:rsid w:val="001413E7"/>
    <w:rsid w:val="00141EB0"/>
    <w:rsid w:val="00141F08"/>
    <w:rsid w:val="0014232E"/>
    <w:rsid w:val="0014267A"/>
    <w:rsid w:val="001433D9"/>
    <w:rsid w:val="00143DC5"/>
    <w:rsid w:val="001441FE"/>
    <w:rsid w:val="001442E6"/>
    <w:rsid w:val="00144F7B"/>
    <w:rsid w:val="00145897"/>
    <w:rsid w:val="001470AC"/>
    <w:rsid w:val="0014743F"/>
    <w:rsid w:val="001500F7"/>
    <w:rsid w:val="00151010"/>
    <w:rsid w:val="00151166"/>
    <w:rsid w:val="0015141F"/>
    <w:rsid w:val="00151D12"/>
    <w:rsid w:val="0015224F"/>
    <w:rsid w:val="00152562"/>
    <w:rsid w:val="00152904"/>
    <w:rsid w:val="00154569"/>
    <w:rsid w:val="0015658A"/>
    <w:rsid w:val="001578F3"/>
    <w:rsid w:val="001604B1"/>
    <w:rsid w:val="001613F8"/>
    <w:rsid w:val="001629A9"/>
    <w:rsid w:val="001632B0"/>
    <w:rsid w:val="0016450B"/>
    <w:rsid w:val="00164A22"/>
    <w:rsid w:val="00164F3F"/>
    <w:rsid w:val="00165929"/>
    <w:rsid w:val="00165E0F"/>
    <w:rsid w:val="00165F77"/>
    <w:rsid w:val="00167137"/>
    <w:rsid w:val="001678B1"/>
    <w:rsid w:val="001721AA"/>
    <w:rsid w:val="00173AB6"/>
    <w:rsid w:val="0017490E"/>
    <w:rsid w:val="001779AC"/>
    <w:rsid w:val="0018030B"/>
    <w:rsid w:val="001804BD"/>
    <w:rsid w:val="001804F1"/>
    <w:rsid w:val="00180B04"/>
    <w:rsid w:val="00180B32"/>
    <w:rsid w:val="0018153B"/>
    <w:rsid w:val="00182063"/>
    <w:rsid w:val="00183698"/>
    <w:rsid w:val="001840D1"/>
    <w:rsid w:val="0018419F"/>
    <w:rsid w:val="0018437F"/>
    <w:rsid w:val="00184611"/>
    <w:rsid w:val="00185126"/>
    <w:rsid w:val="00186E51"/>
    <w:rsid w:val="00187F61"/>
    <w:rsid w:val="001915A3"/>
    <w:rsid w:val="00191879"/>
    <w:rsid w:val="00193EE3"/>
    <w:rsid w:val="001941FD"/>
    <w:rsid w:val="00194432"/>
    <w:rsid w:val="00194AE5"/>
    <w:rsid w:val="001A0BCD"/>
    <w:rsid w:val="001A102E"/>
    <w:rsid w:val="001A15EE"/>
    <w:rsid w:val="001A1787"/>
    <w:rsid w:val="001A1A2C"/>
    <w:rsid w:val="001A32F3"/>
    <w:rsid w:val="001A3435"/>
    <w:rsid w:val="001A3940"/>
    <w:rsid w:val="001A48B3"/>
    <w:rsid w:val="001A56A9"/>
    <w:rsid w:val="001A6616"/>
    <w:rsid w:val="001A6CF7"/>
    <w:rsid w:val="001A7736"/>
    <w:rsid w:val="001A79C2"/>
    <w:rsid w:val="001B1F02"/>
    <w:rsid w:val="001B397C"/>
    <w:rsid w:val="001B473A"/>
    <w:rsid w:val="001B48FF"/>
    <w:rsid w:val="001B4F62"/>
    <w:rsid w:val="001B5523"/>
    <w:rsid w:val="001B554B"/>
    <w:rsid w:val="001B680A"/>
    <w:rsid w:val="001B6E29"/>
    <w:rsid w:val="001B7146"/>
    <w:rsid w:val="001B7FEF"/>
    <w:rsid w:val="001C240D"/>
    <w:rsid w:val="001C3412"/>
    <w:rsid w:val="001C3C92"/>
    <w:rsid w:val="001C4936"/>
    <w:rsid w:val="001C4AE7"/>
    <w:rsid w:val="001C5557"/>
    <w:rsid w:val="001C5EC9"/>
    <w:rsid w:val="001C66ED"/>
    <w:rsid w:val="001C74B7"/>
    <w:rsid w:val="001C7B61"/>
    <w:rsid w:val="001C7CE9"/>
    <w:rsid w:val="001C7FDE"/>
    <w:rsid w:val="001D023C"/>
    <w:rsid w:val="001D1263"/>
    <w:rsid w:val="001D15BB"/>
    <w:rsid w:val="001D2173"/>
    <w:rsid w:val="001D2719"/>
    <w:rsid w:val="001D38F0"/>
    <w:rsid w:val="001D4B9F"/>
    <w:rsid w:val="001D4D3D"/>
    <w:rsid w:val="001D556E"/>
    <w:rsid w:val="001D64F8"/>
    <w:rsid w:val="001D6892"/>
    <w:rsid w:val="001D6FCE"/>
    <w:rsid w:val="001D731D"/>
    <w:rsid w:val="001D795F"/>
    <w:rsid w:val="001E2963"/>
    <w:rsid w:val="001E3BBD"/>
    <w:rsid w:val="001E3BD3"/>
    <w:rsid w:val="001E3D53"/>
    <w:rsid w:val="001E3D84"/>
    <w:rsid w:val="001E425E"/>
    <w:rsid w:val="001E4BF9"/>
    <w:rsid w:val="001E50EF"/>
    <w:rsid w:val="001E5127"/>
    <w:rsid w:val="001E5B2F"/>
    <w:rsid w:val="001E63DA"/>
    <w:rsid w:val="001E7B9E"/>
    <w:rsid w:val="001E7D77"/>
    <w:rsid w:val="001F015A"/>
    <w:rsid w:val="001F01F5"/>
    <w:rsid w:val="001F0BC8"/>
    <w:rsid w:val="001F1315"/>
    <w:rsid w:val="001F1EBF"/>
    <w:rsid w:val="001F3EE0"/>
    <w:rsid w:val="001F5338"/>
    <w:rsid w:val="001F6775"/>
    <w:rsid w:val="001F6819"/>
    <w:rsid w:val="002001DB"/>
    <w:rsid w:val="00200807"/>
    <w:rsid w:val="002012BE"/>
    <w:rsid w:val="00201CB6"/>
    <w:rsid w:val="00202AFA"/>
    <w:rsid w:val="00202E5F"/>
    <w:rsid w:val="00203675"/>
    <w:rsid w:val="00206633"/>
    <w:rsid w:val="0021085D"/>
    <w:rsid w:val="002116A4"/>
    <w:rsid w:val="0021193C"/>
    <w:rsid w:val="00211E31"/>
    <w:rsid w:val="00211EF0"/>
    <w:rsid w:val="00211FC6"/>
    <w:rsid w:val="00213A8E"/>
    <w:rsid w:val="00214781"/>
    <w:rsid w:val="00215398"/>
    <w:rsid w:val="00215F45"/>
    <w:rsid w:val="0021660C"/>
    <w:rsid w:val="00216B16"/>
    <w:rsid w:val="00217B39"/>
    <w:rsid w:val="00220864"/>
    <w:rsid w:val="0022181F"/>
    <w:rsid w:val="00222331"/>
    <w:rsid w:val="0022257E"/>
    <w:rsid w:val="00222AE5"/>
    <w:rsid w:val="00223274"/>
    <w:rsid w:val="00223A2A"/>
    <w:rsid w:val="0022534A"/>
    <w:rsid w:val="0022551A"/>
    <w:rsid w:val="00226636"/>
    <w:rsid w:val="002267BC"/>
    <w:rsid w:val="002279CC"/>
    <w:rsid w:val="00230FC0"/>
    <w:rsid w:val="0023141E"/>
    <w:rsid w:val="0023171A"/>
    <w:rsid w:val="002318DC"/>
    <w:rsid w:val="00231E24"/>
    <w:rsid w:val="00232FE7"/>
    <w:rsid w:val="00233175"/>
    <w:rsid w:val="00234B9D"/>
    <w:rsid w:val="0023584C"/>
    <w:rsid w:val="00235C23"/>
    <w:rsid w:val="00236BFD"/>
    <w:rsid w:val="002370E7"/>
    <w:rsid w:val="00241D71"/>
    <w:rsid w:val="0024395B"/>
    <w:rsid w:val="002453BC"/>
    <w:rsid w:val="0024601C"/>
    <w:rsid w:val="00246AF5"/>
    <w:rsid w:val="002473BE"/>
    <w:rsid w:val="00247F45"/>
    <w:rsid w:val="002508DF"/>
    <w:rsid w:val="002508E7"/>
    <w:rsid w:val="00250B08"/>
    <w:rsid w:val="00251606"/>
    <w:rsid w:val="0025249F"/>
    <w:rsid w:val="0025262D"/>
    <w:rsid w:val="00252A36"/>
    <w:rsid w:val="00252B5D"/>
    <w:rsid w:val="0025382E"/>
    <w:rsid w:val="00254D74"/>
    <w:rsid w:val="002550D6"/>
    <w:rsid w:val="002555BB"/>
    <w:rsid w:val="00255D93"/>
    <w:rsid w:val="00256064"/>
    <w:rsid w:val="00256709"/>
    <w:rsid w:val="00256FC7"/>
    <w:rsid w:val="00257F49"/>
    <w:rsid w:val="00257FD3"/>
    <w:rsid w:val="00260F69"/>
    <w:rsid w:val="0026130D"/>
    <w:rsid w:val="00261884"/>
    <w:rsid w:val="002619C7"/>
    <w:rsid w:val="0026258E"/>
    <w:rsid w:val="00262DF5"/>
    <w:rsid w:val="00263BDC"/>
    <w:rsid w:val="00264C53"/>
    <w:rsid w:val="002654A0"/>
    <w:rsid w:val="00266320"/>
    <w:rsid w:val="002663D0"/>
    <w:rsid w:val="0026680C"/>
    <w:rsid w:val="002673DE"/>
    <w:rsid w:val="00267B0D"/>
    <w:rsid w:val="00270296"/>
    <w:rsid w:val="00270D3B"/>
    <w:rsid w:val="00270D5C"/>
    <w:rsid w:val="00271D68"/>
    <w:rsid w:val="00272466"/>
    <w:rsid w:val="00274FE8"/>
    <w:rsid w:val="00276157"/>
    <w:rsid w:val="0027657A"/>
    <w:rsid w:val="002768F9"/>
    <w:rsid w:val="0028052E"/>
    <w:rsid w:val="00280CCF"/>
    <w:rsid w:val="002811A4"/>
    <w:rsid w:val="00281AED"/>
    <w:rsid w:val="00281DA6"/>
    <w:rsid w:val="00282077"/>
    <w:rsid w:val="00283BF0"/>
    <w:rsid w:val="00285AC0"/>
    <w:rsid w:val="00286AE0"/>
    <w:rsid w:val="00286D3E"/>
    <w:rsid w:val="00287833"/>
    <w:rsid w:val="0029006E"/>
    <w:rsid w:val="00290B0D"/>
    <w:rsid w:val="00292465"/>
    <w:rsid w:val="002925EB"/>
    <w:rsid w:val="0029292D"/>
    <w:rsid w:val="00292FE8"/>
    <w:rsid w:val="002935F9"/>
    <w:rsid w:val="00293CE9"/>
    <w:rsid w:val="002953D3"/>
    <w:rsid w:val="00296631"/>
    <w:rsid w:val="002968EF"/>
    <w:rsid w:val="00297F34"/>
    <w:rsid w:val="002A0001"/>
    <w:rsid w:val="002A0ECA"/>
    <w:rsid w:val="002A2527"/>
    <w:rsid w:val="002A4CDB"/>
    <w:rsid w:val="002A4EF0"/>
    <w:rsid w:val="002A52FC"/>
    <w:rsid w:val="002A5B95"/>
    <w:rsid w:val="002A6FC3"/>
    <w:rsid w:val="002B067E"/>
    <w:rsid w:val="002B0AE4"/>
    <w:rsid w:val="002B11AF"/>
    <w:rsid w:val="002B1A84"/>
    <w:rsid w:val="002B2EE0"/>
    <w:rsid w:val="002B37BA"/>
    <w:rsid w:val="002B3D45"/>
    <w:rsid w:val="002B4886"/>
    <w:rsid w:val="002B50D3"/>
    <w:rsid w:val="002B5DB5"/>
    <w:rsid w:val="002C037D"/>
    <w:rsid w:val="002C0828"/>
    <w:rsid w:val="002C1D58"/>
    <w:rsid w:val="002C2653"/>
    <w:rsid w:val="002C3966"/>
    <w:rsid w:val="002C4278"/>
    <w:rsid w:val="002C4A48"/>
    <w:rsid w:val="002C4BBA"/>
    <w:rsid w:val="002C5ACA"/>
    <w:rsid w:val="002C5C89"/>
    <w:rsid w:val="002C6516"/>
    <w:rsid w:val="002C6769"/>
    <w:rsid w:val="002D118E"/>
    <w:rsid w:val="002D17A1"/>
    <w:rsid w:val="002D2989"/>
    <w:rsid w:val="002D3137"/>
    <w:rsid w:val="002D3C72"/>
    <w:rsid w:val="002D4928"/>
    <w:rsid w:val="002D4F42"/>
    <w:rsid w:val="002D5184"/>
    <w:rsid w:val="002D5B26"/>
    <w:rsid w:val="002D61D5"/>
    <w:rsid w:val="002D7917"/>
    <w:rsid w:val="002E0214"/>
    <w:rsid w:val="002E06F9"/>
    <w:rsid w:val="002E1252"/>
    <w:rsid w:val="002E1D8A"/>
    <w:rsid w:val="002E28B7"/>
    <w:rsid w:val="002E291F"/>
    <w:rsid w:val="002E49BF"/>
    <w:rsid w:val="002E557C"/>
    <w:rsid w:val="002E5F80"/>
    <w:rsid w:val="002E7C31"/>
    <w:rsid w:val="002F2128"/>
    <w:rsid w:val="002F2528"/>
    <w:rsid w:val="002F3CEF"/>
    <w:rsid w:val="002F448B"/>
    <w:rsid w:val="002F4F19"/>
    <w:rsid w:val="002F52F9"/>
    <w:rsid w:val="002F64BA"/>
    <w:rsid w:val="002F66BA"/>
    <w:rsid w:val="002F6BE3"/>
    <w:rsid w:val="002F7137"/>
    <w:rsid w:val="002F761C"/>
    <w:rsid w:val="002F773D"/>
    <w:rsid w:val="00301513"/>
    <w:rsid w:val="00301ACB"/>
    <w:rsid w:val="00301FA6"/>
    <w:rsid w:val="0030241B"/>
    <w:rsid w:val="0030363D"/>
    <w:rsid w:val="00304011"/>
    <w:rsid w:val="00304CD1"/>
    <w:rsid w:val="00304FD9"/>
    <w:rsid w:val="00305139"/>
    <w:rsid w:val="00305347"/>
    <w:rsid w:val="00307117"/>
    <w:rsid w:val="00307DE4"/>
    <w:rsid w:val="00310009"/>
    <w:rsid w:val="003111B9"/>
    <w:rsid w:val="00312702"/>
    <w:rsid w:val="003128B2"/>
    <w:rsid w:val="003129B0"/>
    <w:rsid w:val="003132AF"/>
    <w:rsid w:val="00314B97"/>
    <w:rsid w:val="00314C0C"/>
    <w:rsid w:val="00314E24"/>
    <w:rsid w:val="003162C5"/>
    <w:rsid w:val="00316366"/>
    <w:rsid w:val="00316B13"/>
    <w:rsid w:val="00316D1D"/>
    <w:rsid w:val="00316D70"/>
    <w:rsid w:val="003172AE"/>
    <w:rsid w:val="00321A16"/>
    <w:rsid w:val="003224D9"/>
    <w:rsid w:val="003237EF"/>
    <w:rsid w:val="00324787"/>
    <w:rsid w:val="00324D70"/>
    <w:rsid w:val="00324E69"/>
    <w:rsid w:val="00325B52"/>
    <w:rsid w:val="0032618E"/>
    <w:rsid w:val="00326ACA"/>
    <w:rsid w:val="00326B03"/>
    <w:rsid w:val="0032753C"/>
    <w:rsid w:val="00327E7C"/>
    <w:rsid w:val="0033089A"/>
    <w:rsid w:val="00330EAC"/>
    <w:rsid w:val="00331198"/>
    <w:rsid w:val="00331C2A"/>
    <w:rsid w:val="00331FBC"/>
    <w:rsid w:val="00332CE5"/>
    <w:rsid w:val="00333C84"/>
    <w:rsid w:val="003344BF"/>
    <w:rsid w:val="00335685"/>
    <w:rsid w:val="00335F92"/>
    <w:rsid w:val="003377A1"/>
    <w:rsid w:val="00337B79"/>
    <w:rsid w:val="003404F1"/>
    <w:rsid w:val="00342B00"/>
    <w:rsid w:val="00342E1F"/>
    <w:rsid w:val="003436D6"/>
    <w:rsid w:val="00343D2E"/>
    <w:rsid w:val="00343DB3"/>
    <w:rsid w:val="00343E6A"/>
    <w:rsid w:val="00345107"/>
    <w:rsid w:val="00345940"/>
    <w:rsid w:val="003459F9"/>
    <w:rsid w:val="00345C7D"/>
    <w:rsid w:val="0034610F"/>
    <w:rsid w:val="00346619"/>
    <w:rsid w:val="003479ED"/>
    <w:rsid w:val="00347ADC"/>
    <w:rsid w:val="0035039E"/>
    <w:rsid w:val="003505CC"/>
    <w:rsid w:val="00350A5E"/>
    <w:rsid w:val="0035115A"/>
    <w:rsid w:val="003515D5"/>
    <w:rsid w:val="0035292E"/>
    <w:rsid w:val="00352E8F"/>
    <w:rsid w:val="003542BC"/>
    <w:rsid w:val="003557C7"/>
    <w:rsid w:val="003558EA"/>
    <w:rsid w:val="003565FA"/>
    <w:rsid w:val="0035764B"/>
    <w:rsid w:val="003607A1"/>
    <w:rsid w:val="003608B9"/>
    <w:rsid w:val="00360E54"/>
    <w:rsid w:val="003621D7"/>
    <w:rsid w:val="003626E9"/>
    <w:rsid w:val="003631C1"/>
    <w:rsid w:val="00363448"/>
    <w:rsid w:val="00363AE7"/>
    <w:rsid w:val="00363DA6"/>
    <w:rsid w:val="00364BFE"/>
    <w:rsid w:val="00365433"/>
    <w:rsid w:val="003658D2"/>
    <w:rsid w:val="00365D1C"/>
    <w:rsid w:val="00366CE5"/>
    <w:rsid w:val="00367740"/>
    <w:rsid w:val="003720DC"/>
    <w:rsid w:val="0037217C"/>
    <w:rsid w:val="003726C1"/>
    <w:rsid w:val="003727BE"/>
    <w:rsid w:val="00373128"/>
    <w:rsid w:val="0037470A"/>
    <w:rsid w:val="00374F1E"/>
    <w:rsid w:val="00375E9A"/>
    <w:rsid w:val="003760C5"/>
    <w:rsid w:val="003774BD"/>
    <w:rsid w:val="0037758F"/>
    <w:rsid w:val="00381143"/>
    <w:rsid w:val="00381266"/>
    <w:rsid w:val="0038132B"/>
    <w:rsid w:val="003817D5"/>
    <w:rsid w:val="00381D50"/>
    <w:rsid w:val="00382378"/>
    <w:rsid w:val="0038298C"/>
    <w:rsid w:val="00383289"/>
    <w:rsid w:val="00383DA2"/>
    <w:rsid w:val="00384766"/>
    <w:rsid w:val="00384B9C"/>
    <w:rsid w:val="00385674"/>
    <w:rsid w:val="00385FD2"/>
    <w:rsid w:val="003865F6"/>
    <w:rsid w:val="00390DA6"/>
    <w:rsid w:val="00391ADE"/>
    <w:rsid w:val="003928A7"/>
    <w:rsid w:val="0039476C"/>
    <w:rsid w:val="00394AAE"/>
    <w:rsid w:val="00395523"/>
    <w:rsid w:val="00395904"/>
    <w:rsid w:val="003959B9"/>
    <w:rsid w:val="00397F65"/>
    <w:rsid w:val="003A0488"/>
    <w:rsid w:val="003A24A3"/>
    <w:rsid w:val="003A28E7"/>
    <w:rsid w:val="003A3FB5"/>
    <w:rsid w:val="003A4585"/>
    <w:rsid w:val="003A4A23"/>
    <w:rsid w:val="003A6388"/>
    <w:rsid w:val="003A66EF"/>
    <w:rsid w:val="003A6B66"/>
    <w:rsid w:val="003A7CFB"/>
    <w:rsid w:val="003B136D"/>
    <w:rsid w:val="003B195C"/>
    <w:rsid w:val="003B28ED"/>
    <w:rsid w:val="003B2A57"/>
    <w:rsid w:val="003B2D77"/>
    <w:rsid w:val="003B2EE4"/>
    <w:rsid w:val="003B3D80"/>
    <w:rsid w:val="003B420E"/>
    <w:rsid w:val="003B4CA2"/>
    <w:rsid w:val="003B6361"/>
    <w:rsid w:val="003B65C0"/>
    <w:rsid w:val="003B6EAD"/>
    <w:rsid w:val="003B7B92"/>
    <w:rsid w:val="003C050C"/>
    <w:rsid w:val="003C1630"/>
    <w:rsid w:val="003C1D6F"/>
    <w:rsid w:val="003C1FE8"/>
    <w:rsid w:val="003C31F7"/>
    <w:rsid w:val="003C334D"/>
    <w:rsid w:val="003C5084"/>
    <w:rsid w:val="003C52ED"/>
    <w:rsid w:val="003C5D33"/>
    <w:rsid w:val="003C5FBE"/>
    <w:rsid w:val="003C7DBC"/>
    <w:rsid w:val="003D0BF0"/>
    <w:rsid w:val="003D14B0"/>
    <w:rsid w:val="003D270E"/>
    <w:rsid w:val="003D33EF"/>
    <w:rsid w:val="003D3416"/>
    <w:rsid w:val="003D4AEF"/>
    <w:rsid w:val="003D50B4"/>
    <w:rsid w:val="003D56C7"/>
    <w:rsid w:val="003D740D"/>
    <w:rsid w:val="003D7A11"/>
    <w:rsid w:val="003E01EB"/>
    <w:rsid w:val="003E028C"/>
    <w:rsid w:val="003E10EA"/>
    <w:rsid w:val="003E1655"/>
    <w:rsid w:val="003E27E9"/>
    <w:rsid w:val="003E5B0F"/>
    <w:rsid w:val="003E60D9"/>
    <w:rsid w:val="003E6A04"/>
    <w:rsid w:val="003E6D63"/>
    <w:rsid w:val="003E6F42"/>
    <w:rsid w:val="003E77F9"/>
    <w:rsid w:val="003E7A35"/>
    <w:rsid w:val="003E7B1F"/>
    <w:rsid w:val="003F04FA"/>
    <w:rsid w:val="003F1401"/>
    <w:rsid w:val="003F1640"/>
    <w:rsid w:val="003F3780"/>
    <w:rsid w:val="003F4350"/>
    <w:rsid w:val="003F495E"/>
    <w:rsid w:val="003F4CE9"/>
    <w:rsid w:val="003F4FF1"/>
    <w:rsid w:val="003F64AF"/>
    <w:rsid w:val="003F782C"/>
    <w:rsid w:val="00400714"/>
    <w:rsid w:val="0040082F"/>
    <w:rsid w:val="00400BD3"/>
    <w:rsid w:val="00400DF7"/>
    <w:rsid w:val="004028FC"/>
    <w:rsid w:val="00403864"/>
    <w:rsid w:val="00403911"/>
    <w:rsid w:val="00403BA2"/>
    <w:rsid w:val="00403BC3"/>
    <w:rsid w:val="00403EB7"/>
    <w:rsid w:val="00404452"/>
    <w:rsid w:val="0040561D"/>
    <w:rsid w:val="004056AF"/>
    <w:rsid w:val="004058B3"/>
    <w:rsid w:val="00406806"/>
    <w:rsid w:val="00406E02"/>
    <w:rsid w:val="00407B82"/>
    <w:rsid w:val="00407C90"/>
    <w:rsid w:val="00407CD7"/>
    <w:rsid w:val="00407DDE"/>
    <w:rsid w:val="00410043"/>
    <w:rsid w:val="0041036D"/>
    <w:rsid w:val="00410C61"/>
    <w:rsid w:val="00411778"/>
    <w:rsid w:val="00412CAE"/>
    <w:rsid w:val="0041454B"/>
    <w:rsid w:val="004151B0"/>
    <w:rsid w:val="00415C11"/>
    <w:rsid w:val="00415C36"/>
    <w:rsid w:val="00415CCC"/>
    <w:rsid w:val="00415D1C"/>
    <w:rsid w:val="0041645E"/>
    <w:rsid w:val="00417218"/>
    <w:rsid w:val="00420D21"/>
    <w:rsid w:val="0042105A"/>
    <w:rsid w:val="0042118F"/>
    <w:rsid w:val="004212F8"/>
    <w:rsid w:val="00422F4D"/>
    <w:rsid w:val="00423577"/>
    <w:rsid w:val="0042378B"/>
    <w:rsid w:val="0042503E"/>
    <w:rsid w:val="00426CEA"/>
    <w:rsid w:val="00426EE9"/>
    <w:rsid w:val="00427BD5"/>
    <w:rsid w:val="0043015F"/>
    <w:rsid w:val="004302DB"/>
    <w:rsid w:val="0043072B"/>
    <w:rsid w:val="00430760"/>
    <w:rsid w:val="00430C99"/>
    <w:rsid w:val="00431B36"/>
    <w:rsid w:val="00433A9A"/>
    <w:rsid w:val="00433D43"/>
    <w:rsid w:val="0043506F"/>
    <w:rsid w:val="0043668B"/>
    <w:rsid w:val="00436826"/>
    <w:rsid w:val="00436C4A"/>
    <w:rsid w:val="00436CFB"/>
    <w:rsid w:val="004370A4"/>
    <w:rsid w:val="00440334"/>
    <w:rsid w:val="00440494"/>
    <w:rsid w:val="0044248F"/>
    <w:rsid w:val="004439A4"/>
    <w:rsid w:val="004439E0"/>
    <w:rsid w:val="00443F71"/>
    <w:rsid w:val="00443FFE"/>
    <w:rsid w:val="00444925"/>
    <w:rsid w:val="00445690"/>
    <w:rsid w:val="004457BE"/>
    <w:rsid w:val="00445C6F"/>
    <w:rsid w:val="0045072E"/>
    <w:rsid w:val="00451344"/>
    <w:rsid w:val="00451C02"/>
    <w:rsid w:val="00451CE6"/>
    <w:rsid w:val="0045301C"/>
    <w:rsid w:val="004534BF"/>
    <w:rsid w:val="00454268"/>
    <w:rsid w:val="004553E3"/>
    <w:rsid w:val="00455E0A"/>
    <w:rsid w:val="00456BDC"/>
    <w:rsid w:val="004573E4"/>
    <w:rsid w:val="00457B04"/>
    <w:rsid w:val="004601B2"/>
    <w:rsid w:val="0046039D"/>
    <w:rsid w:val="004625DD"/>
    <w:rsid w:val="00462BD6"/>
    <w:rsid w:val="004637B0"/>
    <w:rsid w:val="00463A70"/>
    <w:rsid w:val="00463EB9"/>
    <w:rsid w:val="0046439C"/>
    <w:rsid w:val="00465769"/>
    <w:rsid w:val="00465A80"/>
    <w:rsid w:val="00466D81"/>
    <w:rsid w:val="004678D7"/>
    <w:rsid w:val="004706D0"/>
    <w:rsid w:val="00470F05"/>
    <w:rsid w:val="0047106C"/>
    <w:rsid w:val="0047130A"/>
    <w:rsid w:val="00472045"/>
    <w:rsid w:val="00472396"/>
    <w:rsid w:val="00473AB0"/>
    <w:rsid w:val="00473C51"/>
    <w:rsid w:val="00475A07"/>
    <w:rsid w:val="00477804"/>
    <w:rsid w:val="0048008F"/>
    <w:rsid w:val="004808F1"/>
    <w:rsid w:val="00480A42"/>
    <w:rsid w:val="004825E9"/>
    <w:rsid w:val="004832B3"/>
    <w:rsid w:val="00483C31"/>
    <w:rsid w:val="0048454D"/>
    <w:rsid w:val="004848E8"/>
    <w:rsid w:val="00484D53"/>
    <w:rsid w:val="00485468"/>
    <w:rsid w:val="004864A1"/>
    <w:rsid w:val="0048725F"/>
    <w:rsid w:val="00487FF4"/>
    <w:rsid w:val="00490758"/>
    <w:rsid w:val="00490E38"/>
    <w:rsid w:val="00490E77"/>
    <w:rsid w:val="00491191"/>
    <w:rsid w:val="00491B4F"/>
    <w:rsid w:val="00492CF1"/>
    <w:rsid w:val="00493CC7"/>
    <w:rsid w:val="00494E0D"/>
    <w:rsid w:val="0049588E"/>
    <w:rsid w:val="00495A7E"/>
    <w:rsid w:val="00495EAE"/>
    <w:rsid w:val="00496B4A"/>
    <w:rsid w:val="00497433"/>
    <w:rsid w:val="0049788A"/>
    <w:rsid w:val="004A26A4"/>
    <w:rsid w:val="004A39CD"/>
    <w:rsid w:val="004A3B46"/>
    <w:rsid w:val="004A414B"/>
    <w:rsid w:val="004A4B99"/>
    <w:rsid w:val="004A63F1"/>
    <w:rsid w:val="004A6465"/>
    <w:rsid w:val="004A723F"/>
    <w:rsid w:val="004A72A2"/>
    <w:rsid w:val="004B053F"/>
    <w:rsid w:val="004B111E"/>
    <w:rsid w:val="004B1B75"/>
    <w:rsid w:val="004B1BED"/>
    <w:rsid w:val="004B361A"/>
    <w:rsid w:val="004B39F8"/>
    <w:rsid w:val="004B3E16"/>
    <w:rsid w:val="004B3E8F"/>
    <w:rsid w:val="004B5E62"/>
    <w:rsid w:val="004B67D2"/>
    <w:rsid w:val="004C0D2B"/>
    <w:rsid w:val="004C20F8"/>
    <w:rsid w:val="004C2AB5"/>
    <w:rsid w:val="004C30EB"/>
    <w:rsid w:val="004C3F53"/>
    <w:rsid w:val="004C40C5"/>
    <w:rsid w:val="004C4168"/>
    <w:rsid w:val="004C4581"/>
    <w:rsid w:val="004C53BC"/>
    <w:rsid w:val="004C7278"/>
    <w:rsid w:val="004C7F2D"/>
    <w:rsid w:val="004D124F"/>
    <w:rsid w:val="004D165F"/>
    <w:rsid w:val="004D2464"/>
    <w:rsid w:val="004D3BF7"/>
    <w:rsid w:val="004D4120"/>
    <w:rsid w:val="004D43F5"/>
    <w:rsid w:val="004D4D0F"/>
    <w:rsid w:val="004D5BDF"/>
    <w:rsid w:val="004E08A0"/>
    <w:rsid w:val="004E0E21"/>
    <w:rsid w:val="004E1093"/>
    <w:rsid w:val="004E1AFE"/>
    <w:rsid w:val="004E218F"/>
    <w:rsid w:val="004E2CF2"/>
    <w:rsid w:val="004E3999"/>
    <w:rsid w:val="004E4505"/>
    <w:rsid w:val="004E4850"/>
    <w:rsid w:val="004E5404"/>
    <w:rsid w:val="004E5BBE"/>
    <w:rsid w:val="004E6072"/>
    <w:rsid w:val="004E6170"/>
    <w:rsid w:val="004E6D2E"/>
    <w:rsid w:val="004F029F"/>
    <w:rsid w:val="004F032B"/>
    <w:rsid w:val="004F0C62"/>
    <w:rsid w:val="004F1AB3"/>
    <w:rsid w:val="004F1B6D"/>
    <w:rsid w:val="004F3539"/>
    <w:rsid w:val="004F3949"/>
    <w:rsid w:val="004F3FB1"/>
    <w:rsid w:val="004F4556"/>
    <w:rsid w:val="004F48A4"/>
    <w:rsid w:val="004F68C5"/>
    <w:rsid w:val="004F7600"/>
    <w:rsid w:val="005013C3"/>
    <w:rsid w:val="0050180D"/>
    <w:rsid w:val="005018C4"/>
    <w:rsid w:val="00504726"/>
    <w:rsid w:val="00504CE2"/>
    <w:rsid w:val="00506391"/>
    <w:rsid w:val="005112FE"/>
    <w:rsid w:val="005113C5"/>
    <w:rsid w:val="00513368"/>
    <w:rsid w:val="00513751"/>
    <w:rsid w:val="0051384C"/>
    <w:rsid w:val="00513A76"/>
    <w:rsid w:val="00515248"/>
    <w:rsid w:val="00516160"/>
    <w:rsid w:val="005167F6"/>
    <w:rsid w:val="0051714F"/>
    <w:rsid w:val="005171D3"/>
    <w:rsid w:val="00517947"/>
    <w:rsid w:val="00520674"/>
    <w:rsid w:val="00521610"/>
    <w:rsid w:val="00522A4C"/>
    <w:rsid w:val="00522BF9"/>
    <w:rsid w:val="00522C18"/>
    <w:rsid w:val="00523B54"/>
    <w:rsid w:val="0052574A"/>
    <w:rsid w:val="0052593F"/>
    <w:rsid w:val="00525C90"/>
    <w:rsid w:val="0053035F"/>
    <w:rsid w:val="0053351A"/>
    <w:rsid w:val="00534F2F"/>
    <w:rsid w:val="00536848"/>
    <w:rsid w:val="00537150"/>
    <w:rsid w:val="0053758F"/>
    <w:rsid w:val="00541A2D"/>
    <w:rsid w:val="00541BE2"/>
    <w:rsid w:val="00542C9A"/>
    <w:rsid w:val="00543A4B"/>
    <w:rsid w:val="00543EDC"/>
    <w:rsid w:val="0054430F"/>
    <w:rsid w:val="00544375"/>
    <w:rsid w:val="00544624"/>
    <w:rsid w:val="00545227"/>
    <w:rsid w:val="00545606"/>
    <w:rsid w:val="00545AFA"/>
    <w:rsid w:val="005476B9"/>
    <w:rsid w:val="005507DC"/>
    <w:rsid w:val="005508C1"/>
    <w:rsid w:val="005516D6"/>
    <w:rsid w:val="00551CC7"/>
    <w:rsid w:val="00551E0E"/>
    <w:rsid w:val="0055225E"/>
    <w:rsid w:val="00552586"/>
    <w:rsid w:val="00552B62"/>
    <w:rsid w:val="00552D92"/>
    <w:rsid w:val="00553E46"/>
    <w:rsid w:val="005542EF"/>
    <w:rsid w:val="005554D5"/>
    <w:rsid w:val="00555AC5"/>
    <w:rsid w:val="00555AFE"/>
    <w:rsid w:val="00555B46"/>
    <w:rsid w:val="00555BB6"/>
    <w:rsid w:val="00557071"/>
    <w:rsid w:val="005603DD"/>
    <w:rsid w:val="0056191D"/>
    <w:rsid w:val="00563274"/>
    <w:rsid w:val="005668EC"/>
    <w:rsid w:val="0056783F"/>
    <w:rsid w:val="00567D54"/>
    <w:rsid w:val="00567F5E"/>
    <w:rsid w:val="0057004F"/>
    <w:rsid w:val="005706E4"/>
    <w:rsid w:val="00570ECD"/>
    <w:rsid w:val="00570F2B"/>
    <w:rsid w:val="005726D1"/>
    <w:rsid w:val="00572987"/>
    <w:rsid w:val="00574BB8"/>
    <w:rsid w:val="00574BD5"/>
    <w:rsid w:val="00575311"/>
    <w:rsid w:val="00575A66"/>
    <w:rsid w:val="005761BA"/>
    <w:rsid w:val="00576470"/>
    <w:rsid w:val="0057670A"/>
    <w:rsid w:val="00576FCC"/>
    <w:rsid w:val="005773C5"/>
    <w:rsid w:val="00580091"/>
    <w:rsid w:val="00580133"/>
    <w:rsid w:val="00582127"/>
    <w:rsid w:val="00582286"/>
    <w:rsid w:val="00582C2E"/>
    <w:rsid w:val="00582CDC"/>
    <w:rsid w:val="0058321A"/>
    <w:rsid w:val="00583416"/>
    <w:rsid w:val="00583644"/>
    <w:rsid w:val="00583BDD"/>
    <w:rsid w:val="0058427C"/>
    <w:rsid w:val="0058545C"/>
    <w:rsid w:val="00586D6E"/>
    <w:rsid w:val="00587B91"/>
    <w:rsid w:val="00590141"/>
    <w:rsid w:val="00591044"/>
    <w:rsid w:val="0059114A"/>
    <w:rsid w:val="00591DBE"/>
    <w:rsid w:val="00592374"/>
    <w:rsid w:val="00592405"/>
    <w:rsid w:val="005927CE"/>
    <w:rsid w:val="00592D20"/>
    <w:rsid w:val="0059310A"/>
    <w:rsid w:val="005942DB"/>
    <w:rsid w:val="005952EF"/>
    <w:rsid w:val="00595D17"/>
    <w:rsid w:val="00597D00"/>
    <w:rsid w:val="005A0692"/>
    <w:rsid w:val="005A143B"/>
    <w:rsid w:val="005A14A7"/>
    <w:rsid w:val="005A224B"/>
    <w:rsid w:val="005A2B6B"/>
    <w:rsid w:val="005A32BF"/>
    <w:rsid w:val="005A547F"/>
    <w:rsid w:val="005A5643"/>
    <w:rsid w:val="005A5D35"/>
    <w:rsid w:val="005A5E55"/>
    <w:rsid w:val="005A5F4D"/>
    <w:rsid w:val="005A63F8"/>
    <w:rsid w:val="005A710C"/>
    <w:rsid w:val="005B069C"/>
    <w:rsid w:val="005B06E5"/>
    <w:rsid w:val="005B10AF"/>
    <w:rsid w:val="005B1F64"/>
    <w:rsid w:val="005B2263"/>
    <w:rsid w:val="005B281B"/>
    <w:rsid w:val="005B2F2F"/>
    <w:rsid w:val="005B2F6B"/>
    <w:rsid w:val="005B3858"/>
    <w:rsid w:val="005B3A14"/>
    <w:rsid w:val="005B689E"/>
    <w:rsid w:val="005B6D47"/>
    <w:rsid w:val="005C00A8"/>
    <w:rsid w:val="005C02F5"/>
    <w:rsid w:val="005C108C"/>
    <w:rsid w:val="005C1516"/>
    <w:rsid w:val="005C1818"/>
    <w:rsid w:val="005C2158"/>
    <w:rsid w:val="005C2752"/>
    <w:rsid w:val="005C2C27"/>
    <w:rsid w:val="005C316E"/>
    <w:rsid w:val="005C4762"/>
    <w:rsid w:val="005C47CD"/>
    <w:rsid w:val="005C53F7"/>
    <w:rsid w:val="005C688D"/>
    <w:rsid w:val="005D03AF"/>
    <w:rsid w:val="005D1520"/>
    <w:rsid w:val="005D1D31"/>
    <w:rsid w:val="005D22D2"/>
    <w:rsid w:val="005D2672"/>
    <w:rsid w:val="005D38FE"/>
    <w:rsid w:val="005D4058"/>
    <w:rsid w:val="005D5AA3"/>
    <w:rsid w:val="005D63CA"/>
    <w:rsid w:val="005D72AE"/>
    <w:rsid w:val="005E055F"/>
    <w:rsid w:val="005E0A2D"/>
    <w:rsid w:val="005E1851"/>
    <w:rsid w:val="005E1B98"/>
    <w:rsid w:val="005E2FBF"/>
    <w:rsid w:val="005E31A1"/>
    <w:rsid w:val="005E3C19"/>
    <w:rsid w:val="005E4DF9"/>
    <w:rsid w:val="005E5ACA"/>
    <w:rsid w:val="005E5F17"/>
    <w:rsid w:val="005E6688"/>
    <w:rsid w:val="005E715C"/>
    <w:rsid w:val="005E745E"/>
    <w:rsid w:val="005F0131"/>
    <w:rsid w:val="005F0B5D"/>
    <w:rsid w:val="005F1236"/>
    <w:rsid w:val="005F153C"/>
    <w:rsid w:val="005F1574"/>
    <w:rsid w:val="005F1D6F"/>
    <w:rsid w:val="005F3532"/>
    <w:rsid w:val="005F35C0"/>
    <w:rsid w:val="005F3EC1"/>
    <w:rsid w:val="005F426C"/>
    <w:rsid w:val="005F43A3"/>
    <w:rsid w:val="005F4CD6"/>
    <w:rsid w:val="005F5774"/>
    <w:rsid w:val="005F5AF4"/>
    <w:rsid w:val="005F6B94"/>
    <w:rsid w:val="005F76F7"/>
    <w:rsid w:val="005F79A0"/>
    <w:rsid w:val="00601960"/>
    <w:rsid w:val="00602EA4"/>
    <w:rsid w:val="0060379C"/>
    <w:rsid w:val="00603C4D"/>
    <w:rsid w:val="006040AF"/>
    <w:rsid w:val="00604842"/>
    <w:rsid w:val="00605095"/>
    <w:rsid w:val="00605CC8"/>
    <w:rsid w:val="006063E7"/>
    <w:rsid w:val="00606526"/>
    <w:rsid w:val="00610694"/>
    <w:rsid w:val="006119AB"/>
    <w:rsid w:val="00612AC9"/>
    <w:rsid w:val="00614501"/>
    <w:rsid w:val="00615265"/>
    <w:rsid w:val="006155CB"/>
    <w:rsid w:val="00615858"/>
    <w:rsid w:val="006161F6"/>
    <w:rsid w:val="00617760"/>
    <w:rsid w:val="006179AD"/>
    <w:rsid w:val="006205D7"/>
    <w:rsid w:val="00620892"/>
    <w:rsid w:val="00622214"/>
    <w:rsid w:val="006232BF"/>
    <w:rsid w:val="00623791"/>
    <w:rsid w:val="00624489"/>
    <w:rsid w:val="00624780"/>
    <w:rsid w:val="00624ABE"/>
    <w:rsid w:val="00626231"/>
    <w:rsid w:val="00626669"/>
    <w:rsid w:val="00626B8E"/>
    <w:rsid w:val="006270BC"/>
    <w:rsid w:val="00627F2B"/>
    <w:rsid w:val="00630141"/>
    <w:rsid w:val="00630F14"/>
    <w:rsid w:val="00630F59"/>
    <w:rsid w:val="00631F5D"/>
    <w:rsid w:val="0063249A"/>
    <w:rsid w:val="006338D5"/>
    <w:rsid w:val="0063391C"/>
    <w:rsid w:val="00634221"/>
    <w:rsid w:val="00634655"/>
    <w:rsid w:val="006355B4"/>
    <w:rsid w:val="006355BF"/>
    <w:rsid w:val="006360D4"/>
    <w:rsid w:val="00636211"/>
    <w:rsid w:val="0063683E"/>
    <w:rsid w:val="006373F2"/>
    <w:rsid w:val="00637AFB"/>
    <w:rsid w:val="00640293"/>
    <w:rsid w:val="006405EE"/>
    <w:rsid w:val="006413D0"/>
    <w:rsid w:val="00643396"/>
    <w:rsid w:val="006449E5"/>
    <w:rsid w:val="00644BD6"/>
    <w:rsid w:val="006454D3"/>
    <w:rsid w:val="0064630F"/>
    <w:rsid w:val="006470E1"/>
    <w:rsid w:val="00647329"/>
    <w:rsid w:val="00650290"/>
    <w:rsid w:val="00650D4B"/>
    <w:rsid w:val="00650F58"/>
    <w:rsid w:val="00652B20"/>
    <w:rsid w:val="0065329E"/>
    <w:rsid w:val="0065354D"/>
    <w:rsid w:val="00654999"/>
    <w:rsid w:val="00654A38"/>
    <w:rsid w:val="00654A4A"/>
    <w:rsid w:val="00654FD5"/>
    <w:rsid w:val="00655282"/>
    <w:rsid w:val="00655428"/>
    <w:rsid w:val="00656023"/>
    <w:rsid w:val="00656045"/>
    <w:rsid w:val="006603E7"/>
    <w:rsid w:val="00660BA7"/>
    <w:rsid w:val="00661521"/>
    <w:rsid w:val="006616B5"/>
    <w:rsid w:val="00661BB0"/>
    <w:rsid w:val="00662223"/>
    <w:rsid w:val="00662847"/>
    <w:rsid w:val="00662C9B"/>
    <w:rsid w:val="006646A7"/>
    <w:rsid w:val="006646AA"/>
    <w:rsid w:val="00664CBB"/>
    <w:rsid w:val="00670A1B"/>
    <w:rsid w:val="006714BB"/>
    <w:rsid w:val="006716BB"/>
    <w:rsid w:val="00671AF2"/>
    <w:rsid w:val="00671C46"/>
    <w:rsid w:val="00672F91"/>
    <w:rsid w:val="00672FE8"/>
    <w:rsid w:val="00673629"/>
    <w:rsid w:val="00673E2A"/>
    <w:rsid w:val="006741AB"/>
    <w:rsid w:val="006741F9"/>
    <w:rsid w:val="00674310"/>
    <w:rsid w:val="00675009"/>
    <w:rsid w:val="006759BE"/>
    <w:rsid w:val="0067649E"/>
    <w:rsid w:val="00676558"/>
    <w:rsid w:val="00676876"/>
    <w:rsid w:val="00676F55"/>
    <w:rsid w:val="00677F83"/>
    <w:rsid w:val="006819FC"/>
    <w:rsid w:val="006832A9"/>
    <w:rsid w:val="006832E1"/>
    <w:rsid w:val="00685377"/>
    <w:rsid w:val="006860EA"/>
    <w:rsid w:val="00687290"/>
    <w:rsid w:val="00690787"/>
    <w:rsid w:val="00691CC7"/>
    <w:rsid w:val="006920A7"/>
    <w:rsid w:val="00692E13"/>
    <w:rsid w:val="00693460"/>
    <w:rsid w:val="00694BD8"/>
    <w:rsid w:val="00694D43"/>
    <w:rsid w:val="0069535C"/>
    <w:rsid w:val="00696F09"/>
    <w:rsid w:val="00697294"/>
    <w:rsid w:val="00697423"/>
    <w:rsid w:val="00697EE5"/>
    <w:rsid w:val="006A030C"/>
    <w:rsid w:val="006A0E10"/>
    <w:rsid w:val="006A1027"/>
    <w:rsid w:val="006A25B7"/>
    <w:rsid w:val="006A2B53"/>
    <w:rsid w:val="006A2BFD"/>
    <w:rsid w:val="006A2F95"/>
    <w:rsid w:val="006A4776"/>
    <w:rsid w:val="006A4BEF"/>
    <w:rsid w:val="006A4E06"/>
    <w:rsid w:val="006A4E55"/>
    <w:rsid w:val="006A50F1"/>
    <w:rsid w:val="006A5544"/>
    <w:rsid w:val="006A6F6C"/>
    <w:rsid w:val="006A726F"/>
    <w:rsid w:val="006A7592"/>
    <w:rsid w:val="006B022A"/>
    <w:rsid w:val="006B1BEA"/>
    <w:rsid w:val="006B2BA2"/>
    <w:rsid w:val="006B2D13"/>
    <w:rsid w:val="006B3D72"/>
    <w:rsid w:val="006B4C1E"/>
    <w:rsid w:val="006B4FBC"/>
    <w:rsid w:val="006B665F"/>
    <w:rsid w:val="006B7993"/>
    <w:rsid w:val="006B7E14"/>
    <w:rsid w:val="006C1308"/>
    <w:rsid w:val="006C1C43"/>
    <w:rsid w:val="006C22C5"/>
    <w:rsid w:val="006C2B9C"/>
    <w:rsid w:val="006C3D53"/>
    <w:rsid w:val="006C3E73"/>
    <w:rsid w:val="006C47EF"/>
    <w:rsid w:val="006C5E9D"/>
    <w:rsid w:val="006C5FD6"/>
    <w:rsid w:val="006C6CD9"/>
    <w:rsid w:val="006C7761"/>
    <w:rsid w:val="006C78B0"/>
    <w:rsid w:val="006C7F12"/>
    <w:rsid w:val="006D0FF7"/>
    <w:rsid w:val="006D2487"/>
    <w:rsid w:val="006D2886"/>
    <w:rsid w:val="006D67B2"/>
    <w:rsid w:val="006D6F3B"/>
    <w:rsid w:val="006E0B03"/>
    <w:rsid w:val="006E0B64"/>
    <w:rsid w:val="006E0F9B"/>
    <w:rsid w:val="006E1D8D"/>
    <w:rsid w:val="006E220D"/>
    <w:rsid w:val="006E2297"/>
    <w:rsid w:val="006E2EFF"/>
    <w:rsid w:val="006E321A"/>
    <w:rsid w:val="006E3508"/>
    <w:rsid w:val="006E37D6"/>
    <w:rsid w:val="006E3BA1"/>
    <w:rsid w:val="006E453F"/>
    <w:rsid w:val="006E4F7E"/>
    <w:rsid w:val="006E552A"/>
    <w:rsid w:val="006E5948"/>
    <w:rsid w:val="006E70D2"/>
    <w:rsid w:val="006F0F43"/>
    <w:rsid w:val="006F13C4"/>
    <w:rsid w:val="006F223C"/>
    <w:rsid w:val="006F37D3"/>
    <w:rsid w:val="006F4E88"/>
    <w:rsid w:val="006F5316"/>
    <w:rsid w:val="006F591D"/>
    <w:rsid w:val="006F5CC5"/>
    <w:rsid w:val="006F6F43"/>
    <w:rsid w:val="006F7502"/>
    <w:rsid w:val="006F7DBE"/>
    <w:rsid w:val="00700432"/>
    <w:rsid w:val="00700906"/>
    <w:rsid w:val="007015F2"/>
    <w:rsid w:val="00701E3A"/>
    <w:rsid w:val="007025C3"/>
    <w:rsid w:val="00703F5C"/>
    <w:rsid w:val="00704FE1"/>
    <w:rsid w:val="007055F5"/>
    <w:rsid w:val="00705F5B"/>
    <w:rsid w:val="007061BA"/>
    <w:rsid w:val="00706589"/>
    <w:rsid w:val="0071009C"/>
    <w:rsid w:val="0071196E"/>
    <w:rsid w:val="00711AD9"/>
    <w:rsid w:val="007127B8"/>
    <w:rsid w:val="00712B1D"/>
    <w:rsid w:val="00712B85"/>
    <w:rsid w:val="00712D69"/>
    <w:rsid w:val="00713048"/>
    <w:rsid w:val="00713244"/>
    <w:rsid w:val="00713974"/>
    <w:rsid w:val="007142AD"/>
    <w:rsid w:val="0071430E"/>
    <w:rsid w:val="007144AB"/>
    <w:rsid w:val="00716C50"/>
    <w:rsid w:val="0071710B"/>
    <w:rsid w:val="00717F89"/>
    <w:rsid w:val="00720115"/>
    <w:rsid w:val="00720652"/>
    <w:rsid w:val="007209BF"/>
    <w:rsid w:val="00721F3C"/>
    <w:rsid w:val="00723DBD"/>
    <w:rsid w:val="00724258"/>
    <w:rsid w:val="00724B8F"/>
    <w:rsid w:val="00724BF7"/>
    <w:rsid w:val="007254EF"/>
    <w:rsid w:val="00725FB6"/>
    <w:rsid w:val="00726755"/>
    <w:rsid w:val="00726B9E"/>
    <w:rsid w:val="00731305"/>
    <w:rsid w:val="0073145B"/>
    <w:rsid w:val="007339DC"/>
    <w:rsid w:val="00733FB7"/>
    <w:rsid w:val="007346F9"/>
    <w:rsid w:val="00734B59"/>
    <w:rsid w:val="00735293"/>
    <w:rsid w:val="00736B89"/>
    <w:rsid w:val="00736C76"/>
    <w:rsid w:val="00736F5B"/>
    <w:rsid w:val="00737224"/>
    <w:rsid w:val="00737F0B"/>
    <w:rsid w:val="00737F1D"/>
    <w:rsid w:val="007424AD"/>
    <w:rsid w:val="00743268"/>
    <w:rsid w:val="007443CD"/>
    <w:rsid w:val="0074537B"/>
    <w:rsid w:val="007458A0"/>
    <w:rsid w:val="007459F8"/>
    <w:rsid w:val="00745B75"/>
    <w:rsid w:val="00745E85"/>
    <w:rsid w:val="00745FAB"/>
    <w:rsid w:val="00747CED"/>
    <w:rsid w:val="0075135A"/>
    <w:rsid w:val="00752423"/>
    <w:rsid w:val="0075282F"/>
    <w:rsid w:val="00754053"/>
    <w:rsid w:val="00755195"/>
    <w:rsid w:val="0075675C"/>
    <w:rsid w:val="00756BAD"/>
    <w:rsid w:val="0075702B"/>
    <w:rsid w:val="007571AE"/>
    <w:rsid w:val="00757C45"/>
    <w:rsid w:val="00757C5F"/>
    <w:rsid w:val="00760C47"/>
    <w:rsid w:val="0076274C"/>
    <w:rsid w:val="007630ED"/>
    <w:rsid w:val="00763A7B"/>
    <w:rsid w:val="00766622"/>
    <w:rsid w:val="00766C20"/>
    <w:rsid w:val="007671B0"/>
    <w:rsid w:val="007709BC"/>
    <w:rsid w:val="00771291"/>
    <w:rsid w:val="0077164A"/>
    <w:rsid w:val="00772AA2"/>
    <w:rsid w:val="00772B3E"/>
    <w:rsid w:val="00773268"/>
    <w:rsid w:val="00774180"/>
    <w:rsid w:val="00774E23"/>
    <w:rsid w:val="00775373"/>
    <w:rsid w:val="007757E2"/>
    <w:rsid w:val="00777097"/>
    <w:rsid w:val="00777C32"/>
    <w:rsid w:val="00780B39"/>
    <w:rsid w:val="00780F4C"/>
    <w:rsid w:val="007811EB"/>
    <w:rsid w:val="00783EB2"/>
    <w:rsid w:val="00785444"/>
    <w:rsid w:val="00790358"/>
    <w:rsid w:val="00791F5B"/>
    <w:rsid w:val="00791FA2"/>
    <w:rsid w:val="00792567"/>
    <w:rsid w:val="00794E91"/>
    <w:rsid w:val="00795182"/>
    <w:rsid w:val="00795CA7"/>
    <w:rsid w:val="00796683"/>
    <w:rsid w:val="00796C64"/>
    <w:rsid w:val="0079727D"/>
    <w:rsid w:val="00797C12"/>
    <w:rsid w:val="007A00FA"/>
    <w:rsid w:val="007A1F83"/>
    <w:rsid w:val="007A239C"/>
    <w:rsid w:val="007A2D2F"/>
    <w:rsid w:val="007A4A72"/>
    <w:rsid w:val="007A4D49"/>
    <w:rsid w:val="007A52CC"/>
    <w:rsid w:val="007A5ED8"/>
    <w:rsid w:val="007A6029"/>
    <w:rsid w:val="007A6144"/>
    <w:rsid w:val="007A7498"/>
    <w:rsid w:val="007A7985"/>
    <w:rsid w:val="007B0ECD"/>
    <w:rsid w:val="007B225F"/>
    <w:rsid w:val="007B25E7"/>
    <w:rsid w:val="007B2904"/>
    <w:rsid w:val="007B2AF4"/>
    <w:rsid w:val="007B2CAB"/>
    <w:rsid w:val="007B3E6D"/>
    <w:rsid w:val="007B606F"/>
    <w:rsid w:val="007B6A21"/>
    <w:rsid w:val="007B7CFE"/>
    <w:rsid w:val="007C02C0"/>
    <w:rsid w:val="007C0921"/>
    <w:rsid w:val="007C0E7D"/>
    <w:rsid w:val="007C128A"/>
    <w:rsid w:val="007C2E7D"/>
    <w:rsid w:val="007C3096"/>
    <w:rsid w:val="007C32E6"/>
    <w:rsid w:val="007C3E3A"/>
    <w:rsid w:val="007C3E7A"/>
    <w:rsid w:val="007C5A44"/>
    <w:rsid w:val="007C6128"/>
    <w:rsid w:val="007C7240"/>
    <w:rsid w:val="007D0EE9"/>
    <w:rsid w:val="007D149D"/>
    <w:rsid w:val="007D2072"/>
    <w:rsid w:val="007D365B"/>
    <w:rsid w:val="007D66F2"/>
    <w:rsid w:val="007D6D78"/>
    <w:rsid w:val="007D7448"/>
    <w:rsid w:val="007E0A17"/>
    <w:rsid w:val="007E0DF5"/>
    <w:rsid w:val="007E0F1F"/>
    <w:rsid w:val="007E2707"/>
    <w:rsid w:val="007E459E"/>
    <w:rsid w:val="007E4910"/>
    <w:rsid w:val="007E5BDB"/>
    <w:rsid w:val="007E69D1"/>
    <w:rsid w:val="007F1B43"/>
    <w:rsid w:val="007F2E9A"/>
    <w:rsid w:val="007F54A2"/>
    <w:rsid w:val="007F79D3"/>
    <w:rsid w:val="007F7B5F"/>
    <w:rsid w:val="00800565"/>
    <w:rsid w:val="0080071E"/>
    <w:rsid w:val="008007E8"/>
    <w:rsid w:val="008028CB"/>
    <w:rsid w:val="00802CE4"/>
    <w:rsid w:val="00803482"/>
    <w:rsid w:val="00803DBE"/>
    <w:rsid w:val="008040E9"/>
    <w:rsid w:val="00804658"/>
    <w:rsid w:val="008062B4"/>
    <w:rsid w:val="00806399"/>
    <w:rsid w:val="00806412"/>
    <w:rsid w:val="008108DF"/>
    <w:rsid w:val="008111B4"/>
    <w:rsid w:val="00811B0C"/>
    <w:rsid w:val="00811D1A"/>
    <w:rsid w:val="00811FE9"/>
    <w:rsid w:val="008128D3"/>
    <w:rsid w:val="0081430E"/>
    <w:rsid w:val="00817BC0"/>
    <w:rsid w:val="00820DF2"/>
    <w:rsid w:val="00822B37"/>
    <w:rsid w:val="00822C64"/>
    <w:rsid w:val="00823662"/>
    <w:rsid w:val="00824656"/>
    <w:rsid w:val="008259BE"/>
    <w:rsid w:val="00825D8C"/>
    <w:rsid w:val="0082609D"/>
    <w:rsid w:val="00826FE6"/>
    <w:rsid w:val="0082779B"/>
    <w:rsid w:val="00827CFA"/>
    <w:rsid w:val="00830CE0"/>
    <w:rsid w:val="008322C9"/>
    <w:rsid w:val="008323AC"/>
    <w:rsid w:val="0083275C"/>
    <w:rsid w:val="008328C4"/>
    <w:rsid w:val="008338DA"/>
    <w:rsid w:val="00833942"/>
    <w:rsid w:val="00833E4C"/>
    <w:rsid w:val="0083554D"/>
    <w:rsid w:val="00835661"/>
    <w:rsid w:val="00836E2D"/>
    <w:rsid w:val="00837921"/>
    <w:rsid w:val="00837A7D"/>
    <w:rsid w:val="00837E60"/>
    <w:rsid w:val="00840629"/>
    <w:rsid w:val="0084189F"/>
    <w:rsid w:val="008443D3"/>
    <w:rsid w:val="00845449"/>
    <w:rsid w:val="0084552B"/>
    <w:rsid w:val="00845B2A"/>
    <w:rsid w:val="00846BE6"/>
    <w:rsid w:val="00846E6C"/>
    <w:rsid w:val="0085020E"/>
    <w:rsid w:val="008523A5"/>
    <w:rsid w:val="0085276C"/>
    <w:rsid w:val="0085287E"/>
    <w:rsid w:val="00853226"/>
    <w:rsid w:val="00853A03"/>
    <w:rsid w:val="00853E24"/>
    <w:rsid w:val="0085460B"/>
    <w:rsid w:val="0085489B"/>
    <w:rsid w:val="00854ECE"/>
    <w:rsid w:val="008566EF"/>
    <w:rsid w:val="00856973"/>
    <w:rsid w:val="008569A2"/>
    <w:rsid w:val="00862BB3"/>
    <w:rsid w:val="00862C37"/>
    <w:rsid w:val="00863130"/>
    <w:rsid w:val="008637ED"/>
    <w:rsid w:val="00863972"/>
    <w:rsid w:val="00863DAF"/>
    <w:rsid w:val="00864E71"/>
    <w:rsid w:val="008655D1"/>
    <w:rsid w:val="00866722"/>
    <w:rsid w:val="00866825"/>
    <w:rsid w:val="00872BDD"/>
    <w:rsid w:val="00872E84"/>
    <w:rsid w:val="008746E3"/>
    <w:rsid w:val="00874EDE"/>
    <w:rsid w:val="0087618F"/>
    <w:rsid w:val="00876459"/>
    <w:rsid w:val="00876B60"/>
    <w:rsid w:val="00876C2F"/>
    <w:rsid w:val="00877132"/>
    <w:rsid w:val="0087787A"/>
    <w:rsid w:val="00880599"/>
    <w:rsid w:val="0088136C"/>
    <w:rsid w:val="00881F60"/>
    <w:rsid w:val="008826B0"/>
    <w:rsid w:val="008834B2"/>
    <w:rsid w:val="008844CE"/>
    <w:rsid w:val="00885899"/>
    <w:rsid w:val="00885987"/>
    <w:rsid w:val="00885ACB"/>
    <w:rsid w:val="00885CCF"/>
    <w:rsid w:val="0088600A"/>
    <w:rsid w:val="008860E8"/>
    <w:rsid w:val="00886712"/>
    <w:rsid w:val="00887CA0"/>
    <w:rsid w:val="008916CA"/>
    <w:rsid w:val="00894562"/>
    <w:rsid w:val="008954D8"/>
    <w:rsid w:val="008966BC"/>
    <w:rsid w:val="00896D26"/>
    <w:rsid w:val="00896FEE"/>
    <w:rsid w:val="00897709"/>
    <w:rsid w:val="0089787F"/>
    <w:rsid w:val="00897C1A"/>
    <w:rsid w:val="008A0A3C"/>
    <w:rsid w:val="008A0AC6"/>
    <w:rsid w:val="008A0C6D"/>
    <w:rsid w:val="008A1384"/>
    <w:rsid w:val="008A1F24"/>
    <w:rsid w:val="008A2BD1"/>
    <w:rsid w:val="008A339F"/>
    <w:rsid w:val="008A3A94"/>
    <w:rsid w:val="008A408F"/>
    <w:rsid w:val="008A4A35"/>
    <w:rsid w:val="008A4C5A"/>
    <w:rsid w:val="008A76CD"/>
    <w:rsid w:val="008A7D8E"/>
    <w:rsid w:val="008B0322"/>
    <w:rsid w:val="008B0798"/>
    <w:rsid w:val="008B147A"/>
    <w:rsid w:val="008B1674"/>
    <w:rsid w:val="008B1A96"/>
    <w:rsid w:val="008B36E6"/>
    <w:rsid w:val="008B3CAA"/>
    <w:rsid w:val="008B4668"/>
    <w:rsid w:val="008B6185"/>
    <w:rsid w:val="008B6C74"/>
    <w:rsid w:val="008B6FC2"/>
    <w:rsid w:val="008B77BB"/>
    <w:rsid w:val="008C0462"/>
    <w:rsid w:val="008C1181"/>
    <w:rsid w:val="008C139F"/>
    <w:rsid w:val="008C1CE5"/>
    <w:rsid w:val="008C2A7D"/>
    <w:rsid w:val="008C2A86"/>
    <w:rsid w:val="008C3C1E"/>
    <w:rsid w:val="008C4D12"/>
    <w:rsid w:val="008C54C3"/>
    <w:rsid w:val="008C5AED"/>
    <w:rsid w:val="008C66B9"/>
    <w:rsid w:val="008C67CB"/>
    <w:rsid w:val="008C698D"/>
    <w:rsid w:val="008C7F57"/>
    <w:rsid w:val="008C7FDE"/>
    <w:rsid w:val="008D249A"/>
    <w:rsid w:val="008D2A7E"/>
    <w:rsid w:val="008D38F6"/>
    <w:rsid w:val="008D3ECE"/>
    <w:rsid w:val="008D4017"/>
    <w:rsid w:val="008D418B"/>
    <w:rsid w:val="008D4BD8"/>
    <w:rsid w:val="008D4ED0"/>
    <w:rsid w:val="008D65A2"/>
    <w:rsid w:val="008D7453"/>
    <w:rsid w:val="008D777A"/>
    <w:rsid w:val="008D7E36"/>
    <w:rsid w:val="008E0AF2"/>
    <w:rsid w:val="008E12BB"/>
    <w:rsid w:val="008E13DF"/>
    <w:rsid w:val="008E176A"/>
    <w:rsid w:val="008E1FB0"/>
    <w:rsid w:val="008E2024"/>
    <w:rsid w:val="008E21C1"/>
    <w:rsid w:val="008E282A"/>
    <w:rsid w:val="008E2C55"/>
    <w:rsid w:val="008E2E44"/>
    <w:rsid w:val="008E3798"/>
    <w:rsid w:val="008E4061"/>
    <w:rsid w:val="008E492D"/>
    <w:rsid w:val="008E4ECF"/>
    <w:rsid w:val="008E513E"/>
    <w:rsid w:val="008E596F"/>
    <w:rsid w:val="008E5BAD"/>
    <w:rsid w:val="008E6ABD"/>
    <w:rsid w:val="008F13C9"/>
    <w:rsid w:val="008F1A5E"/>
    <w:rsid w:val="008F28B0"/>
    <w:rsid w:val="008F2D98"/>
    <w:rsid w:val="008F3D2A"/>
    <w:rsid w:val="008F469E"/>
    <w:rsid w:val="008F519D"/>
    <w:rsid w:val="008F5353"/>
    <w:rsid w:val="008F571C"/>
    <w:rsid w:val="008F5A06"/>
    <w:rsid w:val="008F5FC2"/>
    <w:rsid w:val="008F696E"/>
    <w:rsid w:val="009004AF"/>
    <w:rsid w:val="00901359"/>
    <w:rsid w:val="00902EC0"/>
    <w:rsid w:val="00903D3E"/>
    <w:rsid w:val="0090452D"/>
    <w:rsid w:val="00904A90"/>
    <w:rsid w:val="009055CF"/>
    <w:rsid w:val="00910083"/>
    <w:rsid w:val="00910603"/>
    <w:rsid w:val="00911796"/>
    <w:rsid w:val="00911894"/>
    <w:rsid w:val="00911B09"/>
    <w:rsid w:val="00913F05"/>
    <w:rsid w:val="0091523B"/>
    <w:rsid w:val="00915271"/>
    <w:rsid w:val="009152E3"/>
    <w:rsid w:val="00915313"/>
    <w:rsid w:val="00915E69"/>
    <w:rsid w:val="0091695C"/>
    <w:rsid w:val="009169BD"/>
    <w:rsid w:val="00920D6E"/>
    <w:rsid w:val="009219ED"/>
    <w:rsid w:val="009243A6"/>
    <w:rsid w:val="00924410"/>
    <w:rsid w:val="00924A5A"/>
    <w:rsid w:val="00924D57"/>
    <w:rsid w:val="00925C1E"/>
    <w:rsid w:val="00926661"/>
    <w:rsid w:val="00926EAE"/>
    <w:rsid w:val="00927C34"/>
    <w:rsid w:val="009308B8"/>
    <w:rsid w:val="00933730"/>
    <w:rsid w:val="009339B9"/>
    <w:rsid w:val="00933A45"/>
    <w:rsid w:val="00933D14"/>
    <w:rsid w:val="009340B3"/>
    <w:rsid w:val="0093492D"/>
    <w:rsid w:val="00935213"/>
    <w:rsid w:val="00935F8C"/>
    <w:rsid w:val="00936854"/>
    <w:rsid w:val="009369E1"/>
    <w:rsid w:val="00936A6E"/>
    <w:rsid w:val="00936DD6"/>
    <w:rsid w:val="00937076"/>
    <w:rsid w:val="009379B6"/>
    <w:rsid w:val="00940D5A"/>
    <w:rsid w:val="00941AA8"/>
    <w:rsid w:val="0094209F"/>
    <w:rsid w:val="009420CA"/>
    <w:rsid w:val="00942A82"/>
    <w:rsid w:val="0094322E"/>
    <w:rsid w:val="00943EDD"/>
    <w:rsid w:val="0094581C"/>
    <w:rsid w:val="00945F82"/>
    <w:rsid w:val="00946403"/>
    <w:rsid w:val="00946713"/>
    <w:rsid w:val="009476AA"/>
    <w:rsid w:val="00950240"/>
    <w:rsid w:val="009514D8"/>
    <w:rsid w:val="0095167D"/>
    <w:rsid w:val="00952620"/>
    <w:rsid w:val="00954BAB"/>
    <w:rsid w:val="00960C7B"/>
    <w:rsid w:val="00961735"/>
    <w:rsid w:val="009619FD"/>
    <w:rsid w:val="00961BFE"/>
    <w:rsid w:val="00962544"/>
    <w:rsid w:val="0096255C"/>
    <w:rsid w:val="00963A7B"/>
    <w:rsid w:val="00964904"/>
    <w:rsid w:val="009663B2"/>
    <w:rsid w:val="00966BFA"/>
    <w:rsid w:val="009673A7"/>
    <w:rsid w:val="0097041B"/>
    <w:rsid w:val="009706A6"/>
    <w:rsid w:val="00970D15"/>
    <w:rsid w:val="00970F5F"/>
    <w:rsid w:val="009710FF"/>
    <w:rsid w:val="00971840"/>
    <w:rsid w:val="0097385D"/>
    <w:rsid w:val="00973A95"/>
    <w:rsid w:val="00973D23"/>
    <w:rsid w:val="00973F32"/>
    <w:rsid w:val="0097406C"/>
    <w:rsid w:val="00974499"/>
    <w:rsid w:val="00974A38"/>
    <w:rsid w:val="00974BD6"/>
    <w:rsid w:val="00975A1F"/>
    <w:rsid w:val="00975B21"/>
    <w:rsid w:val="00975BBC"/>
    <w:rsid w:val="00976457"/>
    <w:rsid w:val="00980992"/>
    <w:rsid w:val="00980B15"/>
    <w:rsid w:val="00980CAE"/>
    <w:rsid w:val="00981BF8"/>
    <w:rsid w:val="009827B9"/>
    <w:rsid w:val="00983EC5"/>
    <w:rsid w:val="00984A8F"/>
    <w:rsid w:val="00984E01"/>
    <w:rsid w:val="009851E3"/>
    <w:rsid w:val="0098544C"/>
    <w:rsid w:val="009859BE"/>
    <w:rsid w:val="00986C06"/>
    <w:rsid w:val="00987418"/>
    <w:rsid w:val="00987930"/>
    <w:rsid w:val="00987C58"/>
    <w:rsid w:val="0099181A"/>
    <w:rsid w:val="00993A05"/>
    <w:rsid w:val="00994023"/>
    <w:rsid w:val="00995491"/>
    <w:rsid w:val="009959F3"/>
    <w:rsid w:val="009A0900"/>
    <w:rsid w:val="009A1E25"/>
    <w:rsid w:val="009A200D"/>
    <w:rsid w:val="009A27A3"/>
    <w:rsid w:val="009A327E"/>
    <w:rsid w:val="009A3FEC"/>
    <w:rsid w:val="009A46FF"/>
    <w:rsid w:val="009A50D5"/>
    <w:rsid w:val="009A65A5"/>
    <w:rsid w:val="009A6C7F"/>
    <w:rsid w:val="009A707D"/>
    <w:rsid w:val="009A768F"/>
    <w:rsid w:val="009A793E"/>
    <w:rsid w:val="009B074F"/>
    <w:rsid w:val="009B15D6"/>
    <w:rsid w:val="009B1D00"/>
    <w:rsid w:val="009B2607"/>
    <w:rsid w:val="009B447B"/>
    <w:rsid w:val="009B5161"/>
    <w:rsid w:val="009B583C"/>
    <w:rsid w:val="009B5B1B"/>
    <w:rsid w:val="009B5F66"/>
    <w:rsid w:val="009B77D9"/>
    <w:rsid w:val="009C0C8C"/>
    <w:rsid w:val="009C1BED"/>
    <w:rsid w:val="009C1DDB"/>
    <w:rsid w:val="009C29D1"/>
    <w:rsid w:val="009C37A2"/>
    <w:rsid w:val="009C3D91"/>
    <w:rsid w:val="009C454E"/>
    <w:rsid w:val="009C4AE4"/>
    <w:rsid w:val="009C4E91"/>
    <w:rsid w:val="009C7453"/>
    <w:rsid w:val="009C7553"/>
    <w:rsid w:val="009D0437"/>
    <w:rsid w:val="009D1F83"/>
    <w:rsid w:val="009D32BD"/>
    <w:rsid w:val="009D4C78"/>
    <w:rsid w:val="009D664E"/>
    <w:rsid w:val="009D66CE"/>
    <w:rsid w:val="009D6832"/>
    <w:rsid w:val="009D70B6"/>
    <w:rsid w:val="009D7DF3"/>
    <w:rsid w:val="009E0145"/>
    <w:rsid w:val="009E1AE8"/>
    <w:rsid w:val="009E2279"/>
    <w:rsid w:val="009E2FE8"/>
    <w:rsid w:val="009E4923"/>
    <w:rsid w:val="009E5347"/>
    <w:rsid w:val="009E5350"/>
    <w:rsid w:val="009E6EB3"/>
    <w:rsid w:val="009E6F54"/>
    <w:rsid w:val="009E7544"/>
    <w:rsid w:val="009E75F6"/>
    <w:rsid w:val="009E77C6"/>
    <w:rsid w:val="009F0374"/>
    <w:rsid w:val="009F0CC5"/>
    <w:rsid w:val="009F1D79"/>
    <w:rsid w:val="009F2438"/>
    <w:rsid w:val="009F3569"/>
    <w:rsid w:val="009F3D8A"/>
    <w:rsid w:val="009F3DBD"/>
    <w:rsid w:val="009F444A"/>
    <w:rsid w:val="009F44BA"/>
    <w:rsid w:val="009F4766"/>
    <w:rsid w:val="009F4939"/>
    <w:rsid w:val="009F582B"/>
    <w:rsid w:val="009F6742"/>
    <w:rsid w:val="009F75E3"/>
    <w:rsid w:val="009F7E2B"/>
    <w:rsid w:val="00A01C1C"/>
    <w:rsid w:val="00A03290"/>
    <w:rsid w:val="00A03B03"/>
    <w:rsid w:val="00A03CBF"/>
    <w:rsid w:val="00A04738"/>
    <w:rsid w:val="00A0511F"/>
    <w:rsid w:val="00A05646"/>
    <w:rsid w:val="00A0772C"/>
    <w:rsid w:val="00A102C1"/>
    <w:rsid w:val="00A10652"/>
    <w:rsid w:val="00A1190D"/>
    <w:rsid w:val="00A1296C"/>
    <w:rsid w:val="00A12B45"/>
    <w:rsid w:val="00A155D5"/>
    <w:rsid w:val="00A15CA1"/>
    <w:rsid w:val="00A17605"/>
    <w:rsid w:val="00A17EEC"/>
    <w:rsid w:val="00A17EF8"/>
    <w:rsid w:val="00A201E7"/>
    <w:rsid w:val="00A20B6F"/>
    <w:rsid w:val="00A22176"/>
    <w:rsid w:val="00A23341"/>
    <w:rsid w:val="00A23CE5"/>
    <w:rsid w:val="00A2451E"/>
    <w:rsid w:val="00A26DFD"/>
    <w:rsid w:val="00A26F17"/>
    <w:rsid w:val="00A2732D"/>
    <w:rsid w:val="00A27689"/>
    <w:rsid w:val="00A27B88"/>
    <w:rsid w:val="00A311A7"/>
    <w:rsid w:val="00A32715"/>
    <w:rsid w:val="00A339A0"/>
    <w:rsid w:val="00A3470B"/>
    <w:rsid w:val="00A355BF"/>
    <w:rsid w:val="00A35AB6"/>
    <w:rsid w:val="00A367A7"/>
    <w:rsid w:val="00A4055E"/>
    <w:rsid w:val="00A42604"/>
    <w:rsid w:val="00A429FF"/>
    <w:rsid w:val="00A43BAA"/>
    <w:rsid w:val="00A44342"/>
    <w:rsid w:val="00A4532C"/>
    <w:rsid w:val="00A466AE"/>
    <w:rsid w:val="00A46E38"/>
    <w:rsid w:val="00A4786B"/>
    <w:rsid w:val="00A47FD0"/>
    <w:rsid w:val="00A5061E"/>
    <w:rsid w:val="00A50B71"/>
    <w:rsid w:val="00A51333"/>
    <w:rsid w:val="00A51BB7"/>
    <w:rsid w:val="00A5314A"/>
    <w:rsid w:val="00A536E8"/>
    <w:rsid w:val="00A547DB"/>
    <w:rsid w:val="00A54E21"/>
    <w:rsid w:val="00A55273"/>
    <w:rsid w:val="00A5533E"/>
    <w:rsid w:val="00A56341"/>
    <w:rsid w:val="00A56471"/>
    <w:rsid w:val="00A604AD"/>
    <w:rsid w:val="00A6116D"/>
    <w:rsid w:val="00A61A63"/>
    <w:rsid w:val="00A62D2F"/>
    <w:rsid w:val="00A63578"/>
    <w:rsid w:val="00A6377B"/>
    <w:rsid w:val="00A642B9"/>
    <w:rsid w:val="00A6579A"/>
    <w:rsid w:val="00A65CB5"/>
    <w:rsid w:val="00A67313"/>
    <w:rsid w:val="00A70191"/>
    <w:rsid w:val="00A710DB"/>
    <w:rsid w:val="00A71D86"/>
    <w:rsid w:val="00A72037"/>
    <w:rsid w:val="00A728CF"/>
    <w:rsid w:val="00A73237"/>
    <w:rsid w:val="00A754AD"/>
    <w:rsid w:val="00A75C59"/>
    <w:rsid w:val="00A75DEA"/>
    <w:rsid w:val="00A7611F"/>
    <w:rsid w:val="00A77574"/>
    <w:rsid w:val="00A776EA"/>
    <w:rsid w:val="00A80FF0"/>
    <w:rsid w:val="00A811E5"/>
    <w:rsid w:val="00A825F6"/>
    <w:rsid w:val="00A83179"/>
    <w:rsid w:val="00A8335E"/>
    <w:rsid w:val="00A8409B"/>
    <w:rsid w:val="00A8472E"/>
    <w:rsid w:val="00A849A9"/>
    <w:rsid w:val="00A85CA6"/>
    <w:rsid w:val="00A90009"/>
    <w:rsid w:val="00A92F9B"/>
    <w:rsid w:val="00A94C2F"/>
    <w:rsid w:val="00A95774"/>
    <w:rsid w:val="00A9743B"/>
    <w:rsid w:val="00A97E25"/>
    <w:rsid w:val="00A97FCD"/>
    <w:rsid w:val="00AA1CC4"/>
    <w:rsid w:val="00AA2BFB"/>
    <w:rsid w:val="00AA2C6F"/>
    <w:rsid w:val="00AA3498"/>
    <w:rsid w:val="00AA3B65"/>
    <w:rsid w:val="00AA499F"/>
    <w:rsid w:val="00AA563B"/>
    <w:rsid w:val="00AA609D"/>
    <w:rsid w:val="00AA6ED3"/>
    <w:rsid w:val="00AA7A58"/>
    <w:rsid w:val="00AB00C3"/>
    <w:rsid w:val="00AB08C9"/>
    <w:rsid w:val="00AB0E03"/>
    <w:rsid w:val="00AB13A7"/>
    <w:rsid w:val="00AB1A78"/>
    <w:rsid w:val="00AB20DF"/>
    <w:rsid w:val="00AB3065"/>
    <w:rsid w:val="00AB3343"/>
    <w:rsid w:val="00AB37DF"/>
    <w:rsid w:val="00AB3E3C"/>
    <w:rsid w:val="00AB43A5"/>
    <w:rsid w:val="00AB4E09"/>
    <w:rsid w:val="00AB506B"/>
    <w:rsid w:val="00AB50FD"/>
    <w:rsid w:val="00AB5CB6"/>
    <w:rsid w:val="00AB714A"/>
    <w:rsid w:val="00AB7D24"/>
    <w:rsid w:val="00AC0BA9"/>
    <w:rsid w:val="00AC19DF"/>
    <w:rsid w:val="00AC2049"/>
    <w:rsid w:val="00AC2639"/>
    <w:rsid w:val="00AC3474"/>
    <w:rsid w:val="00AC3623"/>
    <w:rsid w:val="00AC391D"/>
    <w:rsid w:val="00AC4408"/>
    <w:rsid w:val="00AC4F3C"/>
    <w:rsid w:val="00AC5A40"/>
    <w:rsid w:val="00AC71F8"/>
    <w:rsid w:val="00AC7788"/>
    <w:rsid w:val="00AD02F6"/>
    <w:rsid w:val="00AD10B3"/>
    <w:rsid w:val="00AD1EF4"/>
    <w:rsid w:val="00AD2B7E"/>
    <w:rsid w:val="00AD2BD2"/>
    <w:rsid w:val="00AD2FF9"/>
    <w:rsid w:val="00AD33E3"/>
    <w:rsid w:val="00AD41D4"/>
    <w:rsid w:val="00AD4A56"/>
    <w:rsid w:val="00AD5810"/>
    <w:rsid w:val="00AD66C1"/>
    <w:rsid w:val="00AD685A"/>
    <w:rsid w:val="00AD6C97"/>
    <w:rsid w:val="00AD7188"/>
    <w:rsid w:val="00AE041E"/>
    <w:rsid w:val="00AE066A"/>
    <w:rsid w:val="00AE11D4"/>
    <w:rsid w:val="00AE18B7"/>
    <w:rsid w:val="00AE241C"/>
    <w:rsid w:val="00AE3403"/>
    <w:rsid w:val="00AE38EB"/>
    <w:rsid w:val="00AE40D1"/>
    <w:rsid w:val="00AE4ABD"/>
    <w:rsid w:val="00AE5741"/>
    <w:rsid w:val="00AE644D"/>
    <w:rsid w:val="00AE6FD8"/>
    <w:rsid w:val="00AE71F2"/>
    <w:rsid w:val="00AE781B"/>
    <w:rsid w:val="00AF017A"/>
    <w:rsid w:val="00AF051A"/>
    <w:rsid w:val="00AF200F"/>
    <w:rsid w:val="00AF2EE3"/>
    <w:rsid w:val="00AF2F29"/>
    <w:rsid w:val="00AF375F"/>
    <w:rsid w:val="00AF3FE6"/>
    <w:rsid w:val="00AF4603"/>
    <w:rsid w:val="00AF53CA"/>
    <w:rsid w:val="00AF627F"/>
    <w:rsid w:val="00AF685A"/>
    <w:rsid w:val="00AF6B40"/>
    <w:rsid w:val="00B0015E"/>
    <w:rsid w:val="00B0032D"/>
    <w:rsid w:val="00B01427"/>
    <w:rsid w:val="00B01442"/>
    <w:rsid w:val="00B01609"/>
    <w:rsid w:val="00B01616"/>
    <w:rsid w:val="00B023E6"/>
    <w:rsid w:val="00B0263A"/>
    <w:rsid w:val="00B02AC9"/>
    <w:rsid w:val="00B02EB7"/>
    <w:rsid w:val="00B032E3"/>
    <w:rsid w:val="00B04792"/>
    <w:rsid w:val="00B04CED"/>
    <w:rsid w:val="00B050DA"/>
    <w:rsid w:val="00B05658"/>
    <w:rsid w:val="00B05AF1"/>
    <w:rsid w:val="00B06484"/>
    <w:rsid w:val="00B064C1"/>
    <w:rsid w:val="00B07418"/>
    <w:rsid w:val="00B104BB"/>
    <w:rsid w:val="00B11320"/>
    <w:rsid w:val="00B11DD2"/>
    <w:rsid w:val="00B12414"/>
    <w:rsid w:val="00B124E8"/>
    <w:rsid w:val="00B1286F"/>
    <w:rsid w:val="00B13273"/>
    <w:rsid w:val="00B13319"/>
    <w:rsid w:val="00B13452"/>
    <w:rsid w:val="00B14082"/>
    <w:rsid w:val="00B140A9"/>
    <w:rsid w:val="00B144C9"/>
    <w:rsid w:val="00B16079"/>
    <w:rsid w:val="00B1622C"/>
    <w:rsid w:val="00B16741"/>
    <w:rsid w:val="00B1684B"/>
    <w:rsid w:val="00B16906"/>
    <w:rsid w:val="00B16946"/>
    <w:rsid w:val="00B20304"/>
    <w:rsid w:val="00B2104C"/>
    <w:rsid w:val="00B2138B"/>
    <w:rsid w:val="00B213F4"/>
    <w:rsid w:val="00B224A5"/>
    <w:rsid w:val="00B227A3"/>
    <w:rsid w:val="00B23106"/>
    <w:rsid w:val="00B248CA"/>
    <w:rsid w:val="00B260DB"/>
    <w:rsid w:val="00B26570"/>
    <w:rsid w:val="00B27C80"/>
    <w:rsid w:val="00B30041"/>
    <w:rsid w:val="00B3189B"/>
    <w:rsid w:val="00B3455B"/>
    <w:rsid w:val="00B34AC6"/>
    <w:rsid w:val="00B3540C"/>
    <w:rsid w:val="00B354E6"/>
    <w:rsid w:val="00B3581A"/>
    <w:rsid w:val="00B3627A"/>
    <w:rsid w:val="00B372F5"/>
    <w:rsid w:val="00B37566"/>
    <w:rsid w:val="00B403B8"/>
    <w:rsid w:val="00B405A7"/>
    <w:rsid w:val="00B41096"/>
    <w:rsid w:val="00B4170F"/>
    <w:rsid w:val="00B43D90"/>
    <w:rsid w:val="00B445A6"/>
    <w:rsid w:val="00B464F8"/>
    <w:rsid w:val="00B465AA"/>
    <w:rsid w:val="00B47B48"/>
    <w:rsid w:val="00B505A1"/>
    <w:rsid w:val="00B50692"/>
    <w:rsid w:val="00B50F9F"/>
    <w:rsid w:val="00B52690"/>
    <w:rsid w:val="00B538A2"/>
    <w:rsid w:val="00B5457B"/>
    <w:rsid w:val="00B54AF5"/>
    <w:rsid w:val="00B55551"/>
    <w:rsid w:val="00B55F04"/>
    <w:rsid w:val="00B60921"/>
    <w:rsid w:val="00B60B5A"/>
    <w:rsid w:val="00B61CF7"/>
    <w:rsid w:val="00B626A0"/>
    <w:rsid w:val="00B62F23"/>
    <w:rsid w:val="00B63969"/>
    <w:rsid w:val="00B63D35"/>
    <w:rsid w:val="00B6404A"/>
    <w:rsid w:val="00B64972"/>
    <w:rsid w:val="00B65359"/>
    <w:rsid w:val="00B65CE5"/>
    <w:rsid w:val="00B66363"/>
    <w:rsid w:val="00B67856"/>
    <w:rsid w:val="00B67E17"/>
    <w:rsid w:val="00B67EF3"/>
    <w:rsid w:val="00B70546"/>
    <w:rsid w:val="00B70726"/>
    <w:rsid w:val="00B70DE6"/>
    <w:rsid w:val="00B70F42"/>
    <w:rsid w:val="00B71552"/>
    <w:rsid w:val="00B71BF6"/>
    <w:rsid w:val="00B72AD0"/>
    <w:rsid w:val="00B737BE"/>
    <w:rsid w:val="00B74622"/>
    <w:rsid w:val="00B7582B"/>
    <w:rsid w:val="00B75E1A"/>
    <w:rsid w:val="00B75E81"/>
    <w:rsid w:val="00B7704E"/>
    <w:rsid w:val="00B77535"/>
    <w:rsid w:val="00B80B69"/>
    <w:rsid w:val="00B814F0"/>
    <w:rsid w:val="00B82ABC"/>
    <w:rsid w:val="00B86EA0"/>
    <w:rsid w:val="00B871C7"/>
    <w:rsid w:val="00B878E1"/>
    <w:rsid w:val="00B87EA5"/>
    <w:rsid w:val="00B91960"/>
    <w:rsid w:val="00B92014"/>
    <w:rsid w:val="00B921CE"/>
    <w:rsid w:val="00B9278E"/>
    <w:rsid w:val="00B93A33"/>
    <w:rsid w:val="00B9499A"/>
    <w:rsid w:val="00B94B14"/>
    <w:rsid w:val="00B96D12"/>
    <w:rsid w:val="00B97EA0"/>
    <w:rsid w:val="00BA08C1"/>
    <w:rsid w:val="00BA1158"/>
    <w:rsid w:val="00BA238C"/>
    <w:rsid w:val="00BA2D05"/>
    <w:rsid w:val="00BA3A1E"/>
    <w:rsid w:val="00BA47FD"/>
    <w:rsid w:val="00BA58F6"/>
    <w:rsid w:val="00BA60FB"/>
    <w:rsid w:val="00BA7E6F"/>
    <w:rsid w:val="00BB082D"/>
    <w:rsid w:val="00BB1601"/>
    <w:rsid w:val="00BB1D65"/>
    <w:rsid w:val="00BB3958"/>
    <w:rsid w:val="00BB3A21"/>
    <w:rsid w:val="00BB3CAF"/>
    <w:rsid w:val="00BB435F"/>
    <w:rsid w:val="00BB4987"/>
    <w:rsid w:val="00BB604C"/>
    <w:rsid w:val="00BB6E03"/>
    <w:rsid w:val="00BB7F66"/>
    <w:rsid w:val="00BC0B5C"/>
    <w:rsid w:val="00BC20D0"/>
    <w:rsid w:val="00BC3BA2"/>
    <w:rsid w:val="00BC73B0"/>
    <w:rsid w:val="00BC7671"/>
    <w:rsid w:val="00BD08B6"/>
    <w:rsid w:val="00BD0BAF"/>
    <w:rsid w:val="00BD29B5"/>
    <w:rsid w:val="00BD3779"/>
    <w:rsid w:val="00BD3AB5"/>
    <w:rsid w:val="00BD3D6C"/>
    <w:rsid w:val="00BD542F"/>
    <w:rsid w:val="00BD5819"/>
    <w:rsid w:val="00BD5B75"/>
    <w:rsid w:val="00BD6443"/>
    <w:rsid w:val="00BD7C55"/>
    <w:rsid w:val="00BD7F6B"/>
    <w:rsid w:val="00BE02FE"/>
    <w:rsid w:val="00BE05EC"/>
    <w:rsid w:val="00BE0CD9"/>
    <w:rsid w:val="00BE1511"/>
    <w:rsid w:val="00BE234C"/>
    <w:rsid w:val="00BE2C40"/>
    <w:rsid w:val="00BE2C99"/>
    <w:rsid w:val="00BE3B88"/>
    <w:rsid w:val="00BE4AD5"/>
    <w:rsid w:val="00BE52B1"/>
    <w:rsid w:val="00BE5D50"/>
    <w:rsid w:val="00BE5F13"/>
    <w:rsid w:val="00BE660E"/>
    <w:rsid w:val="00BE6E91"/>
    <w:rsid w:val="00BE7119"/>
    <w:rsid w:val="00BE7673"/>
    <w:rsid w:val="00BE7971"/>
    <w:rsid w:val="00BF061D"/>
    <w:rsid w:val="00BF1C48"/>
    <w:rsid w:val="00BF2DC0"/>
    <w:rsid w:val="00BF2E99"/>
    <w:rsid w:val="00BF4D41"/>
    <w:rsid w:val="00BF4E59"/>
    <w:rsid w:val="00BF603C"/>
    <w:rsid w:val="00BF60F7"/>
    <w:rsid w:val="00BF76CE"/>
    <w:rsid w:val="00BF7F10"/>
    <w:rsid w:val="00C028CB"/>
    <w:rsid w:val="00C0365E"/>
    <w:rsid w:val="00C04553"/>
    <w:rsid w:val="00C0456F"/>
    <w:rsid w:val="00C0485A"/>
    <w:rsid w:val="00C04A58"/>
    <w:rsid w:val="00C050C0"/>
    <w:rsid w:val="00C062E0"/>
    <w:rsid w:val="00C066E7"/>
    <w:rsid w:val="00C06B67"/>
    <w:rsid w:val="00C07162"/>
    <w:rsid w:val="00C073EB"/>
    <w:rsid w:val="00C116A0"/>
    <w:rsid w:val="00C128F3"/>
    <w:rsid w:val="00C14AE3"/>
    <w:rsid w:val="00C14E2E"/>
    <w:rsid w:val="00C15885"/>
    <w:rsid w:val="00C15CD1"/>
    <w:rsid w:val="00C17CD3"/>
    <w:rsid w:val="00C17FA3"/>
    <w:rsid w:val="00C21789"/>
    <w:rsid w:val="00C22391"/>
    <w:rsid w:val="00C22437"/>
    <w:rsid w:val="00C228E5"/>
    <w:rsid w:val="00C22981"/>
    <w:rsid w:val="00C22B79"/>
    <w:rsid w:val="00C23F9B"/>
    <w:rsid w:val="00C24A1D"/>
    <w:rsid w:val="00C26A3A"/>
    <w:rsid w:val="00C26CA1"/>
    <w:rsid w:val="00C272A7"/>
    <w:rsid w:val="00C273AB"/>
    <w:rsid w:val="00C27B4D"/>
    <w:rsid w:val="00C27BC6"/>
    <w:rsid w:val="00C30A25"/>
    <w:rsid w:val="00C322C9"/>
    <w:rsid w:val="00C32602"/>
    <w:rsid w:val="00C32858"/>
    <w:rsid w:val="00C32A2F"/>
    <w:rsid w:val="00C3336F"/>
    <w:rsid w:val="00C33907"/>
    <w:rsid w:val="00C33F88"/>
    <w:rsid w:val="00C34003"/>
    <w:rsid w:val="00C343B4"/>
    <w:rsid w:val="00C344F9"/>
    <w:rsid w:val="00C34655"/>
    <w:rsid w:val="00C34918"/>
    <w:rsid w:val="00C3495C"/>
    <w:rsid w:val="00C34C12"/>
    <w:rsid w:val="00C3593C"/>
    <w:rsid w:val="00C378C5"/>
    <w:rsid w:val="00C3792E"/>
    <w:rsid w:val="00C37D5E"/>
    <w:rsid w:val="00C40340"/>
    <w:rsid w:val="00C40F0F"/>
    <w:rsid w:val="00C41165"/>
    <w:rsid w:val="00C4240C"/>
    <w:rsid w:val="00C43D0B"/>
    <w:rsid w:val="00C44007"/>
    <w:rsid w:val="00C44469"/>
    <w:rsid w:val="00C4493A"/>
    <w:rsid w:val="00C46208"/>
    <w:rsid w:val="00C468C4"/>
    <w:rsid w:val="00C506A2"/>
    <w:rsid w:val="00C524D9"/>
    <w:rsid w:val="00C52A1C"/>
    <w:rsid w:val="00C54362"/>
    <w:rsid w:val="00C546E7"/>
    <w:rsid w:val="00C54777"/>
    <w:rsid w:val="00C56A38"/>
    <w:rsid w:val="00C56AD1"/>
    <w:rsid w:val="00C57A3F"/>
    <w:rsid w:val="00C60B7A"/>
    <w:rsid w:val="00C60C49"/>
    <w:rsid w:val="00C60F04"/>
    <w:rsid w:val="00C60F28"/>
    <w:rsid w:val="00C62349"/>
    <w:rsid w:val="00C62524"/>
    <w:rsid w:val="00C62AE7"/>
    <w:rsid w:val="00C637E9"/>
    <w:rsid w:val="00C640E3"/>
    <w:rsid w:val="00C67183"/>
    <w:rsid w:val="00C673C1"/>
    <w:rsid w:val="00C67804"/>
    <w:rsid w:val="00C67E94"/>
    <w:rsid w:val="00C71198"/>
    <w:rsid w:val="00C71F64"/>
    <w:rsid w:val="00C7225C"/>
    <w:rsid w:val="00C72AFD"/>
    <w:rsid w:val="00C72BB6"/>
    <w:rsid w:val="00C73022"/>
    <w:rsid w:val="00C74109"/>
    <w:rsid w:val="00C74E71"/>
    <w:rsid w:val="00C74F2F"/>
    <w:rsid w:val="00C754BA"/>
    <w:rsid w:val="00C758AB"/>
    <w:rsid w:val="00C75A43"/>
    <w:rsid w:val="00C75C3F"/>
    <w:rsid w:val="00C75C81"/>
    <w:rsid w:val="00C77138"/>
    <w:rsid w:val="00C80A31"/>
    <w:rsid w:val="00C80B8D"/>
    <w:rsid w:val="00C82BEE"/>
    <w:rsid w:val="00C83B97"/>
    <w:rsid w:val="00C83D31"/>
    <w:rsid w:val="00C84172"/>
    <w:rsid w:val="00C84C22"/>
    <w:rsid w:val="00C84F15"/>
    <w:rsid w:val="00C84F3B"/>
    <w:rsid w:val="00C850D2"/>
    <w:rsid w:val="00C85958"/>
    <w:rsid w:val="00C86D52"/>
    <w:rsid w:val="00C875BE"/>
    <w:rsid w:val="00C901C2"/>
    <w:rsid w:val="00C94391"/>
    <w:rsid w:val="00C94AF6"/>
    <w:rsid w:val="00C94D41"/>
    <w:rsid w:val="00C94E16"/>
    <w:rsid w:val="00C95214"/>
    <w:rsid w:val="00C95823"/>
    <w:rsid w:val="00C96073"/>
    <w:rsid w:val="00C963D2"/>
    <w:rsid w:val="00C96B4C"/>
    <w:rsid w:val="00C96CE2"/>
    <w:rsid w:val="00C97BE2"/>
    <w:rsid w:val="00CA0658"/>
    <w:rsid w:val="00CA0EC5"/>
    <w:rsid w:val="00CA0FCB"/>
    <w:rsid w:val="00CA0FEF"/>
    <w:rsid w:val="00CA2543"/>
    <w:rsid w:val="00CA2940"/>
    <w:rsid w:val="00CA3E9F"/>
    <w:rsid w:val="00CA4FD0"/>
    <w:rsid w:val="00CA5B4C"/>
    <w:rsid w:val="00CA5CAE"/>
    <w:rsid w:val="00CA5D61"/>
    <w:rsid w:val="00CA6E3A"/>
    <w:rsid w:val="00CA7A55"/>
    <w:rsid w:val="00CA7E6E"/>
    <w:rsid w:val="00CB0892"/>
    <w:rsid w:val="00CB0E74"/>
    <w:rsid w:val="00CB154C"/>
    <w:rsid w:val="00CB2D8D"/>
    <w:rsid w:val="00CB321C"/>
    <w:rsid w:val="00CB3CEB"/>
    <w:rsid w:val="00CB40E3"/>
    <w:rsid w:val="00CB57EB"/>
    <w:rsid w:val="00CB6106"/>
    <w:rsid w:val="00CB6337"/>
    <w:rsid w:val="00CB72A3"/>
    <w:rsid w:val="00CC01D4"/>
    <w:rsid w:val="00CC0307"/>
    <w:rsid w:val="00CC04FC"/>
    <w:rsid w:val="00CC064F"/>
    <w:rsid w:val="00CC06D0"/>
    <w:rsid w:val="00CC3F2D"/>
    <w:rsid w:val="00CC3F75"/>
    <w:rsid w:val="00CC3F8A"/>
    <w:rsid w:val="00CC58D7"/>
    <w:rsid w:val="00CC5CAD"/>
    <w:rsid w:val="00CC6534"/>
    <w:rsid w:val="00CC6A02"/>
    <w:rsid w:val="00CC773A"/>
    <w:rsid w:val="00CD20F7"/>
    <w:rsid w:val="00CD3B86"/>
    <w:rsid w:val="00CD4269"/>
    <w:rsid w:val="00CD4CA5"/>
    <w:rsid w:val="00CD647F"/>
    <w:rsid w:val="00CD69D5"/>
    <w:rsid w:val="00CD6CAD"/>
    <w:rsid w:val="00CD72A4"/>
    <w:rsid w:val="00CD75B3"/>
    <w:rsid w:val="00CE001C"/>
    <w:rsid w:val="00CE101D"/>
    <w:rsid w:val="00CE21CB"/>
    <w:rsid w:val="00CE2280"/>
    <w:rsid w:val="00CE2501"/>
    <w:rsid w:val="00CE3E9E"/>
    <w:rsid w:val="00CE5797"/>
    <w:rsid w:val="00CE59A5"/>
    <w:rsid w:val="00CE5DF5"/>
    <w:rsid w:val="00CE6290"/>
    <w:rsid w:val="00CE6516"/>
    <w:rsid w:val="00CE6D8E"/>
    <w:rsid w:val="00CE7254"/>
    <w:rsid w:val="00CE7C0F"/>
    <w:rsid w:val="00CF12A6"/>
    <w:rsid w:val="00CF20D2"/>
    <w:rsid w:val="00CF5E94"/>
    <w:rsid w:val="00CF600D"/>
    <w:rsid w:val="00CF7C7E"/>
    <w:rsid w:val="00D0020C"/>
    <w:rsid w:val="00D00B87"/>
    <w:rsid w:val="00D010CE"/>
    <w:rsid w:val="00D01497"/>
    <w:rsid w:val="00D01D75"/>
    <w:rsid w:val="00D04166"/>
    <w:rsid w:val="00D05280"/>
    <w:rsid w:val="00D101D3"/>
    <w:rsid w:val="00D106FA"/>
    <w:rsid w:val="00D111D6"/>
    <w:rsid w:val="00D1132F"/>
    <w:rsid w:val="00D11CDE"/>
    <w:rsid w:val="00D12126"/>
    <w:rsid w:val="00D136E9"/>
    <w:rsid w:val="00D13726"/>
    <w:rsid w:val="00D13A9D"/>
    <w:rsid w:val="00D141B2"/>
    <w:rsid w:val="00D1431B"/>
    <w:rsid w:val="00D144C1"/>
    <w:rsid w:val="00D148D7"/>
    <w:rsid w:val="00D15538"/>
    <w:rsid w:val="00D15919"/>
    <w:rsid w:val="00D15BAD"/>
    <w:rsid w:val="00D16530"/>
    <w:rsid w:val="00D17CFA"/>
    <w:rsid w:val="00D203F8"/>
    <w:rsid w:val="00D212A9"/>
    <w:rsid w:val="00D21C68"/>
    <w:rsid w:val="00D228F5"/>
    <w:rsid w:val="00D22AA1"/>
    <w:rsid w:val="00D2426E"/>
    <w:rsid w:val="00D249B2"/>
    <w:rsid w:val="00D24F60"/>
    <w:rsid w:val="00D25EA8"/>
    <w:rsid w:val="00D26A02"/>
    <w:rsid w:val="00D30C0E"/>
    <w:rsid w:val="00D31696"/>
    <w:rsid w:val="00D318C5"/>
    <w:rsid w:val="00D32A0D"/>
    <w:rsid w:val="00D32D4B"/>
    <w:rsid w:val="00D32E51"/>
    <w:rsid w:val="00D34272"/>
    <w:rsid w:val="00D34932"/>
    <w:rsid w:val="00D35F11"/>
    <w:rsid w:val="00D366D4"/>
    <w:rsid w:val="00D4019A"/>
    <w:rsid w:val="00D40254"/>
    <w:rsid w:val="00D42065"/>
    <w:rsid w:val="00D42E71"/>
    <w:rsid w:val="00D44C20"/>
    <w:rsid w:val="00D44CAC"/>
    <w:rsid w:val="00D44D9D"/>
    <w:rsid w:val="00D455B3"/>
    <w:rsid w:val="00D460B7"/>
    <w:rsid w:val="00D46F20"/>
    <w:rsid w:val="00D47305"/>
    <w:rsid w:val="00D47FA7"/>
    <w:rsid w:val="00D5091D"/>
    <w:rsid w:val="00D51202"/>
    <w:rsid w:val="00D52872"/>
    <w:rsid w:val="00D52EDE"/>
    <w:rsid w:val="00D53E92"/>
    <w:rsid w:val="00D54BA2"/>
    <w:rsid w:val="00D56738"/>
    <w:rsid w:val="00D5752A"/>
    <w:rsid w:val="00D617A5"/>
    <w:rsid w:val="00D62C0D"/>
    <w:rsid w:val="00D63874"/>
    <w:rsid w:val="00D63B13"/>
    <w:rsid w:val="00D63F61"/>
    <w:rsid w:val="00D63F88"/>
    <w:rsid w:val="00D64C23"/>
    <w:rsid w:val="00D6535C"/>
    <w:rsid w:val="00D6660E"/>
    <w:rsid w:val="00D66A58"/>
    <w:rsid w:val="00D6738E"/>
    <w:rsid w:val="00D67B37"/>
    <w:rsid w:val="00D67BF1"/>
    <w:rsid w:val="00D705DF"/>
    <w:rsid w:val="00D70C01"/>
    <w:rsid w:val="00D7217B"/>
    <w:rsid w:val="00D72607"/>
    <w:rsid w:val="00D72EA1"/>
    <w:rsid w:val="00D73754"/>
    <w:rsid w:val="00D73AC8"/>
    <w:rsid w:val="00D74B44"/>
    <w:rsid w:val="00D74C6C"/>
    <w:rsid w:val="00D752E1"/>
    <w:rsid w:val="00D7718F"/>
    <w:rsid w:val="00D77A07"/>
    <w:rsid w:val="00D8071F"/>
    <w:rsid w:val="00D80CAC"/>
    <w:rsid w:val="00D8131D"/>
    <w:rsid w:val="00D81657"/>
    <w:rsid w:val="00D82E40"/>
    <w:rsid w:val="00D83100"/>
    <w:rsid w:val="00D832EB"/>
    <w:rsid w:val="00D8541E"/>
    <w:rsid w:val="00D86C83"/>
    <w:rsid w:val="00D87085"/>
    <w:rsid w:val="00D9054A"/>
    <w:rsid w:val="00D9112E"/>
    <w:rsid w:val="00D919A2"/>
    <w:rsid w:val="00D91F0E"/>
    <w:rsid w:val="00D921E9"/>
    <w:rsid w:val="00D93096"/>
    <w:rsid w:val="00D9320F"/>
    <w:rsid w:val="00D93D21"/>
    <w:rsid w:val="00D93F2E"/>
    <w:rsid w:val="00D95866"/>
    <w:rsid w:val="00D962A3"/>
    <w:rsid w:val="00D97CBA"/>
    <w:rsid w:val="00DA0BE4"/>
    <w:rsid w:val="00DA1195"/>
    <w:rsid w:val="00DA17A3"/>
    <w:rsid w:val="00DA1F53"/>
    <w:rsid w:val="00DA410C"/>
    <w:rsid w:val="00DA5F0F"/>
    <w:rsid w:val="00DA7DB9"/>
    <w:rsid w:val="00DA7EB6"/>
    <w:rsid w:val="00DA7F4F"/>
    <w:rsid w:val="00DB1098"/>
    <w:rsid w:val="00DB1B68"/>
    <w:rsid w:val="00DB21F1"/>
    <w:rsid w:val="00DB3FB6"/>
    <w:rsid w:val="00DB4DD8"/>
    <w:rsid w:val="00DB5B6A"/>
    <w:rsid w:val="00DB6D5F"/>
    <w:rsid w:val="00DB71AB"/>
    <w:rsid w:val="00DB7C94"/>
    <w:rsid w:val="00DC193B"/>
    <w:rsid w:val="00DC1BC6"/>
    <w:rsid w:val="00DC2D86"/>
    <w:rsid w:val="00DC37BA"/>
    <w:rsid w:val="00DC3A98"/>
    <w:rsid w:val="00DC3CC4"/>
    <w:rsid w:val="00DC3ED8"/>
    <w:rsid w:val="00DC3EDB"/>
    <w:rsid w:val="00DC45CD"/>
    <w:rsid w:val="00DC4E99"/>
    <w:rsid w:val="00DC6681"/>
    <w:rsid w:val="00DC6AB6"/>
    <w:rsid w:val="00DC7279"/>
    <w:rsid w:val="00DC7F57"/>
    <w:rsid w:val="00DD004E"/>
    <w:rsid w:val="00DD0151"/>
    <w:rsid w:val="00DD16A1"/>
    <w:rsid w:val="00DD2E75"/>
    <w:rsid w:val="00DD366D"/>
    <w:rsid w:val="00DD4FE3"/>
    <w:rsid w:val="00DD569A"/>
    <w:rsid w:val="00DD61AA"/>
    <w:rsid w:val="00DD6E85"/>
    <w:rsid w:val="00DD7301"/>
    <w:rsid w:val="00DE0602"/>
    <w:rsid w:val="00DE192F"/>
    <w:rsid w:val="00DE245D"/>
    <w:rsid w:val="00DE3081"/>
    <w:rsid w:val="00DE35A0"/>
    <w:rsid w:val="00DE39C5"/>
    <w:rsid w:val="00DE4330"/>
    <w:rsid w:val="00DE65F3"/>
    <w:rsid w:val="00DE65F6"/>
    <w:rsid w:val="00DE6918"/>
    <w:rsid w:val="00DE6DC9"/>
    <w:rsid w:val="00DE7A3C"/>
    <w:rsid w:val="00DF021A"/>
    <w:rsid w:val="00DF0D32"/>
    <w:rsid w:val="00DF1A37"/>
    <w:rsid w:val="00DF2DB1"/>
    <w:rsid w:val="00DF3D64"/>
    <w:rsid w:val="00DF494D"/>
    <w:rsid w:val="00DF5D2F"/>
    <w:rsid w:val="00DF71A1"/>
    <w:rsid w:val="00E01E96"/>
    <w:rsid w:val="00E0299C"/>
    <w:rsid w:val="00E03247"/>
    <w:rsid w:val="00E03BBE"/>
    <w:rsid w:val="00E053BD"/>
    <w:rsid w:val="00E05413"/>
    <w:rsid w:val="00E05B62"/>
    <w:rsid w:val="00E05BBA"/>
    <w:rsid w:val="00E05E49"/>
    <w:rsid w:val="00E06D96"/>
    <w:rsid w:val="00E06FAF"/>
    <w:rsid w:val="00E07202"/>
    <w:rsid w:val="00E0794C"/>
    <w:rsid w:val="00E11792"/>
    <w:rsid w:val="00E1225C"/>
    <w:rsid w:val="00E1264C"/>
    <w:rsid w:val="00E1308F"/>
    <w:rsid w:val="00E1345E"/>
    <w:rsid w:val="00E150CA"/>
    <w:rsid w:val="00E17CB0"/>
    <w:rsid w:val="00E2097C"/>
    <w:rsid w:val="00E2099E"/>
    <w:rsid w:val="00E21219"/>
    <w:rsid w:val="00E2170A"/>
    <w:rsid w:val="00E21B28"/>
    <w:rsid w:val="00E21FC2"/>
    <w:rsid w:val="00E2295B"/>
    <w:rsid w:val="00E22F29"/>
    <w:rsid w:val="00E2305E"/>
    <w:rsid w:val="00E24D8F"/>
    <w:rsid w:val="00E25871"/>
    <w:rsid w:val="00E25D5F"/>
    <w:rsid w:val="00E26672"/>
    <w:rsid w:val="00E3148F"/>
    <w:rsid w:val="00E315AF"/>
    <w:rsid w:val="00E32323"/>
    <w:rsid w:val="00E325AD"/>
    <w:rsid w:val="00E3261F"/>
    <w:rsid w:val="00E33930"/>
    <w:rsid w:val="00E3466D"/>
    <w:rsid w:val="00E34DE1"/>
    <w:rsid w:val="00E36BF4"/>
    <w:rsid w:val="00E3736D"/>
    <w:rsid w:val="00E4010B"/>
    <w:rsid w:val="00E4038F"/>
    <w:rsid w:val="00E422A6"/>
    <w:rsid w:val="00E42B5A"/>
    <w:rsid w:val="00E42DF5"/>
    <w:rsid w:val="00E443FD"/>
    <w:rsid w:val="00E44C89"/>
    <w:rsid w:val="00E45219"/>
    <w:rsid w:val="00E45A06"/>
    <w:rsid w:val="00E471A1"/>
    <w:rsid w:val="00E47848"/>
    <w:rsid w:val="00E50617"/>
    <w:rsid w:val="00E5081C"/>
    <w:rsid w:val="00E51B38"/>
    <w:rsid w:val="00E51DA5"/>
    <w:rsid w:val="00E5259C"/>
    <w:rsid w:val="00E52B30"/>
    <w:rsid w:val="00E543AF"/>
    <w:rsid w:val="00E5474E"/>
    <w:rsid w:val="00E57325"/>
    <w:rsid w:val="00E60891"/>
    <w:rsid w:val="00E60BE7"/>
    <w:rsid w:val="00E619DC"/>
    <w:rsid w:val="00E61A7B"/>
    <w:rsid w:val="00E61D66"/>
    <w:rsid w:val="00E6265A"/>
    <w:rsid w:val="00E62A7C"/>
    <w:rsid w:val="00E63029"/>
    <w:rsid w:val="00E630C0"/>
    <w:rsid w:val="00E65043"/>
    <w:rsid w:val="00E6714E"/>
    <w:rsid w:val="00E67288"/>
    <w:rsid w:val="00E67EE6"/>
    <w:rsid w:val="00E70015"/>
    <w:rsid w:val="00E7002D"/>
    <w:rsid w:val="00E71639"/>
    <w:rsid w:val="00E71BBC"/>
    <w:rsid w:val="00E72570"/>
    <w:rsid w:val="00E72DAB"/>
    <w:rsid w:val="00E7373A"/>
    <w:rsid w:val="00E73C41"/>
    <w:rsid w:val="00E75413"/>
    <w:rsid w:val="00E75690"/>
    <w:rsid w:val="00E76191"/>
    <w:rsid w:val="00E76F71"/>
    <w:rsid w:val="00E77C4C"/>
    <w:rsid w:val="00E77C81"/>
    <w:rsid w:val="00E81C44"/>
    <w:rsid w:val="00E81E4B"/>
    <w:rsid w:val="00E8219B"/>
    <w:rsid w:val="00E82BE8"/>
    <w:rsid w:val="00E831CD"/>
    <w:rsid w:val="00E8327D"/>
    <w:rsid w:val="00E83BCB"/>
    <w:rsid w:val="00E840E0"/>
    <w:rsid w:val="00E846A5"/>
    <w:rsid w:val="00E84893"/>
    <w:rsid w:val="00E8743A"/>
    <w:rsid w:val="00E874F9"/>
    <w:rsid w:val="00E911EC"/>
    <w:rsid w:val="00E915F6"/>
    <w:rsid w:val="00E91763"/>
    <w:rsid w:val="00E92281"/>
    <w:rsid w:val="00E923A9"/>
    <w:rsid w:val="00E92E0B"/>
    <w:rsid w:val="00E947DB"/>
    <w:rsid w:val="00E95213"/>
    <w:rsid w:val="00E95C0D"/>
    <w:rsid w:val="00E96649"/>
    <w:rsid w:val="00E966A8"/>
    <w:rsid w:val="00EA07BC"/>
    <w:rsid w:val="00EA170A"/>
    <w:rsid w:val="00EA2D66"/>
    <w:rsid w:val="00EA38FD"/>
    <w:rsid w:val="00EA4061"/>
    <w:rsid w:val="00EA40E8"/>
    <w:rsid w:val="00EA4155"/>
    <w:rsid w:val="00EA43FA"/>
    <w:rsid w:val="00EA50FA"/>
    <w:rsid w:val="00EA56A1"/>
    <w:rsid w:val="00EA63CE"/>
    <w:rsid w:val="00EA72FE"/>
    <w:rsid w:val="00EA798C"/>
    <w:rsid w:val="00EA7A55"/>
    <w:rsid w:val="00EA7E55"/>
    <w:rsid w:val="00EB07ED"/>
    <w:rsid w:val="00EB0984"/>
    <w:rsid w:val="00EB0CC0"/>
    <w:rsid w:val="00EB11E9"/>
    <w:rsid w:val="00EB204C"/>
    <w:rsid w:val="00EB25B4"/>
    <w:rsid w:val="00EB347B"/>
    <w:rsid w:val="00EB4264"/>
    <w:rsid w:val="00EB5995"/>
    <w:rsid w:val="00EB61B4"/>
    <w:rsid w:val="00EB6D87"/>
    <w:rsid w:val="00EC011E"/>
    <w:rsid w:val="00EC01DE"/>
    <w:rsid w:val="00EC0998"/>
    <w:rsid w:val="00EC0AD2"/>
    <w:rsid w:val="00EC1818"/>
    <w:rsid w:val="00EC282D"/>
    <w:rsid w:val="00EC359A"/>
    <w:rsid w:val="00EC3D64"/>
    <w:rsid w:val="00EC3E5D"/>
    <w:rsid w:val="00EC4C72"/>
    <w:rsid w:val="00EC50C2"/>
    <w:rsid w:val="00EC5921"/>
    <w:rsid w:val="00EC5FDE"/>
    <w:rsid w:val="00EC6D51"/>
    <w:rsid w:val="00ED0DAF"/>
    <w:rsid w:val="00ED15D3"/>
    <w:rsid w:val="00ED180D"/>
    <w:rsid w:val="00ED1C76"/>
    <w:rsid w:val="00ED20BE"/>
    <w:rsid w:val="00ED3D9A"/>
    <w:rsid w:val="00ED3DB9"/>
    <w:rsid w:val="00ED4217"/>
    <w:rsid w:val="00ED458C"/>
    <w:rsid w:val="00ED52B7"/>
    <w:rsid w:val="00ED6E60"/>
    <w:rsid w:val="00ED73E1"/>
    <w:rsid w:val="00EE0C7A"/>
    <w:rsid w:val="00EE148B"/>
    <w:rsid w:val="00EE1B9E"/>
    <w:rsid w:val="00EE1D7F"/>
    <w:rsid w:val="00EE34B5"/>
    <w:rsid w:val="00EE4D45"/>
    <w:rsid w:val="00EE53E2"/>
    <w:rsid w:val="00EE57F3"/>
    <w:rsid w:val="00EE691D"/>
    <w:rsid w:val="00EE7440"/>
    <w:rsid w:val="00EE78A8"/>
    <w:rsid w:val="00EF021D"/>
    <w:rsid w:val="00EF0702"/>
    <w:rsid w:val="00EF0742"/>
    <w:rsid w:val="00EF0D05"/>
    <w:rsid w:val="00EF217B"/>
    <w:rsid w:val="00EF2694"/>
    <w:rsid w:val="00EF3E35"/>
    <w:rsid w:val="00EF54C4"/>
    <w:rsid w:val="00EF63CF"/>
    <w:rsid w:val="00EF6729"/>
    <w:rsid w:val="00EF6A38"/>
    <w:rsid w:val="00EF6BEF"/>
    <w:rsid w:val="00EF7459"/>
    <w:rsid w:val="00EF78E7"/>
    <w:rsid w:val="00EF7BE1"/>
    <w:rsid w:val="00F007DE"/>
    <w:rsid w:val="00F01A49"/>
    <w:rsid w:val="00F02D91"/>
    <w:rsid w:val="00F036D1"/>
    <w:rsid w:val="00F0511D"/>
    <w:rsid w:val="00F0691E"/>
    <w:rsid w:val="00F07607"/>
    <w:rsid w:val="00F11421"/>
    <w:rsid w:val="00F114DB"/>
    <w:rsid w:val="00F1195A"/>
    <w:rsid w:val="00F12C6F"/>
    <w:rsid w:val="00F1348E"/>
    <w:rsid w:val="00F13AEE"/>
    <w:rsid w:val="00F1498F"/>
    <w:rsid w:val="00F149EE"/>
    <w:rsid w:val="00F1609C"/>
    <w:rsid w:val="00F16376"/>
    <w:rsid w:val="00F16823"/>
    <w:rsid w:val="00F17AB1"/>
    <w:rsid w:val="00F17C91"/>
    <w:rsid w:val="00F17FF3"/>
    <w:rsid w:val="00F2032F"/>
    <w:rsid w:val="00F21457"/>
    <w:rsid w:val="00F22463"/>
    <w:rsid w:val="00F225A3"/>
    <w:rsid w:val="00F225D6"/>
    <w:rsid w:val="00F2284A"/>
    <w:rsid w:val="00F22AD9"/>
    <w:rsid w:val="00F2504C"/>
    <w:rsid w:val="00F250C6"/>
    <w:rsid w:val="00F25B5A"/>
    <w:rsid w:val="00F26D0B"/>
    <w:rsid w:val="00F30917"/>
    <w:rsid w:val="00F31C47"/>
    <w:rsid w:val="00F322D0"/>
    <w:rsid w:val="00F32EE4"/>
    <w:rsid w:val="00F34099"/>
    <w:rsid w:val="00F346A3"/>
    <w:rsid w:val="00F3470B"/>
    <w:rsid w:val="00F34789"/>
    <w:rsid w:val="00F3508F"/>
    <w:rsid w:val="00F35788"/>
    <w:rsid w:val="00F37262"/>
    <w:rsid w:val="00F37C66"/>
    <w:rsid w:val="00F40378"/>
    <w:rsid w:val="00F42969"/>
    <w:rsid w:val="00F42D6B"/>
    <w:rsid w:val="00F439F8"/>
    <w:rsid w:val="00F43DE3"/>
    <w:rsid w:val="00F441F7"/>
    <w:rsid w:val="00F45057"/>
    <w:rsid w:val="00F46983"/>
    <w:rsid w:val="00F46B65"/>
    <w:rsid w:val="00F470B7"/>
    <w:rsid w:val="00F50422"/>
    <w:rsid w:val="00F5048C"/>
    <w:rsid w:val="00F5059F"/>
    <w:rsid w:val="00F5066F"/>
    <w:rsid w:val="00F50B47"/>
    <w:rsid w:val="00F517C5"/>
    <w:rsid w:val="00F51EB9"/>
    <w:rsid w:val="00F52268"/>
    <w:rsid w:val="00F5542D"/>
    <w:rsid w:val="00F56897"/>
    <w:rsid w:val="00F5757A"/>
    <w:rsid w:val="00F60A67"/>
    <w:rsid w:val="00F60B1F"/>
    <w:rsid w:val="00F62720"/>
    <w:rsid w:val="00F62EC8"/>
    <w:rsid w:val="00F6367A"/>
    <w:rsid w:val="00F640B0"/>
    <w:rsid w:val="00F64691"/>
    <w:rsid w:val="00F64D1A"/>
    <w:rsid w:val="00F65A3B"/>
    <w:rsid w:val="00F66279"/>
    <w:rsid w:val="00F6636A"/>
    <w:rsid w:val="00F707DB"/>
    <w:rsid w:val="00F7114B"/>
    <w:rsid w:val="00F725B5"/>
    <w:rsid w:val="00F72E4A"/>
    <w:rsid w:val="00F74A3A"/>
    <w:rsid w:val="00F75A11"/>
    <w:rsid w:val="00F77CAB"/>
    <w:rsid w:val="00F77E1A"/>
    <w:rsid w:val="00F8101C"/>
    <w:rsid w:val="00F81AF5"/>
    <w:rsid w:val="00F81B3E"/>
    <w:rsid w:val="00F827BF"/>
    <w:rsid w:val="00F8480F"/>
    <w:rsid w:val="00F85284"/>
    <w:rsid w:val="00F85F97"/>
    <w:rsid w:val="00F85FD7"/>
    <w:rsid w:val="00F8624B"/>
    <w:rsid w:val="00F8709C"/>
    <w:rsid w:val="00F87537"/>
    <w:rsid w:val="00F877B5"/>
    <w:rsid w:val="00F90757"/>
    <w:rsid w:val="00F90836"/>
    <w:rsid w:val="00F90D20"/>
    <w:rsid w:val="00F90E22"/>
    <w:rsid w:val="00F91373"/>
    <w:rsid w:val="00F91873"/>
    <w:rsid w:val="00F9241C"/>
    <w:rsid w:val="00F92989"/>
    <w:rsid w:val="00F932D6"/>
    <w:rsid w:val="00F935BE"/>
    <w:rsid w:val="00F94821"/>
    <w:rsid w:val="00F94B14"/>
    <w:rsid w:val="00F965E1"/>
    <w:rsid w:val="00F970B1"/>
    <w:rsid w:val="00FA054D"/>
    <w:rsid w:val="00FA08D2"/>
    <w:rsid w:val="00FA21FD"/>
    <w:rsid w:val="00FA23FF"/>
    <w:rsid w:val="00FA3877"/>
    <w:rsid w:val="00FA3CA8"/>
    <w:rsid w:val="00FA4090"/>
    <w:rsid w:val="00FA543B"/>
    <w:rsid w:val="00FA5489"/>
    <w:rsid w:val="00FA5950"/>
    <w:rsid w:val="00FA6569"/>
    <w:rsid w:val="00FA65DF"/>
    <w:rsid w:val="00FA6951"/>
    <w:rsid w:val="00FA6C38"/>
    <w:rsid w:val="00FA7337"/>
    <w:rsid w:val="00FA7474"/>
    <w:rsid w:val="00FA7AED"/>
    <w:rsid w:val="00FB05FF"/>
    <w:rsid w:val="00FB1BA1"/>
    <w:rsid w:val="00FB231B"/>
    <w:rsid w:val="00FB293D"/>
    <w:rsid w:val="00FB2B57"/>
    <w:rsid w:val="00FB30A1"/>
    <w:rsid w:val="00FB5594"/>
    <w:rsid w:val="00FB6E04"/>
    <w:rsid w:val="00FB7741"/>
    <w:rsid w:val="00FB7B84"/>
    <w:rsid w:val="00FC13E4"/>
    <w:rsid w:val="00FC16CF"/>
    <w:rsid w:val="00FC181D"/>
    <w:rsid w:val="00FC2311"/>
    <w:rsid w:val="00FC25CB"/>
    <w:rsid w:val="00FC2D11"/>
    <w:rsid w:val="00FC4C1A"/>
    <w:rsid w:val="00FC51D4"/>
    <w:rsid w:val="00FC561A"/>
    <w:rsid w:val="00FC5E3D"/>
    <w:rsid w:val="00FC7352"/>
    <w:rsid w:val="00FC7CD5"/>
    <w:rsid w:val="00FD06D4"/>
    <w:rsid w:val="00FD1CDF"/>
    <w:rsid w:val="00FD5001"/>
    <w:rsid w:val="00FD51BD"/>
    <w:rsid w:val="00FD521A"/>
    <w:rsid w:val="00FD5D10"/>
    <w:rsid w:val="00FD78A5"/>
    <w:rsid w:val="00FD7BC7"/>
    <w:rsid w:val="00FD7BE5"/>
    <w:rsid w:val="00FE00A2"/>
    <w:rsid w:val="00FE1EDE"/>
    <w:rsid w:val="00FE203C"/>
    <w:rsid w:val="00FE2721"/>
    <w:rsid w:val="00FE3801"/>
    <w:rsid w:val="00FE3D20"/>
    <w:rsid w:val="00FE42D0"/>
    <w:rsid w:val="00FE44DA"/>
    <w:rsid w:val="00FE45E2"/>
    <w:rsid w:val="00FE4CCA"/>
    <w:rsid w:val="00FE537C"/>
    <w:rsid w:val="00FE5A69"/>
    <w:rsid w:val="00FE619D"/>
    <w:rsid w:val="00FE64FF"/>
    <w:rsid w:val="00FE6809"/>
    <w:rsid w:val="00FE6C61"/>
    <w:rsid w:val="00FE7B1F"/>
    <w:rsid w:val="00FF25AD"/>
    <w:rsid w:val="00FF26A9"/>
    <w:rsid w:val="00FF2952"/>
    <w:rsid w:val="00FF2F6E"/>
    <w:rsid w:val="00FF4A61"/>
    <w:rsid w:val="00FF54F7"/>
    <w:rsid w:val="00FF6708"/>
    <w:rsid w:val="00FF6AE4"/>
    <w:rsid w:val="00FF6C49"/>
    <w:rsid w:val="00FF6E19"/>
    <w:rsid w:val="00FF7339"/>
    <w:rsid w:val="00FF79F3"/>
    <w:rsid w:val="010158D6"/>
    <w:rsid w:val="012C08DD"/>
    <w:rsid w:val="01525D66"/>
    <w:rsid w:val="01804A4C"/>
    <w:rsid w:val="01934780"/>
    <w:rsid w:val="01A050EF"/>
    <w:rsid w:val="01B91D0C"/>
    <w:rsid w:val="01C67D4F"/>
    <w:rsid w:val="01E52B01"/>
    <w:rsid w:val="01E66FA5"/>
    <w:rsid w:val="01EE19B6"/>
    <w:rsid w:val="01F571E8"/>
    <w:rsid w:val="01F71622"/>
    <w:rsid w:val="02D0730E"/>
    <w:rsid w:val="02DE5ECF"/>
    <w:rsid w:val="02EF5EA2"/>
    <w:rsid w:val="02F71921"/>
    <w:rsid w:val="02F96864"/>
    <w:rsid w:val="030975F5"/>
    <w:rsid w:val="03200295"/>
    <w:rsid w:val="032064E7"/>
    <w:rsid w:val="033332A6"/>
    <w:rsid w:val="03536BCC"/>
    <w:rsid w:val="03577A2F"/>
    <w:rsid w:val="036B5288"/>
    <w:rsid w:val="0385634A"/>
    <w:rsid w:val="038D3451"/>
    <w:rsid w:val="03936CB9"/>
    <w:rsid w:val="039859AF"/>
    <w:rsid w:val="03AF1619"/>
    <w:rsid w:val="040B7160"/>
    <w:rsid w:val="040F3E66"/>
    <w:rsid w:val="042913CB"/>
    <w:rsid w:val="045C354F"/>
    <w:rsid w:val="04780AF4"/>
    <w:rsid w:val="04785EAF"/>
    <w:rsid w:val="047B1719"/>
    <w:rsid w:val="047C599F"/>
    <w:rsid w:val="04B50EB1"/>
    <w:rsid w:val="04C9495C"/>
    <w:rsid w:val="04E90B5B"/>
    <w:rsid w:val="04EA6FE4"/>
    <w:rsid w:val="050D6CB4"/>
    <w:rsid w:val="051200B1"/>
    <w:rsid w:val="05295350"/>
    <w:rsid w:val="052E35E0"/>
    <w:rsid w:val="05306256"/>
    <w:rsid w:val="057D7F28"/>
    <w:rsid w:val="059F3579"/>
    <w:rsid w:val="05B72A07"/>
    <w:rsid w:val="05D2339D"/>
    <w:rsid w:val="05E337FC"/>
    <w:rsid w:val="05F06D2E"/>
    <w:rsid w:val="05FB6F31"/>
    <w:rsid w:val="060E6ACB"/>
    <w:rsid w:val="062F07EF"/>
    <w:rsid w:val="064222D0"/>
    <w:rsid w:val="065A1D10"/>
    <w:rsid w:val="0668393D"/>
    <w:rsid w:val="06AF4435"/>
    <w:rsid w:val="06B50CF4"/>
    <w:rsid w:val="06BB1A37"/>
    <w:rsid w:val="06E95A55"/>
    <w:rsid w:val="06EA75DD"/>
    <w:rsid w:val="06F757B1"/>
    <w:rsid w:val="06FA0DFD"/>
    <w:rsid w:val="06FD08ED"/>
    <w:rsid w:val="07177C01"/>
    <w:rsid w:val="073360BD"/>
    <w:rsid w:val="07486182"/>
    <w:rsid w:val="07593D76"/>
    <w:rsid w:val="07634BF4"/>
    <w:rsid w:val="077741FC"/>
    <w:rsid w:val="077B0190"/>
    <w:rsid w:val="077F05AE"/>
    <w:rsid w:val="07CF228A"/>
    <w:rsid w:val="07D04D96"/>
    <w:rsid w:val="07E85C51"/>
    <w:rsid w:val="07F27D26"/>
    <w:rsid w:val="07FC0BA5"/>
    <w:rsid w:val="083205CA"/>
    <w:rsid w:val="08385CAD"/>
    <w:rsid w:val="08430582"/>
    <w:rsid w:val="08511E89"/>
    <w:rsid w:val="08836BD0"/>
    <w:rsid w:val="08923B7D"/>
    <w:rsid w:val="08934557"/>
    <w:rsid w:val="08A41020"/>
    <w:rsid w:val="08CC0577"/>
    <w:rsid w:val="08D613F6"/>
    <w:rsid w:val="090D12BC"/>
    <w:rsid w:val="092C7268"/>
    <w:rsid w:val="092E3131"/>
    <w:rsid w:val="094C3466"/>
    <w:rsid w:val="095E38C5"/>
    <w:rsid w:val="096747F9"/>
    <w:rsid w:val="098552F6"/>
    <w:rsid w:val="09B23C11"/>
    <w:rsid w:val="09D45935"/>
    <w:rsid w:val="09EB72A8"/>
    <w:rsid w:val="0A0A75A9"/>
    <w:rsid w:val="0A0B50CF"/>
    <w:rsid w:val="0A195A3E"/>
    <w:rsid w:val="0A287A2F"/>
    <w:rsid w:val="0A296AEF"/>
    <w:rsid w:val="0A653592"/>
    <w:rsid w:val="0A9E4ADC"/>
    <w:rsid w:val="0ABD461B"/>
    <w:rsid w:val="0AE0655C"/>
    <w:rsid w:val="0AE778EA"/>
    <w:rsid w:val="0B261DB7"/>
    <w:rsid w:val="0B332B30"/>
    <w:rsid w:val="0B512FB6"/>
    <w:rsid w:val="0B5D7BAD"/>
    <w:rsid w:val="0B6B051B"/>
    <w:rsid w:val="0B6E1DBA"/>
    <w:rsid w:val="0B7C2193"/>
    <w:rsid w:val="0B8D0BBC"/>
    <w:rsid w:val="0B9816D7"/>
    <w:rsid w:val="0BD7170D"/>
    <w:rsid w:val="0BF4406D"/>
    <w:rsid w:val="0C1F1683"/>
    <w:rsid w:val="0C321039"/>
    <w:rsid w:val="0C4C59FE"/>
    <w:rsid w:val="0C5756B8"/>
    <w:rsid w:val="0C6805B7"/>
    <w:rsid w:val="0C7358DA"/>
    <w:rsid w:val="0C764B54"/>
    <w:rsid w:val="0C851169"/>
    <w:rsid w:val="0C9D4705"/>
    <w:rsid w:val="0CA535B9"/>
    <w:rsid w:val="0CA55C60"/>
    <w:rsid w:val="0CC55A09"/>
    <w:rsid w:val="0CDB347F"/>
    <w:rsid w:val="0CF236F8"/>
    <w:rsid w:val="0CF4642C"/>
    <w:rsid w:val="0D0429D6"/>
    <w:rsid w:val="0D3052EC"/>
    <w:rsid w:val="0D49488C"/>
    <w:rsid w:val="0D6945E7"/>
    <w:rsid w:val="0D782A7C"/>
    <w:rsid w:val="0D786F20"/>
    <w:rsid w:val="0D803E8B"/>
    <w:rsid w:val="0DA73361"/>
    <w:rsid w:val="0DAF18CA"/>
    <w:rsid w:val="0DB00467"/>
    <w:rsid w:val="0DF465A6"/>
    <w:rsid w:val="0E1E1875"/>
    <w:rsid w:val="0E260B91"/>
    <w:rsid w:val="0E3F0DAA"/>
    <w:rsid w:val="0E565C5E"/>
    <w:rsid w:val="0E741495"/>
    <w:rsid w:val="0E916C70"/>
    <w:rsid w:val="0EA93835"/>
    <w:rsid w:val="0EB93B06"/>
    <w:rsid w:val="0ECC12D1"/>
    <w:rsid w:val="0F026AA1"/>
    <w:rsid w:val="0F052A35"/>
    <w:rsid w:val="0F3B0205"/>
    <w:rsid w:val="0F470958"/>
    <w:rsid w:val="0F583AB8"/>
    <w:rsid w:val="0F5F3EF3"/>
    <w:rsid w:val="0F6C03BE"/>
    <w:rsid w:val="0FA94931"/>
    <w:rsid w:val="0FC621C4"/>
    <w:rsid w:val="0FD20B69"/>
    <w:rsid w:val="0FD541B5"/>
    <w:rsid w:val="0FE91A0F"/>
    <w:rsid w:val="0FEE0FCE"/>
    <w:rsid w:val="0FF74A4B"/>
    <w:rsid w:val="100D1BA1"/>
    <w:rsid w:val="10437371"/>
    <w:rsid w:val="10541406"/>
    <w:rsid w:val="1058541F"/>
    <w:rsid w:val="1081433D"/>
    <w:rsid w:val="10AA3894"/>
    <w:rsid w:val="10EC5C5A"/>
    <w:rsid w:val="11146F5F"/>
    <w:rsid w:val="11162CD7"/>
    <w:rsid w:val="113555B7"/>
    <w:rsid w:val="114A0BD3"/>
    <w:rsid w:val="11577496"/>
    <w:rsid w:val="117A5014"/>
    <w:rsid w:val="118714DF"/>
    <w:rsid w:val="118A6720"/>
    <w:rsid w:val="118C11EC"/>
    <w:rsid w:val="11B06C88"/>
    <w:rsid w:val="11B51C23"/>
    <w:rsid w:val="11D566EF"/>
    <w:rsid w:val="11F36B75"/>
    <w:rsid w:val="12045226"/>
    <w:rsid w:val="12260CF8"/>
    <w:rsid w:val="12280F14"/>
    <w:rsid w:val="122B630F"/>
    <w:rsid w:val="123E5078"/>
    <w:rsid w:val="12416E80"/>
    <w:rsid w:val="12435D4E"/>
    <w:rsid w:val="124949E7"/>
    <w:rsid w:val="12555A81"/>
    <w:rsid w:val="125F420A"/>
    <w:rsid w:val="12760343"/>
    <w:rsid w:val="127C7ED8"/>
    <w:rsid w:val="128A74D9"/>
    <w:rsid w:val="12BB3C49"/>
    <w:rsid w:val="12C02EFB"/>
    <w:rsid w:val="12E110C3"/>
    <w:rsid w:val="1312127D"/>
    <w:rsid w:val="132833AA"/>
    <w:rsid w:val="13504958"/>
    <w:rsid w:val="13651CF4"/>
    <w:rsid w:val="13A20852"/>
    <w:rsid w:val="13BB1914"/>
    <w:rsid w:val="13C06789"/>
    <w:rsid w:val="13E42C19"/>
    <w:rsid w:val="13E56991"/>
    <w:rsid w:val="13FC4407"/>
    <w:rsid w:val="14087B98"/>
    <w:rsid w:val="141D25CF"/>
    <w:rsid w:val="145A2EDB"/>
    <w:rsid w:val="14883EEC"/>
    <w:rsid w:val="14D97818"/>
    <w:rsid w:val="14E07884"/>
    <w:rsid w:val="14E87AD6"/>
    <w:rsid w:val="15334301"/>
    <w:rsid w:val="1549248C"/>
    <w:rsid w:val="154D0C92"/>
    <w:rsid w:val="155A5A8F"/>
    <w:rsid w:val="1564020E"/>
    <w:rsid w:val="157F52EF"/>
    <w:rsid w:val="159D2F9A"/>
    <w:rsid w:val="15AE1730"/>
    <w:rsid w:val="15BD5E17"/>
    <w:rsid w:val="15C34AB0"/>
    <w:rsid w:val="15C9656A"/>
    <w:rsid w:val="15E05662"/>
    <w:rsid w:val="15E66F40"/>
    <w:rsid w:val="165E095B"/>
    <w:rsid w:val="16826B77"/>
    <w:rsid w:val="168B7CC4"/>
    <w:rsid w:val="16981481"/>
    <w:rsid w:val="16A15AA8"/>
    <w:rsid w:val="16B74615"/>
    <w:rsid w:val="16DB0965"/>
    <w:rsid w:val="16EE3073"/>
    <w:rsid w:val="171E4694"/>
    <w:rsid w:val="17214184"/>
    <w:rsid w:val="17283764"/>
    <w:rsid w:val="172B7C90"/>
    <w:rsid w:val="174304AA"/>
    <w:rsid w:val="17471E3D"/>
    <w:rsid w:val="174C7453"/>
    <w:rsid w:val="17801883"/>
    <w:rsid w:val="17B31280"/>
    <w:rsid w:val="17BD5C5B"/>
    <w:rsid w:val="17BE19D3"/>
    <w:rsid w:val="17FF2717"/>
    <w:rsid w:val="180513B0"/>
    <w:rsid w:val="18300B23"/>
    <w:rsid w:val="185D743E"/>
    <w:rsid w:val="18664544"/>
    <w:rsid w:val="187D363C"/>
    <w:rsid w:val="188E3A9B"/>
    <w:rsid w:val="18B057C0"/>
    <w:rsid w:val="18B54B84"/>
    <w:rsid w:val="18C33745"/>
    <w:rsid w:val="18C354F3"/>
    <w:rsid w:val="18E07A88"/>
    <w:rsid w:val="18E66CC6"/>
    <w:rsid w:val="18E86D07"/>
    <w:rsid w:val="18E90AB2"/>
    <w:rsid w:val="18F002B2"/>
    <w:rsid w:val="18FC5A33"/>
    <w:rsid w:val="19017DC9"/>
    <w:rsid w:val="19193365"/>
    <w:rsid w:val="191E6BCD"/>
    <w:rsid w:val="1922138B"/>
    <w:rsid w:val="19266750"/>
    <w:rsid w:val="192A318E"/>
    <w:rsid w:val="197A63D2"/>
    <w:rsid w:val="198925DB"/>
    <w:rsid w:val="19921369"/>
    <w:rsid w:val="19B52B47"/>
    <w:rsid w:val="19DD25E4"/>
    <w:rsid w:val="19E80F89"/>
    <w:rsid w:val="19EB5D6A"/>
    <w:rsid w:val="1A2226ED"/>
    <w:rsid w:val="1A255D39"/>
    <w:rsid w:val="1A28247B"/>
    <w:rsid w:val="1A2C70C8"/>
    <w:rsid w:val="1A383CBF"/>
    <w:rsid w:val="1A3B37AF"/>
    <w:rsid w:val="1A4C59BC"/>
    <w:rsid w:val="1AE856E5"/>
    <w:rsid w:val="1B252495"/>
    <w:rsid w:val="1B43291B"/>
    <w:rsid w:val="1B570174"/>
    <w:rsid w:val="1B6A4DA2"/>
    <w:rsid w:val="1B8365D7"/>
    <w:rsid w:val="1B963565"/>
    <w:rsid w:val="1BB378F8"/>
    <w:rsid w:val="1BB43819"/>
    <w:rsid w:val="1BB747A9"/>
    <w:rsid w:val="1BC362C7"/>
    <w:rsid w:val="1BC9387D"/>
    <w:rsid w:val="1BD9519A"/>
    <w:rsid w:val="1BEA6A00"/>
    <w:rsid w:val="1BF96B3B"/>
    <w:rsid w:val="1C057BD0"/>
    <w:rsid w:val="1C0F4668"/>
    <w:rsid w:val="1C447029"/>
    <w:rsid w:val="1C4F60A6"/>
    <w:rsid w:val="1C523CD7"/>
    <w:rsid w:val="1C5A616E"/>
    <w:rsid w:val="1C5F22E5"/>
    <w:rsid w:val="1C7B7E93"/>
    <w:rsid w:val="1C8513AC"/>
    <w:rsid w:val="1CB11C22"/>
    <w:rsid w:val="1CD32808"/>
    <w:rsid w:val="1CD37CCF"/>
    <w:rsid w:val="1CD557F5"/>
    <w:rsid w:val="1CE123EB"/>
    <w:rsid w:val="1CEB6DC6"/>
    <w:rsid w:val="1CF739BD"/>
    <w:rsid w:val="1D05291B"/>
    <w:rsid w:val="1D57445C"/>
    <w:rsid w:val="1D5A2821"/>
    <w:rsid w:val="1D70551D"/>
    <w:rsid w:val="1D777054"/>
    <w:rsid w:val="1D7C0366"/>
    <w:rsid w:val="1D951428"/>
    <w:rsid w:val="1D954F84"/>
    <w:rsid w:val="1D976F4E"/>
    <w:rsid w:val="1DAA4ED3"/>
    <w:rsid w:val="1DB16262"/>
    <w:rsid w:val="1DCB145F"/>
    <w:rsid w:val="1DDB508D"/>
    <w:rsid w:val="1DFC3255"/>
    <w:rsid w:val="1E0068A1"/>
    <w:rsid w:val="1E0A3BC4"/>
    <w:rsid w:val="1E2C58E8"/>
    <w:rsid w:val="1E4A1F08"/>
    <w:rsid w:val="1E5C5306"/>
    <w:rsid w:val="1E652BA8"/>
    <w:rsid w:val="1E751A08"/>
    <w:rsid w:val="1E77583B"/>
    <w:rsid w:val="1E960FB4"/>
    <w:rsid w:val="1EA71413"/>
    <w:rsid w:val="1EA731C1"/>
    <w:rsid w:val="1EB7274A"/>
    <w:rsid w:val="1ECC0549"/>
    <w:rsid w:val="1EE91A2B"/>
    <w:rsid w:val="1EEE2B9E"/>
    <w:rsid w:val="1F226CEB"/>
    <w:rsid w:val="1F291E28"/>
    <w:rsid w:val="1F2C661D"/>
    <w:rsid w:val="1F9D3862"/>
    <w:rsid w:val="1FA450A3"/>
    <w:rsid w:val="1FB7088D"/>
    <w:rsid w:val="1FCB1131"/>
    <w:rsid w:val="1FCF29CF"/>
    <w:rsid w:val="1FD55B0C"/>
    <w:rsid w:val="1FF40688"/>
    <w:rsid w:val="1FF9265B"/>
    <w:rsid w:val="201706ED"/>
    <w:rsid w:val="206F242E"/>
    <w:rsid w:val="20713A86"/>
    <w:rsid w:val="207672EF"/>
    <w:rsid w:val="209D2ACD"/>
    <w:rsid w:val="20BD316F"/>
    <w:rsid w:val="20E22BD6"/>
    <w:rsid w:val="20FA1CCE"/>
    <w:rsid w:val="20FD531A"/>
    <w:rsid w:val="211B3CCD"/>
    <w:rsid w:val="211F5F79"/>
    <w:rsid w:val="214747E7"/>
    <w:rsid w:val="214B077B"/>
    <w:rsid w:val="21562C7C"/>
    <w:rsid w:val="217F21D3"/>
    <w:rsid w:val="218617B3"/>
    <w:rsid w:val="21AA78DD"/>
    <w:rsid w:val="21B55BF5"/>
    <w:rsid w:val="21D02A2F"/>
    <w:rsid w:val="21DF3302"/>
    <w:rsid w:val="220F79FB"/>
    <w:rsid w:val="22161E0E"/>
    <w:rsid w:val="221768AF"/>
    <w:rsid w:val="22222711"/>
    <w:rsid w:val="22342FBD"/>
    <w:rsid w:val="22352F4F"/>
    <w:rsid w:val="22421B7E"/>
    <w:rsid w:val="225B2C40"/>
    <w:rsid w:val="22694125"/>
    <w:rsid w:val="226C6BFB"/>
    <w:rsid w:val="2277734E"/>
    <w:rsid w:val="228D76FC"/>
    <w:rsid w:val="22A46395"/>
    <w:rsid w:val="22F15352"/>
    <w:rsid w:val="2309269C"/>
    <w:rsid w:val="23137077"/>
    <w:rsid w:val="233D5EA2"/>
    <w:rsid w:val="23412977"/>
    <w:rsid w:val="23515DF1"/>
    <w:rsid w:val="23623B5A"/>
    <w:rsid w:val="23770662"/>
    <w:rsid w:val="238140C1"/>
    <w:rsid w:val="238C0BD7"/>
    <w:rsid w:val="23922691"/>
    <w:rsid w:val="239D3FB2"/>
    <w:rsid w:val="23A175C4"/>
    <w:rsid w:val="23B4085A"/>
    <w:rsid w:val="23CE11F0"/>
    <w:rsid w:val="23D5432C"/>
    <w:rsid w:val="241E5CD3"/>
    <w:rsid w:val="244336D7"/>
    <w:rsid w:val="244F2331"/>
    <w:rsid w:val="24547947"/>
    <w:rsid w:val="246102B6"/>
    <w:rsid w:val="24637B8A"/>
    <w:rsid w:val="24747FE9"/>
    <w:rsid w:val="247955FF"/>
    <w:rsid w:val="249146F7"/>
    <w:rsid w:val="24A106B2"/>
    <w:rsid w:val="24AE568E"/>
    <w:rsid w:val="24C820E3"/>
    <w:rsid w:val="25500806"/>
    <w:rsid w:val="255120D8"/>
    <w:rsid w:val="255B7007"/>
    <w:rsid w:val="25665B84"/>
    <w:rsid w:val="25707940"/>
    <w:rsid w:val="2580651A"/>
    <w:rsid w:val="25900E53"/>
    <w:rsid w:val="25A725E0"/>
    <w:rsid w:val="25AC730F"/>
    <w:rsid w:val="25B12591"/>
    <w:rsid w:val="25BA1A2C"/>
    <w:rsid w:val="25BD0C76"/>
    <w:rsid w:val="265A2427"/>
    <w:rsid w:val="265C4810"/>
    <w:rsid w:val="265C6F87"/>
    <w:rsid w:val="266B541C"/>
    <w:rsid w:val="266D4965"/>
    <w:rsid w:val="26751DF6"/>
    <w:rsid w:val="269B185D"/>
    <w:rsid w:val="26B172D2"/>
    <w:rsid w:val="26FE003E"/>
    <w:rsid w:val="2742617D"/>
    <w:rsid w:val="276B56D3"/>
    <w:rsid w:val="27702CEA"/>
    <w:rsid w:val="279938C3"/>
    <w:rsid w:val="27BF5A1F"/>
    <w:rsid w:val="2813617D"/>
    <w:rsid w:val="28717098"/>
    <w:rsid w:val="28754330"/>
    <w:rsid w:val="28771865"/>
    <w:rsid w:val="28954F2A"/>
    <w:rsid w:val="28B42292"/>
    <w:rsid w:val="28B9421C"/>
    <w:rsid w:val="28D252DE"/>
    <w:rsid w:val="290B259E"/>
    <w:rsid w:val="292C49EE"/>
    <w:rsid w:val="292E4C58"/>
    <w:rsid w:val="29596F2B"/>
    <w:rsid w:val="295C0DBC"/>
    <w:rsid w:val="29634188"/>
    <w:rsid w:val="29714AF7"/>
    <w:rsid w:val="297665B1"/>
    <w:rsid w:val="29946765"/>
    <w:rsid w:val="299F78B6"/>
    <w:rsid w:val="29D55BDF"/>
    <w:rsid w:val="29D97AE9"/>
    <w:rsid w:val="29DF7CB3"/>
    <w:rsid w:val="29E928DF"/>
    <w:rsid w:val="2A104310"/>
    <w:rsid w:val="2A151979"/>
    <w:rsid w:val="2A3D0E7D"/>
    <w:rsid w:val="2A4B5348"/>
    <w:rsid w:val="2AC86999"/>
    <w:rsid w:val="2ACC4EE6"/>
    <w:rsid w:val="2AEF5AF1"/>
    <w:rsid w:val="2AF21C68"/>
    <w:rsid w:val="2B347EA8"/>
    <w:rsid w:val="2B4324C3"/>
    <w:rsid w:val="2B4A1AA4"/>
    <w:rsid w:val="2B6C7C6C"/>
    <w:rsid w:val="2B713E1F"/>
    <w:rsid w:val="2B7B7EAF"/>
    <w:rsid w:val="2B936FA7"/>
    <w:rsid w:val="2BA967CA"/>
    <w:rsid w:val="2BB62C95"/>
    <w:rsid w:val="2BD47761"/>
    <w:rsid w:val="2BFF288E"/>
    <w:rsid w:val="2C0010A5"/>
    <w:rsid w:val="2C02237E"/>
    <w:rsid w:val="2C0421C2"/>
    <w:rsid w:val="2C0C0B07"/>
    <w:rsid w:val="2C1300E8"/>
    <w:rsid w:val="2C327D62"/>
    <w:rsid w:val="2C3C763E"/>
    <w:rsid w:val="2C3F21DC"/>
    <w:rsid w:val="2C4B1012"/>
    <w:rsid w:val="2C5223C6"/>
    <w:rsid w:val="2C576226"/>
    <w:rsid w:val="2C942F95"/>
    <w:rsid w:val="2C9441B6"/>
    <w:rsid w:val="2CA23219"/>
    <w:rsid w:val="2CD45AC9"/>
    <w:rsid w:val="2CD52491"/>
    <w:rsid w:val="2CDE6947"/>
    <w:rsid w:val="2CE11F94"/>
    <w:rsid w:val="2CE81574"/>
    <w:rsid w:val="2CE90E48"/>
    <w:rsid w:val="2D032849"/>
    <w:rsid w:val="2D0B5263"/>
    <w:rsid w:val="2D1B1DF2"/>
    <w:rsid w:val="2D3B78F6"/>
    <w:rsid w:val="2D3E1194"/>
    <w:rsid w:val="2D3E73E6"/>
    <w:rsid w:val="2D654973"/>
    <w:rsid w:val="2D746964"/>
    <w:rsid w:val="2D7746A6"/>
    <w:rsid w:val="2D8A262B"/>
    <w:rsid w:val="2DCC67A0"/>
    <w:rsid w:val="2DD65871"/>
    <w:rsid w:val="2DF337FB"/>
    <w:rsid w:val="2E020414"/>
    <w:rsid w:val="2E0A1A69"/>
    <w:rsid w:val="2E11427C"/>
    <w:rsid w:val="2E336106"/>
    <w:rsid w:val="2E3600BD"/>
    <w:rsid w:val="2E536BF6"/>
    <w:rsid w:val="2E627104"/>
    <w:rsid w:val="2E690493"/>
    <w:rsid w:val="2EBC0FFC"/>
    <w:rsid w:val="2EBC41D2"/>
    <w:rsid w:val="2EBE07DF"/>
    <w:rsid w:val="2EE367DF"/>
    <w:rsid w:val="2F1F6DA3"/>
    <w:rsid w:val="2F214CCD"/>
    <w:rsid w:val="2F39406C"/>
    <w:rsid w:val="2F3B1E2F"/>
    <w:rsid w:val="2F3C7955"/>
    <w:rsid w:val="2F4607D4"/>
    <w:rsid w:val="2F50204C"/>
    <w:rsid w:val="2F5232FB"/>
    <w:rsid w:val="2F5D19C6"/>
    <w:rsid w:val="2F8F1C84"/>
    <w:rsid w:val="2F9C03F4"/>
    <w:rsid w:val="2F9C6C2E"/>
    <w:rsid w:val="2FA06136"/>
    <w:rsid w:val="2FBC2844"/>
    <w:rsid w:val="2FDF35E1"/>
    <w:rsid w:val="2FE7539E"/>
    <w:rsid w:val="30142680"/>
    <w:rsid w:val="30204B81"/>
    <w:rsid w:val="302D1A57"/>
    <w:rsid w:val="303B5E5F"/>
    <w:rsid w:val="306C7DC6"/>
    <w:rsid w:val="306F78B6"/>
    <w:rsid w:val="307004F2"/>
    <w:rsid w:val="30705B08"/>
    <w:rsid w:val="30E95641"/>
    <w:rsid w:val="310426F5"/>
    <w:rsid w:val="3113148D"/>
    <w:rsid w:val="31271F3F"/>
    <w:rsid w:val="31336B36"/>
    <w:rsid w:val="314A0048"/>
    <w:rsid w:val="314F1BC2"/>
    <w:rsid w:val="31532D34"/>
    <w:rsid w:val="315C42DF"/>
    <w:rsid w:val="315C5251"/>
    <w:rsid w:val="31662A68"/>
    <w:rsid w:val="316B2774"/>
    <w:rsid w:val="316B62D0"/>
    <w:rsid w:val="31794E91"/>
    <w:rsid w:val="31AA6DF8"/>
    <w:rsid w:val="31AD3F69"/>
    <w:rsid w:val="31E00A6C"/>
    <w:rsid w:val="31E0281A"/>
    <w:rsid w:val="31E22A36"/>
    <w:rsid w:val="31F2079F"/>
    <w:rsid w:val="31FC59F9"/>
    <w:rsid w:val="32024E86"/>
    <w:rsid w:val="320F75A3"/>
    <w:rsid w:val="321B5F48"/>
    <w:rsid w:val="32207918"/>
    <w:rsid w:val="322A1F04"/>
    <w:rsid w:val="323D1A1A"/>
    <w:rsid w:val="32546D64"/>
    <w:rsid w:val="32977DFB"/>
    <w:rsid w:val="32981446"/>
    <w:rsid w:val="32AC6BA0"/>
    <w:rsid w:val="32B67A1F"/>
    <w:rsid w:val="32BA306B"/>
    <w:rsid w:val="32D83E39"/>
    <w:rsid w:val="32E53E60"/>
    <w:rsid w:val="331F3816"/>
    <w:rsid w:val="33331FD2"/>
    <w:rsid w:val="333F35CE"/>
    <w:rsid w:val="334868C9"/>
    <w:rsid w:val="33691CA2"/>
    <w:rsid w:val="338649B1"/>
    <w:rsid w:val="33A31A67"/>
    <w:rsid w:val="33BD3FDB"/>
    <w:rsid w:val="33C61EE3"/>
    <w:rsid w:val="33D42114"/>
    <w:rsid w:val="33F627C9"/>
    <w:rsid w:val="33F94067"/>
    <w:rsid w:val="33FA165D"/>
    <w:rsid w:val="33FD3B57"/>
    <w:rsid w:val="343B467F"/>
    <w:rsid w:val="34467865"/>
    <w:rsid w:val="34831B82"/>
    <w:rsid w:val="348866A7"/>
    <w:rsid w:val="348C4EDB"/>
    <w:rsid w:val="34AE6BFF"/>
    <w:rsid w:val="34BF2BBB"/>
    <w:rsid w:val="34C04B85"/>
    <w:rsid w:val="34C51EE9"/>
    <w:rsid w:val="35046EE8"/>
    <w:rsid w:val="350643FC"/>
    <w:rsid w:val="350B22A4"/>
    <w:rsid w:val="3519460C"/>
    <w:rsid w:val="35325A82"/>
    <w:rsid w:val="355F4B48"/>
    <w:rsid w:val="35683252"/>
    <w:rsid w:val="359A3628"/>
    <w:rsid w:val="35A26038"/>
    <w:rsid w:val="35AD335B"/>
    <w:rsid w:val="35EA1EB9"/>
    <w:rsid w:val="35FF348B"/>
    <w:rsid w:val="36054F45"/>
    <w:rsid w:val="36201D7F"/>
    <w:rsid w:val="365674EE"/>
    <w:rsid w:val="36732625"/>
    <w:rsid w:val="3696431C"/>
    <w:rsid w:val="36AF0C29"/>
    <w:rsid w:val="36B40968"/>
    <w:rsid w:val="36D05553"/>
    <w:rsid w:val="36DD7CB5"/>
    <w:rsid w:val="36E36908"/>
    <w:rsid w:val="36E52680"/>
    <w:rsid w:val="37164F30"/>
    <w:rsid w:val="371B50A8"/>
    <w:rsid w:val="371E4495"/>
    <w:rsid w:val="372633C5"/>
    <w:rsid w:val="372C02AF"/>
    <w:rsid w:val="372F1B4E"/>
    <w:rsid w:val="373B78E9"/>
    <w:rsid w:val="375717D0"/>
    <w:rsid w:val="375A12C0"/>
    <w:rsid w:val="375B199A"/>
    <w:rsid w:val="37645C9B"/>
    <w:rsid w:val="378105FB"/>
    <w:rsid w:val="378123A9"/>
    <w:rsid w:val="378679C0"/>
    <w:rsid w:val="378B76CC"/>
    <w:rsid w:val="37BA3B0D"/>
    <w:rsid w:val="37C130EE"/>
    <w:rsid w:val="37DE5A4E"/>
    <w:rsid w:val="37EB016A"/>
    <w:rsid w:val="38064FA4"/>
    <w:rsid w:val="380F26AF"/>
    <w:rsid w:val="38156F95"/>
    <w:rsid w:val="381C4D46"/>
    <w:rsid w:val="382731A2"/>
    <w:rsid w:val="38286CC9"/>
    <w:rsid w:val="382F0057"/>
    <w:rsid w:val="38835FA1"/>
    <w:rsid w:val="3885236D"/>
    <w:rsid w:val="38920DEB"/>
    <w:rsid w:val="38B30C88"/>
    <w:rsid w:val="38B90269"/>
    <w:rsid w:val="38C8225A"/>
    <w:rsid w:val="38F1355F"/>
    <w:rsid w:val="391D4354"/>
    <w:rsid w:val="391E1E7A"/>
    <w:rsid w:val="39205BF2"/>
    <w:rsid w:val="392E47B3"/>
    <w:rsid w:val="395C0A08"/>
    <w:rsid w:val="39717A37"/>
    <w:rsid w:val="39930ABA"/>
    <w:rsid w:val="399E1130"/>
    <w:rsid w:val="39A235B3"/>
    <w:rsid w:val="39BF365D"/>
    <w:rsid w:val="39E62997"/>
    <w:rsid w:val="3A2D4229"/>
    <w:rsid w:val="3A3E4582"/>
    <w:rsid w:val="3A72247D"/>
    <w:rsid w:val="3A744447"/>
    <w:rsid w:val="3A7C32FC"/>
    <w:rsid w:val="3A80103E"/>
    <w:rsid w:val="3A804B9A"/>
    <w:rsid w:val="3A935400"/>
    <w:rsid w:val="3A9443AE"/>
    <w:rsid w:val="3A980C5F"/>
    <w:rsid w:val="3ABE1B66"/>
    <w:rsid w:val="3AC151B3"/>
    <w:rsid w:val="3AD04501"/>
    <w:rsid w:val="3AEA4709"/>
    <w:rsid w:val="3AFF55B1"/>
    <w:rsid w:val="3B023628"/>
    <w:rsid w:val="3B135A0E"/>
    <w:rsid w:val="3B183024"/>
    <w:rsid w:val="3B190B4B"/>
    <w:rsid w:val="3B196D9D"/>
    <w:rsid w:val="3B1F2605"/>
    <w:rsid w:val="3B2F036E"/>
    <w:rsid w:val="3B3F2CA7"/>
    <w:rsid w:val="3B4F3257"/>
    <w:rsid w:val="3B5322AF"/>
    <w:rsid w:val="3BBE471A"/>
    <w:rsid w:val="3BD17677"/>
    <w:rsid w:val="3BD258C9"/>
    <w:rsid w:val="3BD553B9"/>
    <w:rsid w:val="3BE25F43"/>
    <w:rsid w:val="3BFD046C"/>
    <w:rsid w:val="3BFE66BE"/>
    <w:rsid w:val="3BFF2436"/>
    <w:rsid w:val="3C3B2CF8"/>
    <w:rsid w:val="3C601127"/>
    <w:rsid w:val="3C705670"/>
    <w:rsid w:val="3C8F5568"/>
    <w:rsid w:val="3CC03974"/>
    <w:rsid w:val="3CDC61B9"/>
    <w:rsid w:val="3CE753A4"/>
    <w:rsid w:val="3D1D2B74"/>
    <w:rsid w:val="3D641751"/>
    <w:rsid w:val="3D684F9F"/>
    <w:rsid w:val="3D7B3D7A"/>
    <w:rsid w:val="3D8E0813"/>
    <w:rsid w:val="3DF80EEB"/>
    <w:rsid w:val="3DFF0210"/>
    <w:rsid w:val="3E083824"/>
    <w:rsid w:val="3E0D0E3B"/>
    <w:rsid w:val="3E265A58"/>
    <w:rsid w:val="3E4C7475"/>
    <w:rsid w:val="3E522CF1"/>
    <w:rsid w:val="3E5500EC"/>
    <w:rsid w:val="3E68521A"/>
    <w:rsid w:val="3E8B1D5F"/>
    <w:rsid w:val="3E9A493F"/>
    <w:rsid w:val="3EB017C6"/>
    <w:rsid w:val="3EE41BAE"/>
    <w:rsid w:val="3EE6168C"/>
    <w:rsid w:val="3EFC7D88"/>
    <w:rsid w:val="3F0F473E"/>
    <w:rsid w:val="3F122481"/>
    <w:rsid w:val="3F422308"/>
    <w:rsid w:val="3F436A47"/>
    <w:rsid w:val="3F48386B"/>
    <w:rsid w:val="3F577E93"/>
    <w:rsid w:val="3F5B5BD6"/>
    <w:rsid w:val="3F7B6278"/>
    <w:rsid w:val="3F810CA3"/>
    <w:rsid w:val="3FA07A8C"/>
    <w:rsid w:val="3FD37E62"/>
    <w:rsid w:val="40414DCB"/>
    <w:rsid w:val="404D19C2"/>
    <w:rsid w:val="406867FC"/>
    <w:rsid w:val="406D3E12"/>
    <w:rsid w:val="406E27D1"/>
    <w:rsid w:val="40750F19"/>
    <w:rsid w:val="40A8309D"/>
    <w:rsid w:val="40B36510"/>
    <w:rsid w:val="40BC26A4"/>
    <w:rsid w:val="40C6671E"/>
    <w:rsid w:val="40DA41C0"/>
    <w:rsid w:val="40E35E83"/>
    <w:rsid w:val="41076015"/>
    <w:rsid w:val="411C1395"/>
    <w:rsid w:val="411E335F"/>
    <w:rsid w:val="41200E9D"/>
    <w:rsid w:val="41297A72"/>
    <w:rsid w:val="4135237E"/>
    <w:rsid w:val="416F5968"/>
    <w:rsid w:val="419E1DAA"/>
    <w:rsid w:val="419E624E"/>
    <w:rsid w:val="41B65345"/>
    <w:rsid w:val="41BD66D4"/>
    <w:rsid w:val="41DB1250"/>
    <w:rsid w:val="41F145CF"/>
    <w:rsid w:val="41FF6CEC"/>
    <w:rsid w:val="420B38E3"/>
    <w:rsid w:val="42103E63"/>
    <w:rsid w:val="422229DB"/>
    <w:rsid w:val="422F6EA6"/>
    <w:rsid w:val="42380450"/>
    <w:rsid w:val="425D7EB7"/>
    <w:rsid w:val="426B4382"/>
    <w:rsid w:val="42B15B0D"/>
    <w:rsid w:val="42B63434"/>
    <w:rsid w:val="42B702D9"/>
    <w:rsid w:val="42C440FA"/>
    <w:rsid w:val="42D068DB"/>
    <w:rsid w:val="42D60011"/>
    <w:rsid w:val="42DA731F"/>
    <w:rsid w:val="42F223AD"/>
    <w:rsid w:val="42F97BDF"/>
    <w:rsid w:val="42FC147E"/>
    <w:rsid w:val="430F11B1"/>
    <w:rsid w:val="43170066"/>
    <w:rsid w:val="43171E14"/>
    <w:rsid w:val="432B1D63"/>
    <w:rsid w:val="433E3844"/>
    <w:rsid w:val="43400EF4"/>
    <w:rsid w:val="434A3F97"/>
    <w:rsid w:val="434F15AD"/>
    <w:rsid w:val="437B23A2"/>
    <w:rsid w:val="43917E18"/>
    <w:rsid w:val="43AC43A6"/>
    <w:rsid w:val="43D45F57"/>
    <w:rsid w:val="43DB79DD"/>
    <w:rsid w:val="43E4263E"/>
    <w:rsid w:val="442742D8"/>
    <w:rsid w:val="445F7F16"/>
    <w:rsid w:val="44805DDA"/>
    <w:rsid w:val="44901E7E"/>
    <w:rsid w:val="44953938"/>
    <w:rsid w:val="449854FD"/>
    <w:rsid w:val="44994301"/>
    <w:rsid w:val="449B0822"/>
    <w:rsid w:val="44A1408B"/>
    <w:rsid w:val="44BA15F0"/>
    <w:rsid w:val="44D753F9"/>
    <w:rsid w:val="453749EF"/>
    <w:rsid w:val="45763769"/>
    <w:rsid w:val="457A48DC"/>
    <w:rsid w:val="45C049E4"/>
    <w:rsid w:val="45D3296A"/>
    <w:rsid w:val="46080139"/>
    <w:rsid w:val="46081EE8"/>
    <w:rsid w:val="461B4AC0"/>
    <w:rsid w:val="462211FB"/>
    <w:rsid w:val="462705C0"/>
    <w:rsid w:val="46283B86"/>
    <w:rsid w:val="462F1B6A"/>
    <w:rsid w:val="464E1FF0"/>
    <w:rsid w:val="469C7200"/>
    <w:rsid w:val="46A9137B"/>
    <w:rsid w:val="46B75DE7"/>
    <w:rsid w:val="46C2478C"/>
    <w:rsid w:val="46D02A05"/>
    <w:rsid w:val="46F96400"/>
    <w:rsid w:val="470B3349"/>
    <w:rsid w:val="47315859"/>
    <w:rsid w:val="47373CCA"/>
    <w:rsid w:val="474B29D4"/>
    <w:rsid w:val="47733CA2"/>
    <w:rsid w:val="47864B3D"/>
    <w:rsid w:val="479E6FA7"/>
    <w:rsid w:val="47A11F37"/>
    <w:rsid w:val="47B16CDB"/>
    <w:rsid w:val="47B65380"/>
    <w:rsid w:val="47CD163B"/>
    <w:rsid w:val="47D26C51"/>
    <w:rsid w:val="47DB3D58"/>
    <w:rsid w:val="47DE73A4"/>
    <w:rsid w:val="47E32C0C"/>
    <w:rsid w:val="47FE35A2"/>
    <w:rsid w:val="48384D06"/>
    <w:rsid w:val="483D003A"/>
    <w:rsid w:val="484216E1"/>
    <w:rsid w:val="485A1120"/>
    <w:rsid w:val="486C49B0"/>
    <w:rsid w:val="487D6BBD"/>
    <w:rsid w:val="48A56114"/>
    <w:rsid w:val="48E0281D"/>
    <w:rsid w:val="48E75C41"/>
    <w:rsid w:val="48F0738F"/>
    <w:rsid w:val="492D4FED"/>
    <w:rsid w:val="49520FBA"/>
    <w:rsid w:val="49627B61"/>
    <w:rsid w:val="49763089"/>
    <w:rsid w:val="49895E52"/>
    <w:rsid w:val="49935F6C"/>
    <w:rsid w:val="49BB4E95"/>
    <w:rsid w:val="49BF6D61"/>
    <w:rsid w:val="49CB1BAA"/>
    <w:rsid w:val="49D92519"/>
    <w:rsid w:val="4A1452FF"/>
    <w:rsid w:val="4A183041"/>
    <w:rsid w:val="4A49144C"/>
    <w:rsid w:val="4A534079"/>
    <w:rsid w:val="4A760143"/>
    <w:rsid w:val="4A7B3E41"/>
    <w:rsid w:val="4A9C3794"/>
    <w:rsid w:val="4AB158DC"/>
    <w:rsid w:val="4AC05487"/>
    <w:rsid w:val="4AE12A02"/>
    <w:rsid w:val="4AE57855"/>
    <w:rsid w:val="4AF31D4E"/>
    <w:rsid w:val="4AF56EDE"/>
    <w:rsid w:val="4B1554C6"/>
    <w:rsid w:val="4B175881"/>
    <w:rsid w:val="4B17661E"/>
    <w:rsid w:val="4B26353C"/>
    <w:rsid w:val="4B29302C"/>
    <w:rsid w:val="4B44381C"/>
    <w:rsid w:val="4B447E66"/>
    <w:rsid w:val="4B46773A"/>
    <w:rsid w:val="4B4A10E5"/>
    <w:rsid w:val="4B50680B"/>
    <w:rsid w:val="4B663938"/>
    <w:rsid w:val="4B937837"/>
    <w:rsid w:val="4BA3693A"/>
    <w:rsid w:val="4BA6467C"/>
    <w:rsid w:val="4BBC5C4E"/>
    <w:rsid w:val="4BC52D55"/>
    <w:rsid w:val="4BD72A88"/>
    <w:rsid w:val="4BF81F39"/>
    <w:rsid w:val="4BFC3439"/>
    <w:rsid w:val="4C3752D5"/>
    <w:rsid w:val="4C465518"/>
    <w:rsid w:val="4C8F5111"/>
    <w:rsid w:val="4CA24E44"/>
    <w:rsid w:val="4CAA3CF8"/>
    <w:rsid w:val="4CB66B41"/>
    <w:rsid w:val="4CB715CD"/>
    <w:rsid w:val="4CB9218D"/>
    <w:rsid w:val="4CC27294"/>
    <w:rsid w:val="4CC72AFC"/>
    <w:rsid w:val="4CE41265"/>
    <w:rsid w:val="4CFC4105"/>
    <w:rsid w:val="4D355F0D"/>
    <w:rsid w:val="4D9F244D"/>
    <w:rsid w:val="4DB1015B"/>
    <w:rsid w:val="4DB52955"/>
    <w:rsid w:val="4DC92507"/>
    <w:rsid w:val="4DE74C4A"/>
    <w:rsid w:val="4DFA7F66"/>
    <w:rsid w:val="4E0D2791"/>
    <w:rsid w:val="4E196A5A"/>
    <w:rsid w:val="4E1F24C4"/>
    <w:rsid w:val="4E4759F1"/>
    <w:rsid w:val="4E481A1B"/>
    <w:rsid w:val="4E487C6D"/>
    <w:rsid w:val="4E760336"/>
    <w:rsid w:val="4E791BD4"/>
    <w:rsid w:val="4E7E543D"/>
    <w:rsid w:val="4E86609F"/>
    <w:rsid w:val="4E883785"/>
    <w:rsid w:val="4EBD41B7"/>
    <w:rsid w:val="4EDE5EDB"/>
    <w:rsid w:val="4EE23C1E"/>
    <w:rsid w:val="4EE259CC"/>
    <w:rsid w:val="4F0A4205"/>
    <w:rsid w:val="4F2953A8"/>
    <w:rsid w:val="4F2C30EB"/>
    <w:rsid w:val="4F302BDB"/>
    <w:rsid w:val="4F496CAE"/>
    <w:rsid w:val="4F62701A"/>
    <w:rsid w:val="4F7F76BE"/>
    <w:rsid w:val="4F980780"/>
    <w:rsid w:val="4F9D7B44"/>
    <w:rsid w:val="4FAF7AA9"/>
    <w:rsid w:val="4FB76A3D"/>
    <w:rsid w:val="4FCD667C"/>
    <w:rsid w:val="4FD317B8"/>
    <w:rsid w:val="4FFE6835"/>
    <w:rsid w:val="502A340F"/>
    <w:rsid w:val="50355FCF"/>
    <w:rsid w:val="50377F99"/>
    <w:rsid w:val="505E1082"/>
    <w:rsid w:val="506A3ECB"/>
    <w:rsid w:val="50901EE7"/>
    <w:rsid w:val="50926F7D"/>
    <w:rsid w:val="50980C0A"/>
    <w:rsid w:val="50B52772"/>
    <w:rsid w:val="50B74C36"/>
    <w:rsid w:val="50D15CF8"/>
    <w:rsid w:val="50D91050"/>
    <w:rsid w:val="50EF43D0"/>
    <w:rsid w:val="510460CD"/>
    <w:rsid w:val="51256043"/>
    <w:rsid w:val="514E7348"/>
    <w:rsid w:val="519E178E"/>
    <w:rsid w:val="51E25B32"/>
    <w:rsid w:val="51ED4DB3"/>
    <w:rsid w:val="520420FD"/>
    <w:rsid w:val="522037C5"/>
    <w:rsid w:val="523C5A34"/>
    <w:rsid w:val="523F1387"/>
    <w:rsid w:val="52481FEA"/>
    <w:rsid w:val="527A416D"/>
    <w:rsid w:val="52BB5860"/>
    <w:rsid w:val="52C43D6D"/>
    <w:rsid w:val="52F67C97"/>
    <w:rsid w:val="52F97788"/>
    <w:rsid w:val="530101E2"/>
    <w:rsid w:val="530F04CB"/>
    <w:rsid w:val="531B7010"/>
    <w:rsid w:val="532A303F"/>
    <w:rsid w:val="533F4290"/>
    <w:rsid w:val="534D6A6D"/>
    <w:rsid w:val="53625651"/>
    <w:rsid w:val="536A3A27"/>
    <w:rsid w:val="53B86CFB"/>
    <w:rsid w:val="53C438F2"/>
    <w:rsid w:val="53D17DBD"/>
    <w:rsid w:val="53D525F2"/>
    <w:rsid w:val="53FF492A"/>
    <w:rsid w:val="5411465D"/>
    <w:rsid w:val="54216F96"/>
    <w:rsid w:val="5431081B"/>
    <w:rsid w:val="54660E4D"/>
    <w:rsid w:val="54866DF9"/>
    <w:rsid w:val="549A4653"/>
    <w:rsid w:val="54BA6AA3"/>
    <w:rsid w:val="54CF69F2"/>
    <w:rsid w:val="54E83610"/>
    <w:rsid w:val="54ED0C26"/>
    <w:rsid w:val="55110DB9"/>
    <w:rsid w:val="551B1C37"/>
    <w:rsid w:val="55264138"/>
    <w:rsid w:val="55306D65"/>
    <w:rsid w:val="55322ADD"/>
    <w:rsid w:val="553A1DBE"/>
    <w:rsid w:val="5540169E"/>
    <w:rsid w:val="555E22F5"/>
    <w:rsid w:val="55603AEE"/>
    <w:rsid w:val="55780E38"/>
    <w:rsid w:val="558477DD"/>
    <w:rsid w:val="55914E77"/>
    <w:rsid w:val="55992B5C"/>
    <w:rsid w:val="55A7319B"/>
    <w:rsid w:val="55C73B6D"/>
    <w:rsid w:val="55D02C8E"/>
    <w:rsid w:val="55D43B94"/>
    <w:rsid w:val="55DA73FC"/>
    <w:rsid w:val="561D19DF"/>
    <w:rsid w:val="56312D95"/>
    <w:rsid w:val="56332FB1"/>
    <w:rsid w:val="566118CC"/>
    <w:rsid w:val="566273F2"/>
    <w:rsid w:val="566521C3"/>
    <w:rsid w:val="567B0FB2"/>
    <w:rsid w:val="56811F6E"/>
    <w:rsid w:val="56827347"/>
    <w:rsid w:val="568A7075"/>
    <w:rsid w:val="569A4DDE"/>
    <w:rsid w:val="56AD15D4"/>
    <w:rsid w:val="56D55E16"/>
    <w:rsid w:val="56DE2F1C"/>
    <w:rsid w:val="572B52CB"/>
    <w:rsid w:val="578C0BCA"/>
    <w:rsid w:val="57982881"/>
    <w:rsid w:val="57B10631"/>
    <w:rsid w:val="57C13F85"/>
    <w:rsid w:val="57D60097"/>
    <w:rsid w:val="57D83E10"/>
    <w:rsid w:val="57E66049"/>
    <w:rsid w:val="57EA3B43"/>
    <w:rsid w:val="581A61D6"/>
    <w:rsid w:val="58255AC2"/>
    <w:rsid w:val="584B45E2"/>
    <w:rsid w:val="58874B26"/>
    <w:rsid w:val="58AC2BA6"/>
    <w:rsid w:val="58BA1767"/>
    <w:rsid w:val="58C2451D"/>
    <w:rsid w:val="58DA7DBC"/>
    <w:rsid w:val="58E30CBE"/>
    <w:rsid w:val="58E42340"/>
    <w:rsid w:val="59030A18"/>
    <w:rsid w:val="590A1D69"/>
    <w:rsid w:val="5915699E"/>
    <w:rsid w:val="591E1D4B"/>
    <w:rsid w:val="592117E6"/>
    <w:rsid w:val="59305585"/>
    <w:rsid w:val="593A3E08"/>
    <w:rsid w:val="595A3988"/>
    <w:rsid w:val="59A71CEC"/>
    <w:rsid w:val="59A91A94"/>
    <w:rsid w:val="59BE5287"/>
    <w:rsid w:val="59CD62B4"/>
    <w:rsid w:val="59D12E03"/>
    <w:rsid w:val="59D95C1D"/>
    <w:rsid w:val="59E20201"/>
    <w:rsid w:val="59E940B2"/>
    <w:rsid w:val="59FF4017"/>
    <w:rsid w:val="5A39015A"/>
    <w:rsid w:val="5A517EA9"/>
    <w:rsid w:val="5A5B2AD6"/>
    <w:rsid w:val="5A60547D"/>
    <w:rsid w:val="5A6831D8"/>
    <w:rsid w:val="5A777F91"/>
    <w:rsid w:val="5A7B0A82"/>
    <w:rsid w:val="5A8B33BB"/>
    <w:rsid w:val="5ABA15AB"/>
    <w:rsid w:val="5ACC25F8"/>
    <w:rsid w:val="5ACC6F5C"/>
    <w:rsid w:val="5AF56A87"/>
    <w:rsid w:val="5B0B0058"/>
    <w:rsid w:val="5B13515F"/>
    <w:rsid w:val="5B1E7D8B"/>
    <w:rsid w:val="5B4E4D05"/>
    <w:rsid w:val="5B525C87"/>
    <w:rsid w:val="5B5818CD"/>
    <w:rsid w:val="5B5E63DA"/>
    <w:rsid w:val="5B6B2007"/>
    <w:rsid w:val="5B6D7033"/>
    <w:rsid w:val="5B800A46"/>
    <w:rsid w:val="5BD91F04"/>
    <w:rsid w:val="5BE82721"/>
    <w:rsid w:val="5C0A47B4"/>
    <w:rsid w:val="5C4557EC"/>
    <w:rsid w:val="5C487F90"/>
    <w:rsid w:val="5C4C62B6"/>
    <w:rsid w:val="5C4F17D1"/>
    <w:rsid w:val="5C642116"/>
    <w:rsid w:val="5C6519EA"/>
    <w:rsid w:val="5C6544EB"/>
    <w:rsid w:val="5C6627BE"/>
    <w:rsid w:val="5C6927EC"/>
    <w:rsid w:val="5CA42512"/>
    <w:rsid w:val="5CE46DB3"/>
    <w:rsid w:val="5D12602F"/>
    <w:rsid w:val="5D136726"/>
    <w:rsid w:val="5D290C69"/>
    <w:rsid w:val="5D393538"/>
    <w:rsid w:val="5D746389"/>
    <w:rsid w:val="5DA53978"/>
    <w:rsid w:val="5DA6050C"/>
    <w:rsid w:val="5DF03535"/>
    <w:rsid w:val="5DF9063C"/>
    <w:rsid w:val="5E096AA5"/>
    <w:rsid w:val="5E40270F"/>
    <w:rsid w:val="5E4F03D1"/>
    <w:rsid w:val="5E5D0BCB"/>
    <w:rsid w:val="5EAB1CB0"/>
    <w:rsid w:val="5EB804F7"/>
    <w:rsid w:val="5ED74E21"/>
    <w:rsid w:val="5EE554E2"/>
    <w:rsid w:val="5F047298"/>
    <w:rsid w:val="5F090D52"/>
    <w:rsid w:val="5F2711D9"/>
    <w:rsid w:val="5F50072F"/>
    <w:rsid w:val="5F6441DB"/>
    <w:rsid w:val="5F751F44"/>
    <w:rsid w:val="5F8E3006"/>
    <w:rsid w:val="5FA12D39"/>
    <w:rsid w:val="5FA1715B"/>
    <w:rsid w:val="5FAF200F"/>
    <w:rsid w:val="5FB72F73"/>
    <w:rsid w:val="5FCD3B2E"/>
    <w:rsid w:val="5FE570CA"/>
    <w:rsid w:val="5FEC6CA7"/>
    <w:rsid w:val="5FED5F7E"/>
    <w:rsid w:val="600871C3"/>
    <w:rsid w:val="600A2FD4"/>
    <w:rsid w:val="60200182"/>
    <w:rsid w:val="60326B7B"/>
    <w:rsid w:val="607A5E68"/>
    <w:rsid w:val="60894626"/>
    <w:rsid w:val="60911000"/>
    <w:rsid w:val="60AF76D8"/>
    <w:rsid w:val="60B8658C"/>
    <w:rsid w:val="60C07B37"/>
    <w:rsid w:val="60CF1B28"/>
    <w:rsid w:val="60F670B5"/>
    <w:rsid w:val="610619ED"/>
    <w:rsid w:val="61093956"/>
    <w:rsid w:val="611D0AE5"/>
    <w:rsid w:val="615764B7"/>
    <w:rsid w:val="61796113"/>
    <w:rsid w:val="61824E34"/>
    <w:rsid w:val="61976527"/>
    <w:rsid w:val="619D55B4"/>
    <w:rsid w:val="61AC29D7"/>
    <w:rsid w:val="61AE5BE1"/>
    <w:rsid w:val="61C251E9"/>
    <w:rsid w:val="61DA0220"/>
    <w:rsid w:val="61ED6194"/>
    <w:rsid w:val="61F06D0B"/>
    <w:rsid w:val="62072E2B"/>
    <w:rsid w:val="620E29EE"/>
    <w:rsid w:val="6223006B"/>
    <w:rsid w:val="622F6D22"/>
    <w:rsid w:val="623205C0"/>
    <w:rsid w:val="626F35C2"/>
    <w:rsid w:val="628A3147"/>
    <w:rsid w:val="62BA1E63"/>
    <w:rsid w:val="62CE02E9"/>
    <w:rsid w:val="62D95791"/>
    <w:rsid w:val="62F70AAE"/>
    <w:rsid w:val="62FC26A5"/>
    <w:rsid w:val="6300246C"/>
    <w:rsid w:val="63057A83"/>
    <w:rsid w:val="630E4B89"/>
    <w:rsid w:val="63247F09"/>
    <w:rsid w:val="63365E8E"/>
    <w:rsid w:val="633A4883"/>
    <w:rsid w:val="63496B21"/>
    <w:rsid w:val="63556180"/>
    <w:rsid w:val="63685240"/>
    <w:rsid w:val="637075F2"/>
    <w:rsid w:val="63756DCC"/>
    <w:rsid w:val="638212F3"/>
    <w:rsid w:val="639808F7"/>
    <w:rsid w:val="63A461D4"/>
    <w:rsid w:val="63AE011A"/>
    <w:rsid w:val="63B35731"/>
    <w:rsid w:val="63D556A7"/>
    <w:rsid w:val="63E8362C"/>
    <w:rsid w:val="63FE69AC"/>
    <w:rsid w:val="647A0F9F"/>
    <w:rsid w:val="648F5856"/>
    <w:rsid w:val="64942E6C"/>
    <w:rsid w:val="64D15E6F"/>
    <w:rsid w:val="64D423E2"/>
    <w:rsid w:val="64F14763"/>
    <w:rsid w:val="652C7549"/>
    <w:rsid w:val="653F54CE"/>
    <w:rsid w:val="65510C87"/>
    <w:rsid w:val="65530F79"/>
    <w:rsid w:val="65562818"/>
    <w:rsid w:val="65A13A93"/>
    <w:rsid w:val="65A215B9"/>
    <w:rsid w:val="65B3280B"/>
    <w:rsid w:val="65C40356"/>
    <w:rsid w:val="65C43C25"/>
    <w:rsid w:val="65FC6F1B"/>
    <w:rsid w:val="660E3933"/>
    <w:rsid w:val="66353C81"/>
    <w:rsid w:val="663F14FE"/>
    <w:rsid w:val="6655487D"/>
    <w:rsid w:val="665723A3"/>
    <w:rsid w:val="66703465"/>
    <w:rsid w:val="668E5A49"/>
    <w:rsid w:val="6697047D"/>
    <w:rsid w:val="6699005F"/>
    <w:rsid w:val="66A03D4A"/>
    <w:rsid w:val="66CF578C"/>
    <w:rsid w:val="66F66060"/>
    <w:rsid w:val="670544F5"/>
    <w:rsid w:val="67122768"/>
    <w:rsid w:val="67362901"/>
    <w:rsid w:val="674072DB"/>
    <w:rsid w:val="6744501E"/>
    <w:rsid w:val="675D1C3B"/>
    <w:rsid w:val="67655E4C"/>
    <w:rsid w:val="6784541A"/>
    <w:rsid w:val="67900263"/>
    <w:rsid w:val="679338AF"/>
    <w:rsid w:val="67A54777"/>
    <w:rsid w:val="67AD3ACE"/>
    <w:rsid w:val="67AF7FBD"/>
    <w:rsid w:val="67C95523"/>
    <w:rsid w:val="67D55CA7"/>
    <w:rsid w:val="67DC35AA"/>
    <w:rsid w:val="67E73BFB"/>
    <w:rsid w:val="67F85E08"/>
    <w:rsid w:val="680E1188"/>
    <w:rsid w:val="681C1F21"/>
    <w:rsid w:val="681F5143"/>
    <w:rsid w:val="68262975"/>
    <w:rsid w:val="683926A8"/>
    <w:rsid w:val="685132CA"/>
    <w:rsid w:val="68623D9E"/>
    <w:rsid w:val="68694610"/>
    <w:rsid w:val="68774F7F"/>
    <w:rsid w:val="68B63CF9"/>
    <w:rsid w:val="68E85E7D"/>
    <w:rsid w:val="68FB5BB0"/>
    <w:rsid w:val="694C1F68"/>
    <w:rsid w:val="696B192D"/>
    <w:rsid w:val="697414BE"/>
    <w:rsid w:val="69790883"/>
    <w:rsid w:val="697F233D"/>
    <w:rsid w:val="69A41463"/>
    <w:rsid w:val="69A51678"/>
    <w:rsid w:val="69A9410A"/>
    <w:rsid w:val="69AF27B9"/>
    <w:rsid w:val="69BE7958"/>
    <w:rsid w:val="69D65CD5"/>
    <w:rsid w:val="6A1047F4"/>
    <w:rsid w:val="6A114646"/>
    <w:rsid w:val="6A1C4030"/>
    <w:rsid w:val="6A2B7DCF"/>
    <w:rsid w:val="6A6B0B13"/>
    <w:rsid w:val="6A8B56D2"/>
    <w:rsid w:val="6A8D4C80"/>
    <w:rsid w:val="6AD541DF"/>
    <w:rsid w:val="6B106FC5"/>
    <w:rsid w:val="6B1215E2"/>
    <w:rsid w:val="6B144D07"/>
    <w:rsid w:val="6B170353"/>
    <w:rsid w:val="6B2018FE"/>
    <w:rsid w:val="6B2036AC"/>
    <w:rsid w:val="6B2113AF"/>
    <w:rsid w:val="6B256F14"/>
    <w:rsid w:val="6B2C5F3B"/>
    <w:rsid w:val="6B3B477B"/>
    <w:rsid w:val="6B453112"/>
    <w:rsid w:val="6B5604E6"/>
    <w:rsid w:val="6B5670CE"/>
    <w:rsid w:val="6B5E2426"/>
    <w:rsid w:val="6B862910"/>
    <w:rsid w:val="6BB80C97"/>
    <w:rsid w:val="6BC9241C"/>
    <w:rsid w:val="6C123C0C"/>
    <w:rsid w:val="6C327B3B"/>
    <w:rsid w:val="6C376440"/>
    <w:rsid w:val="6C3777EC"/>
    <w:rsid w:val="6C43304A"/>
    <w:rsid w:val="6C474C68"/>
    <w:rsid w:val="6C501D6F"/>
    <w:rsid w:val="6C5A0E3F"/>
    <w:rsid w:val="6C5F0204"/>
    <w:rsid w:val="6C7C0035"/>
    <w:rsid w:val="6C853E93"/>
    <w:rsid w:val="6C8C0CD4"/>
    <w:rsid w:val="6C8C6B1F"/>
    <w:rsid w:val="6C976F8A"/>
    <w:rsid w:val="6CB37FDD"/>
    <w:rsid w:val="6CBB23FE"/>
    <w:rsid w:val="6CC12C6C"/>
    <w:rsid w:val="6CD40BF2"/>
    <w:rsid w:val="6D056FFD"/>
    <w:rsid w:val="6D21370B"/>
    <w:rsid w:val="6D254FA9"/>
    <w:rsid w:val="6D2B458A"/>
    <w:rsid w:val="6D417909"/>
    <w:rsid w:val="6D5E495F"/>
    <w:rsid w:val="6D6655C2"/>
    <w:rsid w:val="6D837F22"/>
    <w:rsid w:val="6D8E3228"/>
    <w:rsid w:val="6D9148FF"/>
    <w:rsid w:val="6D914DB3"/>
    <w:rsid w:val="6D9914F3"/>
    <w:rsid w:val="6DAA54AF"/>
    <w:rsid w:val="6DBD722B"/>
    <w:rsid w:val="6DC11737"/>
    <w:rsid w:val="6DC72505"/>
    <w:rsid w:val="6DD34B5E"/>
    <w:rsid w:val="6DEE183F"/>
    <w:rsid w:val="6E0B0643"/>
    <w:rsid w:val="6E2C2368"/>
    <w:rsid w:val="6E3336F6"/>
    <w:rsid w:val="6E492F1A"/>
    <w:rsid w:val="6E5F273D"/>
    <w:rsid w:val="6E896B9E"/>
    <w:rsid w:val="6EB54DA4"/>
    <w:rsid w:val="6EBE56B6"/>
    <w:rsid w:val="6ED21107"/>
    <w:rsid w:val="6ED76777"/>
    <w:rsid w:val="6EDE19FA"/>
    <w:rsid w:val="6EE82732"/>
    <w:rsid w:val="6F1714B2"/>
    <w:rsid w:val="6F1A11C8"/>
    <w:rsid w:val="6F435F68"/>
    <w:rsid w:val="6F467459"/>
    <w:rsid w:val="6F5953DE"/>
    <w:rsid w:val="6F63625D"/>
    <w:rsid w:val="6F6B5112"/>
    <w:rsid w:val="6F9E1043"/>
    <w:rsid w:val="6F9F0DB4"/>
    <w:rsid w:val="6FA80114"/>
    <w:rsid w:val="6FB2327C"/>
    <w:rsid w:val="6FC50FC5"/>
    <w:rsid w:val="6FD40F09"/>
    <w:rsid w:val="6FE70C3C"/>
    <w:rsid w:val="6FEB2C0C"/>
    <w:rsid w:val="700E61C9"/>
    <w:rsid w:val="70204D7B"/>
    <w:rsid w:val="7036127C"/>
    <w:rsid w:val="70390859"/>
    <w:rsid w:val="704E0CBB"/>
    <w:rsid w:val="7053007F"/>
    <w:rsid w:val="70673B2B"/>
    <w:rsid w:val="70904E30"/>
    <w:rsid w:val="709261E9"/>
    <w:rsid w:val="709541F4"/>
    <w:rsid w:val="70974410"/>
    <w:rsid w:val="709A5CAE"/>
    <w:rsid w:val="709D12FB"/>
    <w:rsid w:val="70C1323B"/>
    <w:rsid w:val="70C3128F"/>
    <w:rsid w:val="71241A1C"/>
    <w:rsid w:val="7141437C"/>
    <w:rsid w:val="71453E6C"/>
    <w:rsid w:val="71547983"/>
    <w:rsid w:val="719941B8"/>
    <w:rsid w:val="71BA0D9F"/>
    <w:rsid w:val="71CA25C3"/>
    <w:rsid w:val="71DA3698"/>
    <w:rsid w:val="71E16572"/>
    <w:rsid w:val="71EF3267"/>
    <w:rsid w:val="71F57FBF"/>
    <w:rsid w:val="71F94C57"/>
    <w:rsid w:val="720E0702"/>
    <w:rsid w:val="720F7FD6"/>
    <w:rsid w:val="7216693F"/>
    <w:rsid w:val="72192C03"/>
    <w:rsid w:val="721B4BCD"/>
    <w:rsid w:val="723E08BB"/>
    <w:rsid w:val="724C2FD8"/>
    <w:rsid w:val="727E1CA6"/>
    <w:rsid w:val="728C3273"/>
    <w:rsid w:val="728E539F"/>
    <w:rsid w:val="72982E72"/>
    <w:rsid w:val="72CC236B"/>
    <w:rsid w:val="72DB610A"/>
    <w:rsid w:val="72EE5E3E"/>
    <w:rsid w:val="72FA02C7"/>
    <w:rsid w:val="730B2E93"/>
    <w:rsid w:val="733221CE"/>
    <w:rsid w:val="7338355D"/>
    <w:rsid w:val="737C6F54"/>
    <w:rsid w:val="738B18DE"/>
    <w:rsid w:val="73C05A2C"/>
    <w:rsid w:val="73C51294"/>
    <w:rsid w:val="7410534E"/>
    <w:rsid w:val="74582108"/>
    <w:rsid w:val="74687E72"/>
    <w:rsid w:val="746C7962"/>
    <w:rsid w:val="74732A9E"/>
    <w:rsid w:val="747E4BB0"/>
    <w:rsid w:val="74A215D5"/>
    <w:rsid w:val="74A40EAA"/>
    <w:rsid w:val="74B67436"/>
    <w:rsid w:val="74B90D4E"/>
    <w:rsid w:val="74BF1C18"/>
    <w:rsid w:val="74D177C5"/>
    <w:rsid w:val="74E25E76"/>
    <w:rsid w:val="74E74BD4"/>
    <w:rsid w:val="74EC45FF"/>
    <w:rsid w:val="74EC6334"/>
    <w:rsid w:val="74F6547D"/>
    <w:rsid w:val="74FC5B12"/>
    <w:rsid w:val="750000AA"/>
    <w:rsid w:val="75045DEC"/>
    <w:rsid w:val="750F77CC"/>
    <w:rsid w:val="751A5610"/>
    <w:rsid w:val="75263FB5"/>
    <w:rsid w:val="75840CDB"/>
    <w:rsid w:val="75846F2D"/>
    <w:rsid w:val="75B07D22"/>
    <w:rsid w:val="75CD61DE"/>
    <w:rsid w:val="75F55735"/>
    <w:rsid w:val="76164029"/>
    <w:rsid w:val="761C0F14"/>
    <w:rsid w:val="76257DC8"/>
    <w:rsid w:val="764C17F9"/>
    <w:rsid w:val="7662101C"/>
    <w:rsid w:val="76856AB9"/>
    <w:rsid w:val="76A07D97"/>
    <w:rsid w:val="76A2766B"/>
    <w:rsid w:val="76A835DB"/>
    <w:rsid w:val="76AA4771"/>
    <w:rsid w:val="76AE4262"/>
    <w:rsid w:val="76B13D52"/>
    <w:rsid w:val="76BD44A5"/>
    <w:rsid w:val="76D4359C"/>
    <w:rsid w:val="76F36915"/>
    <w:rsid w:val="76FD7CE4"/>
    <w:rsid w:val="772067E2"/>
    <w:rsid w:val="773E2F3B"/>
    <w:rsid w:val="773F4EBA"/>
    <w:rsid w:val="77663285"/>
    <w:rsid w:val="77701517"/>
    <w:rsid w:val="77784870"/>
    <w:rsid w:val="77792664"/>
    <w:rsid w:val="778B6351"/>
    <w:rsid w:val="779B0D01"/>
    <w:rsid w:val="77AA3C68"/>
    <w:rsid w:val="77B05DB7"/>
    <w:rsid w:val="77BE2B21"/>
    <w:rsid w:val="77DA1086"/>
    <w:rsid w:val="77E13285"/>
    <w:rsid w:val="77E93077"/>
    <w:rsid w:val="77F9150C"/>
    <w:rsid w:val="78022363"/>
    <w:rsid w:val="78557A13"/>
    <w:rsid w:val="786E54C8"/>
    <w:rsid w:val="788A03B6"/>
    <w:rsid w:val="788F1E71"/>
    <w:rsid w:val="789E3E62"/>
    <w:rsid w:val="78A376CA"/>
    <w:rsid w:val="78D00158"/>
    <w:rsid w:val="78D611FD"/>
    <w:rsid w:val="78D705A5"/>
    <w:rsid w:val="79030169"/>
    <w:rsid w:val="79050385"/>
    <w:rsid w:val="792F71B0"/>
    <w:rsid w:val="79660E24"/>
    <w:rsid w:val="79F503F9"/>
    <w:rsid w:val="7A016D9E"/>
    <w:rsid w:val="7A08012D"/>
    <w:rsid w:val="7A5C5D83"/>
    <w:rsid w:val="7A756E26"/>
    <w:rsid w:val="7AAB101F"/>
    <w:rsid w:val="7AAD2A82"/>
    <w:rsid w:val="7AB86212"/>
    <w:rsid w:val="7AD46261"/>
    <w:rsid w:val="7AD74FC0"/>
    <w:rsid w:val="7ADA52D9"/>
    <w:rsid w:val="7AEE7323"/>
    <w:rsid w:val="7AF20495"/>
    <w:rsid w:val="7B0709AB"/>
    <w:rsid w:val="7B424F78"/>
    <w:rsid w:val="7B694BFB"/>
    <w:rsid w:val="7B6C46EB"/>
    <w:rsid w:val="7B7F441F"/>
    <w:rsid w:val="7BBF0CBF"/>
    <w:rsid w:val="7BC97448"/>
    <w:rsid w:val="7BD32074"/>
    <w:rsid w:val="7C091F3A"/>
    <w:rsid w:val="7C2F00A9"/>
    <w:rsid w:val="7C4A67DB"/>
    <w:rsid w:val="7C5238E1"/>
    <w:rsid w:val="7C624B36"/>
    <w:rsid w:val="7C707314"/>
    <w:rsid w:val="7C7970C0"/>
    <w:rsid w:val="7C8810B1"/>
    <w:rsid w:val="7C9E2682"/>
    <w:rsid w:val="7CC876FF"/>
    <w:rsid w:val="7CFE5817"/>
    <w:rsid w:val="7D023996"/>
    <w:rsid w:val="7D17376F"/>
    <w:rsid w:val="7D1B3CD3"/>
    <w:rsid w:val="7D3E6EA1"/>
    <w:rsid w:val="7D450D50"/>
    <w:rsid w:val="7D4D7620"/>
    <w:rsid w:val="7D5176F5"/>
    <w:rsid w:val="7D5316BF"/>
    <w:rsid w:val="7D5855FC"/>
    <w:rsid w:val="7D5C6B35"/>
    <w:rsid w:val="7DDB3462"/>
    <w:rsid w:val="7E287495"/>
    <w:rsid w:val="7E9F26E2"/>
    <w:rsid w:val="7EB268B9"/>
    <w:rsid w:val="7EBE525E"/>
    <w:rsid w:val="7ECB34D7"/>
    <w:rsid w:val="7ED92098"/>
    <w:rsid w:val="7EDA138B"/>
    <w:rsid w:val="7EE10F4C"/>
    <w:rsid w:val="7EF70770"/>
    <w:rsid w:val="7F0E36A0"/>
    <w:rsid w:val="7F1906E6"/>
    <w:rsid w:val="7F271055"/>
    <w:rsid w:val="7F363046"/>
    <w:rsid w:val="7F531E4A"/>
    <w:rsid w:val="7F54171E"/>
    <w:rsid w:val="7F5931D8"/>
    <w:rsid w:val="7F655FD6"/>
    <w:rsid w:val="7F8D69DE"/>
    <w:rsid w:val="7F8E2E82"/>
    <w:rsid w:val="7F997D53"/>
    <w:rsid w:val="7FAB3A34"/>
    <w:rsid w:val="7FE1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nhideWhenUsed="0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80"/>
      <w:outlineLvl w:val="0"/>
    </w:pPr>
    <w:rPr>
      <w:rFonts w:ascii="等线 Light" w:hAnsi="等线 Light" w:eastAsia="等线 Light"/>
      <w:color w:val="0F4761"/>
      <w:sz w:val="48"/>
      <w:szCs w:val="48"/>
    </w:rPr>
  </w:style>
  <w:style w:type="paragraph" w:styleId="3">
    <w:name w:val="heading 4"/>
    <w:basedOn w:val="1"/>
    <w:next w:val="1"/>
    <w:link w:val="47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  <w:szCs w:val="24"/>
    </w:rPr>
  </w:style>
  <w:style w:type="character" w:default="1" w:styleId="27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7"/>
    <w:basedOn w:val="1"/>
    <w:next w:val="1"/>
    <w:unhideWhenUsed/>
    <w:qFormat/>
    <w:uiPriority w:val="39"/>
    <w:pPr>
      <w:ind w:left="2520" w:leftChars="1200"/>
    </w:pPr>
    <w:rPr>
      <w:rFonts w:asciiTheme="minorHAnsi" w:hAnsiTheme="minorHAnsi" w:eastAsiaTheme="minorEastAsia" w:cstheme="minorBidi"/>
    </w:rPr>
  </w:style>
  <w:style w:type="paragraph" w:styleId="5">
    <w:name w:val="Normal Indent"/>
    <w:basedOn w:val="1"/>
    <w:qFormat/>
    <w:uiPriority w:val="0"/>
    <w:pPr>
      <w:spacing w:line="480" w:lineRule="exact"/>
      <w:ind w:firstLine="200" w:firstLineChars="200"/>
    </w:pPr>
    <w:rPr>
      <w:rFonts w:ascii="Calibri" w:hAnsi="Calibri" w:eastAsia="仿宋_GB2312"/>
      <w:smallCaps/>
      <w:sz w:val="30"/>
      <w:szCs w:val="16"/>
    </w:rPr>
  </w:style>
  <w:style w:type="paragraph" w:styleId="6">
    <w:name w:val="Document Map"/>
    <w:basedOn w:val="1"/>
    <w:link w:val="32"/>
    <w:semiHidden/>
    <w:unhideWhenUsed/>
    <w:qFormat/>
    <w:uiPriority w:val="99"/>
    <w:rPr>
      <w:rFonts w:ascii="宋体"/>
      <w:sz w:val="18"/>
      <w:szCs w:val="18"/>
    </w:rPr>
  </w:style>
  <w:style w:type="paragraph" w:styleId="7">
    <w:name w:val="annotation text"/>
    <w:basedOn w:val="1"/>
    <w:semiHidden/>
    <w:unhideWhenUsed/>
    <w:qFormat/>
    <w:uiPriority w:val="99"/>
    <w:pPr>
      <w:jc w:val="left"/>
    </w:pPr>
  </w:style>
  <w:style w:type="paragraph" w:styleId="8">
    <w:name w:val="Body Text"/>
    <w:basedOn w:val="1"/>
    <w:link w:val="42"/>
    <w:unhideWhenUsed/>
    <w:qFormat/>
    <w:uiPriority w:val="99"/>
    <w:pPr>
      <w:spacing w:after="120" w:line="560" w:lineRule="exact"/>
      <w:ind w:firstLine="643" w:firstLineChars="200"/>
    </w:pPr>
    <w:rPr>
      <w:rFonts w:ascii="Calibri" w:hAnsi="Calibri" w:eastAsia="仿宋_GB2312"/>
      <w:sz w:val="32"/>
      <w:szCs w:val="24"/>
    </w:rPr>
  </w:style>
  <w:style w:type="paragraph" w:styleId="9">
    <w:name w:val="Body Text Indent"/>
    <w:basedOn w:val="1"/>
    <w:link w:val="37"/>
    <w:semiHidden/>
    <w:unhideWhenUsed/>
    <w:qFormat/>
    <w:uiPriority w:val="99"/>
    <w:pPr>
      <w:spacing w:after="120"/>
      <w:ind w:left="420" w:leftChars="200"/>
    </w:pPr>
  </w:style>
  <w:style w:type="paragraph" w:styleId="10">
    <w:name w:val="toc 5"/>
    <w:basedOn w:val="1"/>
    <w:next w:val="1"/>
    <w:unhideWhenUsed/>
    <w:qFormat/>
    <w:uiPriority w:val="39"/>
    <w:pPr>
      <w:ind w:left="1680" w:leftChars="800"/>
    </w:pPr>
    <w:rPr>
      <w:rFonts w:asciiTheme="minorHAnsi" w:hAnsiTheme="minorHAnsi" w:eastAsiaTheme="minorEastAsia" w:cstheme="minorBidi"/>
    </w:rPr>
  </w:style>
  <w:style w:type="paragraph" w:styleId="11">
    <w:name w:val="toc 3"/>
    <w:basedOn w:val="1"/>
    <w:next w:val="1"/>
    <w:unhideWhenUsed/>
    <w:qFormat/>
    <w:uiPriority w:val="39"/>
    <w:pPr>
      <w:ind w:left="840" w:leftChars="400" w:firstLine="420"/>
    </w:pPr>
    <w:rPr>
      <w:sz w:val="24"/>
    </w:rPr>
  </w:style>
  <w:style w:type="paragraph" w:styleId="12">
    <w:name w:val="Plain Text"/>
    <w:basedOn w:val="1"/>
    <w:link w:val="48"/>
    <w:qFormat/>
    <w:uiPriority w:val="99"/>
    <w:rPr>
      <w:rFonts w:ascii="宋体" w:hAnsi="Courier New"/>
    </w:rPr>
  </w:style>
  <w:style w:type="paragraph" w:styleId="13">
    <w:name w:val="toc 8"/>
    <w:basedOn w:val="1"/>
    <w:next w:val="1"/>
    <w:unhideWhenUsed/>
    <w:qFormat/>
    <w:uiPriority w:val="39"/>
    <w:pPr>
      <w:ind w:left="2940" w:leftChars="1400"/>
    </w:pPr>
    <w:rPr>
      <w:rFonts w:asciiTheme="minorHAnsi" w:hAnsiTheme="minorHAnsi" w:eastAsiaTheme="minorEastAsia" w:cstheme="minorBidi"/>
    </w:rPr>
  </w:style>
  <w:style w:type="paragraph" w:styleId="14">
    <w:name w:val="Balloon Text"/>
    <w:basedOn w:val="1"/>
    <w:link w:val="36"/>
    <w:semiHidden/>
    <w:unhideWhenUsed/>
    <w:qFormat/>
    <w:uiPriority w:val="99"/>
    <w:rPr>
      <w:sz w:val="18"/>
      <w:szCs w:val="18"/>
    </w:rPr>
  </w:style>
  <w:style w:type="paragraph" w:styleId="15">
    <w:name w:val="footer"/>
    <w:basedOn w:val="1"/>
    <w:link w:val="3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3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unhideWhenUsed/>
    <w:qFormat/>
    <w:uiPriority w:val="39"/>
    <w:pPr>
      <w:tabs>
        <w:tab w:val="right" w:leader="dot" w:pos="8296"/>
      </w:tabs>
      <w:spacing w:line="540" w:lineRule="exact"/>
    </w:pPr>
    <w:rPr>
      <w:rFonts w:ascii="宋体" w:hAnsi="宋体"/>
      <w:b/>
      <w:smallCaps/>
      <w:sz w:val="28"/>
      <w:szCs w:val="28"/>
    </w:rPr>
  </w:style>
  <w:style w:type="paragraph" w:styleId="18">
    <w:name w:val="toc 4"/>
    <w:basedOn w:val="1"/>
    <w:next w:val="1"/>
    <w:unhideWhenUsed/>
    <w:qFormat/>
    <w:uiPriority w:val="39"/>
    <w:pPr>
      <w:ind w:left="1260" w:leftChars="600"/>
    </w:pPr>
    <w:rPr>
      <w:rFonts w:asciiTheme="minorHAnsi" w:hAnsiTheme="minorHAnsi" w:eastAsiaTheme="minorEastAsia" w:cstheme="minorBidi"/>
    </w:rPr>
  </w:style>
  <w:style w:type="paragraph" w:styleId="19">
    <w:name w:val="footnote text"/>
    <w:basedOn w:val="1"/>
    <w:link w:val="35"/>
    <w:qFormat/>
    <w:uiPriority w:val="0"/>
    <w:pPr>
      <w:snapToGrid w:val="0"/>
      <w:jc w:val="left"/>
    </w:pPr>
    <w:rPr>
      <w:rFonts w:asciiTheme="minorHAnsi" w:hAnsiTheme="minorHAnsi" w:eastAsiaTheme="minorEastAsia" w:cstheme="minorBidi"/>
      <w:sz w:val="18"/>
      <w:szCs w:val="24"/>
    </w:rPr>
  </w:style>
  <w:style w:type="paragraph" w:styleId="20">
    <w:name w:val="toc 6"/>
    <w:basedOn w:val="1"/>
    <w:next w:val="1"/>
    <w:unhideWhenUsed/>
    <w:qFormat/>
    <w:uiPriority w:val="39"/>
    <w:pPr>
      <w:ind w:left="2100" w:leftChars="1000"/>
    </w:pPr>
    <w:rPr>
      <w:rFonts w:asciiTheme="minorHAnsi" w:hAnsiTheme="minorHAnsi" w:eastAsiaTheme="minorEastAsia" w:cstheme="minorBidi"/>
    </w:rPr>
  </w:style>
  <w:style w:type="paragraph" w:styleId="21">
    <w:name w:val="toc 2"/>
    <w:basedOn w:val="1"/>
    <w:next w:val="1"/>
    <w:unhideWhenUsed/>
    <w:qFormat/>
    <w:uiPriority w:val="39"/>
    <w:pPr>
      <w:tabs>
        <w:tab w:val="right" w:leader="dot" w:pos="8296"/>
      </w:tabs>
      <w:spacing w:line="540" w:lineRule="exact"/>
      <w:ind w:left="420" w:leftChars="200"/>
    </w:pPr>
    <w:rPr>
      <w:rFonts w:ascii="宋体" w:hAnsi="宋体"/>
      <w:sz w:val="28"/>
      <w:szCs w:val="28"/>
    </w:rPr>
  </w:style>
  <w:style w:type="paragraph" w:styleId="22">
    <w:name w:val="toc 9"/>
    <w:basedOn w:val="1"/>
    <w:next w:val="1"/>
    <w:unhideWhenUsed/>
    <w:qFormat/>
    <w:uiPriority w:val="39"/>
    <w:pPr>
      <w:ind w:left="3360" w:leftChars="1600"/>
    </w:pPr>
    <w:rPr>
      <w:rFonts w:asciiTheme="minorHAnsi" w:hAnsiTheme="minorHAnsi" w:eastAsiaTheme="minorEastAsia" w:cstheme="minorBidi"/>
    </w:rPr>
  </w:style>
  <w:style w:type="paragraph" w:styleId="23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styleId="24">
    <w:name w:val="Body Text First Indent 2"/>
    <w:basedOn w:val="9"/>
    <w:next w:val="1"/>
    <w:link w:val="38"/>
    <w:qFormat/>
    <w:uiPriority w:val="0"/>
    <w:pPr>
      <w:ind w:firstLine="420" w:firstLineChars="200"/>
    </w:pPr>
    <w:rPr>
      <w:szCs w:val="20"/>
    </w:rPr>
  </w:style>
  <w:style w:type="table" w:styleId="26">
    <w:name w:val="Table Grid"/>
    <w:basedOn w:val="2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8">
    <w:name w:val="Strong"/>
    <w:basedOn w:val="27"/>
    <w:qFormat/>
    <w:uiPriority w:val="22"/>
    <w:rPr>
      <w:b/>
      <w:bCs/>
    </w:rPr>
  </w:style>
  <w:style w:type="character" w:styleId="29">
    <w:name w:val="Emphasis"/>
    <w:basedOn w:val="27"/>
    <w:qFormat/>
    <w:uiPriority w:val="20"/>
    <w:rPr>
      <w:i/>
      <w:iCs/>
    </w:rPr>
  </w:style>
  <w:style w:type="character" w:styleId="30">
    <w:name w:val="Hyperlink"/>
    <w:basedOn w:val="2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1">
    <w:name w:val="footnote reference"/>
    <w:basedOn w:val="27"/>
    <w:qFormat/>
    <w:uiPriority w:val="0"/>
    <w:rPr>
      <w:vertAlign w:val="superscript"/>
    </w:rPr>
  </w:style>
  <w:style w:type="character" w:customStyle="1" w:styleId="32">
    <w:name w:val="文档结构图 Char"/>
    <w:basedOn w:val="27"/>
    <w:link w:val="6"/>
    <w:semiHidden/>
    <w:qFormat/>
    <w:uiPriority w:val="99"/>
    <w:rPr>
      <w:rFonts w:ascii="宋体" w:hAnsi="Times New Roman"/>
      <w:kern w:val="2"/>
      <w:sz w:val="18"/>
      <w:szCs w:val="18"/>
    </w:rPr>
  </w:style>
  <w:style w:type="character" w:customStyle="1" w:styleId="33">
    <w:name w:val="页眉 Char"/>
    <w:basedOn w:val="27"/>
    <w:link w:val="16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34">
    <w:name w:val="页脚 Char"/>
    <w:basedOn w:val="27"/>
    <w:link w:val="15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35">
    <w:name w:val="脚注文本 Char"/>
    <w:basedOn w:val="27"/>
    <w:link w:val="19"/>
    <w:qFormat/>
    <w:uiPriority w:val="0"/>
    <w:rPr>
      <w:rFonts w:asciiTheme="minorHAnsi" w:hAnsiTheme="minorHAnsi" w:eastAsiaTheme="minorEastAsia" w:cstheme="minorBidi"/>
      <w:kern w:val="2"/>
      <w:sz w:val="18"/>
      <w:szCs w:val="24"/>
    </w:rPr>
  </w:style>
  <w:style w:type="character" w:customStyle="1" w:styleId="36">
    <w:name w:val="批注框文本 Char"/>
    <w:basedOn w:val="27"/>
    <w:link w:val="14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37">
    <w:name w:val="正文文本缩进 Char"/>
    <w:basedOn w:val="27"/>
    <w:link w:val="9"/>
    <w:semiHidden/>
    <w:qFormat/>
    <w:uiPriority w:val="99"/>
    <w:rPr>
      <w:rFonts w:ascii="Times New Roman" w:hAnsi="Times New Roman"/>
      <w:kern w:val="2"/>
      <w:sz w:val="21"/>
      <w:szCs w:val="22"/>
    </w:rPr>
  </w:style>
  <w:style w:type="character" w:customStyle="1" w:styleId="38">
    <w:name w:val="正文首行缩进 2 Char"/>
    <w:basedOn w:val="37"/>
    <w:link w:val="24"/>
    <w:qFormat/>
    <w:uiPriority w:val="0"/>
  </w:style>
  <w:style w:type="character" w:customStyle="1" w:styleId="39">
    <w:name w:val="NormalCharacter"/>
    <w:link w:val="40"/>
    <w:qFormat/>
    <w:uiPriority w:val="0"/>
    <w:rPr>
      <w:rFonts w:ascii="Times New Roman" w:hAnsi="Times New Roman"/>
      <w:kern w:val="2"/>
      <w:sz w:val="21"/>
    </w:rPr>
  </w:style>
  <w:style w:type="paragraph" w:customStyle="1" w:styleId="40">
    <w:name w:val="UserStyle_1"/>
    <w:basedOn w:val="1"/>
    <w:link w:val="39"/>
    <w:qFormat/>
    <w:uiPriority w:val="0"/>
    <w:rPr>
      <w:szCs w:val="20"/>
    </w:rPr>
  </w:style>
  <w:style w:type="paragraph" w:customStyle="1" w:styleId="41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42">
    <w:name w:val="正文文本 Char"/>
    <w:basedOn w:val="27"/>
    <w:link w:val="8"/>
    <w:qFormat/>
    <w:uiPriority w:val="99"/>
    <w:rPr>
      <w:rFonts w:ascii="Calibri" w:hAnsi="Calibri" w:eastAsia="仿宋_GB2312"/>
      <w:kern w:val="2"/>
      <w:sz w:val="32"/>
      <w:szCs w:val="24"/>
    </w:rPr>
  </w:style>
  <w:style w:type="paragraph" w:customStyle="1" w:styleId="43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44">
    <w:name w:val="bjh-p"/>
    <w:basedOn w:val="27"/>
    <w:qFormat/>
    <w:uiPriority w:val="0"/>
  </w:style>
  <w:style w:type="character" w:customStyle="1" w:styleId="45">
    <w:name w:val="bjh-strong"/>
    <w:basedOn w:val="27"/>
    <w:qFormat/>
    <w:uiPriority w:val="0"/>
  </w:style>
  <w:style w:type="paragraph" w:customStyle="1" w:styleId="46">
    <w:name w:val="修订2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47">
    <w:name w:val="标题 4 Char"/>
    <w:basedOn w:val="27"/>
    <w:link w:val="3"/>
    <w:qFormat/>
    <w:uiPriority w:val="9"/>
    <w:rPr>
      <w:rFonts w:ascii="宋体" w:hAnsi="宋体" w:cs="宋体"/>
      <w:b/>
      <w:bCs/>
      <w:sz w:val="24"/>
      <w:szCs w:val="24"/>
    </w:rPr>
  </w:style>
  <w:style w:type="character" w:customStyle="1" w:styleId="48">
    <w:name w:val="纯文本 Char"/>
    <w:basedOn w:val="27"/>
    <w:link w:val="12"/>
    <w:qFormat/>
    <w:uiPriority w:val="99"/>
    <w:rPr>
      <w:rFonts w:ascii="宋体" w:hAnsi="Courier New"/>
      <w:kern w:val="2"/>
      <w:sz w:val="21"/>
      <w:szCs w:val="22"/>
    </w:rPr>
  </w:style>
  <w:style w:type="paragraph" w:customStyle="1" w:styleId="49">
    <w:name w:val="公文正文"/>
    <w:qFormat/>
    <w:uiPriority w:val="99"/>
    <w:pPr>
      <w:widowControl w:val="0"/>
      <w:pBdr>
        <w:top w:val="none" w:color="000000" w:sz="0" w:space="0"/>
        <w:left w:val="none" w:color="000000" w:sz="0" w:space="0"/>
        <w:bottom w:val="none" w:color="000000" w:sz="0" w:space="11"/>
        <w:right w:val="none" w:color="000000" w:sz="0" w:space="0"/>
      </w:pBdr>
      <w:spacing w:line="620" w:lineRule="exact"/>
      <w:ind w:firstLine="640" w:firstLineChars="200"/>
      <w:jc w:val="both"/>
    </w:pPr>
    <w:rPr>
      <w:rFonts w:ascii="楷体_GB2312" w:hAnsi="Times New Roman" w:eastAsia="仿宋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ontractReview xmlns="http://schemas.wps.cn/vas-ai-hub/contract-review">
  <reviewItems>
    <reviewItem>
      <errorID>c616ce0c-8542-414e-9f83-324042b13bfb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2F7913B4</paraID>
      <start>244</start>
      <end>245</end>
      <status>unmodified</status>
      <modifiedWord/>
      <trackRevisions>false</trackRevisions>
    </reviewItem>
    <reviewItem>
      <errorID>26b45c50-627b-4b8d-a447-2e6564b3eac9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6643565A</paraID>
      <start>6</start>
      <end>7</end>
      <status>unmodified</status>
      <modifiedWord/>
      <trackRevisions>false</trackRevisions>
    </reviewItem>
    <reviewItem>
      <errorID>b85dd34e-19c3-47b1-9dfa-7c3d60715cee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1C7AC625</paraID>
      <start>9</start>
      <end>10</end>
      <status>unmodified</status>
      <modifiedWord/>
      <trackRevisions>false</trackRevisions>
    </reviewItem>
    <reviewItem>
      <errorID>1cd887e0-f6fc-4e3c-8b87-83fcb27a60b7</errorID>
      <errorWord>区委区政府</errorWord>
      <group>L1_Political</group>
      <groupName>政治性问题</groupName>
      <ability>L2_Keyword</ability>
      <abilityName>固定表述</abilityName>
      <candidateList>
        <item>区委、区政府</item>
      </candidateList>
      <explain>注意检查当前固定表述标点是否使用规范。</explain>
      <paraID>547C6A60</paraID>
      <start>32</start>
      <end>37</end>
      <status>unmodified</status>
      <modifiedWord/>
      <trackRevisions>false</trackRevisions>
    </reviewItem>
    <reviewItem>
      <errorID>79c78855-a8bf-4eb8-bb52-1026f110e8ac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547C6A60</paraID>
      <start>225</start>
      <end>226</end>
      <status>unmodified</status>
      <modifiedWord/>
      <trackRevisions>false</trackRevisions>
    </reviewItem>
    <reviewItem>
      <errorID>b5a34435-ffc4-49ce-8287-4360059ce552</errorID>
      <errorWord>经济底盘稳、优势多、韧性强、潜能大</errorWord>
      <group>L1_Political</group>
      <groupName>政治性问题</groupName>
      <ability>L2_Keyword</ability>
      <abilityName>固定表述</abilityName>
      <candidateList>
        <item>经济基础稳、优势多、韧性强、潜能大</item>
      </candidateList>
      <explain>词汇“经济基础稳、优势多、韧性强、潜能大”在特定场景下为固定表述形式，请确认此处的“经济底盘稳、优势多、韧性强、潜能大”是否存在不当。</explain>
      <paraID>759581DA</paraID>
      <start>7</start>
      <end>24</end>
      <status>unmodified</status>
      <modifiedWord/>
      <trackRevisions>false</trackRevisions>
    </reviewItem>
    <reviewItem>
      <errorID>06749991-b592-460c-922a-fde8ebb1d96b</errorID>
      <errorWord>＞</errorWord>
      <group>L1_Format</group>
      <groupName>格式问题</groupName>
      <ability>L2_HalfPunc_CN</ability>
      <abilityName/>
      <candidateList>
        <item>&gt;</item>
      </candidateList>
      <explain>文本全半角错误。</explain>
      <paraID>418F21F6</paraID>
      <start>0</start>
      <end>1</end>
      <status>unmodified</status>
      <modifiedWord/>
      <trackRevisions>false</trackRevisions>
    </reviewItem>
    <reviewItem>
      <errorID>7e72b57e-c81f-45d6-8c01-7c824ed45b47</errorID>
      <errorWord>＞</errorWord>
      <group>L1_Format</group>
      <groupName>格式问题</groupName>
      <ability>L2_HalfPunc_CN</ability>
      <abilityName/>
      <candidateList>
        <item>&gt;</item>
      </candidateList>
      <explain>文本全半角错误。</explain>
      <paraID>1F880E10</paraID>
      <start>0</start>
      <end>1</end>
      <status>unmodified</status>
      <modifiedWord/>
      <trackRevisions>false</trackRevisions>
    </reviewItem>
    <reviewItem>
      <errorID>9d5ddf83-283f-4eb2-952e-1fec1153d58f</errorID>
      <errorWord>圣地</errorWord>
      <group>L1_Word</group>
      <groupName>字词问题</groupName>
      <ability>L2_Typo</ability>
      <abilityName>字词错误</abilityName>
      <candidateList>
        <item>胜地</item>
      </candidateList>
      <explain/>
      <paraID>4EE4033D</paraID>
      <start>249</start>
      <end>251</end>
      <status>unmodified</status>
      <modifiedWord/>
      <trackRevisions>false</trackRevisions>
    </reviewItem>
    <reviewItem>
      <errorID>4f24e6fd-31d0-4f47-8d30-b27fc65805e3</errorID>
      <errorWord>龙潭中</errorWord>
      <group>L1_Word</group>
      <groupName>字词问题</groupName>
      <ability>L2_Typo</ability>
      <abilityName>字词错误</abilityName>
      <candidateList>
        <item>龙潭</item>
      </candidateList>
      <explain/>
      <paraID>476F8FB9</paraID>
      <start>129</start>
      <end>132</end>
      <status>unmodified</status>
      <modifiedWord/>
      <trackRevisions>false</trackRevisions>
    </reviewItem>
    <reviewItem>
      <errorID>b4e2942c-8793-4fa9-8063-43b118bbd267</errorID>
      <errorWord>谷子经济</errorWord>
      <group>L1_Political</group>
      <groupName>政治性问题</groupName>
      <ability>L2_Keyword</ability>
      <abilityName>固定表述</abilityName>
      <candidateList>
        <item>“谷子经济”</item>
      </candidateList>
      <explain>注意检查当前固定表述标点是否使用规范。</explain>
      <paraID>6E1794AC</paraID>
      <start>296</start>
      <end>300</end>
      <status>unmodified</status>
      <modifiedWord/>
      <trackRevisions>false</trackRevisions>
    </reviewItem>
    <reviewItem>
      <errorID>edd32170-36c8-4ab1-87a2-46a1c16b2d0d</errorID>
      <errorWord>响</errorWord>
      <group>L1_Word</group>
      <groupName>字词问题</groupName>
      <ability>L2_Typo</ability>
      <abilityName>字词错误</abilityName>
      <candidateList>
        <item>响力</item>
      </candidateList>
      <explain/>
      <paraID>5EA34507</paraID>
      <start>110</start>
      <end>111</end>
      <status>unmodified</status>
      <modifiedWord/>
      <trackRevisions>false</trackRevisions>
    </reviewItem>
    <reviewItem>
      <errorID>cafb84bb-69ae-42d9-9f5f-d6d36581a932</errorID>
      <errorWord>、强</errorWord>
      <group>L1_Word</group>
      <groupName>字词问题</groupName>
      <ability>L2_Typo</ability>
      <abilityName>字词错误</abilityName>
      <candidateList>
        <item>、</item>
      </candidateList>
      <explain/>
      <paraID>231966AC</paraID>
      <start>114</start>
      <end>116</end>
      <status>unmodified</status>
      <modifiedWord/>
      <trackRevisions>false</trackRevisions>
    </reviewItem>
    <reviewItem>
      <errorID>96c56a6c-3007-4578-a774-41b454ab9207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442CF35</paraID>
      <start>38</start>
      <end>39</end>
      <status>unmodified</status>
      <modifiedWord/>
      <trackRevisions>false</trackRevisions>
    </reviewItem>
    <reviewItem>
      <errorID>4f9f82b4-0dc5-43ce-b59e-5ae37ba07e3d</errorID>
      <errorWord>播映</errorWord>
      <group>L1_Grammar</group>
      <groupName>语法问题</groupName>
      <ability>L2_Grammar</ability>
      <abilityName>语法错误</abilityName>
      <candidateList>
        <item>播出</item>
      </candidateList>
      <explain>“平台～播映”搭配不当，建议修改为“平台～播出”。</explain>
      <paraID>3642AEBD</paraID>
      <start>166</start>
      <end>168</end>
      <status>unmodified</status>
      <modifiedWord/>
      <trackRevisions>false</trackRevisions>
    </reviewItem>
    <reviewItem>
      <errorID>eae317bc-df1c-4943-9eb7-2d34a8b7b3c0</errorID>
      <errorWord>用</errorWord>
      <group>L1_Word</group>
      <groupName>字词问题</groupName>
      <ability>L2_Typo</ability>
      <abilityName>字词错误</abilityName>
      <candidateList>
        <item>用相</item>
      </candidateList>
      <explain/>
      <paraID>1887F129</paraID>
      <start>141</start>
      <end>142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8AC6644-D3BD-47EA-BAF7-111DD5DB2FB6}">
  <ds:schemaRefs/>
</ds:datastoreItem>
</file>

<file path=customXml/itemProps2.xml><?xml version="1.0" encoding="utf-8"?>
<ds:datastoreItem xmlns:ds="http://schemas.openxmlformats.org/officeDocument/2006/customXml" ds:itemID="{683F1720-0077-4770-A2A7-6413C3F105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8363</Words>
  <Characters>8414</Characters>
  <Lines>82</Lines>
  <Paragraphs>23</Paragraphs>
  <TotalTime>80</TotalTime>
  <ScaleCrop>false</ScaleCrop>
  <LinksUpToDate>false</LinksUpToDate>
  <CharactersWithSpaces>8447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2026-05-19T06:56:00Z</dcterms:created>
  <dc:creator>Administrator</dc:creator>
  <cp:lastModifiedBy>BlingBird</cp:lastModifiedBy>
  <dcterms:modified xsi:type="dcterms:W3CDTF">2026-09-07T07:08:08Z</dcterms:modified>
  <cp:revision>1029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eyJoZGlkIjoiOWMzMGFkNTNiMGU2NThjYmMyM2U1ZDEzZDljZjZiZWQiLCJ1c2VySWQiOiIxMTU0OTEwODczIn0=</vt:lpwstr>
  </property>
  <property fmtid="{D5CDD505-2E9C-101B-9397-08002B2CF9AE}" pid="3" name="KSOProductBuildVer">
    <vt:lpwstr>2052-11.1.0.14309</vt:lpwstr>
  </property>
  <property fmtid="{D5CDD505-2E9C-101B-9397-08002B2CF9AE}" pid="4" name="ICV">
    <vt:lpwstr>B46746F5708B4900A93586108F223F88_13</vt:lpwstr>
  </property>
</Properties>
</file>