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2921">
      <w:pPr>
        <w:jc w:val="center"/>
        <w:rPr>
          <w:rFonts w:hint="eastAsia" w:ascii="仿宋_GB2312" w:hAnsi="黑体" w:eastAsia="仿宋_GB2312"/>
          <w:sz w:val="40"/>
          <w:szCs w:val="40"/>
        </w:rPr>
      </w:pPr>
    </w:p>
    <w:p w14:paraId="7B97E0DD">
      <w:pPr>
        <w:jc w:val="center"/>
        <w:rPr>
          <w:rFonts w:hint="eastAsia" w:ascii="仿宋_GB2312" w:hAnsi="黑体" w:eastAsia="仿宋_GB2312"/>
          <w:sz w:val="40"/>
          <w:szCs w:val="40"/>
        </w:rPr>
      </w:pPr>
    </w:p>
    <w:p w14:paraId="4623EFD7">
      <w:pPr>
        <w:rPr>
          <w:rFonts w:hint="eastAsia" w:ascii="仿宋_GB2312" w:hAnsi="黑体" w:eastAsia="仿宋_GB2312"/>
          <w:sz w:val="40"/>
          <w:szCs w:val="40"/>
        </w:rPr>
      </w:pPr>
    </w:p>
    <w:p w14:paraId="180D2F14">
      <w:pPr>
        <w:jc w:val="center"/>
        <w:rPr>
          <w:rFonts w:hint="eastAsia" w:ascii="仿宋_GB2312" w:hAnsi="黑体" w:eastAsia="仿宋_GB2312"/>
          <w:sz w:val="40"/>
          <w:szCs w:val="40"/>
        </w:rPr>
      </w:pPr>
    </w:p>
    <w:p w14:paraId="7327DDC3">
      <w:pPr>
        <w:jc w:val="center"/>
        <w:rPr>
          <w:rFonts w:hint="eastAsia" w:ascii="仿宋_GB2312" w:hAnsi="黑体" w:eastAsia="仿宋_GB2312"/>
          <w:sz w:val="40"/>
          <w:szCs w:val="40"/>
        </w:rPr>
      </w:pPr>
    </w:p>
    <w:p w14:paraId="705A70DC">
      <w:pPr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大兴区“十五五”时期园林绿化发展规划</w:t>
      </w:r>
    </w:p>
    <w:p w14:paraId="5F486C25">
      <w:pPr>
        <w:jc w:val="center"/>
        <w:rPr>
          <w:rFonts w:hint="eastAsia" w:ascii="仿宋_GB2312" w:hAnsi="黑体" w:eastAsia="仿宋_GB2312"/>
          <w:sz w:val="40"/>
          <w:szCs w:val="40"/>
        </w:rPr>
      </w:pPr>
      <w:r>
        <w:rPr>
          <w:rFonts w:hint="eastAsia" w:ascii="仿宋_GB2312" w:hAnsi="黑体" w:eastAsia="仿宋_GB2312"/>
          <w:sz w:val="40"/>
          <w:szCs w:val="40"/>
        </w:rPr>
        <w:t>（征求意见稿）</w:t>
      </w:r>
    </w:p>
    <w:p w14:paraId="56F01038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0607215D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06A6D39C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21F11217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67ED83F3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7E4FE7E6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0C3F484C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131DABA9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1C1EE5AB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68979D86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5A34CAC1">
      <w:pPr>
        <w:widowControl/>
        <w:jc w:val="center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大兴区园林绿化局</w:t>
      </w:r>
    </w:p>
    <w:p w14:paraId="3CF1B35A">
      <w:pPr>
        <w:widowControl/>
        <w:jc w:val="center"/>
        <w:rPr>
          <w:rFonts w:hint="eastAsia" w:ascii="仿宋_GB2312" w:hAnsi="黑体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FFB3D91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0" w:name="_Toc139029723"/>
    </w:p>
    <w:p w14:paraId="164A28B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506EF3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8697B9A">
      <w:pPr>
        <w:widowControl/>
        <w:jc w:val="center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目</w:t>
      </w:r>
      <w:r>
        <w:rPr>
          <w:rFonts w:ascii="仿宋_GB2312" w:hAnsi="Times New Roman" w:eastAsia="仿宋_GB2312"/>
          <w:sz w:val="32"/>
          <w:szCs w:val="32"/>
        </w:rPr>
        <w:t xml:space="preserve"> </w:t>
      </w:r>
      <w:r>
        <w:rPr>
          <w:rFonts w:hint="eastAsia" w:ascii="仿宋_GB2312" w:hAnsi="Times New Roman" w:eastAsia="仿宋_GB2312"/>
          <w:sz w:val="32"/>
          <w:szCs w:val="32"/>
        </w:rPr>
        <w:t>录</w:t>
      </w:r>
    </w:p>
    <w:p w14:paraId="41578593">
      <w:pPr>
        <w:widowControl/>
        <w:jc w:val="center"/>
        <w:rPr>
          <w:rFonts w:ascii="仿宋_GB2312" w:hAnsi="Times New Roman" w:eastAsia="仿宋_GB2312"/>
          <w:b/>
          <w:bCs/>
          <w:sz w:val="32"/>
          <w:szCs w:val="32"/>
        </w:rPr>
      </w:pPr>
    </w:p>
    <w:sdt>
      <w:sdtPr>
        <w:rPr>
          <w:rFonts w:hint="eastAsia" w:ascii="仿宋_GB2312" w:hAnsiTheme="minorHAnsi" w:eastAsiaTheme="minorEastAsia" w:cstheme="minorBidi"/>
          <w:sz w:val="21"/>
          <w:lang w:val="zh-CN"/>
          <w14:ligatures w14:val="standardContextual"/>
        </w:rPr>
        <w:id w:val="-758368568"/>
        <w:docPartObj>
          <w:docPartGallery w:val="Table of Contents"/>
          <w:docPartUnique/>
        </w:docPartObj>
      </w:sdtPr>
      <w:sdtEndPr>
        <w:rPr>
          <w:rFonts w:hint="eastAsia" w:ascii="仿宋_GB2312" w:hAnsiTheme="minorHAnsi" w:eastAsiaTheme="minorEastAsia" w:cstheme="minorBidi"/>
          <w:b/>
          <w:bCs/>
          <w:sz w:val="21"/>
          <w:lang w:val="zh-CN"/>
          <w14:ligatures w14:val="standardContextual"/>
        </w:rPr>
      </w:sdtEndPr>
      <w:sdtContent>
        <w:p w14:paraId="2D90AFCD">
          <w:pPr>
            <w:pStyle w:val="15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Fonts w:hint="eastAsia" w:ascii="仿宋_GB2312" w:hAnsiTheme="majorHAnsi" w:cstheme="majorBidi"/>
              <w:color w:val="104862" w:themeColor="accent1" w:themeShade="BF"/>
              <w:kern w:val="0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TOC \o "1-3" \h \z \u </w:instrText>
          </w:r>
          <w:r>
            <w:rPr>
              <w:rFonts w:hint="eastAsia" w:ascii="仿宋_GB2312" w:hAnsiTheme="majorHAnsi" w:cstheme="majorBidi"/>
              <w:color w:val="104862" w:themeColor="accent1" w:themeShade="BF"/>
              <w:kern w:val="0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"_Toc238655379"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/>
              <w:sz w:val="28"/>
              <w:szCs w:val="28"/>
            </w:rPr>
            <w:t>一、大兴区“十五五”时期园林绿化发展的总体思路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_Toc238655379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22B5265D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"_Toc238655380"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Cs w:val="0"/>
              <w:sz w:val="28"/>
              <w:szCs w:val="28"/>
            </w:rPr>
            <w:t>（一）指导思想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_Toc238655380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1A8D7DED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"_Toc238655381"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Cs w:val="0"/>
              <w:sz w:val="28"/>
              <w:szCs w:val="28"/>
            </w:rPr>
            <w:t>（二）规划目标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_Toc238655381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0706BC2E">
          <w:pPr>
            <w:pStyle w:val="15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"_Toc238655384"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/>
              <w:sz w:val="28"/>
              <w:szCs w:val="28"/>
            </w:rPr>
            <w:t>二、大兴区“十五五”时期园林绿化工作的重点任务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_Toc238655384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3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286DE8C2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"_Toc238655385"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（一）样板先行，打造花园城市示范标杆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_Toc238655385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3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06828848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"_Toc238655393"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（二）系统治理，筑牢全域生态安全基底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_Toc238655393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8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199577A9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"_Toc238655399"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（三）体系创新，推动绿色产业长效发展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_Toc238655399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12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027F0612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"_Toc238655405"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（四）融合拓展，激活特色生态场景价值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_Toc238655405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14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5496DC1B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"_Toc238655410"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（五）协同共治，构建精细高效管理体系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_Toc238655410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16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3D31ED0E">
          <w:pPr>
            <w:pStyle w:val="15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"_Toc238655416"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/>
              <w:sz w:val="28"/>
              <w:szCs w:val="28"/>
            </w:rPr>
            <w:t>三、主要实施路径和保障措施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_Toc238655416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18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387034A6">
          <w:pPr>
            <w:rPr>
              <w:rFonts w:hint="eastAsia" w:ascii="仿宋_GB2312" w:eastAsia="仿宋_GB2312"/>
            </w:rPr>
          </w:pPr>
          <w:r>
            <w:rPr>
              <w:rFonts w:hint="eastAsia" w:ascii="仿宋_GB2312" w:eastAsia="仿宋_GB2312"/>
              <w:b w:val="0"/>
              <w:bCs w:val="0"/>
              <w:sz w:val="28"/>
              <w:szCs w:val="28"/>
              <w:lang w:val="zh-CN"/>
            </w:rPr>
            <w:fldChar w:fldCharType="end"/>
          </w:r>
        </w:p>
      </w:sdtContent>
    </w:sdt>
    <w:p w14:paraId="779E3568">
      <w:pPr>
        <w:widowControl/>
        <w:jc w:val="left"/>
        <w:rPr>
          <w:rFonts w:hint="eastAsia" w:ascii="仿宋_GB2312" w:hAnsi="华文仿宋" w:eastAsia="仿宋_GB2312"/>
          <w:b/>
          <w:sz w:val="32"/>
          <w:szCs w:val="32"/>
        </w:rPr>
      </w:pPr>
    </w:p>
    <w:p w14:paraId="0A259FAB">
      <w:pPr>
        <w:widowControl/>
        <w:jc w:val="left"/>
        <w:rPr>
          <w:rFonts w:hint="eastAsia" w:ascii="仿宋_GB2312" w:hAnsi="华文仿宋" w:eastAsia="仿宋_GB2312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bookmarkEnd w:id="0"/>
    <w:p w14:paraId="73051FA4">
      <w:pPr>
        <w:pStyle w:val="45"/>
        <w:rPr>
          <w:rFonts w:hint="eastAsia"/>
        </w:rPr>
      </w:pPr>
      <w:bookmarkStart w:id="1" w:name="_Toc238655379"/>
      <w:r>
        <w:rPr>
          <w:rFonts w:hint="eastAsia" w:ascii="黑体" w:eastAsia="黑体"/>
        </w:rPr>
        <w:t>一</w:t>
      </w:r>
      <w:r>
        <w:rPr>
          <w:rFonts w:hint="eastAsia"/>
        </w:rPr>
        <w:t>、大兴区“十五五”时期园林绿化发展的总体思路</w:t>
      </w:r>
      <w:bookmarkEnd w:id="1"/>
    </w:p>
    <w:p w14:paraId="269BBE5B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Cs/>
          <w:sz w:val="32"/>
          <w:szCs w:val="32"/>
          <w14:ligatures w14:val="none"/>
        </w:rPr>
      </w:pPr>
      <w:bookmarkStart w:id="2" w:name="_Toc238655380"/>
      <w:r>
        <w:rPr>
          <w:rFonts w:hint="eastAsia" w:ascii="仿宋_GB2312" w:hAnsi="楷体_GB2312" w:eastAsia="仿宋_GB2312" w:cs="楷体_GB2312"/>
          <w:bCs/>
          <w:sz w:val="32"/>
          <w:szCs w:val="32"/>
          <w14:ligatures w14:val="none"/>
        </w:rPr>
        <w:t>（一）指导思想</w:t>
      </w:r>
      <w:bookmarkEnd w:id="2"/>
    </w:p>
    <w:p w14:paraId="5A5E6993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Cs/>
          <w:sz w:val="32"/>
          <w14:ligatures w14:val="none"/>
        </w:rPr>
        <w:t>以习近平生态文明思想为指导，</w:t>
      </w:r>
      <w:bookmarkStart w:id="90" w:name="_GoBack"/>
      <w:r>
        <w:rPr>
          <w:rFonts w:hint="eastAsia" w:ascii="仿宋_GB2312" w:hAnsi="Calibri" w:eastAsia="仿宋_GB2312" w:cs="黑体"/>
          <w:bCs/>
          <w:sz w:val="32"/>
          <w14:ligatures w14:val="none"/>
        </w:rPr>
        <w:t>贯彻</w:t>
      </w:r>
      <w:r>
        <w:rPr>
          <w:rFonts w:hint="eastAsia" w:ascii="仿宋_GB2312" w:hAnsi="Calibri" w:eastAsia="仿宋_GB2312" w:cs="黑体"/>
          <w:bCs/>
          <w:sz w:val="32"/>
          <w:lang w:val="en-US" w:eastAsia="zh-CN"/>
          <w14:ligatures w14:val="none"/>
        </w:rPr>
        <w:t>党的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二十大精神</w:t>
      </w:r>
      <w:bookmarkEnd w:id="90"/>
      <w:r>
        <w:rPr>
          <w:rFonts w:hint="eastAsia" w:ascii="仿宋_GB2312" w:hAnsi="Calibri" w:eastAsia="仿宋_GB2312" w:cs="黑体"/>
          <w:bCs/>
          <w:sz w:val="32"/>
          <w14:ligatures w14:val="none"/>
        </w:rPr>
        <w:t>，落实首都花园城市建设要求，立足“三区一门户”定位与“协同发展示范区、繁荣开放国门新城”目标，围绕“七有”“五性”和“6+5+3”产业布局，精塑“中心主城+美丽乡村+特色小镇”格局。持续推动生态空间保护治理，提升绿色空间规模与质量，提供近邻化、多样化生态产品，优化治理能力，构建人城产绿融合的高质量发展新格局，为建设首都国际交往新门户夯实绿化底色。</w:t>
      </w:r>
    </w:p>
    <w:p w14:paraId="3460C790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Cs/>
          <w:sz w:val="32"/>
          <w:szCs w:val="32"/>
          <w14:ligatures w14:val="none"/>
        </w:rPr>
      </w:pPr>
      <w:bookmarkStart w:id="3" w:name="_Toc238655381"/>
      <w:r>
        <w:rPr>
          <w:rFonts w:hint="eastAsia" w:ascii="仿宋_GB2312" w:hAnsi="楷体_GB2312" w:eastAsia="仿宋_GB2312" w:cs="楷体_GB2312"/>
          <w:bCs/>
          <w:sz w:val="32"/>
          <w:szCs w:val="32"/>
          <w14:ligatures w14:val="none"/>
        </w:rPr>
        <w:t>（二）规划目标</w:t>
      </w:r>
      <w:bookmarkEnd w:id="3"/>
    </w:p>
    <w:p w14:paraId="670B3165">
      <w:pPr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4" w:name="_Toc238476902"/>
      <w:bookmarkStart w:id="5" w:name="_Toc205543529"/>
      <w:bookmarkStart w:id="6" w:name="_Toc238655382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1.总体目标</w:t>
      </w:r>
      <w:bookmarkEnd w:id="4"/>
      <w:bookmarkEnd w:id="5"/>
      <w:bookmarkEnd w:id="6"/>
    </w:p>
    <w:p w14:paraId="42F1C5EE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立足全域森林城市高质量发展、全面建设花园城市的要求部署，谋定“协同发展示范区、繁荣开放国门新城”的发展方向，围绕突出全域生态资源提质增效、花园式人居环境塑造、绿色产业赋能跃升的建设重点，聚焦建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林水相依的大美生境、廊网融城的国门画境、缤纷活力的花园意境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力争到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“十五五”期末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，建成</w:t>
      </w:r>
      <w:r>
        <w:rPr>
          <w:rFonts w:hint="eastAsia" w:ascii="仿宋_GB2312" w:hAnsi="Calibri" w:eastAsia="仿宋_GB2312" w:cs="黑体"/>
          <w:b/>
          <w:sz w:val="32"/>
          <w14:ligatures w14:val="none"/>
        </w:rPr>
        <w:t>花园城市样板先行区、蓝绿交融生态示范区、花果产业赋能创新区、生态文化传播体验区、精细共治现代发展区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三境共兴、五区联创</w:t>
      </w:r>
      <w:r>
        <w:rPr>
          <w:rFonts w:hint="eastAsia" w:ascii="仿宋_GB2312" w:hAnsi="仿宋_GB2312" w:eastAsia="仿宋_GB2312" w:cs="仿宋_GB2312"/>
          <w:sz w:val="32"/>
          <w:szCs w:val="32"/>
        </w:rPr>
        <w:t>”新局面，打造首都宜居宜业现代化生态典范之城</w:t>
      </w:r>
      <w:r>
        <w:rPr>
          <w:rFonts w:hint="eastAsia" w:ascii="仿宋_GB2312" w:hAnsi="Calibri" w:eastAsia="仿宋_GB2312" w:cs="黑体"/>
          <w:b/>
          <w:sz w:val="32"/>
          <w14:ligatures w14:val="none"/>
        </w:rPr>
        <w:t>。</w:t>
      </w:r>
    </w:p>
    <w:p w14:paraId="2A2FF312">
      <w:pPr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7" w:name="_Toc205543530"/>
      <w:bookmarkStart w:id="8" w:name="_Toc238476903"/>
      <w:bookmarkStart w:id="9" w:name="_Toc238655383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2.核心指标</w:t>
      </w:r>
      <w:bookmarkEnd w:id="7"/>
      <w:bookmarkEnd w:id="8"/>
      <w:bookmarkEnd w:id="9"/>
    </w:p>
    <w:p w14:paraId="5B696C48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:highlight w:val="yellow"/>
          <w14:ligatures w14:val="none"/>
        </w:rPr>
      </w:pPr>
      <w:r>
        <w:rPr>
          <w:rFonts w:hint="eastAsia" w:ascii="仿宋_GB2312" w:hAnsi="Calibri" w:eastAsia="仿宋_GB2312" w:cs="黑体"/>
          <w:bCs/>
          <w:sz w:val="32"/>
          <w14:ligatures w14:val="none"/>
        </w:rPr>
        <w:t>到2030年，全区森林覆盖率达到27.67%，城市绿化覆盖率达49.80%，人均公园绿地面积不低于15.64平方米，公园绿地500米服务半径覆盖率稳步提升，彩化率达到17.17%左右。</w:t>
      </w:r>
    </w:p>
    <w:tbl>
      <w:tblPr>
        <w:tblStyle w:val="2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2691"/>
        <w:gridCol w:w="1272"/>
        <w:gridCol w:w="1324"/>
        <w:gridCol w:w="2871"/>
      </w:tblGrid>
      <w:tr w14:paraId="6C66D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8CC47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59FB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指标</w:t>
            </w:r>
          </w:p>
        </w:tc>
        <w:tc>
          <w:tcPr>
            <w:tcW w:w="740" w:type="pct"/>
            <w:vAlign w:val="center"/>
          </w:tcPr>
          <w:p w14:paraId="0A17D0C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2025年</w:t>
            </w:r>
          </w:p>
        </w:tc>
        <w:tc>
          <w:tcPr>
            <w:tcW w:w="770" w:type="pct"/>
            <w:vAlign w:val="center"/>
          </w:tcPr>
          <w:p w14:paraId="4EB1CC2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2030年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F17D7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72CA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961D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907D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森林覆盖率（%）</w:t>
            </w:r>
          </w:p>
        </w:tc>
        <w:tc>
          <w:tcPr>
            <w:tcW w:w="740" w:type="pct"/>
            <w:vAlign w:val="center"/>
          </w:tcPr>
          <w:p w14:paraId="707DAA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27.57</w:t>
            </w:r>
          </w:p>
        </w:tc>
        <w:tc>
          <w:tcPr>
            <w:tcW w:w="770" w:type="pct"/>
            <w:vAlign w:val="center"/>
          </w:tcPr>
          <w:p w14:paraId="1FFF04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27.67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5180E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分区规划约束性指标，2035年35%为北京口径数值，本栏2025年、2030年指标均为国家口径数值</w:t>
            </w:r>
          </w:p>
        </w:tc>
      </w:tr>
      <w:tr w14:paraId="71B2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A17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346CF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城市绿化覆盖率（%）</w:t>
            </w:r>
          </w:p>
        </w:tc>
        <w:tc>
          <w:tcPr>
            <w:tcW w:w="740" w:type="pct"/>
            <w:vAlign w:val="center"/>
          </w:tcPr>
          <w:p w14:paraId="1544E4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49.60</w:t>
            </w:r>
          </w:p>
        </w:tc>
        <w:tc>
          <w:tcPr>
            <w:tcW w:w="770" w:type="pct"/>
            <w:vAlign w:val="center"/>
          </w:tcPr>
          <w:p w14:paraId="0EEB84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49.80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AAAA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——</w:t>
            </w:r>
          </w:p>
        </w:tc>
      </w:tr>
      <w:tr w14:paraId="0C3FD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0E68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BDDB0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人均公园绿地面积（m</w:t>
            </w:r>
            <w:r>
              <w:rPr>
                <w:rFonts w:ascii="Calibri" w:hAnsi="Calibri" w:eastAsia="仿宋_GB2312" w:cs="Calibri"/>
                <w:sz w:val="24"/>
                <w:szCs w:val="24"/>
              </w:rPr>
              <w:t>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/人）</w:t>
            </w:r>
          </w:p>
        </w:tc>
        <w:tc>
          <w:tcPr>
            <w:tcW w:w="740" w:type="pct"/>
            <w:vAlign w:val="center"/>
          </w:tcPr>
          <w:p w14:paraId="3087C2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15.14</w:t>
            </w:r>
          </w:p>
        </w:tc>
        <w:tc>
          <w:tcPr>
            <w:tcW w:w="770" w:type="pct"/>
            <w:vAlign w:val="center"/>
          </w:tcPr>
          <w:p w14:paraId="634CF6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不低于15.64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2C94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分区规划约束性指标，2035年18平方米</w:t>
            </w:r>
          </w:p>
        </w:tc>
      </w:tr>
      <w:tr w14:paraId="25FF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A2A0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FE0D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公园绿地500米服务半径覆盖率（%）</w:t>
            </w:r>
          </w:p>
        </w:tc>
        <w:tc>
          <w:tcPr>
            <w:tcW w:w="740" w:type="pct"/>
            <w:vAlign w:val="center"/>
          </w:tcPr>
          <w:p w14:paraId="215C2E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94.51</w:t>
            </w:r>
          </w:p>
        </w:tc>
        <w:tc>
          <w:tcPr>
            <w:tcW w:w="770" w:type="pct"/>
            <w:vAlign w:val="center"/>
          </w:tcPr>
          <w:p w14:paraId="68800D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稳步提升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9714A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分区规划约束性指标，2035年95%</w:t>
            </w:r>
          </w:p>
        </w:tc>
      </w:tr>
      <w:tr w14:paraId="3989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AB6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F53FB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彩化率（%）</w:t>
            </w:r>
          </w:p>
        </w:tc>
        <w:tc>
          <w:tcPr>
            <w:tcW w:w="740" w:type="pct"/>
            <w:vAlign w:val="center"/>
          </w:tcPr>
          <w:p w14:paraId="539968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16.17</w:t>
            </w:r>
          </w:p>
        </w:tc>
        <w:tc>
          <w:tcPr>
            <w:tcW w:w="770" w:type="pct"/>
            <w:vAlign w:val="center"/>
          </w:tcPr>
          <w:p w14:paraId="3F5A4C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17.17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38510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市“十五五”规划《纲要》约束性指标</w:t>
            </w:r>
          </w:p>
        </w:tc>
      </w:tr>
    </w:tbl>
    <w:p w14:paraId="3A7B6073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Cs/>
          <w:sz w:val="32"/>
          <w14:ligatures w14:val="none"/>
        </w:rPr>
        <w:br w:type="page"/>
      </w:r>
    </w:p>
    <w:p w14:paraId="5D496C66">
      <w:pPr>
        <w:pStyle w:val="45"/>
        <w:rPr>
          <w:rFonts w:hint="eastAsia"/>
        </w:rPr>
      </w:pPr>
      <w:bookmarkStart w:id="10" w:name="_Toc238655384"/>
      <w:r>
        <w:rPr>
          <w:rFonts w:hint="eastAsia"/>
        </w:rPr>
        <w:t>二、大兴区“十五五”时期园林绿化工作的重点任务</w:t>
      </w:r>
      <w:bookmarkEnd w:id="10"/>
    </w:p>
    <w:p w14:paraId="282B0FFE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11" w:name="_Toc238655385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（一）样板先行，打造花园城市示范标杆</w:t>
      </w:r>
      <w:bookmarkEnd w:id="11"/>
    </w:p>
    <w:p w14:paraId="17114656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</w:pPr>
      <w:bookmarkStart w:id="12" w:name="_Toc205543533"/>
      <w:bookmarkStart w:id="13" w:name="_Toc238476906"/>
      <w:bookmarkStart w:id="14" w:name="_Toc238655386"/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1.打造花园城市示范</w:t>
      </w:r>
      <w:bookmarkEnd w:id="12"/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片区</w:t>
      </w:r>
      <w:bookmarkEnd w:id="13"/>
      <w:bookmarkEnd w:id="14"/>
    </w:p>
    <w:p w14:paraId="62E2D27E">
      <w:pPr>
        <w:spacing w:after="160" w:line="560" w:lineRule="exact"/>
        <w:ind w:firstLine="643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/>
          <w:sz w:val="32"/>
          <w14:ligatures w14:val="none"/>
        </w:rPr>
        <w:t>以世界眼光、国际标准建设花园城市永定湾示范片区。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精塑“依水而兴”特色城市风貌，建设高品质花园之城：以水为脉，优化水系布局，营造“水+文化、运动、社区”多元活力岸线，做强“水”生态IP；以绿为轴，联通三大公园万亩绿地，建设水林共生郊野廊道，增补口袋公园与小微绿地，实现城园无界，推窗见绿；融合文艺、体育与首店元素，打造“珍珠台”式超级公园，构建蓝绿交织、水城共融、低碳智慧的国际化社区，实现生态、产业、城市有机融合，塑造成兼具生态质感与生活温度的花园城市标杆。</w:t>
      </w:r>
    </w:p>
    <w:p w14:paraId="289DF8B0">
      <w:pPr>
        <w:spacing w:after="160" w:line="560" w:lineRule="exact"/>
        <w:ind w:firstLine="643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/>
          <w:sz w:val="32"/>
          <w14:ligatures w14:val="none"/>
        </w:rPr>
        <w:t>提速建设大兴国际机场门户枢纽花园城市精华片区。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落实《北京花园城市专项规划（2023年-2035年）》的要求，聚焦“国家发展新的动力源”，塑造国际风范。围绕“四廊环绕、两带串联、一心多点”结构，推进水系、道路、绿道三网融合，形成贯通慢行系统。以中央公园带动片区发展，提升生物多样性，打造城园共生航城样板。“十五五”期间，全面建成中央公园一期，启动二期建设；高标准建设国际会展中心、国际消费枢纽等地标，推进国际航空社区、综合保税区、会展消费片区、生命健康社区等花园街区，以及弘礼街、广运大街、大礼路、燕冀路、元平北路等道路沿线绿色融合项目，全力打造生态智慧低碳的国际航空城市新标杆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601BF6D6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加快推进生物医药基地花园城市示范片区、中日创新合作示范区等花园城市示范项目。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以“产城共生、职住平衡、城园交融”为目标，结合城市更新，完善绿色休闲体系，建设“小而美”设施，提升公共空间活力。“十五五”期间，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大兴生物医药基地花园城市示范片区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完成春林大街、庆丰西路绿带项目，启动药谷客厅公园，完善慢行系统；中日创新合作示范区启动中央草坪、中鼎滨水空间改造，同步开发；推进念坛金融商务区花园示范片区建设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0D8EEA68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谋划推进念坛金融商务区、清源街道、天宫院街道、兴丰街道、庞各庄西瓜小镇等花园示范片区建设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。念坛金融商务区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花园示范片区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聚焦盘活存量空间，形成“十字轴、四园多点”统筹体系；清源街道</w:t>
      </w:r>
      <w:r>
        <w:rPr>
          <w:rFonts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花园示范片区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构建“一轴、一河、多廊、多点”体系，强化兴华大街月季大道示范作用；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天宫院街道花园示范片区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结合城市更新，推进道路、建筑、公园绿地、城市家具有机融合，重塑慢行环境，整体提升街区品质，营造宜居宜业宜游环境；庞各庄西瓜小镇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花园示范片区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形成“一带一环、两园多景”体系，打造特色花园样板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0ED559F3">
      <w:pPr>
        <w:spacing w:after="0"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spacing w:val="-6"/>
          <w:sz w:val="32"/>
        </w:rPr>
      </w:pPr>
      <w:bookmarkStart w:id="15" w:name="_Toc238476907"/>
      <w:bookmarkStart w:id="16" w:name="_Toc205543534"/>
      <w:bookmarkStart w:id="17" w:name="_Toc238655387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2.持续完善公园游憩体系</w:t>
      </w:r>
      <w:bookmarkEnd w:id="15"/>
      <w:bookmarkEnd w:id="16"/>
      <w:bookmarkEnd w:id="17"/>
    </w:p>
    <w:p w14:paraId="72C837C1">
      <w:pPr>
        <w:spacing w:after="160" w:line="560" w:lineRule="exact"/>
        <w:ind w:firstLine="619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开展公园游憩体系评估工作。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对大兴区公园游憩体系进行现状评估与需求调查，提出发展目标与</w:t>
      </w:r>
      <w:r>
        <w:rPr>
          <w:rFonts w:hint="eastAsia" w:ascii="仿宋_GB2312" w:hAnsi="仿宋_GB2312" w:eastAsia="仿宋_GB2312" w:cs="仿宋_GB2312"/>
          <w:spacing w:val="-6"/>
          <w:sz w:val="32"/>
        </w:rPr>
        <w:t>体系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构成，从品牌策划、布局联通、开放融合</w:t>
      </w:r>
      <w:r>
        <w:rPr>
          <w:rFonts w:hint="eastAsia" w:ascii="仿宋_GB2312" w:hAnsi="仿宋_GB2312" w:eastAsia="仿宋_GB2312" w:cs="仿宋_GB2312"/>
          <w:spacing w:val="-6"/>
          <w:sz w:val="32"/>
        </w:rPr>
        <w:t>、特色引导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等方面提出</w:t>
      </w:r>
      <w:r>
        <w:rPr>
          <w:rFonts w:hint="eastAsia" w:ascii="仿宋_GB2312" w:hAnsi="仿宋_GB2312" w:eastAsia="仿宋_GB2312" w:cs="仿宋_GB2312"/>
          <w:spacing w:val="-6"/>
          <w:sz w:val="32"/>
        </w:rPr>
        <w:t>效能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提升指引及保障建议。结合《北京公园游憩体系专项规划（2025年-2035年）》，初步完成全区公园游憩体系评估，为搭建突出大兴特色的公园游憩体系提供依据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7BA7A7E9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以重点大型公园建设为抓手，助力形成公园游憩活力圈、活力群。</w:t>
      </w:r>
      <w:r>
        <w:rPr>
          <w:rFonts w:hint="eastAsia" w:ascii="仿宋_GB2312" w:hAnsi="仿宋_GB2312" w:eastAsia="仿宋_GB2312" w:cs="仿宋_GB2312"/>
          <w:sz w:val="32"/>
          <w:szCs w:val="32"/>
          <w:lang w:val="zh-TW"/>
        </w:rPr>
        <w:t>构建由“公园—绿道—活力圈—活力群”组成的公园游憩体系。</w:t>
      </w:r>
      <w:r>
        <w:rPr>
          <w:rFonts w:hint="eastAsia" w:ascii="仿宋_GB2312" w:hAnsi="仿宋_GB2312" w:eastAsia="仿宋_GB2312" w:cs="仿宋_GB2312"/>
          <w:spacing w:val="-6"/>
          <w:sz w:val="32"/>
        </w:rPr>
        <w:t>一是推动永定河-大兴机场门户枢纽公园游憩活力群形成。以北京野生动物园为核心，整合临空经济区与生态郊野地区，助力建设大兴国际旅游度假区，实现“北有大兴、南有长隆”愿景。串联永定河生态廊道，策划骑行、游船等滨水游线。推动构建野生动物园与临空经济区消费活力游线，建立公园商圈合作机制，塑造“京南野绿、活力客厅”名片。二是构建城市绿心三园联通示范片区。整合永定公园、念坛公园、清源公园连点成面，形成万亩城市绿心，推动生态与城市空间融合。“十五五”期间，加快启动临空经济区中央公园等重点项目；落实凤池公园规划，推动南中轴—南森—南苑—凉水河活力群形成；依托南苑森林湿地公园、南海子公园及机场高速、凉水河、小龙河等资源，提升沿线游憩功能，塑造“生态漫游、南苑风韵”名片，先期启动大兴新城核心区小龙河综合整治项目，同步启动三大公园慢行系统联通、主题活动计划及念坛公园提质工程。</w:t>
      </w:r>
    </w:p>
    <w:p w14:paraId="60FEBF40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着力推进公园绿地500米服务半径消盲工作。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加强与</w:t>
      </w:r>
      <w:r>
        <w:rPr>
          <w:rFonts w:hint="eastAsia" w:ascii="仿宋_GB2312" w:hAnsi="仿宋_GB2312" w:eastAsia="仿宋_GB2312" w:cs="仿宋_GB2312"/>
          <w:spacing w:val="-6"/>
          <w:sz w:val="32"/>
        </w:rPr>
        <w:t>相关部门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、属地沟通，挖掘潜力地块，提升新城公园可达性，实现市民10分钟步行入园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重点推动观音寺街道、林校路街道、兴丰街道消盲公园建设。</w:t>
      </w:r>
    </w:p>
    <w:p w14:paraId="27FBD6CA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稳步推动公园绿地建设。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结合代征绿地回收，加快规划公园实施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完成青云店镇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中心镇区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滨河公园、举子文化公园、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中心镇区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棚改回迁区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周边景观公园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绿地及黄村镇孙村组团绿地建设。</w:t>
      </w:r>
    </w:p>
    <w:p w14:paraId="036BC360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“身边微花园”形成示范，提升市民绿色获得感。</w:t>
      </w:r>
      <w:r>
        <w:rPr>
          <w:rFonts w:hint="eastAsia" w:ascii="仿宋_GB2312" w:hAnsi="Calibri" w:eastAsia="仿宋_GB2312" w:cs="Calibri"/>
          <w:b w:val="0"/>
          <w:bCs w:val="0"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结合“疏整促”、城市更新、背街小巷整治及附属绿地开放共享</w:t>
      </w:r>
      <w:r>
        <w:rPr>
          <w:rFonts w:hint="eastAsia" w:ascii="仿宋_GB2312" w:hAnsi="仿宋_GB2312" w:eastAsia="仿宋_GB2312" w:cs="仿宋_GB2312"/>
          <w:spacing w:val="-6"/>
          <w:sz w:val="32"/>
        </w:rPr>
        <w:t>等工作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spacing w:val="-6"/>
          <w:sz w:val="32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边角地、废弃地、闲置地等空间改造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，形成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城市边角花园场景，建设口袋公园及小微绿地，焕发“金角银边”生命力。“十五五”期间完成林校路街道、兴丰街道</w:t>
      </w:r>
      <w:r>
        <w:rPr>
          <w:rFonts w:hint="eastAsia" w:ascii="仿宋_GB2312" w:hAnsi="仿宋_GB2312" w:eastAsia="仿宋_GB2312" w:cs="仿宋_GB2312"/>
          <w:spacing w:val="-6"/>
          <w:sz w:val="32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2处口袋公园建设，推进庞各庄、黄村镇小微绿地建设</w:t>
      </w:r>
      <w:r>
        <w:rPr>
          <w:rFonts w:hint="eastAsia" w:ascii="仿宋_GB2312" w:hAnsi="仿宋_GB2312" w:eastAsia="仿宋_GB2312" w:cs="仿宋_GB2312"/>
          <w:spacing w:val="-6"/>
          <w:sz w:val="32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形成示范。</w:t>
      </w:r>
    </w:p>
    <w:p w14:paraId="5832F1FF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“一村一公园”示范工程。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围绕“百千工程”，推动乡村振兴示范村创建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重点落实北臧村镇八家村、半壁店村、魏善庄镇大狼垡村“一村一公园”示范，带动全区建设60个乡村公园。</w:t>
      </w:r>
    </w:p>
    <w:p w14:paraId="2262BE35">
      <w:pPr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18" w:name="_Toc238476908"/>
      <w:bookmarkStart w:id="19" w:name="_Toc238655388"/>
      <w:bookmarkStart w:id="20" w:name="_Toc205543535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3.特色提质打造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“一园一品”</w:t>
      </w:r>
      <w:bookmarkEnd w:id="18"/>
      <w:bookmarkEnd w:id="19"/>
      <w:bookmarkEnd w:id="20"/>
    </w:p>
    <w:p w14:paraId="2062E8FD">
      <w:pPr>
        <w:spacing w:after="160" w:line="560" w:lineRule="exact"/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落实公园惠民理念，开拓公园服务差异化供给路径，推动公园主题特色化、品牌化，植入花园主题活动运营，提升吸引力。选取有条件公园作为首批“一园一品”示范，结合提质升级，打造宠物友好、城市果园与手工艺、森林疗愈等多元主题，塑造“花园兴城”“人人享园”和谐氛围。</w:t>
      </w:r>
    </w:p>
    <w:p w14:paraId="41D63973">
      <w:pPr>
        <w:spacing w:line="560" w:lineRule="exact"/>
        <w:ind w:firstLine="643" w:firstLineChars="200"/>
        <w:outlineLvl w:val="2"/>
        <w:rPr>
          <w:rFonts w:hint="eastAsia" w:ascii="仿宋_GB2312" w:hAnsi="Calibri" w:eastAsia="仿宋_GB2312" w:cs="黑体"/>
          <w:bCs/>
          <w:sz w:val="32"/>
          <w14:ligatures w14:val="none"/>
        </w:rPr>
      </w:pPr>
      <w:bookmarkStart w:id="21" w:name="_Toc238476909"/>
      <w:bookmarkStart w:id="22" w:name="_Toc238655389"/>
      <w:bookmarkStart w:id="23" w:name="_Toc205543536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4.</w:t>
      </w:r>
      <w:r>
        <w:rPr>
          <w:rFonts w:hint="eastAsia" w:ascii="仿宋_GB2312" w:hAnsi="仿宋" w:eastAsia="仿宋_GB2312" w:cs="黑体"/>
          <w:b/>
          <w:bCs/>
          <w:sz w:val="32"/>
          <w:szCs w:val="32"/>
          <w14:ligatures w14:val="none"/>
        </w:rPr>
        <w:t>推进公园高质量更新</w:t>
      </w:r>
      <w:bookmarkEnd w:id="21"/>
      <w:bookmarkEnd w:id="22"/>
      <w:bookmarkEnd w:id="23"/>
    </w:p>
    <w:p w14:paraId="63D2140F">
      <w:pPr>
        <w:spacing w:after="160" w:line="560" w:lineRule="exact"/>
        <w:ind w:firstLine="619" w:firstLineChars="200"/>
        <w:outlineLvl w:val="9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持续推进公园改造提升。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因地制宜完善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现有公园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服务功能与景观环境，提升精细化管理水平，响应北京市部署，实施体育设施进公园，更新新建儿童活动场地、健身步道等。完成金星公园、康庄公园、团河行宫遗址公园</w:t>
      </w:r>
      <w:r>
        <w:rPr>
          <w:rFonts w:hint="eastAsia" w:ascii="仿宋_GB2312" w:hAnsi="仿宋_GB2312" w:eastAsia="仿宋_GB2312" w:cs="仿宋_GB2312"/>
          <w:spacing w:val="-6"/>
          <w:sz w:val="32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西斯莱南侧全龄公园改造，提升城市公园功能性与友好度；完成旧宫镇旺兴湖公园、碧海公园、长生公园改造，带动二道绿隔郊野公园品</w:t>
      </w:r>
      <w:r>
        <w:rPr>
          <w:rFonts w:hint="eastAsia" w:ascii="仿宋_GB2312" w:hAnsi="仿宋_GB2312" w:eastAsia="仿宋_GB2312" w:cs="仿宋_GB2312"/>
          <w:spacing w:val="-6"/>
          <w:sz w:val="32"/>
        </w:rPr>
        <w:t>效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升级。</w:t>
      </w:r>
    </w:p>
    <w:p w14:paraId="0D586B4E">
      <w:pPr>
        <w:spacing w:after="160" w:line="560" w:lineRule="exact"/>
        <w:ind w:firstLine="619" w:firstLineChars="200"/>
        <w:outlineLvl w:val="9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全面推动公园“无界共享”。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落实</w:t>
      </w:r>
      <w:r>
        <w:rPr>
          <w:rFonts w:hint="eastAsia" w:ascii="仿宋_GB2312" w:hAnsi="仿宋_GB2312" w:eastAsia="仿宋_GB2312" w:cs="仿宋_GB2312"/>
          <w:spacing w:val="-6"/>
          <w:sz w:val="32"/>
        </w:rPr>
        <w:t>公园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围栏“能拆尽拆、宜减则减”原则，结合区域差异分区施策，推动</w:t>
      </w:r>
      <w:r>
        <w:rPr>
          <w:rFonts w:hint="eastAsia" w:ascii="仿宋_GB2312" w:hAnsi="仿宋_GB2312" w:eastAsia="仿宋_GB2312" w:cs="仿宋_GB2312"/>
          <w:spacing w:val="-6"/>
          <w:sz w:val="32"/>
        </w:rPr>
        <w:t>公园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边界打开。明确</w:t>
      </w:r>
      <w:r>
        <w:rPr>
          <w:rFonts w:hint="eastAsia" w:ascii="仿宋_GB2312" w:hAnsi="仿宋_GB2312" w:eastAsia="仿宋_GB2312" w:cs="仿宋_GB2312"/>
          <w:spacing w:val="-6"/>
          <w:sz w:val="32"/>
        </w:rPr>
        <w:t>各属地及部门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协商合作机制，推进边界一体化改造，加强技术支撑，确保打开即便利、融合即激活。完成兴旺公园“无界公园”改造，落实北臧村郊野公园、新三余公园拆减围栏及高米店公园、街心公园、孙村公园优化出入口等工作，推动全区公园边界宜开全开、城园共融。</w:t>
      </w:r>
    </w:p>
    <w:p w14:paraId="63E8CDBA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24" w:name="_Toc238476910"/>
      <w:bookmarkStart w:id="25" w:name="_Toc238655390"/>
      <w:bookmarkStart w:id="26" w:name="_Toc205543537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5.强化绿色国门印象</w:t>
      </w:r>
      <w:bookmarkEnd w:id="24"/>
      <w:bookmarkEnd w:id="25"/>
      <w:bookmarkEnd w:id="26"/>
    </w:p>
    <w:p w14:paraId="2F20CEE9">
      <w:pPr>
        <w:spacing w:after="160" w:line="560" w:lineRule="exact"/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提升大兴机场周边农业景观品质与生态价值，打造第五立面，结合航路航线，</w:t>
      </w:r>
      <w:r>
        <w:rPr>
          <w:rFonts w:hint="eastAsia" w:ascii="仿宋_GB2312" w:hAnsi="仿宋_GB2312" w:eastAsia="仿宋_GB2312" w:cs="仿宋_GB2312"/>
          <w:spacing w:val="-6"/>
          <w:sz w:val="32"/>
        </w:rPr>
        <w:t>将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农业种植与景观设计</w:t>
      </w:r>
      <w:r>
        <w:rPr>
          <w:rFonts w:hint="eastAsia" w:ascii="仿宋_GB2312" w:hAnsi="仿宋_GB2312" w:eastAsia="仿宋_GB2312" w:cs="仿宋_GB2312"/>
          <w:spacing w:val="-6"/>
          <w:sz w:val="32"/>
        </w:rPr>
        <w:t>深度融合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，塑造“新国门”</w:t>
      </w:r>
      <w:r>
        <w:rPr>
          <w:rFonts w:hint="eastAsia" w:ascii="仿宋_GB2312" w:hAnsi="仿宋_GB2312" w:eastAsia="仿宋_GB2312" w:cs="仿宋_GB2312"/>
          <w:spacing w:val="-6"/>
          <w:sz w:val="32"/>
        </w:rPr>
        <w:t>壮美风貌。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提升机场高速等重要道路沿线景观，构建生态防护与视觉冲击力兼具的景观廊道。开展“国门彩廊”工程，</w:t>
      </w:r>
      <w:r>
        <w:rPr>
          <w:rFonts w:ascii="Calibri" w:hAnsi="Calibri" w:eastAsia="仿宋_GB2312" w:cs="Calibri"/>
          <w:b w:val="0"/>
          <w:bCs w:val="0"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在重要干道、节点及桥区补植乡土多花彩叶树种，打造国门通道彩廊，</w:t>
      </w:r>
      <w:r>
        <w:rPr>
          <w:rFonts w:hint="eastAsia" w:ascii="仿宋_GB2312" w:hAnsi="仿宋_GB2312" w:eastAsia="仿宋_GB2312" w:cs="仿宋_GB2312"/>
          <w:spacing w:val="-6"/>
          <w:sz w:val="32"/>
        </w:rPr>
        <w:t>营造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大美</w:t>
      </w:r>
      <w:r>
        <w:rPr>
          <w:rFonts w:hint="eastAsia" w:ascii="仿宋_GB2312" w:hAnsi="仿宋_GB2312" w:eastAsia="仿宋_GB2312" w:cs="仿宋_GB2312"/>
          <w:sz w:val="32"/>
          <w:szCs w:val="32"/>
        </w:rPr>
        <w:t>多彩的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国门形象。</w:t>
      </w:r>
    </w:p>
    <w:p w14:paraId="2D738F63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27" w:name="_Toc238476911"/>
      <w:bookmarkStart w:id="28" w:name="_Toc238655391"/>
      <w:bookmarkStart w:id="29" w:name="_Toc205543538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6.城市画廊示范建设</w:t>
      </w:r>
      <w:bookmarkEnd w:id="27"/>
      <w:bookmarkEnd w:id="28"/>
      <w:bookmarkEnd w:id="29"/>
    </w:p>
    <w:p w14:paraId="024A28F9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着力塑造门户型城市画廊。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依托</w:t>
      </w:r>
      <w:r>
        <w:rPr>
          <w:rFonts w:hint="eastAsia" w:ascii="仿宋_GB2312" w:hAnsi="仿宋_GB2312" w:eastAsia="仿宋_GB2312" w:cs="仿宋_GB2312"/>
          <w:spacing w:val="-6"/>
          <w:sz w:val="32"/>
        </w:rPr>
        <w:t>道路、河流等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线性空间，优化道路断面，整合空间资源，统筹绿化景观，打造连续性、高品质城市出行空间。重点落实兴华大街、新源大街、兴丰大街、兴业大街等门户街道景观风貌，推进兴旺路、林校路林荫化改造和精细化</w:t>
      </w:r>
      <w:r>
        <w:rPr>
          <w:rFonts w:hint="eastAsia" w:ascii="仿宋_GB2312" w:hAnsi="仿宋_GB2312" w:eastAsia="仿宋_GB2312" w:cs="仿宋_GB2312"/>
          <w:spacing w:val="-6"/>
          <w:sz w:val="32"/>
        </w:rPr>
        <w:t>整治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。</w:t>
      </w:r>
    </w:p>
    <w:p w14:paraId="4CDF9DE0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重点打造“一路一花”特色花街。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选取适宜道路，以“一路一花”策略发挥花卉产业优势，利用月季、兰花等打造多彩特色道路。“十五五”期间推动兴华大街月季大道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枣园路月季花街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天河西路、文新南街、天贵大街多彩花街建设，带动全区</w:t>
      </w:r>
      <w:r>
        <w:rPr>
          <w:rFonts w:hint="eastAsia" w:ascii="仿宋_GB2312" w:hAnsi="仿宋_GB2312" w:eastAsia="仿宋_GB2312" w:cs="仿宋_GB2312"/>
          <w:spacing w:val="-6"/>
          <w:sz w:val="32"/>
        </w:rPr>
        <w:t>道路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形成色彩斑斓的“花园界面”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7F6F22C6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30" w:name="_Toc238476912"/>
      <w:bookmarkStart w:id="31" w:name="_Toc238655392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7.特色示范镇村建设</w:t>
      </w:r>
      <w:bookmarkEnd w:id="30"/>
      <w:bookmarkEnd w:id="31"/>
    </w:p>
    <w:p w14:paraId="03C28913">
      <w:pPr>
        <w:spacing w:after="160" w:line="560" w:lineRule="exact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结合乡村振兴，推进</w:t>
      </w:r>
      <w:r>
        <w:rPr>
          <w:rFonts w:hint="eastAsia" w:ascii="仿宋_GB2312" w:hAnsi="仿宋_GB2312" w:eastAsia="仿宋_GB2312" w:cs="仿宋_GB2312"/>
          <w:spacing w:val="-6"/>
          <w:sz w:val="32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京南平原多产融合花园示范乡镇（礼贤花园示范乡镇），落实年度花园村庄建设，改善乡村人居环境。重点推动采育镇数字时尚小镇、庞各庄镇西瓜小镇、礼贤镇和榆垡镇空港小镇、魏善庄镇博物馆小镇建设；落实魏善庄镇北田各庄村健康绿道</w:t>
      </w:r>
      <w:r>
        <w:rPr>
          <w:rFonts w:hint="eastAsia" w:ascii="仿宋_GB2312" w:hAnsi="仿宋_GB2312" w:eastAsia="仿宋_GB2312" w:cs="仿宋_GB2312"/>
          <w:spacing w:val="-6"/>
          <w:sz w:val="32"/>
        </w:rPr>
        <w:t>建设，以及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“花绘北京悦跑大兴”半马路线、</w:t>
      </w:r>
      <w:r>
        <w:rPr>
          <w:rFonts w:hint="eastAsia" w:ascii="仿宋_GB2312" w:hAnsi="仿宋_GB2312" w:eastAsia="仿宋_GB2312" w:cs="仿宋_GB2312"/>
          <w:spacing w:val="-6"/>
          <w:sz w:val="32"/>
        </w:rPr>
        <w:t>魏善庄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月季小镇</w:t>
      </w:r>
      <w:r>
        <w:rPr>
          <w:rFonts w:hint="eastAsia" w:ascii="仿宋_GB2312" w:hAnsi="仿宋_GB2312" w:eastAsia="仿宋_GB2312" w:cs="仿宋_GB2312"/>
          <w:spacing w:val="-6"/>
          <w:sz w:val="32"/>
        </w:rPr>
        <w:t>等景观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提升；助力“百千工程”，推动礼善南中轴、永定河望悠田园、兴趣假日等示范片区建设，打造宜居秀美乡村示范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45BCD52C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/>
          <w:bCs/>
          <w:spacing w:val="-6"/>
          <w:sz w:val="32"/>
        </w:rPr>
      </w:pPr>
    </w:p>
    <w:p w14:paraId="5FF534D5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32" w:name="_Toc238655393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（二）系统治理，筑牢全域生态安全基底</w:t>
      </w:r>
      <w:bookmarkEnd w:id="32"/>
    </w:p>
    <w:p w14:paraId="41B7A10A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33" w:name="_Toc205543540"/>
      <w:bookmarkStart w:id="34" w:name="_Toc238655394"/>
      <w:bookmarkStart w:id="35" w:name="_Toc238476914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“一轴、一心、一环、两带”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生态格局持续巩固</w:t>
      </w:r>
      <w:bookmarkEnd w:id="33"/>
      <w:bookmarkEnd w:id="34"/>
      <w:bookmarkEnd w:id="35"/>
    </w:p>
    <w:p w14:paraId="3CA9E66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围绕“一轴、一心、一环、两带”绿色空间格局，构建联通完善的生态网络，夯实南中轴与永定河生态文化带的文脉水绿格局。</w:t>
      </w:r>
    </w:p>
    <w:p w14:paraId="5CF9F61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协同建设绿色南中轴。</w:t>
      </w:r>
      <w:r>
        <w:rPr>
          <w:rFonts w:hint="eastAsia" w:ascii="仿宋_GB2312" w:hAnsi="Calibri" w:eastAsia="仿宋_GB2312" w:cs="Calibri"/>
          <w:b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结合遗产保护，融合城乡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与林田景观，统筹生态文化要素，推动沿线公园建设，形成</w:t>
      </w:r>
      <w:r>
        <w:rPr>
          <w:rFonts w:hint="eastAsia" w:ascii="仿宋_GB2312" w:hAnsi="仿宋_GB2312" w:eastAsia="仿宋_GB2312" w:cs="仿宋_GB2312"/>
          <w:sz w:val="32"/>
          <w:szCs w:val="32"/>
        </w:rPr>
        <w:t>活力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贯通的绿色文化游憩空间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F4C7226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持续提升“一心、一环”区域生态环境。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统筹南海子公园、团河行宫遗址公园等空间，打造内外渗透的“大兴绿肺”；推进环机场区域森林建设，提升临空经济区森林环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品质，营造绿色国门形象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1D6D59D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加强推动永定河生态文化带修复建设。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挖掘深厚底蕴，恢复重要文化景观，打造可观赏、可体验的生态文化大河廊道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E29667E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持续推进“东南部森林湿地生态带”修复建设。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以旺兴湖</w:t>
      </w:r>
      <w:r>
        <w:rPr>
          <w:rFonts w:hint="eastAsia" w:ascii="仿宋_GB2312" w:hAnsi="仿宋_GB2312" w:eastAsia="仿宋_GB2312" w:cs="仿宋_GB2312"/>
          <w:sz w:val="32"/>
          <w:szCs w:val="32"/>
        </w:rPr>
        <w:t>郊野公园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、长子营湿地公园</w:t>
      </w:r>
      <w:r>
        <w:rPr>
          <w:rFonts w:hint="eastAsia" w:ascii="仿宋_GB2312" w:hAnsi="仿宋_GB2312" w:eastAsia="仿宋_GB2312" w:cs="仿宋_GB2312"/>
          <w:sz w:val="32"/>
          <w:szCs w:val="32"/>
        </w:rPr>
        <w:t>等修复成果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为基础开展退化湿地修复，通过生态补水、植被恢复等措施恢复生态功能。“十五五”期间系统提升长子营湿地公园</w:t>
      </w:r>
      <w:r>
        <w:rPr>
          <w:rFonts w:hint="eastAsia" w:ascii="仿宋_GB2312" w:hAnsi="仿宋_GB2312" w:eastAsia="仿宋_GB2312" w:cs="仿宋_GB2312"/>
          <w:sz w:val="32"/>
          <w:szCs w:val="32"/>
        </w:rPr>
        <w:t>、永兴河流域等湿地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生态涵养功能，加强生物多样性保护，织密监测网络，保护麋鹿等珍稀动物及其栖息地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546AF27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36" w:name="_Toc238476915"/>
      <w:bookmarkStart w:id="37" w:name="_Toc205543541"/>
      <w:bookmarkStart w:id="38" w:name="_Toc238655395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</w:t>
      </w:r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进一步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提升森林规模与质量</w:t>
      </w:r>
      <w:bookmarkEnd w:id="36"/>
      <w:bookmarkEnd w:id="37"/>
      <w:bookmarkEnd w:id="38"/>
    </w:p>
    <w:p w14:paraId="63BA482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稳步提升森林总量。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《大兴区林地保护利用规划（2021-2035年）》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，统筹林草资源保护，挖潜疏解腾退地块增绿，重点围绕千亩万亩斑块造林，提升森林规模与聚连度，有序提高</w:t>
      </w:r>
      <w:r>
        <w:rPr>
          <w:rFonts w:hint="eastAsia" w:ascii="仿宋_GB2312" w:hAnsi="仿宋_GB2312" w:eastAsia="仿宋_GB2312" w:cs="仿宋_GB2312"/>
          <w:sz w:val="32"/>
          <w:szCs w:val="32"/>
        </w:rPr>
        <w:t>全区森林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覆盖率，形成森野绿海生态底色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C6EE9F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精准提升森林质量。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推动平原生态林分级分类管理，落实“调密度、补幼苗、沃土壤、防灾害、丰物种”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的森林经营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措施，围绕“长高、延绿、长寿”目标培育</w:t>
      </w:r>
      <w:r>
        <w:rPr>
          <w:rFonts w:hint="eastAsia" w:ascii="仿宋_GB2312" w:hAnsi="仿宋_GB2312" w:eastAsia="仿宋_GB2312" w:cs="仿宋_GB2312"/>
          <w:sz w:val="32"/>
          <w:szCs w:val="32"/>
        </w:rPr>
        <w:t>大树、大森林、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大生态系统。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落实《北京市大兴区森林经营方案（2021-2030年）》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，诊断林分结构，建立低效林台账，通过采伐、补植、抚育</w:t>
      </w:r>
      <w:r>
        <w:rPr>
          <w:rFonts w:hint="eastAsia" w:ascii="仿宋_GB2312" w:hAnsi="仿宋_GB2312" w:eastAsia="仿宋_GB2312" w:cs="仿宋_GB2312"/>
          <w:sz w:val="32"/>
          <w:szCs w:val="32"/>
        </w:rPr>
        <w:t>等方式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优化</w:t>
      </w:r>
      <w:r>
        <w:rPr>
          <w:rFonts w:hint="eastAsia" w:ascii="仿宋_GB2312" w:hAnsi="仿宋_GB2312" w:eastAsia="仿宋_GB2312" w:cs="仿宋_GB2312"/>
          <w:sz w:val="32"/>
          <w:szCs w:val="32"/>
        </w:rPr>
        <w:t>林分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质量，增强森林“四库”功能。“十五五”期间按年度推进过熟林更新改造，计划完成林分调整6.25万亩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12466B7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39" w:name="_Toc238655396"/>
      <w:bookmarkStart w:id="40" w:name="_Toc238476916"/>
      <w:bookmarkStart w:id="41" w:name="_Toc205543542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3.加强森林资源管理</w:t>
      </w:r>
      <w:bookmarkEnd w:id="39"/>
      <w:bookmarkEnd w:id="40"/>
      <w:bookmarkEnd w:id="41"/>
    </w:p>
    <w:p w14:paraId="4C857789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做好园林绿化资源本底调查。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推动第十一次</w:t>
      </w:r>
      <w:r>
        <w:rPr>
          <w:rFonts w:hint="eastAsia" w:ascii="仿宋_GB2312" w:hAnsi="仿宋_GB2312" w:eastAsia="仿宋_GB2312" w:cs="仿宋_GB2312"/>
          <w:sz w:val="32"/>
          <w:szCs w:val="32"/>
        </w:rPr>
        <w:t>园林绿化资源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专项调查，完成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年度园林绿化资源综合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监测，推广“联合办公+GIS技术辅助”模式，完善国土调查与林草湿协同机制，构建“一张图”</w:t>
      </w:r>
      <w:r>
        <w:rPr>
          <w:rFonts w:hint="eastAsia" w:ascii="仿宋_GB2312" w:hAnsi="仿宋_GB2312" w:eastAsia="仿宋_GB2312" w:cs="仿宋_GB2312"/>
          <w:sz w:val="32"/>
          <w:szCs w:val="32"/>
        </w:rPr>
        <w:t>调查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监测体系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747A2AE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严格林地定额管理。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按照“十五五”期间年森林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采伐限额，做好批后监督，强化行政执法，建立案件移送机制，严厉打击涉</w:t>
      </w:r>
      <w:r>
        <w:rPr>
          <w:rFonts w:hint="eastAsia" w:ascii="仿宋_GB2312" w:hAnsi="仿宋_GB2312" w:eastAsia="仿宋_GB2312" w:cs="仿宋_GB2312"/>
          <w:sz w:val="32"/>
          <w:szCs w:val="32"/>
        </w:rPr>
        <w:t>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违法</w:t>
      </w:r>
      <w:r>
        <w:rPr>
          <w:rFonts w:hint="eastAsia" w:ascii="仿宋_GB2312" w:hAnsi="仿宋_GB2312" w:eastAsia="仿宋_GB2312" w:cs="仿宋_GB2312"/>
          <w:sz w:val="32"/>
          <w:szCs w:val="32"/>
        </w:rPr>
        <w:t>行为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，持续推进督查整改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2424A3D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加强国有林场设施配套及科研力量建设。</w:t>
      </w:r>
      <w:r>
        <w:rPr>
          <w:rFonts w:hint="eastAsia" w:ascii="仿宋_GB2312" w:hAnsi="Calibri" w:eastAsia="仿宋_GB2312" w:cs="Calibri"/>
          <w:b w:val="0"/>
          <w:bCs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林区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基础设施改造，建设“平原生态林高质量养护示范区”，推动六合庄林场建成“场园一体的科研实践基地”。发挥“互联网+全民义务植树”基地</w:t>
      </w:r>
      <w:r>
        <w:rPr>
          <w:rFonts w:hint="eastAsia" w:ascii="仿宋_GB2312" w:hAnsi="仿宋_GB2312" w:eastAsia="仿宋_GB2312" w:cs="仿宋_GB2312"/>
          <w:sz w:val="32"/>
          <w:szCs w:val="32"/>
        </w:rPr>
        <w:t>示范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作用，打造“自然教育基地”。“十五五”期间六合庄林场每年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义务植树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不少于100场，尽责</w:t>
      </w:r>
      <w:r>
        <w:rPr>
          <w:rFonts w:hint="eastAsia" w:ascii="仿宋_GB2312" w:hAnsi="仿宋_GB2312" w:eastAsia="仿宋_GB2312" w:cs="仿宋_GB2312"/>
          <w:sz w:val="32"/>
          <w:szCs w:val="32"/>
        </w:rPr>
        <w:t>人数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不少于6000人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4D0A8B2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42" w:name="_Toc205543543"/>
      <w:bookmarkStart w:id="43" w:name="_Toc238476917"/>
      <w:bookmarkStart w:id="44" w:name="_Toc238655397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4.强化全域湿地保护与修复</w:t>
      </w:r>
      <w:bookmarkEnd w:id="42"/>
      <w:bookmarkEnd w:id="43"/>
      <w:bookmarkEnd w:id="44"/>
    </w:p>
    <w:p w14:paraId="1A21CD8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坚持“保护优先、科学修复、合理利用、持续发展”原则，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建立湿地监测-评估-巡查体系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，持续开展巡护检查，对长子营湿地公园、青云店杨各庄湿地公园每月巡护一次、每年全面检查一次，加强湿地公园管理。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提升湿地科普宣传教育功能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，针对具备条件的湿地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发展专类科普公园，增强科普教育功能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在“北京湿地日”“世界湿地日”等节点开展科普宣传，普及湿地知识，提高公众保护意识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C40BAB2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45" w:name="_Toc205543544"/>
      <w:bookmarkStart w:id="46" w:name="_Toc238476918"/>
      <w:bookmarkStart w:id="47" w:name="_Toc23865539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5.全面深化生物多样性保护</w:t>
      </w:r>
      <w:bookmarkEnd w:id="45"/>
      <w:bookmarkEnd w:id="46"/>
      <w:bookmarkEnd w:id="47"/>
    </w:p>
    <w:p w14:paraId="0A471CB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构建野生动植物本底调查-规划-动态监测体系。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建立健全资源档案，针对重点物种尤其是鸟类的种类、种群数量、分布、生境等开展本底调查，系统掌握</w:t>
      </w:r>
      <w:r>
        <w:rPr>
          <w:rFonts w:hint="eastAsia" w:ascii="仿宋_GB2312" w:hAnsi="仿宋_GB2312" w:eastAsia="仿宋_GB2312" w:cs="仿宋_GB2312"/>
          <w:sz w:val="32"/>
          <w:szCs w:val="32"/>
        </w:rPr>
        <w:t>本区野生动植物资源的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生态系统类型与物种现状，为保护管理提供数据支撑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C124E6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加强野生动植物名录管理与规范监管。</w:t>
      </w:r>
      <w:r>
        <w:rPr>
          <w:rFonts w:hint="eastAsia" w:ascii="仿宋_GB2312" w:hAnsi="Calibri" w:eastAsia="仿宋_GB2312" w:cs="Calibri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严格执行重点保护名录，完善救护体系，加强栖息地巡查及人工繁育监管，强化疫源疫病监测，规范繁育场所。加强与市场监管、公安等部门协作，持续深化“绿剑行动”。</w:t>
      </w:r>
    </w:p>
    <w:p w14:paraId="6524D75E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重点开展鸟类栖息地保护修复工作。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开展栖息地保护、生境修复和食物网构建，种植食源蜜源植物，营造栖息地，增设饮水点等。结合自然条件，通过造林、湿地恢复等措施建设生物多样性保育小区、小微湿地、留野区等，加强候鸟迁飞廊道保护，完善崖沙燕繁育栖息地建设。“十五五”期间计划完成生物多样性保育小区40处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16710E8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丰富宣传途径，提升公众保护意识。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利用媒体广泛开展宣传，通过科普讲座、主题展览、自然课堂、爱鸟周等活动普及保护知识，鼓励公众参与志愿者活动，形成全社会共同保护局面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D4E5ECB">
      <w:pPr>
        <w:spacing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</w:p>
    <w:p w14:paraId="1DD68A10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48" w:name="_Toc238655399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（三）体系创新，推动绿色产业长效发展</w:t>
      </w:r>
      <w:bookmarkEnd w:id="48"/>
    </w:p>
    <w:p w14:paraId="4676F259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49" w:name="_Toc238476920"/>
      <w:bookmarkStart w:id="50" w:name="_Toc205543546"/>
      <w:bookmarkStart w:id="51" w:name="_Toc23865540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1.构建涵盖研发-生产-运营的绿色产业全链条体系</w:t>
      </w:r>
      <w:bookmarkEnd w:id="49"/>
      <w:bookmarkEnd w:id="50"/>
      <w:bookmarkEnd w:id="51"/>
    </w:p>
    <w:p w14:paraId="5C3C0D8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筹衔接绿色产业各环节，以技术赋能、校地合作、市场化运营为抓手，构建林果现代化、花卉创新、苗木繁育供应、科技支撑服务、食用林产品安全防控及林下经济健康发展六大体系，形成链条贯通、协同发展的有机整体，助推全区绿色经济高质量发展。</w:t>
      </w:r>
    </w:p>
    <w:p w14:paraId="3A3AC071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52" w:name="_Toc238655401"/>
      <w:bookmarkStart w:id="53" w:name="_Toc238476921"/>
      <w:bookmarkStart w:id="54" w:name="_Toc205543547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2.建设花卉创新发展体系</w:t>
      </w:r>
      <w:bookmarkEnd w:id="52"/>
      <w:bookmarkEnd w:id="53"/>
      <w:bookmarkEnd w:id="54"/>
    </w:p>
    <w:p w14:paraId="7AF5822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建设北京大兴国际花园科技示范区，推动花卉产业提质增效。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按照“三花一基地”格局布局花卉产业综合体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建设大兴国际花园科技示范区，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规划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科学花园荟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国际花卉产业园。推进花卉交易中心建设，与产业园形成“前店后厂”格局，贯通全产业链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378EB02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探索花卉新品种研发与试验，形成科研高地。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建设国际月季新品种测试中心，建立测试技术体系；做好朱顶红资源圃养护与杂交育种；开展木本切枝资源收集与评价，编制《大兴木本花卉品种手册》。</w:t>
      </w:r>
    </w:p>
    <w:p w14:paraId="2E77851F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强化研发与应用，持续擦亮大兴月季品牌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按“两头在内，中间在外”思路，发挥龙头企业带动作用；将自育月季作为绿化优选，加强道路、公园等场景推广；开展新优品种筛选及栽植技术研究，编制品种图鉴，推动市花月季向“全域花园”升级；举办北京月季文化节，开展花艺体验、科普课堂等活动，塑造花卉文化品牌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6DF1184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55" w:name="_Toc238655402"/>
      <w:bookmarkStart w:id="56" w:name="_Toc238476922"/>
      <w:bookmarkStart w:id="57" w:name="_Toc20554354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3.推进林果现代化体系提质增效</w:t>
      </w:r>
      <w:bookmarkEnd w:id="55"/>
      <w:bookmarkEnd w:id="56"/>
      <w:bookmarkEnd w:id="57"/>
    </w:p>
    <w:p w14:paraId="36AFADE6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积极打造京果花园。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围绕“金把黄”鸭梨、月季等特色资源，通过果园提质增效、环境提升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品牌塑造，推动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传统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梨产业、花卉观光、文旅消费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融合发展，使果园变花园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花园变景区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CAF2C3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深挖果树资源发展潜力。</w:t>
      </w:r>
      <w:r>
        <w:rPr>
          <w:rFonts w:hint="eastAsia" w:ascii="仿宋_GB2312" w:hAnsi="Calibri" w:eastAsia="仿宋_GB2312" w:cs="Calibri"/>
          <w:b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坚持科技引领，做好试验示范，加强本土种质资源保护，扩展梨、桑葚等区域特色</w:t>
      </w:r>
      <w:r>
        <w:rPr>
          <w:rFonts w:hint="eastAsia" w:ascii="仿宋_GB2312" w:hAnsi="仿宋_GB2312" w:eastAsia="仿宋_GB2312" w:cs="仿宋_GB2312"/>
          <w:sz w:val="32"/>
          <w:szCs w:val="32"/>
        </w:rPr>
        <w:t>果品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影响力。加强食用林产品安全监测，筑牢质量底线，提升综合竞争力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A4CFE3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加强区域特色品牌宣传。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统筹全区资源，强化科技赋能，提升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附加值。注重“老口味”传承与“新口味”创新，塑造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辨识度</w:t>
      </w:r>
      <w:r>
        <w:rPr>
          <w:rFonts w:hint="eastAsia" w:ascii="仿宋_GB2312" w:hAnsi="仿宋_GB2312" w:eastAsia="仿宋_GB2312" w:cs="仿宋_GB2312"/>
          <w:sz w:val="32"/>
          <w:szCs w:val="32"/>
        </w:rPr>
        <w:t>的大兴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品牌。运用新媒体</w:t>
      </w:r>
      <w:r>
        <w:rPr>
          <w:rFonts w:hint="eastAsia" w:ascii="仿宋_GB2312" w:hAnsi="仿宋_GB2312" w:eastAsia="仿宋_GB2312" w:cs="仿宋_GB2312"/>
          <w:sz w:val="32"/>
          <w:szCs w:val="32"/>
        </w:rPr>
        <w:t>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形式打造大兴果品金名片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F2133C8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58" w:name="_Toc238476923"/>
      <w:bookmarkStart w:id="59" w:name="_Toc238655403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4.完善林下经济健康发展体系</w:t>
      </w:r>
      <w:bookmarkEnd w:id="58"/>
      <w:bookmarkEnd w:id="59"/>
    </w:p>
    <w:p w14:paraId="231142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围绕高质量森林文化体验区定位，构建林药、林花种植为主导，森林旅游与康养为支撑的林下经济模式。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持续培育“林文旅”融合发展模式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sz w:val="32"/>
          <w:szCs w:val="32"/>
        </w:rPr>
        <w:t>林地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植物景观</w:t>
      </w:r>
      <w:r>
        <w:rPr>
          <w:rFonts w:hint="eastAsia" w:ascii="仿宋_GB2312" w:hAnsi="仿宋_GB2312" w:eastAsia="仿宋_GB2312" w:cs="仿宋_GB2312"/>
          <w:sz w:val="32"/>
          <w:szCs w:val="32"/>
        </w:rPr>
        <w:t>特色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，构建森林花海基底，在保护基础上完善配套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服务设施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，有序开展自然教育、森林疗养等低干扰活动。融合大河、苑囿、红色、农耕等特色文化，设计旅游线路，打造地域品牌</w:t>
      </w:r>
      <w:r>
        <w:rPr>
          <w:rFonts w:hint="eastAsia" w:ascii="仿宋_GB2312" w:hAnsi="仿宋_GB2312" w:eastAsia="仿宋_GB2312" w:cs="仿宋_GB2312"/>
          <w:sz w:val="32"/>
          <w:szCs w:val="32"/>
        </w:rPr>
        <w:t>，营造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集康养、教育、体验于一体的综合性目的地，探索可复制模式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B4A141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依托国有林场打造森林生态经营科普示范基地，通过花园展示、林分优化、多样性保护、家庭园艺、绿色防控等形式，建设近自然、高质量森林经营案例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0509139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60" w:name="_Toc238655404"/>
      <w:bookmarkStart w:id="61" w:name="_Toc238476924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5.探索高品质、多元化新业态</w:t>
      </w:r>
      <w:bookmarkEnd w:id="60"/>
      <w:bookmarkEnd w:id="61"/>
    </w:p>
    <w:p w14:paraId="2DDFF79F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持续保障“观花+”高质量发展。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</w:rPr>
        <w:t>大兴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特色花卉品牌打造“赏花节”，结合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北京大兴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国际旅游度假区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，开展主题游、沉浸式花海</w:t>
      </w:r>
      <w:r>
        <w:rPr>
          <w:rFonts w:hint="eastAsia" w:ascii="仿宋_GB2312" w:hAnsi="仿宋_GB2312" w:eastAsia="仿宋_GB2312" w:cs="仿宋_GB2312"/>
          <w:sz w:val="32"/>
          <w:szCs w:val="32"/>
        </w:rPr>
        <w:t>体验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、夜游等活动，提升商业附加值。支持乡村发展“赏花+采摘+民宿+农事体验”融合模式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42B6649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试点培育“观鸟+”创新性发展。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依托南海子</w:t>
      </w:r>
      <w:r>
        <w:rPr>
          <w:rFonts w:hint="eastAsia" w:ascii="仿宋_GB2312" w:hAnsi="仿宋_GB2312" w:eastAsia="仿宋_GB2312" w:cs="仿宋_GB2312"/>
          <w:sz w:val="32"/>
          <w:szCs w:val="32"/>
        </w:rPr>
        <w:t>公园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、念坛公园及永定河流域，推进观鸟基地建设与设备提升，拓展“观鸟+生态旅游”“观鸟+自然教育”“观鸟+赛事活动”等业态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逐步展开基地认证与文创品牌开发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FFFA00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科学引导自然教育业态。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鼓励多元主体参与，推动自然教育与绿色产业、乡村振兴融合。以“自然笔记”为基础，拓展内容与场景，完善设施与运营能力，逐步实现“家门口就能上自然教育课”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0132E5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9ADE90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62" w:name="_Toc238655405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（四）融合拓展，激活特色生态场景价值</w:t>
      </w:r>
      <w:bookmarkEnd w:id="62"/>
    </w:p>
    <w:p w14:paraId="560C176A">
      <w:pPr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63" w:name="_Toc238655406"/>
      <w:bookmarkStart w:id="64" w:name="_Toc238476926"/>
      <w:bookmarkStart w:id="65" w:name="_Toc205543550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1.建设精品绿道串联激活沿线资源</w:t>
      </w:r>
      <w:bookmarkEnd w:id="63"/>
      <w:bookmarkEnd w:id="64"/>
      <w:bookmarkEnd w:id="65"/>
    </w:p>
    <w:p w14:paraId="28EB1ADF">
      <w:pPr>
        <w:spacing w:after="160" w:line="560" w:lineRule="exact"/>
        <w:ind w:firstLine="619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加快推动市级“京华绿道”建设。</w:t>
      </w:r>
      <w:r>
        <w:rPr>
          <w:rFonts w:hint="eastAsia" w:ascii="仿宋_GB2312" w:hAnsi="Calibri" w:eastAsia="仿宋_GB2312" w:cs="Calibri"/>
          <w:b w:val="0"/>
          <w:bCs w:val="0"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优选具生态景观、历史文化的重点区域，聚焦南中轴、一二道绿隔、永定河生态文化带</w:t>
      </w:r>
      <w:r>
        <w:rPr>
          <w:rFonts w:hint="eastAsia" w:ascii="仿宋_GB2312" w:hAnsi="仿宋_GB2312" w:eastAsia="仿宋_GB2312" w:cs="仿宋_GB2312"/>
          <w:spacing w:val="-6"/>
          <w:sz w:val="32"/>
        </w:rPr>
        <w:t>等区域，重点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启动</w:t>
      </w:r>
      <w:r>
        <w:rPr>
          <w:rFonts w:hint="eastAsia" w:ascii="仿宋_GB2312" w:hAnsi="仿宋_GB2312" w:eastAsia="仿宋_GB2312" w:cs="仿宋_GB2312"/>
          <w:spacing w:val="-6"/>
          <w:sz w:val="32"/>
        </w:rPr>
        <w:t>西山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永定河</w:t>
      </w:r>
      <w:r>
        <w:rPr>
          <w:rFonts w:hint="eastAsia" w:ascii="仿宋_GB2312" w:hAnsi="仿宋_GB2312" w:eastAsia="仿宋_GB2312" w:cs="仿宋_GB2312"/>
          <w:spacing w:val="-6"/>
          <w:sz w:val="32"/>
        </w:rPr>
        <w:t>文化带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绿道</w:t>
      </w:r>
      <w:r>
        <w:rPr>
          <w:rFonts w:hint="eastAsia" w:ascii="仿宋_GB2312" w:hAnsi="仿宋_GB2312" w:eastAsia="仿宋_GB2312" w:cs="仿宋_GB2312"/>
          <w:spacing w:val="-6"/>
          <w:sz w:val="32"/>
        </w:rPr>
        <w:t>（大兴段）建设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，串联沿线资源，实现跨区贯通；推动南中轴延长线绿道、二绿郊野公园环绿道等建设，打造水韵林海的北京骑行绿道品牌</w:t>
      </w:r>
      <w:r>
        <w:rPr>
          <w:rFonts w:hint="eastAsia" w:ascii="仿宋_GB2312" w:hAnsi="Calibri" w:eastAsia="仿宋_GB2312" w:cs="黑体"/>
          <w:sz w:val="32"/>
          <w14:ligatures w14:val="none"/>
        </w:rPr>
        <w:t>。</w:t>
      </w:r>
    </w:p>
    <w:p w14:paraId="03EC52B5">
      <w:pPr>
        <w:spacing w:after="160" w:line="560" w:lineRule="exact"/>
        <w:ind w:firstLine="643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Calibri" w:eastAsia="仿宋_GB2312" w:cs="黑体"/>
          <w:b/>
          <w:sz w:val="32"/>
          <w14:ligatures w14:val="none"/>
        </w:rPr>
        <w:t>重点打造特色名片型绿道，形成带动区域发展的黄金纽带。</w:t>
      </w: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聚焦关键位置，串联重点功能区、文化资源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与</w:t>
      </w: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活力场景。整合文旅、农业、商贸等业态，培育花卉展销、田园研学等产业集群；配套智慧驿站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与</w:t>
      </w: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骑行赛事，打造景观、骑行、产业融合的黄金纽带。依托平原生态林与农田，建设畅行乡野、串联各镇的绿道体系，拓展徒步、骑行、越野跑等活动</w:t>
      </w:r>
      <w:r>
        <w:rPr>
          <w:rFonts w:hint="eastAsia" w:ascii="仿宋_GB2312" w:hAnsi="仿宋_GB2312" w:eastAsia="仿宋_GB2312" w:cs="仿宋_GB2312"/>
          <w:bCs/>
          <w:spacing w:val="-6"/>
          <w:sz w:val="32"/>
        </w:rPr>
        <w:t>。</w:t>
      </w:r>
    </w:p>
    <w:p w14:paraId="5E72B3ED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试点推动“身边绿道”示范，打造便捷温暖生活场景。</w:t>
      </w:r>
      <w:r>
        <w:rPr>
          <w:rFonts w:hint="eastAsia" w:ascii="仿宋_GB2312" w:hAnsi="Calibri" w:eastAsia="仿宋_GB2312" w:cs="Calibri"/>
          <w:b w:val="0"/>
          <w:bCs w:val="0"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落实市级规划要求，结合城市更新，立足日常通勤与休闲，强化与公共交通衔接，串联小微游园、口袋公园等绿色空间，打造“回家路”“通勤路”“通学路”。</w:t>
      </w:r>
      <w:r>
        <w:rPr>
          <w:rFonts w:hint="eastAsia" w:ascii="仿宋_GB2312" w:hAnsi="仿宋_GB2312" w:eastAsia="仿宋_GB2312" w:cs="仿宋_GB2312"/>
          <w:spacing w:val="-6"/>
          <w:sz w:val="32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建设天宫院街道通勤绿道网，实现居住区、工作地</w:t>
      </w:r>
      <w:r>
        <w:rPr>
          <w:rFonts w:hint="eastAsia" w:ascii="仿宋_GB2312" w:hAnsi="仿宋_GB2312" w:eastAsia="仿宋_GB2312" w:cs="仿宋_GB2312"/>
          <w:spacing w:val="-6"/>
          <w:sz w:val="32"/>
        </w:rPr>
        <w:t>、商圈等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与交通站点便捷连接，形成“门对门、点对点”示范，带动各主体广泛参与，每年形成20处社区绿道示范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16245A12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66" w:name="_Toc238476927"/>
      <w:bookmarkStart w:id="67" w:name="_Toc238655407"/>
      <w:bookmarkStart w:id="68" w:name="_Toc205543551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2.强化公园文化展示、活化利用与持续运营</w:t>
      </w:r>
      <w:bookmarkEnd w:id="66"/>
      <w:bookmarkEnd w:id="67"/>
      <w:bookmarkEnd w:id="68"/>
    </w:p>
    <w:p w14:paraId="2130387E">
      <w:pPr>
        <w:spacing w:after="160" w:line="560" w:lineRule="exact"/>
        <w:ind w:firstLine="616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依托“一园一品”建设工程，推动公园主题风貌特色化、品牌化发展，挖掘现有公园文化底蕴，植入主题活动与轻餐饮、运动康体等业态提升吸引力。以南海子公园、团河行宫遗址公园、德寿寺为核心，发掘皇家苑囿文化，打造历史标志名片；将永定公园融入西山永定河文化带，丰富林田滨水体验，举办“西山永定河文化带全民文化季”；依托安定御林古桑园，挖掘古桑农耕文化，培育桑林休闲、农事体验，彰显大兴花果文化底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28034F1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69" w:name="_Toc238476928"/>
      <w:bookmarkStart w:id="70" w:name="_Toc23865540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3.塑造人城产绿深度融合的多元花园场景</w:t>
      </w:r>
      <w:bookmarkEnd w:id="69"/>
      <w:bookmarkEnd w:id="70"/>
    </w:p>
    <w:p w14:paraId="4B7BD6A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积极衔接城市更新，推进公共空间花园化改造，塑造花园住区、商圈、街道等多样化场景，利用边角地建设广场绿地、共享花园</w:t>
      </w:r>
      <w:r>
        <w:rPr>
          <w:rFonts w:ascii="仿宋_GB2312" w:hAnsi="仿宋_GB2312" w:eastAsia="仿宋_GB2312" w:cs="仿宋_GB2312"/>
          <w:sz w:val="32"/>
          <w:szCs w:val="32"/>
        </w:rPr>
        <w:t>、邻里驿站等小型便民场地设施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，利用桥下空间嵌入停车、运动、游憩等功能。聚焦打造七彩花园示范街区，围绕“6+5+3”产业布局，优先启动中日产业园绿地优化，加快打造荟聚活力花园商圈及京南农林科技园花园办公场景，以中关村大兴园为载体推进科创主题花园园区。</w:t>
      </w:r>
    </w:p>
    <w:p w14:paraId="1976EDEE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71" w:name="_Toc238655409"/>
      <w:bookmarkStart w:id="72" w:name="_Toc238476929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4.建设古树生境花园加强古树名木保护</w:t>
      </w:r>
      <w:bookmarkEnd w:id="71"/>
      <w:bookmarkEnd w:id="72"/>
    </w:p>
    <w:p w14:paraId="25E4A14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健全古树名木保护机制，落实属地职责，完善档案管理，实施“一树一策”复壮措施。持续推进古树生境保护，建设古树生境花园，开展摄影、科普等宣传活动，增强保护意识，提升社会参与度。</w:t>
      </w:r>
    </w:p>
    <w:p w14:paraId="57F3601B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</w:p>
    <w:p w14:paraId="51F40FB7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73" w:name="_Toc238655410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（五）协同共治，构建精细高效管理体系</w:t>
      </w:r>
      <w:bookmarkEnd w:id="73"/>
    </w:p>
    <w:p w14:paraId="1B0BC66F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74" w:name="_Toc238476931"/>
      <w:bookmarkStart w:id="75" w:name="_Toc238655411"/>
      <w:bookmarkStart w:id="76" w:name="_Toc205543554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1.持续提升林长制治理水平</w:t>
      </w:r>
      <w:bookmarkEnd w:id="74"/>
      <w:bookmarkEnd w:id="75"/>
      <w:bookmarkEnd w:id="76"/>
    </w:p>
    <w:p w14:paraId="29D5E650">
      <w:pPr>
        <w:spacing w:after="160" w:line="560" w:lineRule="exact"/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ascii="仿宋_GB2312" w:hAnsi="仿宋_GB2312" w:eastAsia="仿宋_GB2312" w:cs="仿宋_GB2312"/>
          <w:b w:val="0"/>
          <w:bCs w:val="0"/>
          <w:spacing w:val="-6"/>
          <w:sz w:val="32"/>
        </w:rPr>
        <w:t>持续强化组织领导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ascii="仿宋_GB2312" w:hAnsi="仿宋_GB2312" w:eastAsia="仿宋_GB2312" w:cs="仿宋_GB2312"/>
          <w:b w:val="0"/>
          <w:bCs w:val="0"/>
          <w:spacing w:val="-6"/>
          <w:sz w:val="32"/>
        </w:rPr>
        <w:t>聚焦林长制、有害生物防控与森林防火，通过调度会、总林长令等手段确保重点落实。压实责任体系，强化信息共享与报送，加强基层治理与分级培训。深化“林长+检察长+警长+城管”协同机制，形成保护合力，加大执法力度。细化考核与审批，依规制定年度要点与督查方案，依法高效办理行政许可，确保结果合法合规。</w:t>
      </w:r>
    </w:p>
    <w:p w14:paraId="1192F8AE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77" w:name="_Toc205543555"/>
      <w:bookmarkStart w:id="78" w:name="_Toc238655412"/>
      <w:bookmarkStart w:id="79" w:name="_Toc238476932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2.深化森林</w:t>
      </w:r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防火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系统建设</w:t>
      </w:r>
      <w:bookmarkEnd w:id="77"/>
      <w:bookmarkEnd w:id="78"/>
      <w:bookmarkEnd w:id="79"/>
    </w:p>
    <w:p w14:paraId="0F7133D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落实《北京市大兴区森林火灾防治方案》目标要求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构建“一核多点”联防联控格局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以科技赋能、机制创新、群防群治为抓手，完善“技防、物防、人防”三位一体体系，推动防控、早期处理、保障体系建设。补齐基础设施短板，加密智能化监控，提升道路与水源保障。“十五五”</w:t>
      </w:r>
      <w:r>
        <w:rPr>
          <w:rFonts w:hint="eastAsia" w:ascii="仿宋_GB2312" w:hAnsi="仿宋_GB2312" w:eastAsia="仿宋_GB2312" w:cs="仿宋_GB2312"/>
          <w:sz w:val="32"/>
          <w:szCs w:val="32"/>
        </w:rPr>
        <w:t>时期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实现高风险部位有效监控覆盖率</w:t>
      </w:r>
      <w:r>
        <w:rPr>
          <w:rFonts w:hint="eastAsia" w:ascii="仿宋_GB2312" w:hAnsi="仿宋_GB2312" w:eastAsia="仿宋_GB2312" w:cs="仿宋_GB2312"/>
          <w:sz w:val="32"/>
          <w:szCs w:val="32"/>
        </w:rPr>
        <w:t>达到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98%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物防网格化，试点微型消防站，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每3000亩林地设1处应急物资储备点，形成分布式物资保障网络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 w14:paraId="16555217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80" w:name="_Toc205543557"/>
      <w:bookmarkStart w:id="81" w:name="_Toc238655413"/>
      <w:bookmarkStart w:id="82" w:name="_Toc238476933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3.完善有害生物防控</w:t>
      </w:r>
      <w:bookmarkEnd w:id="8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及土壤检测保护体系</w:t>
      </w:r>
      <w:bookmarkEnd w:id="81"/>
      <w:bookmarkEnd w:id="82"/>
    </w:p>
    <w:p w14:paraId="5D08B2A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持续完善有害生物监测预警、检疫御灾、应急防控与支撑保障体系，引导社会参与，提升综合防治能力。强化绿色防控，严控外来入侵物种，落实检疫执法与京津冀联防联控，重点监测松材线虫、美国白蛾。推进土壤检测与保护，配合净土保卫战，组织重点果园、林地布点取样检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8F55A6B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83" w:name="_Toc238476934"/>
      <w:bookmarkStart w:id="84" w:name="_Toc205543558"/>
      <w:bookmarkStart w:id="85" w:name="_Toc238655414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4.加强园林绿化执法监督</w:t>
      </w:r>
      <w:bookmarkEnd w:id="83"/>
      <w:bookmarkEnd w:id="84"/>
      <w:bookmarkEnd w:id="85"/>
    </w:p>
    <w:p w14:paraId="0F2BC62C">
      <w:pPr>
        <w:spacing w:after="160" w:line="560" w:lineRule="exact"/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ascii="仿宋_GB2312" w:hAnsi="仿宋_GB2312" w:eastAsia="仿宋_GB2312" w:cs="仿宋_GB2312"/>
          <w:b w:val="0"/>
          <w:bCs w:val="0"/>
          <w:spacing w:val="-6"/>
          <w:sz w:val="32"/>
        </w:rPr>
        <w:t>搭建信息化平台，运用大数据、AI等技术实现执法信息共享、在线办理与全程监督。细化网格化管理，明确责任人，强化巡查与双随机抽查。深化多部门协作，建立联合执法及跨区域协同机制。提升队伍素质，年度培训不少于60小时，引进专业人才，健全考核激励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61262C39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86" w:name="_Toc205543559"/>
      <w:bookmarkStart w:id="87" w:name="_Toc238655415"/>
      <w:bookmarkStart w:id="88" w:name="_Toc238476935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5.拓展市民共建共享形式</w:t>
      </w:r>
      <w:bookmarkEnd w:id="86"/>
      <w:bookmarkEnd w:id="87"/>
      <w:bookmarkEnd w:id="88"/>
    </w:p>
    <w:p w14:paraId="17EA4826">
      <w:pPr>
        <w:spacing w:after="16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搭建园艺师工作制度，组建区、街道（乡镇）、社区（村）三级园艺师团队，提升花园城市、生态修复及城市更新等项目的绿化质量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创新义务植树尽责形式，策划八类47项</w:t>
      </w:r>
      <w:r>
        <w:rPr>
          <w:rFonts w:hint="eastAsia" w:ascii="仿宋_GB2312" w:hAnsi="仿宋_GB2312" w:eastAsia="仿宋_GB2312" w:cs="仿宋_GB2312"/>
          <w:spacing w:val="-6"/>
          <w:sz w:val="32"/>
        </w:rPr>
        <w:t>线上线下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活动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探索“义务植树+”党建、园艺体验等</w:t>
      </w:r>
      <w:r>
        <w:rPr>
          <w:rFonts w:hint="eastAsia" w:ascii="仿宋_GB2312" w:hAnsi="仿宋_GB2312" w:eastAsia="仿宋_GB2312" w:cs="仿宋_GB2312"/>
          <w:spacing w:val="-6"/>
          <w:sz w:val="32"/>
        </w:rPr>
        <w:t>新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模式，</w:t>
      </w:r>
      <w:r>
        <w:rPr>
          <w:rFonts w:ascii="仿宋_GB2312" w:hAnsi="仿宋_GB2312" w:eastAsia="仿宋_GB2312" w:cs="仿宋_GB2312"/>
          <w:spacing w:val="-6"/>
          <w:sz w:val="32"/>
        </w:rPr>
        <w:t>结合花园城市建设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推广“人人是园丁”模式，引导社区参与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  <w:r>
        <w:rPr>
          <w:rFonts w:hint="eastAsia" w:ascii="仿宋_GB2312" w:hAnsi="Calibri" w:eastAsia="仿宋_GB2312" w:cs="黑体"/>
          <w:b w:val="0"/>
          <w:bCs/>
          <w:sz w:val="32"/>
        </w:rPr>
        <w:t>拓展普惠全民的多彩活动，持续开展“市花月季进社区”“自然笔记”等活动，依托地域资源，结合中轴线申遗推动“骑迹”南中轴、“花马”等</w:t>
      </w:r>
      <w:r>
        <w:rPr>
          <w:rFonts w:ascii="仿宋_GB2312" w:hAnsi="Calibri" w:eastAsia="仿宋_GB2312" w:cs="黑体"/>
          <w:bCs/>
          <w:sz w:val="32"/>
        </w:rPr>
        <w:t>特色品牌</w:t>
      </w:r>
      <w:r>
        <w:rPr>
          <w:rFonts w:hint="eastAsia" w:ascii="仿宋_GB2312" w:hAnsi="Calibri" w:eastAsia="仿宋_GB2312" w:cs="黑体"/>
          <w:b w:val="0"/>
          <w:bCs/>
          <w:sz w:val="32"/>
        </w:rPr>
        <w:t>运动</w:t>
      </w:r>
      <w:r>
        <w:rPr>
          <w:rFonts w:hint="eastAsia" w:ascii="仿宋_GB2312" w:hAnsi="Calibri" w:eastAsia="仿宋_GB2312" w:cs="黑体"/>
          <w:bCs/>
          <w:sz w:val="32"/>
        </w:rPr>
        <w:t>，并</w:t>
      </w:r>
      <w:r>
        <w:rPr>
          <w:rFonts w:hint="eastAsia" w:ascii="仿宋_GB2312" w:hAnsi="Calibri" w:eastAsia="仿宋_GB2312" w:cs="黑体"/>
          <w:b w:val="0"/>
          <w:bCs/>
          <w:sz w:val="32"/>
        </w:rPr>
        <w:t>融入西山永定河文化节；深挖龙河、凤河文化与民俗，结合梨花节、桑葚节、西瓜节等</w:t>
      </w:r>
      <w:r>
        <w:rPr>
          <w:rFonts w:hint="eastAsia" w:ascii="仿宋_GB2312" w:hAnsi="Calibri" w:eastAsia="仿宋_GB2312" w:cs="黑体"/>
          <w:bCs/>
          <w:sz w:val="32"/>
        </w:rPr>
        <w:t>，</w:t>
      </w:r>
      <w:r>
        <w:rPr>
          <w:rFonts w:hint="eastAsia" w:ascii="仿宋_GB2312" w:hAnsi="Calibri" w:eastAsia="仿宋_GB2312" w:cs="黑体"/>
          <w:b w:val="0"/>
          <w:bCs/>
          <w:sz w:val="32"/>
        </w:rPr>
        <w:t>组织滨水游、亲子采摘、科普研学等旅游线路，满足多元需求，助力乡村振兴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028FC9C9">
      <w:pPr>
        <w:spacing w:after="16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D14C17">
      <w:pPr>
        <w:pStyle w:val="45"/>
        <w:rPr>
          <w:rFonts w:hint="eastAsia"/>
        </w:rPr>
      </w:pPr>
      <w:bookmarkStart w:id="89" w:name="_Toc238655416"/>
      <w:r>
        <w:rPr>
          <w:rFonts w:hint="eastAsia"/>
        </w:rPr>
        <w:t>三、主要实施路径和保障措施</w:t>
      </w:r>
      <w:bookmarkEnd w:id="89"/>
    </w:p>
    <w:p w14:paraId="6870400A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Cs/>
          <w:sz w:val="32"/>
          <w14:ligatures w14:val="none"/>
        </w:rPr>
        <w:t>健全责任体系，强化跨部门协同与联合审批。创新政策机制，围绕用地保障、运营管理等出台配套措施先行先试。拓展中央及市级财政、专项债等资金渠道，设立补绿、提质等专项资金，引导社会资本参与。强化公众参与，广泛宣传，完善志愿服务、认建认养等机制，营造“人人是园丁”风尚，全面建设生态优先、产城融合的花园城市。</w:t>
      </w:r>
    </w:p>
    <w:p w14:paraId="6DF86EF1">
      <w:pPr>
        <w:spacing w:after="160" w:line="560" w:lineRule="exact"/>
        <w:ind w:firstLine="0" w:firstLineChars="0"/>
        <w:rPr>
          <w:rFonts w:hint="eastAsia" w:ascii="仿宋_GB2312" w:hAnsi="Calibri" w:eastAsia="仿宋_GB2312" w:cs="黑体"/>
          <w:bCs/>
          <w:sz w:val="32"/>
          <w14:ligatures w14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9F992">
    <w:pPr>
      <w:pStyle w:val="13"/>
      <w:jc w:val="center"/>
      <w:rPr>
        <w:rFonts w:hint="eastAsia"/>
      </w:rPr>
    </w:pPr>
  </w:p>
  <w:p w14:paraId="17AA3B43">
    <w:pPr>
      <w:pStyle w:val="1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C2B11">
    <w:pPr>
      <w:pStyle w:val="13"/>
      <w:jc w:val="center"/>
      <w:rPr>
        <w:rFonts w:hint="eastAsia"/>
      </w:rPr>
    </w:pPr>
  </w:p>
  <w:p w14:paraId="0C9CEE8A">
    <w:pPr>
      <w:pStyle w:val="1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03060390"/>
      <w:docPartObj>
        <w:docPartGallery w:val="autotext"/>
      </w:docPartObj>
    </w:sdtPr>
    <w:sdtContent>
      <w:p w14:paraId="127F779B">
        <w:pPr>
          <w:pStyle w:val="1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1C34C6">
    <w:pPr>
      <w:pStyle w:val="13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E45CD"/>
    <w:multiLevelType w:val="multilevel"/>
    <w:tmpl w:val="01EE45CD"/>
    <w:lvl w:ilvl="0" w:tentative="0">
      <w:start w:val="1"/>
      <w:numFmt w:val="decimal"/>
      <w:pStyle w:val="44"/>
      <w:lvlText w:val="%1.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  <w:lang w:val="en-US"/>
      </w:rPr>
    </w:lvl>
    <w:lvl w:ilvl="1" w:tentative="0">
      <w:start w:val="1"/>
      <w:numFmt w:val="none"/>
      <w:lvlText w:val="（1）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4YzFhMGNiNWM4NTJmYjVlYjgyODg0ZDA5YWE1YTMifQ=="/>
  </w:docVars>
  <w:rsids>
    <w:rsidRoot w:val="00E07822"/>
    <w:rsid w:val="000002A6"/>
    <w:rsid w:val="0000300D"/>
    <w:rsid w:val="0001005E"/>
    <w:rsid w:val="000121B7"/>
    <w:rsid w:val="0002082A"/>
    <w:rsid w:val="00021315"/>
    <w:rsid w:val="00022CB7"/>
    <w:rsid w:val="000246A6"/>
    <w:rsid w:val="000252BC"/>
    <w:rsid w:val="00031678"/>
    <w:rsid w:val="000332E8"/>
    <w:rsid w:val="00033722"/>
    <w:rsid w:val="00034D87"/>
    <w:rsid w:val="00035F96"/>
    <w:rsid w:val="00036BBB"/>
    <w:rsid w:val="00042123"/>
    <w:rsid w:val="00043B80"/>
    <w:rsid w:val="00044772"/>
    <w:rsid w:val="0004519F"/>
    <w:rsid w:val="00045FF3"/>
    <w:rsid w:val="0005087B"/>
    <w:rsid w:val="00050C5B"/>
    <w:rsid w:val="00053322"/>
    <w:rsid w:val="00053868"/>
    <w:rsid w:val="00054CD7"/>
    <w:rsid w:val="00056C42"/>
    <w:rsid w:val="000574AB"/>
    <w:rsid w:val="0006004F"/>
    <w:rsid w:val="0006188F"/>
    <w:rsid w:val="00062883"/>
    <w:rsid w:val="00063D03"/>
    <w:rsid w:val="00063DDD"/>
    <w:rsid w:val="00065BA1"/>
    <w:rsid w:val="000669A2"/>
    <w:rsid w:val="00071584"/>
    <w:rsid w:val="00076288"/>
    <w:rsid w:val="000773CE"/>
    <w:rsid w:val="00082763"/>
    <w:rsid w:val="000828A3"/>
    <w:rsid w:val="0008333C"/>
    <w:rsid w:val="000847E0"/>
    <w:rsid w:val="00085B06"/>
    <w:rsid w:val="0008782F"/>
    <w:rsid w:val="00093152"/>
    <w:rsid w:val="000959DF"/>
    <w:rsid w:val="00095BA6"/>
    <w:rsid w:val="00097222"/>
    <w:rsid w:val="0009754D"/>
    <w:rsid w:val="000A017C"/>
    <w:rsid w:val="000A0DB2"/>
    <w:rsid w:val="000A0EF7"/>
    <w:rsid w:val="000A195A"/>
    <w:rsid w:val="000A272E"/>
    <w:rsid w:val="000A3B8D"/>
    <w:rsid w:val="000A4034"/>
    <w:rsid w:val="000A434C"/>
    <w:rsid w:val="000A46A0"/>
    <w:rsid w:val="000A499E"/>
    <w:rsid w:val="000A5C81"/>
    <w:rsid w:val="000A7069"/>
    <w:rsid w:val="000A7B3B"/>
    <w:rsid w:val="000B0856"/>
    <w:rsid w:val="000B32CC"/>
    <w:rsid w:val="000B40C9"/>
    <w:rsid w:val="000B4621"/>
    <w:rsid w:val="000B5C46"/>
    <w:rsid w:val="000B6822"/>
    <w:rsid w:val="000C0BAB"/>
    <w:rsid w:val="000C15A0"/>
    <w:rsid w:val="000C3058"/>
    <w:rsid w:val="000C3E2B"/>
    <w:rsid w:val="000C6B74"/>
    <w:rsid w:val="000C6F39"/>
    <w:rsid w:val="000C7C55"/>
    <w:rsid w:val="000D06B2"/>
    <w:rsid w:val="000D3271"/>
    <w:rsid w:val="000D44F7"/>
    <w:rsid w:val="000D552C"/>
    <w:rsid w:val="000D5CE0"/>
    <w:rsid w:val="000E13B7"/>
    <w:rsid w:val="000E2452"/>
    <w:rsid w:val="000E2C23"/>
    <w:rsid w:val="000E37A3"/>
    <w:rsid w:val="000E51A0"/>
    <w:rsid w:val="000E6FC9"/>
    <w:rsid w:val="000F138C"/>
    <w:rsid w:val="000F1790"/>
    <w:rsid w:val="000F2734"/>
    <w:rsid w:val="000F733A"/>
    <w:rsid w:val="000F7B80"/>
    <w:rsid w:val="000F7FAE"/>
    <w:rsid w:val="001017B7"/>
    <w:rsid w:val="00101A9F"/>
    <w:rsid w:val="00104997"/>
    <w:rsid w:val="0010657C"/>
    <w:rsid w:val="001107CE"/>
    <w:rsid w:val="001145FB"/>
    <w:rsid w:val="00115D20"/>
    <w:rsid w:val="00120025"/>
    <w:rsid w:val="0012154D"/>
    <w:rsid w:val="00122CB2"/>
    <w:rsid w:val="001266F5"/>
    <w:rsid w:val="00126BB1"/>
    <w:rsid w:val="00127155"/>
    <w:rsid w:val="0013028E"/>
    <w:rsid w:val="001304D4"/>
    <w:rsid w:val="00134FBA"/>
    <w:rsid w:val="00136515"/>
    <w:rsid w:val="00137C63"/>
    <w:rsid w:val="00137E65"/>
    <w:rsid w:val="001413D9"/>
    <w:rsid w:val="00141ADF"/>
    <w:rsid w:val="001435C4"/>
    <w:rsid w:val="00147562"/>
    <w:rsid w:val="00150ECC"/>
    <w:rsid w:val="00152304"/>
    <w:rsid w:val="00152350"/>
    <w:rsid w:val="0015380B"/>
    <w:rsid w:val="00155432"/>
    <w:rsid w:val="001568B2"/>
    <w:rsid w:val="001571D4"/>
    <w:rsid w:val="00157235"/>
    <w:rsid w:val="001573ED"/>
    <w:rsid w:val="00160094"/>
    <w:rsid w:val="00161EAC"/>
    <w:rsid w:val="0016588C"/>
    <w:rsid w:val="001672F1"/>
    <w:rsid w:val="00167408"/>
    <w:rsid w:val="001677FD"/>
    <w:rsid w:val="001778A9"/>
    <w:rsid w:val="001806DF"/>
    <w:rsid w:val="0018142B"/>
    <w:rsid w:val="00182DE6"/>
    <w:rsid w:val="001833E3"/>
    <w:rsid w:val="0018443B"/>
    <w:rsid w:val="00184E59"/>
    <w:rsid w:val="001865D8"/>
    <w:rsid w:val="00187C75"/>
    <w:rsid w:val="001904FA"/>
    <w:rsid w:val="00191BD3"/>
    <w:rsid w:val="00191F60"/>
    <w:rsid w:val="00193008"/>
    <w:rsid w:val="00193373"/>
    <w:rsid w:val="001936CA"/>
    <w:rsid w:val="00195C73"/>
    <w:rsid w:val="00196098"/>
    <w:rsid w:val="001962ED"/>
    <w:rsid w:val="0019756F"/>
    <w:rsid w:val="001A16AF"/>
    <w:rsid w:val="001A1EA0"/>
    <w:rsid w:val="001A1F93"/>
    <w:rsid w:val="001A2C8D"/>
    <w:rsid w:val="001A305A"/>
    <w:rsid w:val="001A4562"/>
    <w:rsid w:val="001A57BF"/>
    <w:rsid w:val="001A62B0"/>
    <w:rsid w:val="001B0CDF"/>
    <w:rsid w:val="001B10D8"/>
    <w:rsid w:val="001B2A4D"/>
    <w:rsid w:val="001B476B"/>
    <w:rsid w:val="001B6089"/>
    <w:rsid w:val="001B6F6A"/>
    <w:rsid w:val="001B7764"/>
    <w:rsid w:val="001B7FC8"/>
    <w:rsid w:val="001C0079"/>
    <w:rsid w:val="001C1274"/>
    <w:rsid w:val="001C3281"/>
    <w:rsid w:val="001C3A92"/>
    <w:rsid w:val="001C54CC"/>
    <w:rsid w:val="001C589E"/>
    <w:rsid w:val="001C59BF"/>
    <w:rsid w:val="001C702C"/>
    <w:rsid w:val="001C7848"/>
    <w:rsid w:val="001D20A1"/>
    <w:rsid w:val="001D5135"/>
    <w:rsid w:val="001D7C8B"/>
    <w:rsid w:val="001E0847"/>
    <w:rsid w:val="001E08B4"/>
    <w:rsid w:val="001E2978"/>
    <w:rsid w:val="001E51F4"/>
    <w:rsid w:val="001E6629"/>
    <w:rsid w:val="001E67EE"/>
    <w:rsid w:val="001E6FFC"/>
    <w:rsid w:val="001F1A52"/>
    <w:rsid w:val="001F2F7D"/>
    <w:rsid w:val="001F3FC9"/>
    <w:rsid w:val="001F500B"/>
    <w:rsid w:val="001F5300"/>
    <w:rsid w:val="001F5D35"/>
    <w:rsid w:val="001F7AC9"/>
    <w:rsid w:val="00200221"/>
    <w:rsid w:val="002008C6"/>
    <w:rsid w:val="002028D0"/>
    <w:rsid w:val="002035BC"/>
    <w:rsid w:val="0020404D"/>
    <w:rsid w:val="00207133"/>
    <w:rsid w:val="00211EFF"/>
    <w:rsid w:val="00214182"/>
    <w:rsid w:val="00215F80"/>
    <w:rsid w:val="0021650E"/>
    <w:rsid w:val="00221A80"/>
    <w:rsid w:val="002226CB"/>
    <w:rsid w:val="00222904"/>
    <w:rsid w:val="00224CF7"/>
    <w:rsid w:val="002261EC"/>
    <w:rsid w:val="00226909"/>
    <w:rsid w:val="00231792"/>
    <w:rsid w:val="00232818"/>
    <w:rsid w:val="00233A95"/>
    <w:rsid w:val="00237143"/>
    <w:rsid w:val="0023795E"/>
    <w:rsid w:val="00241103"/>
    <w:rsid w:val="00242128"/>
    <w:rsid w:val="00242364"/>
    <w:rsid w:val="00243988"/>
    <w:rsid w:val="0024399B"/>
    <w:rsid w:val="00245E9F"/>
    <w:rsid w:val="00246E54"/>
    <w:rsid w:val="00250B9E"/>
    <w:rsid w:val="002513BF"/>
    <w:rsid w:val="002518D6"/>
    <w:rsid w:val="002519E4"/>
    <w:rsid w:val="00252AAF"/>
    <w:rsid w:val="00253880"/>
    <w:rsid w:val="00253890"/>
    <w:rsid w:val="002544CF"/>
    <w:rsid w:val="002549AF"/>
    <w:rsid w:val="00257801"/>
    <w:rsid w:val="00257861"/>
    <w:rsid w:val="00257DB4"/>
    <w:rsid w:val="00257DC0"/>
    <w:rsid w:val="00263C76"/>
    <w:rsid w:val="002662DC"/>
    <w:rsid w:val="0026667B"/>
    <w:rsid w:val="0026670F"/>
    <w:rsid w:val="00270C1E"/>
    <w:rsid w:val="002712B5"/>
    <w:rsid w:val="00271C78"/>
    <w:rsid w:val="002748BD"/>
    <w:rsid w:val="002760F8"/>
    <w:rsid w:val="002807F3"/>
    <w:rsid w:val="002818DD"/>
    <w:rsid w:val="00285BDA"/>
    <w:rsid w:val="00287038"/>
    <w:rsid w:val="00293B64"/>
    <w:rsid w:val="0029709B"/>
    <w:rsid w:val="002A0B02"/>
    <w:rsid w:val="002A1A01"/>
    <w:rsid w:val="002A4C4C"/>
    <w:rsid w:val="002A6D21"/>
    <w:rsid w:val="002A7E95"/>
    <w:rsid w:val="002B2CCA"/>
    <w:rsid w:val="002B4B4A"/>
    <w:rsid w:val="002B7FD5"/>
    <w:rsid w:val="002C1115"/>
    <w:rsid w:val="002C14B8"/>
    <w:rsid w:val="002C2CF9"/>
    <w:rsid w:val="002C58E1"/>
    <w:rsid w:val="002C6DA3"/>
    <w:rsid w:val="002C71F7"/>
    <w:rsid w:val="002D0A4B"/>
    <w:rsid w:val="002D141A"/>
    <w:rsid w:val="002D1E35"/>
    <w:rsid w:val="002D25FC"/>
    <w:rsid w:val="002D5E20"/>
    <w:rsid w:val="002D7051"/>
    <w:rsid w:val="002D709E"/>
    <w:rsid w:val="002E0A6F"/>
    <w:rsid w:val="002E1430"/>
    <w:rsid w:val="002E1FC4"/>
    <w:rsid w:val="002E2834"/>
    <w:rsid w:val="002E6548"/>
    <w:rsid w:val="002E6B77"/>
    <w:rsid w:val="002F03D7"/>
    <w:rsid w:val="002F1200"/>
    <w:rsid w:val="002F2E7E"/>
    <w:rsid w:val="002F337D"/>
    <w:rsid w:val="002F3800"/>
    <w:rsid w:val="002F4568"/>
    <w:rsid w:val="002F5892"/>
    <w:rsid w:val="002F5942"/>
    <w:rsid w:val="00301D68"/>
    <w:rsid w:val="00303F9C"/>
    <w:rsid w:val="00304B7C"/>
    <w:rsid w:val="0030786A"/>
    <w:rsid w:val="00310811"/>
    <w:rsid w:val="00310D11"/>
    <w:rsid w:val="0031217A"/>
    <w:rsid w:val="00313262"/>
    <w:rsid w:val="00313928"/>
    <w:rsid w:val="00315496"/>
    <w:rsid w:val="00317987"/>
    <w:rsid w:val="00317A5F"/>
    <w:rsid w:val="00317CE0"/>
    <w:rsid w:val="0032074A"/>
    <w:rsid w:val="00322F6F"/>
    <w:rsid w:val="003245FB"/>
    <w:rsid w:val="003319F0"/>
    <w:rsid w:val="00332212"/>
    <w:rsid w:val="00335627"/>
    <w:rsid w:val="00335B14"/>
    <w:rsid w:val="00337C73"/>
    <w:rsid w:val="00340EEB"/>
    <w:rsid w:val="0034358C"/>
    <w:rsid w:val="0034380B"/>
    <w:rsid w:val="00345A5F"/>
    <w:rsid w:val="00346DB2"/>
    <w:rsid w:val="00346DFF"/>
    <w:rsid w:val="00347E40"/>
    <w:rsid w:val="003516AD"/>
    <w:rsid w:val="00355B5C"/>
    <w:rsid w:val="0036027F"/>
    <w:rsid w:val="0036134D"/>
    <w:rsid w:val="00363604"/>
    <w:rsid w:val="00365777"/>
    <w:rsid w:val="003657E5"/>
    <w:rsid w:val="00366137"/>
    <w:rsid w:val="00366FE5"/>
    <w:rsid w:val="00367FBA"/>
    <w:rsid w:val="0037032E"/>
    <w:rsid w:val="00370786"/>
    <w:rsid w:val="00370AEF"/>
    <w:rsid w:val="00370BCB"/>
    <w:rsid w:val="00372366"/>
    <w:rsid w:val="00373C8F"/>
    <w:rsid w:val="00373FAE"/>
    <w:rsid w:val="0037483F"/>
    <w:rsid w:val="003757A7"/>
    <w:rsid w:val="00375C6A"/>
    <w:rsid w:val="00380761"/>
    <w:rsid w:val="00382676"/>
    <w:rsid w:val="00382D3B"/>
    <w:rsid w:val="00382E3B"/>
    <w:rsid w:val="003851D5"/>
    <w:rsid w:val="003852D7"/>
    <w:rsid w:val="003854CF"/>
    <w:rsid w:val="003902CA"/>
    <w:rsid w:val="00390DC4"/>
    <w:rsid w:val="0039296E"/>
    <w:rsid w:val="00392DC1"/>
    <w:rsid w:val="00393EC9"/>
    <w:rsid w:val="00394AC9"/>
    <w:rsid w:val="0039695F"/>
    <w:rsid w:val="00397C2E"/>
    <w:rsid w:val="003A0C43"/>
    <w:rsid w:val="003A6793"/>
    <w:rsid w:val="003A68B5"/>
    <w:rsid w:val="003A743B"/>
    <w:rsid w:val="003A7F46"/>
    <w:rsid w:val="003B1238"/>
    <w:rsid w:val="003B2F14"/>
    <w:rsid w:val="003B7F65"/>
    <w:rsid w:val="003C0C58"/>
    <w:rsid w:val="003C134F"/>
    <w:rsid w:val="003C1935"/>
    <w:rsid w:val="003C2EB8"/>
    <w:rsid w:val="003C53A1"/>
    <w:rsid w:val="003C6439"/>
    <w:rsid w:val="003C7EDB"/>
    <w:rsid w:val="003D4738"/>
    <w:rsid w:val="003E0767"/>
    <w:rsid w:val="003E09AD"/>
    <w:rsid w:val="003E1903"/>
    <w:rsid w:val="003E2118"/>
    <w:rsid w:val="003E3E93"/>
    <w:rsid w:val="003E5DF6"/>
    <w:rsid w:val="003E6ED6"/>
    <w:rsid w:val="003F0D6E"/>
    <w:rsid w:val="003F3D5A"/>
    <w:rsid w:val="00400993"/>
    <w:rsid w:val="00400D5F"/>
    <w:rsid w:val="00401E40"/>
    <w:rsid w:val="00403403"/>
    <w:rsid w:val="00403641"/>
    <w:rsid w:val="00406619"/>
    <w:rsid w:val="004074AC"/>
    <w:rsid w:val="00407811"/>
    <w:rsid w:val="004108C8"/>
    <w:rsid w:val="00413DE7"/>
    <w:rsid w:val="004145DB"/>
    <w:rsid w:val="00414EA6"/>
    <w:rsid w:val="0041530C"/>
    <w:rsid w:val="00415352"/>
    <w:rsid w:val="00415977"/>
    <w:rsid w:val="00417F89"/>
    <w:rsid w:val="00422321"/>
    <w:rsid w:val="00422F3C"/>
    <w:rsid w:val="00423042"/>
    <w:rsid w:val="00423446"/>
    <w:rsid w:val="00424F97"/>
    <w:rsid w:val="004257EF"/>
    <w:rsid w:val="004275DC"/>
    <w:rsid w:val="00430CD8"/>
    <w:rsid w:val="00431870"/>
    <w:rsid w:val="0043241A"/>
    <w:rsid w:val="00433D8B"/>
    <w:rsid w:val="00436AED"/>
    <w:rsid w:val="0044340A"/>
    <w:rsid w:val="00444C5F"/>
    <w:rsid w:val="00446B82"/>
    <w:rsid w:val="0045117F"/>
    <w:rsid w:val="00451BEF"/>
    <w:rsid w:val="00452D77"/>
    <w:rsid w:val="00453791"/>
    <w:rsid w:val="0045422F"/>
    <w:rsid w:val="0045543C"/>
    <w:rsid w:val="00460F42"/>
    <w:rsid w:val="00464104"/>
    <w:rsid w:val="004649EF"/>
    <w:rsid w:val="00465740"/>
    <w:rsid w:val="00465BB4"/>
    <w:rsid w:val="00470B9E"/>
    <w:rsid w:val="00473510"/>
    <w:rsid w:val="004740FD"/>
    <w:rsid w:val="00474CAB"/>
    <w:rsid w:val="00475006"/>
    <w:rsid w:val="00475317"/>
    <w:rsid w:val="00475FD5"/>
    <w:rsid w:val="004765DA"/>
    <w:rsid w:val="004775EA"/>
    <w:rsid w:val="00477B24"/>
    <w:rsid w:val="00477B59"/>
    <w:rsid w:val="00483599"/>
    <w:rsid w:val="004844FE"/>
    <w:rsid w:val="00484508"/>
    <w:rsid w:val="00485260"/>
    <w:rsid w:val="004879F6"/>
    <w:rsid w:val="00494590"/>
    <w:rsid w:val="0049669A"/>
    <w:rsid w:val="00496E21"/>
    <w:rsid w:val="0049758D"/>
    <w:rsid w:val="004A0C53"/>
    <w:rsid w:val="004A1383"/>
    <w:rsid w:val="004A38B9"/>
    <w:rsid w:val="004A38C8"/>
    <w:rsid w:val="004A5D9F"/>
    <w:rsid w:val="004B126B"/>
    <w:rsid w:val="004B43C7"/>
    <w:rsid w:val="004B4515"/>
    <w:rsid w:val="004B76C2"/>
    <w:rsid w:val="004C0AB0"/>
    <w:rsid w:val="004C12EC"/>
    <w:rsid w:val="004C1AE4"/>
    <w:rsid w:val="004C4258"/>
    <w:rsid w:val="004C63F7"/>
    <w:rsid w:val="004C6876"/>
    <w:rsid w:val="004C78E3"/>
    <w:rsid w:val="004D0245"/>
    <w:rsid w:val="004D0894"/>
    <w:rsid w:val="004D09F4"/>
    <w:rsid w:val="004D0B01"/>
    <w:rsid w:val="004D6A2D"/>
    <w:rsid w:val="004D6C1F"/>
    <w:rsid w:val="004E272C"/>
    <w:rsid w:val="004F3DC7"/>
    <w:rsid w:val="004F44E1"/>
    <w:rsid w:val="004F5027"/>
    <w:rsid w:val="004F5ADA"/>
    <w:rsid w:val="004F6AFF"/>
    <w:rsid w:val="004F7782"/>
    <w:rsid w:val="004F7830"/>
    <w:rsid w:val="004F7CC0"/>
    <w:rsid w:val="005027C2"/>
    <w:rsid w:val="00505564"/>
    <w:rsid w:val="0050731E"/>
    <w:rsid w:val="00507BB7"/>
    <w:rsid w:val="0051054C"/>
    <w:rsid w:val="00511AA9"/>
    <w:rsid w:val="00514A9C"/>
    <w:rsid w:val="0051643A"/>
    <w:rsid w:val="00517FBF"/>
    <w:rsid w:val="00520549"/>
    <w:rsid w:val="00520921"/>
    <w:rsid w:val="00520C77"/>
    <w:rsid w:val="005212BB"/>
    <w:rsid w:val="00521D25"/>
    <w:rsid w:val="005230CA"/>
    <w:rsid w:val="00523B57"/>
    <w:rsid w:val="00531A7E"/>
    <w:rsid w:val="00531ADC"/>
    <w:rsid w:val="0053253C"/>
    <w:rsid w:val="005349FC"/>
    <w:rsid w:val="00536F9F"/>
    <w:rsid w:val="00537627"/>
    <w:rsid w:val="00541C53"/>
    <w:rsid w:val="005426CF"/>
    <w:rsid w:val="0054346A"/>
    <w:rsid w:val="005446B0"/>
    <w:rsid w:val="005449AA"/>
    <w:rsid w:val="00553324"/>
    <w:rsid w:val="00553C61"/>
    <w:rsid w:val="00554C47"/>
    <w:rsid w:val="0055677F"/>
    <w:rsid w:val="00556BF9"/>
    <w:rsid w:val="00557180"/>
    <w:rsid w:val="0055741B"/>
    <w:rsid w:val="005577DB"/>
    <w:rsid w:val="00561B9C"/>
    <w:rsid w:val="0056370D"/>
    <w:rsid w:val="005641CF"/>
    <w:rsid w:val="005673F4"/>
    <w:rsid w:val="00571363"/>
    <w:rsid w:val="0057162A"/>
    <w:rsid w:val="00572407"/>
    <w:rsid w:val="00574EEB"/>
    <w:rsid w:val="0057539D"/>
    <w:rsid w:val="005767F0"/>
    <w:rsid w:val="005811CC"/>
    <w:rsid w:val="005814BB"/>
    <w:rsid w:val="00581A55"/>
    <w:rsid w:val="0058279A"/>
    <w:rsid w:val="00582B45"/>
    <w:rsid w:val="005834FC"/>
    <w:rsid w:val="00584EF2"/>
    <w:rsid w:val="00587502"/>
    <w:rsid w:val="00590986"/>
    <w:rsid w:val="005929DF"/>
    <w:rsid w:val="00595581"/>
    <w:rsid w:val="00595622"/>
    <w:rsid w:val="0059663D"/>
    <w:rsid w:val="0059685B"/>
    <w:rsid w:val="005A2143"/>
    <w:rsid w:val="005A3A5E"/>
    <w:rsid w:val="005A452B"/>
    <w:rsid w:val="005A472C"/>
    <w:rsid w:val="005A4F3A"/>
    <w:rsid w:val="005A57EA"/>
    <w:rsid w:val="005A7131"/>
    <w:rsid w:val="005A74EF"/>
    <w:rsid w:val="005A7766"/>
    <w:rsid w:val="005B0CCA"/>
    <w:rsid w:val="005B2762"/>
    <w:rsid w:val="005B2A21"/>
    <w:rsid w:val="005B2FBD"/>
    <w:rsid w:val="005B34F4"/>
    <w:rsid w:val="005B47BD"/>
    <w:rsid w:val="005B6B04"/>
    <w:rsid w:val="005C1576"/>
    <w:rsid w:val="005C213B"/>
    <w:rsid w:val="005C24A7"/>
    <w:rsid w:val="005C4869"/>
    <w:rsid w:val="005C4FE5"/>
    <w:rsid w:val="005C5900"/>
    <w:rsid w:val="005D124D"/>
    <w:rsid w:val="005D182B"/>
    <w:rsid w:val="005D205A"/>
    <w:rsid w:val="005D6D1A"/>
    <w:rsid w:val="005D7743"/>
    <w:rsid w:val="005E17B7"/>
    <w:rsid w:val="005E2096"/>
    <w:rsid w:val="005E213A"/>
    <w:rsid w:val="005E42C4"/>
    <w:rsid w:val="005E62FB"/>
    <w:rsid w:val="005E7309"/>
    <w:rsid w:val="005F0135"/>
    <w:rsid w:val="005F1CC1"/>
    <w:rsid w:val="005F5016"/>
    <w:rsid w:val="005F5D65"/>
    <w:rsid w:val="005F63E4"/>
    <w:rsid w:val="005F68FF"/>
    <w:rsid w:val="005F7361"/>
    <w:rsid w:val="00600485"/>
    <w:rsid w:val="00603173"/>
    <w:rsid w:val="00605BA9"/>
    <w:rsid w:val="00606762"/>
    <w:rsid w:val="0061019A"/>
    <w:rsid w:val="00612359"/>
    <w:rsid w:val="00612C75"/>
    <w:rsid w:val="00615371"/>
    <w:rsid w:val="00615D80"/>
    <w:rsid w:val="00616244"/>
    <w:rsid w:val="00620ECE"/>
    <w:rsid w:val="006248C1"/>
    <w:rsid w:val="00625793"/>
    <w:rsid w:val="00627C24"/>
    <w:rsid w:val="006320EF"/>
    <w:rsid w:val="006328A7"/>
    <w:rsid w:val="0063308F"/>
    <w:rsid w:val="00633F67"/>
    <w:rsid w:val="0063477E"/>
    <w:rsid w:val="00642286"/>
    <w:rsid w:val="0064248C"/>
    <w:rsid w:val="006425B3"/>
    <w:rsid w:val="0064469E"/>
    <w:rsid w:val="00644C3C"/>
    <w:rsid w:val="0064513C"/>
    <w:rsid w:val="006461A1"/>
    <w:rsid w:val="006462DD"/>
    <w:rsid w:val="006466D7"/>
    <w:rsid w:val="006470FC"/>
    <w:rsid w:val="00647329"/>
    <w:rsid w:val="00647C20"/>
    <w:rsid w:val="006504B5"/>
    <w:rsid w:val="00650749"/>
    <w:rsid w:val="00650798"/>
    <w:rsid w:val="00650A08"/>
    <w:rsid w:val="00650D38"/>
    <w:rsid w:val="00652836"/>
    <w:rsid w:val="00654396"/>
    <w:rsid w:val="00654D6A"/>
    <w:rsid w:val="00655E36"/>
    <w:rsid w:val="0065630A"/>
    <w:rsid w:val="00656455"/>
    <w:rsid w:val="00663B34"/>
    <w:rsid w:val="00663D2D"/>
    <w:rsid w:val="00666B41"/>
    <w:rsid w:val="00666C63"/>
    <w:rsid w:val="006708B8"/>
    <w:rsid w:val="00671F21"/>
    <w:rsid w:val="006721D7"/>
    <w:rsid w:val="006723B9"/>
    <w:rsid w:val="006725BD"/>
    <w:rsid w:val="00672677"/>
    <w:rsid w:val="0067288E"/>
    <w:rsid w:val="00673754"/>
    <w:rsid w:val="00677FD5"/>
    <w:rsid w:val="00681BE2"/>
    <w:rsid w:val="00682AA0"/>
    <w:rsid w:val="006832AE"/>
    <w:rsid w:val="00683F46"/>
    <w:rsid w:val="00684414"/>
    <w:rsid w:val="00684C41"/>
    <w:rsid w:val="00684C51"/>
    <w:rsid w:val="00684FA5"/>
    <w:rsid w:val="00685FA7"/>
    <w:rsid w:val="00686233"/>
    <w:rsid w:val="00690CB3"/>
    <w:rsid w:val="00691508"/>
    <w:rsid w:val="006931FE"/>
    <w:rsid w:val="00693DC2"/>
    <w:rsid w:val="006950D7"/>
    <w:rsid w:val="006A2C2B"/>
    <w:rsid w:val="006A7E54"/>
    <w:rsid w:val="006B057D"/>
    <w:rsid w:val="006B3446"/>
    <w:rsid w:val="006B3B8A"/>
    <w:rsid w:val="006B4CE2"/>
    <w:rsid w:val="006B658A"/>
    <w:rsid w:val="006B78D8"/>
    <w:rsid w:val="006C184F"/>
    <w:rsid w:val="006C21CF"/>
    <w:rsid w:val="006C23B0"/>
    <w:rsid w:val="006C2C43"/>
    <w:rsid w:val="006C2E47"/>
    <w:rsid w:val="006C36B0"/>
    <w:rsid w:val="006C62A2"/>
    <w:rsid w:val="006C6C87"/>
    <w:rsid w:val="006D00F7"/>
    <w:rsid w:val="006D1957"/>
    <w:rsid w:val="006D24AD"/>
    <w:rsid w:val="006D2515"/>
    <w:rsid w:val="006D255F"/>
    <w:rsid w:val="006D528A"/>
    <w:rsid w:val="006D6313"/>
    <w:rsid w:val="006D77F7"/>
    <w:rsid w:val="006D7A13"/>
    <w:rsid w:val="006E29FC"/>
    <w:rsid w:val="006E3DE5"/>
    <w:rsid w:val="006E4AAB"/>
    <w:rsid w:val="006E59A4"/>
    <w:rsid w:val="006E70A4"/>
    <w:rsid w:val="006E72FA"/>
    <w:rsid w:val="006E745F"/>
    <w:rsid w:val="006E7579"/>
    <w:rsid w:val="006F0DB6"/>
    <w:rsid w:val="006F0DD1"/>
    <w:rsid w:val="006F1B8F"/>
    <w:rsid w:val="006F1D6E"/>
    <w:rsid w:val="006F2D8E"/>
    <w:rsid w:val="006F3347"/>
    <w:rsid w:val="006F3D4C"/>
    <w:rsid w:val="006F53C2"/>
    <w:rsid w:val="006F5467"/>
    <w:rsid w:val="006F689B"/>
    <w:rsid w:val="006F7D64"/>
    <w:rsid w:val="007007D8"/>
    <w:rsid w:val="007011EA"/>
    <w:rsid w:val="0070151F"/>
    <w:rsid w:val="0070251B"/>
    <w:rsid w:val="00705AEB"/>
    <w:rsid w:val="00713629"/>
    <w:rsid w:val="00725411"/>
    <w:rsid w:val="00732F51"/>
    <w:rsid w:val="00733B71"/>
    <w:rsid w:val="00736A89"/>
    <w:rsid w:val="00737314"/>
    <w:rsid w:val="00740D7E"/>
    <w:rsid w:val="007412A7"/>
    <w:rsid w:val="007438E4"/>
    <w:rsid w:val="00744E8C"/>
    <w:rsid w:val="007466B0"/>
    <w:rsid w:val="00746990"/>
    <w:rsid w:val="00750AC9"/>
    <w:rsid w:val="00752DCC"/>
    <w:rsid w:val="007530B1"/>
    <w:rsid w:val="00754164"/>
    <w:rsid w:val="007545AD"/>
    <w:rsid w:val="007547E4"/>
    <w:rsid w:val="0075577C"/>
    <w:rsid w:val="007558B3"/>
    <w:rsid w:val="00756A43"/>
    <w:rsid w:val="00756FA8"/>
    <w:rsid w:val="00762BD5"/>
    <w:rsid w:val="00765206"/>
    <w:rsid w:val="00765DBF"/>
    <w:rsid w:val="007667AC"/>
    <w:rsid w:val="007720CD"/>
    <w:rsid w:val="00773FD4"/>
    <w:rsid w:val="007767FF"/>
    <w:rsid w:val="00780FC5"/>
    <w:rsid w:val="00781AE1"/>
    <w:rsid w:val="007831A5"/>
    <w:rsid w:val="00784BE1"/>
    <w:rsid w:val="00785394"/>
    <w:rsid w:val="00785D6F"/>
    <w:rsid w:val="0078741E"/>
    <w:rsid w:val="007879CA"/>
    <w:rsid w:val="00790B74"/>
    <w:rsid w:val="00793F88"/>
    <w:rsid w:val="00795A32"/>
    <w:rsid w:val="00795EA5"/>
    <w:rsid w:val="00797E69"/>
    <w:rsid w:val="007A115A"/>
    <w:rsid w:val="007A1EC3"/>
    <w:rsid w:val="007A5D41"/>
    <w:rsid w:val="007A7E6A"/>
    <w:rsid w:val="007C2716"/>
    <w:rsid w:val="007C3470"/>
    <w:rsid w:val="007C6319"/>
    <w:rsid w:val="007C7A4F"/>
    <w:rsid w:val="007C7D18"/>
    <w:rsid w:val="007D27D4"/>
    <w:rsid w:val="007D4464"/>
    <w:rsid w:val="007D4B9A"/>
    <w:rsid w:val="007D515A"/>
    <w:rsid w:val="007D7D3C"/>
    <w:rsid w:val="007E008B"/>
    <w:rsid w:val="007E1B66"/>
    <w:rsid w:val="007E3414"/>
    <w:rsid w:val="007E3525"/>
    <w:rsid w:val="007E353B"/>
    <w:rsid w:val="007E3D9C"/>
    <w:rsid w:val="007E49B5"/>
    <w:rsid w:val="007E6CC9"/>
    <w:rsid w:val="007E7761"/>
    <w:rsid w:val="007F1C42"/>
    <w:rsid w:val="007F2393"/>
    <w:rsid w:val="007F279D"/>
    <w:rsid w:val="007F5DFD"/>
    <w:rsid w:val="007F7280"/>
    <w:rsid w:val="0080155F"/>
    <w:rsid w:val="0080183F"/>
    <w:rsid w:val="008024CC"/>
    <w:rsid w:val="0080372C"/>
    <w:rsid w:val="008043CB"/>
    <w:rsid w:val="00806005"/>
    <w:rsid w:val="0080616D"/>
    <w:rsid w:val="00810557"/>
    <w:rsid w:val="00812920"/>
    <w:rsid w:val="00812A4A"/>
    <w:rsid w:val="00814EFB"/>
    <w:rsid w:val="00815FC1"/>
    <w:rsid w:val="008174D8"/>
    <w:rsid w:val="0082099F"/>
    <w:rsid w:val="00820BAF"/>
    <w:rsid w:val="00820E29"/>
    <w:rsid w:val="008249EE"/>
    <w:rsid w:val="008361E4"/>
    <w:rsid w:val="008371E7"/>
    <w:rsid w:val="00843E0E"/>
    <w:rsid w:val="00845699"/>
    <w:rsid w:val="00846BCD"/>
    <w:rsid w:val="008519FB"/>
    <w:rsid w:val="008554D5"/>
    <w:rsid w:val="008615BE"/>
    <w:rsid w:val="008616B3"/>
    <w:rsid w:val="00861D68"/>
    <w:rsid w:val="008633ED"/>
    <w:rsid w:val="008644E0"/>
    <w:rsid w:val="00865333"/>
    <w:rsid w:val="00865F66"/>
    <w:rsid w:val="0086605B"/>
    <w:rsid w:val="00866FCC"/>
    <w:rsid w:val="00872A65"/>
    <w:rsid w:val="00872DC1"/>
    <w:rsid w:val="00876A8C"/>
    <w:rsid w:val="008771AA"/>
    <w:rsid w:val="008812C1"/>
    <w:rsid w:val="0088161E"/>
    <w:rsid w:val="0088292C"/>
    <w:rsid w:val="008830F5"/>
    <w:rsid w:val="0088518E"/>
    <w:rsid w:val="0088737D"/>
    <w:rsid w:val="00890CFE"/>
    <w:rsid w:val="00891D83"/>
    <w:rsid w:val="00893829"/>
    <w:rsid w:val="008977B2"/>
    <w:rsid w:val="008A19B1"/>
    <w:rsid w:val="008A44DA"/>
    <w:rsid w:val="008A4D33"/>
    <w:rsid w:val="008B232D"/>
    <w:rsid w:val="008B3B24"/>
    <w:rsid w:val="008B4E21"/>
    <w:rsid w:val="008C017E"/>
    <w:rsid w:val="008C2571"/>
    <w:rsid w:val="008C6913"/>
    <w:rsid w:val="008C7780"/>
    <w:rsid w:val="008D1034"/>
    <w:rsid w:val="008D7C4E"/>
    <w:rsid w:val="008D7F32"/>
    <w:rsid w:val="008E083C"/>
    <w:rsid w:val="008E2E11"/>
    <w:rsid w:val="008E3384"/>
    <w:rsid w:val="008E5606"/>
    <w:rsid w:val="008E5712"/>
    <w:rsid w:val="008E6FBD"/>
    <w:rsid w:val="008E7912"/>
    <w:rsid w:val="008F15D7"/>
    <w:rsid w:val="008F1D3D"/>
    <w:rsid w:val="008F23E6"/>
    <w:rsid w:val="008F26A1"/>
    <w:rsid w:val="008F4788"/>
    <w:rsid w:val="008F7820"/>
    <w:rsid w:val="00902106"/>
    <w:rsid w:val="00904030"/>
    <w:rsid w:val="00904E3D"/>
    <w:rsid w:val="00905805"/>
    <w:rsid w:val="00906F06"/>
    <w:rsid w:val="00911253"/>
    <w:rsid w:val="009112BD"/>
    <w:rsid w:val="00915F9C"/>
    <w:rsid w:val="00916AA5"/>
    <w:rsid w:val="00921050"/>
    <w:rsid w:val="009210EF"/>
    <w:rsid w:val="009212DF"/>
    <w:rsid w:val="00921383"/>
    <w:rsid w:val="009217BA"/>
    <w:rsid w:val="00922653"/>
    <w:rsid w:val="00924F2D"/>
    <w:rsid w:val="00926DE8"/>
    <w:rsid w:val="009309ED"/>
    <w:rsid w:val="00932B01"/>
    <w:rsid w:val="00933A11"/>
    <w:rsid w:val="009356D1"/>
    <w:rsid w:val="00935BEC"/>
    <w:rsid w:val="009371BF"/>
    <w:rsid w:val="0094045D"/>
    <w:rsid w:val="00940A96"/>
    <w:rsid w:val="0094149B"/>
    <w:rsid w:val="00941859"/>
    <w:rsid w:val="00942043"/>
    <w:rsid w:val="00942418"/>
    <w:rsid w:val="00942C79"/>
    <w:rsid w:val="009432BA"/>
    <w:rsid w:val="0094423C"/>
    <w:rsid w:val="00944D70"/>
    <w:rsid w:val="00945291"/>
    <w:rsid w:val="0094584F"/>
    <w:rsid w:val="00947FCA"/>
    <w:rsid w:val="00953F61"/>
    <w:rsid w:val="00954D44"/>
    <w:rsid w:val="00955487"/>
    <w:rsid w:val="00956D5B"/>
    <w:rsid w:val="00956D88"/>
    <w:rsid w:val="00960B63"/>
    <w:rsid w:val="00964B6A"/>
    <w:rsid w:val="009655CA"/>
    <w:rsid w:val="0096746F"/>
    <w:rsid w:val="00970A85"/>
    <w:rsid w:val="00971B46"/>
    <w:rsid w:val="0097239B"/>
    <w:rsid w:val="00974575"/>
    <w:rsid w:val="00974F91"/>
    <w:rsid w:val="00977A4A"/>
    <w:rsid w:val="00980AFA"/>
    <w:rsid w:val="00984BBB"/>
    <w:rsid w:val="00985217"/>
    <w:rsid w:val="009870B8"/>
    <w:rsid w:val="0099469D"/>
    <w:rsid w:val="009957AD"/>
    <w:rsid w:val="00996425"/>
    <w:rsid w:val="009968A9"/>
    <w:rsid w:val="00997AEB"/>
    <w:rsid w:val="00997FA3"/>
    <w:rsid w:val="009A0553"/>
    <w:rsid w:val="009A0714"/>
    <w:rsid w:val="009A08B1"/>
    <w:rsid w:val="009A0F02"/>
    <w:rsid w:val="009A1B11"/>
    <w:rsid w:val="009A7301"/>
    <w:rsid w:val="009A78FD"/>
    <w:rsid w:val="009B1C93"/>
    <w:rsid w:val="009B3173"/>
    <w:rsid w:val="009B3756"/>
    <w:rsid w:val="009B405A"/>
    <w:rsid w:val="009B60E5"/>
    <w:rsid w:val="009B64D8"/>
    <w:rsid w:val="009C0DE0"/>
    <w:rsid w:val="009C5379"/>
    <w:rsid w:val="009C6FDF"/>
    <w:rsid w:val="009D0A44"/>
    <w:rsid w:val="009D0A88"/>
    <w:rsid w:val="009D0DFE"/>
    <w:rsid w:val="009D1834"/>
    <w:rsid w:val="009D2988"/>
    <w:rsid w:val="009D508D"/>
    <w:rsid w:val="009E2032"/>
    <w:rsid w:val="009E2363"/>
    <w:rsid w:val="009E2825"/>
    <w:rsid w:val="009E3B8C"/>
    <w:rsid w:val="009E4FB3"/>
    <w:rsid w:val="009F40C4"/>
    <w:rsid w:val="009F439B"/>
    <w:rsid w:val="009F4697"/>
    <w:rsid w:val="009F59BD"/>
    <w:rsid w:val="009F694E"/>
    <w:rsid w:val="00A02CDC"/>
    <w:rsid w:val="00A03FCC"/>
    <w:rsid w:val="00A04C31"/>
    <w:rsid w:val="00A072C0"/>
    <w:rsid w:val="00A10271"/>
    <w:rsid w:val="00A10A10"/>
    <w:rsid w:val="00A12928"/>
    <w:rsid w:val="00A16685"/>
    <w:rsid w:val="00A22575"/>
    <w:rsid w:val="00A23048"/>
    <w:rsid w:val="00A252D0"/>
    <w:rsid w:val="00A27123"/>
    <w:rsid w:val="00A313D2"/>
    <w:rsid w:val="00A31792"/>
    <w:rsid w:val="00A31F6E"/>
    <w:rsid w:val="00A32C5D"/>
    <w:rsid w:val="00A33A47"/>
    <w:rsid w:val="00A34443"/>
    <w:rsid w:val="00A35005"/>
    <w:rsid w:val="00A356F8"/>
    <w:rsid w:val="00A36504"/>
    <w:rsid w:val="00A41E48"/>
    <w:rsid w:val="00A41E76"/>
    <w:rsid w:val="00A432D2"/>
    <w:rsid w:val="00A44D3E"/>
    <w:rsid w:val="00A44FD3"/>
    <w:rsid w:val="00A472EF"/>
    <w:rsid w:val="00A5148A"/>
    <w:rsid w:val="00A529A4"/>
    <w:rsid w:val="00A53E0C"/>
    <w:rsid w:val="00A552A3"/>
    <w:rsid w:val="00A552D0"/>
    <w:rsid w:val="00A56C42"/>
    <w:rsid w:val="00A57409"/>
    <w:rsid w:val="00A60946"/>
    <w:rsid w:val="00A63718"/>
    <w:rsid w:val="00A6593F"/>
    <w:rsid w:val="00A6596A"/>
    <w:rsid w:val="00A70908"/>
    <w:rsid w:val="00A71E74"/>
    <w:rsid w:val="00A75A96"/>
    <w:rsid w:val="00A76681"/>
    <w:rsid w:val="00A768F2"/>
    <w:rsid w:val="00A77C69"/>
    <w:rsid w:val="00A80796"/>
    <w:rsid w:val="00A8183D"/>
    <w:rsid w:val="00A839A8"/>
    <w:rsid w:val="00A85526"/>
    <w:rsid w:val="00A866E3"/>
    <w:rsid w:val="00A8683B"/>
    <w:rsid w:val="00A91EE8"/>
    <w:rsid w:val="00A93CC1"/>
    <w:rsid w:val="00A940E2"/>
    <w:rsid w:val="00A94258"/>
    <w:rsid w:val="00A974A1"/>
    <w:rsid w:val="00AA0B7E"/>
    <w:rsid w:val="00AA31AA"/>
    <w:rsid w:val="00AA45DA"/>
    <w:rsid w:val="00AA7A6E"/>
    <w:rsid w:val="00AB0124"/>
    <w:rsid w:val="00AB2625"/>
    <w:rsid w:val="00AB5473"/>
    <w:rsid w:val="00AB556B"/>
    <w:rsid w:val="00AB559D"/>
    <w:rsid w:val="00AB67BF"/>
    <w:rsid w:val="00AB6D2A"/>
    <w:rsid w:val="00AB791F"/>
    <w:rsid w:val="00AC12BD"/>
    <w:rsid w:val="00AC253E"/>
    <w:rsid w:val="00AC3A98"/>
    <w:rsid w:val="00AC4273"/>
    <w:rsid w:val="00AC45AF"/>
    <w:rsid w:val="00AC4DDF"/>
    <w:rsid w:val="00AC55C3"/>
    <w:rsid w:val="00AC60FC"/>
    <w:rsid w:val="00AD0E8C"/>
    <w:rsid w:val="00AD141E"/>
    <w:rsid w:val="00AE1AA8"/>
    <w:rsid w:val="00AE2448"/>
    <w:rsid w:val="00AE4BE9"/>
    <w:rsid w:val="00AE5212"/>
    <w:rsid w:val="00AE686A"/>
    <w:rsid w:val="00AF0A3F"/>
    <w:rsid w:val="00AF59DE"/>
    <w:rsid w:val="00AF5C5C"/>
    <w:rsid w:val="00AF5CBC"/>
    <w:rsid w:val="00AF6116"/>
    <w:rsid w:val="00AF70E6"/>
    <w:rsid w:val="00B038B2"/>
    <w:rsid w:val="00B03976"/>
    <w:rsid w:val="00B043C6"/>
    <w:rsid w:val="00B04B61"/>
    <w:rsid w:val="00B04CE9"/>
    <w:rsid w:val="00B1214F"/>
    <w:rsid w:val="00B14FED"/>
    <w:rsid w:val="00B16E3E"/>
    <w:rsid w:val="00B22501"/>
    <w:rsid w:val="00B23122"/>
    <w:rsid w:val="00B2678C"/>
    <w:rsid w:val="00B31940"/>
    <w:rsid w:val="00B34B44"/>
    <w:rsid w:val="00B35ABE"/>
    <w:rsid w:val="00B36B45"/>
    <w:rsid w:val="00B36CDC"/>
    <w:rsid w:val="00B37EDD"/>
    <w:rsid w:val="00B4174D"/>
    <w:rsid w:val="00B4358E"/>
    <w:rsid w:val="00B4379F"/>
    <w:rsid w:val="00B439AE"/>
    <w:rsid w:val="00B449E5"/>
    <w:rsid w:val="00B460C5"/>
    <w:rsid w:val="00B46E17"/>
    <w:rsid w:val="00B4770B"/>
    <w:rsid w:val="00B50988"/>
    <w:rsid w:val="00B51E65"/>
    <w:rsid w:val="00B52CAF"/>
    <w:rsid w:val="00B53095"/>
    <w:rsid w:val="00B5311F"/>
    <w:rsid w:val="00B53FBA"/>
    <w:rsid w:val="00B55026"/>
    <w:rsid w:val="00B56D8C"/>
    <w:rsid w:val="00B57D32"/>
    <w:rsid w:val="00B61021"/>
    <w:rsid w:val="00B62AAC"/>
    <w:rsid w:val="00B63C8A"/>
    <w:rsid w:val="00B675EB"/>
    <w:rsid w:val="00B6773A"/>
    <w:rsid w:val="00B67D46"/>
    <w:rsid w:val="00B7112E"/>
    <w:rsid w:val="00B719DD"/>
    <w:rsid w:val="00B7287D"/>
    <w:rsid w:val="00B730F3"/>
    <w:rsid w:val="00B75DD4"/>
    <w:rsid w:val="00B75DE1"/>
    <w:rsid w:val="00B76EFB"/>
    <w:rsid w:val="00B77C13"/>
    <w:rsid w:val="00B8081C"/>
    <w:rsid w:val="00B80C44"/>
    <w:rsid w:val="00B85D1D"/>
    <w:rsid w:val="00B86ADD"/>
    <w:rsid w:val="00B91701"/>
    <w:rsid w:val="00B92A4D"/>
    <w:rsid w:val="00B930A2"/>
    <w:rsid w:val="00B95296"/>
    <w:rsid w:val="00B97A9E"/>
    <w:rsid w:val="00BA3027"/>
    <w:rsid w:val="00BA74D2"/>
    <w:rsid w:val="00BB0E1F"/>
    <w:rsid w:val="00BB12E8"/>
    <w:rsid w:val="00BB4085"/>
    <w:rsid w:val="00BB44F0"/>
    <w:rsid w:val="00BB59AE"/>
    <w:rsid w:val="00BB78F2"/>
    <w:rsid w:val="00BB79F8"/>
    <w:rsid w:val="00BC57C8"/>
    <w:rsid w:val="00BC6435"/>
    <w:rsid w:val="00BD2698"/>
    <w:rsid w:val="00BD3873"/>
    <w:rsid w:val="00BD5237"/>
    <w:rsid w:val="00BD631D"/>
    <w:rsid w:val="00BD6704"/>
    <w:rsid w:val="00BD6C76"/>
    <w:rsid w:val="00BD7B31"/>
    <w:rsid w:val="00BE0F1B"/>
    <w:rsid w:val="00BE1010"/>
    <w:rsid w:val="00BE128C"/>
    <w:rsid w:val="00BE26B7"/>
    <w:rsid w:val="00BE2AFD"/>
    <w:rsid w:val="00BE53D1"/>
    <w:rsid w:val="00BE60E5"/>
    <w:rsid w:val="00BF0EEB"/>
    <w:rsid w:val="00BF31DC"/>
    <w:rsid w:val="00BF4C2E"/>
    <w:rsid w:val="00BF6BF4"/>
    <w:rsid w:val="00BF7227"/>
    <w:rsid w:val="00BF732C"/>
    <w:rsid w:val="00C00432"/>
    <w:rsid w:val="00C00563"/>
    <w:rsid w:val="00C01418"/>
    <w:rsid w:val="00C039DC"/>
    <w:rsid w:val="00C04001"/>
    <w:rsid w:val="00C04278"/>
    <w:rsid w:val="00C04EF3"/>
    <w:rsid w:val="00C10302"/>
    <w:rsid w:val="00C109D7"/>
    <w:rsid w:val="00C1387D"/>
    <w:rsid w:val="00C21340"/>
    <w:rsid w:val="00C21B0D"/>
    <w:rsid w:val="00C22952"/>
    <w:rsid w:val="00C256E5"/>
    <w:rsid w:val="00C25F49"/>
    <w:rsid w:val="00C34121"/>
    <w:rsid w:val="00C35A2E"/>
    <w:rsid w:val="00C36B9B"/>
    <w:rsid w:val="00C37109"/>
    <w:rsid w:val="00C40F25"/>
    <w:rsid w:val="00C41828"/>
    <w:rsid w:val="00C44328"/>
    <w:rsid w:val="00C45C65"/>
    <w:rsid w:val="00C46942"/>
    <w:rsid w:val="00C47480"/>
    <w:rsid w:val="00C474CD"/>
    <w:rsid w:val="00C50113"/>
    <w:rsid w:val="00C50309"/>
    <w:rsid w:val="00C50779"/>
    <w:rsid w:val="00C51BBC"/>
    <w:rsid w:val="00C5228B"/>
    <w:rsid w:val="00C54902"/>
    <w:rsid w:val="00C54D76"/>
    <w:rsid w:val="00C60F3E"/>
    <w:rsid w:val="00C61D47"/>
    <w:rsid w:val="00C62BCB"/>
    <w:rsid w:val="00C644C3"/>
    <w:rsid w:val="00C64907"/>
    <w:rsid w:val="00C64CB4"/>
    <w:rsid w:val="00C6501E"/>
    <w:rsid w:val="00C66FB8"/>
    <w:rsid w:val="00C704B1"/>
    <w:rsid w:val="00C7508D"/>
    <w:rsid w:val="00C8084F"/>
    <w:rsid w:val="00C828F2"/>
    <w:rsid w:val="00C82A5B"/>
    <w:rsid w:val="00C858D3"/>
    <w:rsid w:val="00C86290"/>
    <w:rsid w:val="00C868F8"/>
    <w:rsid w:val="00C909A2"/>
    <w:rsid w:val="00C93A10"/>
    <w:rsid w:val="00C9417E"/>
    <w:rsid w:val="00C94F55"/>
    <w:rsid w:val="00C95CE4"/>
    <w:rsid w:val="00C963E4"/>
    <w:rsid w:val="00C96FB7"/>
    <w:rsid w:val="00CA0EED"/>
    <w:rsid w:val="00CA23BD"/>
    <w:rsid w:val="00CA3C40"/>
    <w:rsid w:val="00CA3FB6"/>
    <w:rsid w:val="00CA5453"/>
    <w:rsid w:val="00CA5C21"/>
    <w:rsid w:val="00CA5F69"/>
    <w:rsid w:val="00CB1C83"/>
    <w:rsid w:val="00CB1D6A"/>
    <w:rsid w:val="00CB1EBB"/>
    <w:rsid w:val="00CB2D13"/>
    <w:rsid w:val="00CB3B01"/>
    <w:rsid w:val="00CB4D6B"/>
    <w:rsid w:val="00CB7E09"/>
    <w:rsid w:val="00CB7F16"/>
    <w:rsid w:val="00CC0277"/>
    <w:rsid w:val="00CC2116"/>
    <w:rsid w:val="00CC31D5"/>
    <w:rsid w:val="00CC320B"/>
    <w:rsid w:val="00CC33A2"/>
    <w:rsid w:val="00CC380A"/>
    <w:rsid w:val="00CC4367"/>
    <w:rsid w:val="00CC47B8"/>
    <w:rsid w:val="00CC57A7"/>
    <w:rsid w:val="00CC5F37"/>
    <w:rsid w:val="00CC7D20"/>
    <w:rsid w:val="00CD64EA"/>
    <w:rsid w:val="00CE266E"/>
    <w:rsid w:val="00CE34FD"/>
    <w:rsid w:val="00CE48FA"/>
    <w:rsid w:val="00CE6057"/>
    <w:rsid w:val="00CE6183"/>
    <w:rsid w:val="00CF009F"/>
    <w:rsid w:val="00CF0A58"/>
    <w:rsid w:val="00CF1043"/>
    <w:rsid w:val="00CF144C"/>
    <w:rsid w:val="00CF382C"/>
    <w:rsid w:val="00CF42B5"/>
    <w:rsid w:val="00CF62AA"/>
    <w:rsid w:val="00CF6C00"/>
    <w:rsid w:val="00CF6E45"/>
    <w:rsid w:val="00D0053F"/>
    <w:rsid w:val="00D02132"/>
    <w:rsid w:val="00D02CC2"/>
    <w:rsid w:val="00D06693"/>
    <w:rsid w:val="00D11457"/>
    <w:rsid w:val="00D17BAC"/>
    <w:rsid w:val="00D2017D"/>
    <w:rsid w:val="00D21D55"/>
    <w:rsid w:val="00D23DF5"/>
    <w:rsid w:val="00D3114A"/>
    <w:rsid w:val="00D34B6C"/>
    <w:rsid w:val="00D42E78"/>
    <w:rsid w:val="00D43434"/>
    <w:rsid w:val="00D52115"/>
    <w:rsid w:val="00D52457"/>
    <w:rsid w:val="00D543C1"/>
    <w:rsid w:val="00D60563"/>
    <w:rsid w:val="00D63C0B"/>
    <w:rsid w:val="00D640D6"/>
    <w:rsid w:val="00D6439F"/>
    <w:rsid w:val="00D6697C"/>
    <w:rsid w:val="00D67A3A"/>
    <w:rsid w:val="00D72C17"/>
    <w:rsid w:val="00D741AB"/>
    <w:rsid w:val="00D74637"/>
    <w:rsid w:val="00D74915"/>
    <w:rsid w:val="00D83CF9"/>
    <w:rsid w:val="00D83EAA"/>
    <w:rsid w:val="00D86694"/>
    <w:rsid w:val="00D86AAF"/>
    <w:rsid w:val="00D87F46"/>
    <w:rsid w:val="00D913EF"/>
    <w:rsid w:val="00D93B3E"/>
    <w:rsid w:val="00D95969"/>
    <w:rsid w:val="00D962BA"/>
    <w:rsid w:val="00D9717B"/>
    <w:rsid w:val="00D97306"/>
    <w:rsid w:val="00DA3C15"/>
    <w:rsid w:val="00DA3C6F"/>
    <w:rsid w:val="00DA5DBF"/>
    <w:rsid w:val="00DB13C0"/>
    <w:rsid w:val="00DB19C1"/>
    <w:rsid w:val="00DB1FBD"/>
    <w:rsid w:val="00DB349A"/>
    <w:rsid w:val="00DB50D2"/>
    <w:rsid w:val="00DB69D3"/>
    <w:rsid w:val="00DC045C"/>
    <w:rsid w:val="00DC05B7"/>
    <w:rsid w:val="00DC0AE4"/>
    <w:rsid w:val="00DC1AE9"/>
    <w:rsid w:val="00DC2338"/>
    <w:rsid w:val="00DC2540"/>
    <w:rsid w:val="00DC2E9A"/>
    <w:rsid w:val="00DC32A5"/>
    <w:rsid w:val="00DC341C"/>
    <w:rsid w:val="00DC4958"/>
    <w:rsid w:val="00DC5259"/>
    <w:rsid w:val="00DD2FB1"/>
    <w:rsid w:val="00DD48A0"/>
    <w:rsid w:val="00DD553B"/>
    <w:rsid w:val="00DD5E3B"/>
    <w:rsid w:val="00DD6CE2"/>
    <w:rsid w:val="00DD71A5"/>
    <w:rsid w:val="00DE5E7F"/>
    <w:rsid w:val="00DE74E5"/>
    <w:rsid w:val="00DF0506"/>
    <w:rsid w:val="00DF1AD0"/>
    <w:rsid w:val="00DF5FA0"/>
    <w:rsid w:val="00E02091"/>
    <w:rsid w:val="00E03ED5"/>
    <w:rsid w:val="00E053DE"/>
    <w:rsid w:val="00E05FAD"/>
    <w:rsid w:val="00E07471"/>
    <w:rsid w:val="00E07822"/>
    <w:rsid w:val="00E07975"/>
    <w:rsid w:val="00E1104A"/>
    <w:rsid w:val="00E122F7"/>
    <w:rsid w:val="00E12357"/>
    <w:rsid w:val="00E149D0"/>
    <w:rsid w:val="00E15BFE"/>
    <w:rsid w:val="00E1747E"/>
    <w:rsid w:val="00E1774F"/>
    <w:rsid w:val="00E17CCE"/>
    <w:rsid w:val="00E20EC5"/>
    <w:rsid w:val="00E2172D"/>
    <w:rsid w:val="00E21FC2"/>
    <w:rsid w:val="00E22505"/>
    <w:rsid w:val="00E22EBA"/>
    <w:rsid w:val="00E2518A"/>
    <w:rsid w:val="00E2778D"/>
    <w:rsid w:val="00E30395"/>
    <w:rsid w:val="00E30AF0"/>
    <w:rsid w:val="00E32291"/>
    <w:rsid w:val="00E34AC9"/>
    <w:rsid w:val="00E35D3B"/>
    <w:rsid w:val="00E374A1"/>
    <w:rsid w:val="00E40595"/>
    <w:rsid w:val="00E47982"/>
    <w:rsid w:val="00E5081B"/>
    <w:rsid w:val="00E531DB"/>
    <w:rsid w:val="00E55070"/>
    <w:rsid w:val="00E57793"/>
    <w:rsid w:val="00E60749"/>
    <w:rsid w:val="00E63C38"/>
    <w:rsid w:val="00E6415C"/>
    <w:rsid w:val="00E65921"/>
    <w:rsid w:val="00E65E4D"/>
    <w:rsid w:val="00E670CF"/>
    <w:rsid w:val="00E703B6"/>
    <w:rsid w:val="00E71570"/>
    <w:rsid w:val="00E716B8"/>
    <w:rsid w:val="00E73D24"/>
    <w:rsid w:val="00E76E8C"/>
    <w:rsid w:val="00E81CEE"/>
    <w:rsid w:val="00E82CFF"/>
    <w:rsid w:val="00E84502"/>
    <w:rsid w:val="00E84C44"/>
    <w:rsid w:val="00E9221B"/>
    <w:rsid w:val="00E958E6"/>
    <w:rsid w:val="00E967A2"/>
    <w:rsid w:val="00E97CD6"/>
    <w:rsid w:val="00EA1876"/>
    <w:rsid w:val="00EA2BD1"/>
    <w:rsid w:val="00EA4F82"/>
    <w:rsid w:val="00EA75C6"/>
    <w:rsid w:val="00EB0B6F"/>
    <w:rsid w:val="00EB31A5"/>
    <w:rsid w:val="00EB338C"/>
    <w:rsid w:val="00EB72EE"/>
    <w:rsid w:val="00EB7F86"/>
    <w:rsid w:val="00EC1BE4"/>
    <w:rsid w:val="00EC3D8D"/>
    <w:rsid w:val="00EC3EAB"/>
    <w:rsid w:val="00EC6F7E"/>
    <w:rsid w:val="00EC712E"/>
    <w:rsid w:val="00ED3463"/>
    <w:rsid w:val="00ED55D8"/>
    <w:rsid w:val="00ED66BB"/>
    <w:rsid w:val="00ED6B9B"/>
    <w:rsid w:val="00EE0FED"/>
    <w:rsid w:val="00EE24A1"/>
    <w:rsid w:val="00EE314A"/>
    <w:rsid w:val="00EE4F94"/>
    <w:rsid w:val="00EE59F1"/>
    <w:rsid w:val="00EE724D"/>
    <w:rsid w:val="00EE7D21"/>
    <w:rsid w:val="00EF1673"/>
    <w:rsid w:val="00EF25CF"/>
    <w:rsid w:val="00EF5252"/>
    <w:rsid w:val="00EF5E8A"/>
    <w:rsid w:val="00EF7A0E"/>
    <w:rsid w:val="00F0056C"/>
    <w:rsid w:val="00F0124C"/>
    <w:rsid w:val="00F0501E"/>
    <w:rsid w:val="00F061D5"/>
    <w:rsid w:val="00F06E83"/>
    <w:rsid w:val="00F07C56"/>
    <w:rsid w:val="00F1172E"/>
    <w:rsid w:val="00F119D0"/>
    <w:rsid w:val="00F11C7E"/>
    <w:rsid w:val="00F12539"/>
    <w:rsid w:val="00F14101"/>
    <w:rsid w:val="00F1497B"/>
    <w:rsid w:val="00F15698"/>
    <w:rsid w:val="00F16749"/>
    <w:rsid w:val="00F16FD8"/>
    <w:rsid w:val="00F1775D"/>
    <w:rsid w:val="00F202E0"/>
    <w:rsid w:val="00F209DD"/>
    <w:rsid w:val="00F21AAF"/>
    <w:rsid w:val="00F225A2"/>
    <w:rsid w:val="00F31378"/>
    <w:rsid w:val="00F355DB"/>
    <w:rsid w:val="00F367B9"/>
    <w:rsid w:val="00F36F9D"/>
    <w:rsid w:val="00F37982"/>
    <w:rsid w:val="00F40AD8"/>
    <w:rsid w:val="00F40FCA"/>
    <w:rsid w:val="00F4197F"/>
    <w:rsid w:val="00F447BA"/>
    <w:rsid w:val="00F4527B"/>
    <w:rsid w:val="00F52585"/>
    <w:rsid w:val="00F52EDC"/>
    <w:rsid w:val="00F54033"/>
    <w:rsid w:val="00F55874"/>
    <w:rsid w:val="00F55A38"/>
    <w:rsid w:val="00F643E2"/>
    <w:rsid w:val="00F6554F"/>
    <w:rsid w:val="00F67D74"/>
    <w:rsid w:val="00F70130"/>
    <w:rsid w:val="00F70D11"/>
    <w:rsid w:val="00F71098"/>
    <w:rsid w:val="00F75200"/>
    <w:rsid w:val="00F83AFF"/>
    <w:rsid w:val="00F85D36"/>
    <w:rsid w:val="00F85E36"/>
    <w:rsid w:val="00F9143D"/>
    <w:rsid w:val="00F91AC1"/>
    <w:rsid w:val="00F930F7"/>
    <w:rsid w:val="00F97AC5"/>
    <w:rsid w:val="00FA1684"/>
    <w:rsid w:val="00FA207F"/>
    <w:rsid w:val="00FA3B9C"/>
    <w:rsid w:val="00FA4240"/>
    <w:rsid w:val="00FA54E0"/>
    <w:rsid w:val="00FA5CB9"/>
    <w:rsid w:val="00FA7A88"/>
    <w:rsid w:val="00FA7FFA"/>
    <w:rsid w:val="00FB0B7D"/>
    <w:rsid w:val="00FB3050"/>
    <w:rsid w:val="00FB5A01"/>
    <w:rsid w:val="00FB5F38"/>
    <w:rsid w:val="00FB6673"/>
    <w:rsid w:val="00FC143B"/>
    <w:rsid w:val="00FC2A44"/>
    <w:rsid w:val="00FC4183"/>
    <w:rsid w:val="00FC5BFE"/>
    <w:rsid w:val="00FC65B5"/>
    <w:rsid w:val="00FC70E9"/>
    <w:rsid w:val="00FD1B1C"/>
    <w:rsid w:val="00FD33DF"/>
    <w:rsid w:val="00FD3488"/>
    <w:rsid w:val="00FD34DC"/>
    <w:rsid w:val="00FD3C11"/>
    <w:rsid w:val="00FD64B9"/>
    <w:rsid w:val="00FE2C81"/>
    <w:rsid w:val="00FE4621"/>
    <w:rsid w:val="00FE5458"/>
    <w:rsid w:val="00FE6523"/>
    <w:rsid w:val="00FE797E"/>
    <w:rsid w:val="00FE7D7C"/>
    <w:rsid w:val="00FF357F"/>
    <w:rsid w:val="3924138C"/>
    <w:rsid w:val="6118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3"/>
    <w:unhideWhenUsed/>
    <w:qFormat/>
    <w:uiPriority w:val="99"/>
    <w:pPr>
      <w:jc w:val="left"/>
    </w:pPr>
  </w:style>
  <w:style w:type="paragraph" w:styleId="12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paragraph" w:styleId="13">
    <w:name w:val="footer"/>
    <w:basedOn w:val="1"/>
    <w:link w:val="5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tabs>
        <w:tab w:val="left" w:pos="840"/>
        <w:tab w:val="right" w:leader="dot" w:pos="8296"/>
      </w:tabs>
      <w:spacing w:after="160" w:line="560" w:lineRule="exact"/>
      <w:jc w:val="center"/>
    </w:pPr>
    <w:rPr>
      <w:rFonts w:ascii="Calibri" w:hAnsi="Calibri" w:eastAsia="仿宋_GB2312" w:cs="黑体"/>
      <w:sz w:val="32"/>
      <w14:ligatures w14:val="none"/>
    </w:rPr>
  </w:style>
  <w:style w:type="paragraph" w:styleId="16">
    <w:name w:val="Subtitle"/>
    <w:basedOn w:val="1"/>
    <w:next w:val="1"/>
    <w:link w:val="3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oc 2"/>
    <w:basedOn w:val="1"/>
    <w:next w:val="1"/>
    <w:unhideWhenUsed/>
    <w:qFormat/>
    <w:uiPriority w:val="39"/>
    <w:pPr>
      <w:tabs>
        <w:tab w:val="left" w:pos="1050"/>
        <w:tab w:val="left" w:pos="1680"/>
        <w:tab w:val="right" w:leader="dot" w:pos="8296"/>
      </w:tabs>
      <w:spacing w:after="160" w:line="560" w:lineRule="exact"/>
      <w:ind w:left="480" w:leftChars="200" w:firstLine="480" w:firstLineChars="200"/>
      <w:jc w:val="left"/>
    </w:pPr>
    <w:rPr>
      <w:rFonts w:ascii="Calibri" w:hAnsi="Calibri" w:eastAsia="仿宋_GB2312" w:cs="黑体"/>
      <w:sz w:val="32"/>
      <w14:ligatures w14:val="none"/>
    </w:rPr>
  </w:style>
  <w:style w:type="paragraph" w:styleId="1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19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1"/>
    <w:next w:val="11"/>
    <w:link w:val="54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59"/>
    <w:pPr>
      <w:spacing w:after="160" w:line="278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3"/>
    <w:unhideWhenUsed/>
    <w:qFormat/>
    <w:uiPriority w:val="99"/>
    <w:rPr>
      <w:color w:val="0000FF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6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7">
    <w:name w:val="标题 2 字符"/>
    <w:basedOn w:val="23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字符"/>
    <w:basedOn w:val="23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字符"/>
    <w:basedOn w:val="23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1">
    <w:name w:val="标题 6 字符"/>
    <w:basedOn w:val="23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字符"/>
    <w:basedOn w:val="23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字符"/>
    <w:basedOn w:val="23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字符"/>
    <w:basedOn w:val="23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字符"/>
    <w:basedOn w:val="23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字符"/>
    <w:basedOn w:val="23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Intense Emphasis"/>
    <w:basedOn w:val="23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字符"/>
    <w:basedOn w:val="23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Intense Reference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4">
    <w:name w:val="样式3"/>
    <w:basedOn w:val="1"/>
    <w:qFormat/>
    <w:uiPriority w:val="0"/>
    <w:pPr>
      <w:widowControl/>
      <w:numPr>
        <w:ilvl w:val="0"/>
        <w:numId w:val="1"/>
      </w:numPr>
      <w:spacing w:before="50" w:beforeLines="50" w:after="50" w:afterLines="50" w:line="560" w:lineRule="exact"/>
      <w:outlineLvl w:val="2"/>
    </w:pPr>
    <w:rPr>
      <w:rFonts w:ascii="Calibri" w:hAnsi="Calibri" w:eastAsia="仿宋_GB2312" w:cs="黑体"/>
      <w:sz w:val="28"/>
      <w14:ligatures w14:val="none"/>
    </w:rPr>
  </w:style>
  <w:style w:type="paragraph" w:customStyle="1" w:styleId="45">
    <w:name w:val="样式1"/>
    <w:basedOn w:val="2"/>
    <w:link w:val="48"/>
    <w:qFormat/>
    <w:uiPriority w:val="0"/>
    <w:pPr>
      <w:spacing w:before="0" w:after="0" w:line="560" w:lineRule="exact"/>
    </w:pPr>
    <w:rPr>
      <w:rFonts w:ascii="黑体" w:hAnsi="黑体" w:eastAsia="黑体" w:cs="黑体"/>
      <w:bCs/>
      <w:color w:val="auto"/>
      <w:kern w:val="44"/>
      <w:sz w:val="36"/>
      <w:szCs w:val="44"/>
      <w14:ligatures w14:val="none"/>
    </w:rPr>
  </w:style>
  <w:style w:type="character" w:customStyle="1" w:styleId="46">
    <w:name w:val="Y正文 Char"/>
    <w:link w:val="47"/>
    <w:qFormat/>
    <w:uiPriority w:val="0"/>
    <w:rPr>
      <w:rFonts w:ascii="Times New Roman" w:hAnsi="Times New Roman" w:eastAsia="仿宋_GB2312"/>
      <w:sz w:val="32"/>
      <w:szCs w:val="32"/>
    </w:rPr>
  </w:style>
  <w:style w:type="paragraph" w:customStyle="1" w:styleId="47">
    <w:name w:val="Y正文"/>
    <w:basedOn w:val="1"/>
    <w:link w:val="46"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character" w:customStyle="1" w:styleId="48">
    <w:name w:val="样式1 Char"/>
    <w:link w:val="45"/>
    <w:qFormat/>
    <w:uiPriority w:val="0"/>
    <w:rPr>
      <w:rFonts w:ascii="黑体" w:hAnsi="黑体" w:eastAsia="黑体" w:cs="黑体"/>
      <w:bCs/>
      <w:kern w:val="44"/>
      <w:sz w:val="36"/>
      <w:szCs w:val="44"/>
      <w14:ligatures w14:val="none"/>
    </w:rPr>
  </w:style>
  <w:style w:type="character" w:customStyle="1" w:styleId="49">
    <w:name w:val="页眉 字符"/>
    <w:basedOn w:val="23"/>
    <w:link w:val="14"/>
    <w:qFormat/>
    <w:uiPriority w:val="99"/>
    <w:rPr>
      <w:sz w:val="18"/>
      <w:szCs w:val="18"/>
    </w:rPr>
  </w:style>
  <w:style w:type="character" w:customStyle="1" w:styleId="50">
    <w:name w:val="页脚 字符"/>
    <w:basedOn w:val="23"/>
    <w:link w:val="13"/>
    <w:qFormat/>
    <w:uiPriority w:val="99"/>
    <w:rPr>
      <w:sz w:val="18"/>
      <w:szCs w:val="18"/>
    </w:rPr>
  </w:style>
  <w:style w:type="paragraph" w:customStyle="1" w:styleId="5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  <w14:ligatures w14:val="none"/>
    </w:rPr>
  </w:style>
  <w:style w:type="paragraph" w:customStyle="1" w:styleId="5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53">
    <w:name w:val="批注文字 字符"/>
    <w:basedOn w:val="23"/>
    <w:link w:val="11"/>
    <w:qFormat/>
    <w:uiPriority w:val="99"/>
  </w:style>
  <w:style w:type="character" w:customStyle="1" w:styleId="54">
    <w:name w:val="批注主题 字符"/>
    <w:basedOn w:val="53"/>
    <w:link w:val="2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A7035-4A83-42D1-A6D1-2D14606C5A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9092</Words>
  <Characters>9278</Characters>
  <Lines>281</Lines>
  <Paragraphs>79</Paragraphs>
  <TotalTime>3</TotalTime>
  <ScaleCrop>false</ScaleCrop>
  <LinksUpToDate>false</LinksUpToDate>
  <CharactersWithSpaces>9328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2026-08-28T07:45:00Z</dcterms:created>
  <dc:creator>王 艺淳</dc:creator>
  <cp:lastModifiedBy>孙彤</cp:lastModifiedBy>
  <cp:lastPrinted>2025-09-03T09:17:00Z</cp:lastPrinted>
  <dcterms:modified xsi:type="dcterms:W3CDTF">2026-09-07T07:06:05Z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eyJoZGlkIjoiNmVhNTRhYTQxZGJlMzZmOGVkZDU1YzYxMTYzOTBiNWUiLCJ1c2VySWQiOiI2NTY3OTU2NzQifQ==</vt:lpwstr>
  </property>
  <property fmtid="{D5CDD505-2E9C-101B-9397-08002B2CF9AE}" pid="3" name="KSOProductBuildVer">
    <vt:lpwstr>2052-12.1.0.17827</vt:lpwstr>
  </property>
  <property fmtid="{D5CDD505-2E9C-101B-9397-08002B2CF9AE}" pid="4" name="ICV">
    <vt:lpwstr>1AC0CD38A1174E949CB32136B1312231_12</vt:lpwstr>
  </property>
</Properties>
</file>