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color w:val="000000" w:themeColor="text1"/>
          <w14:textFill>
            <w14:solidFill>
              <w14:schemeClr w14:val="tx1"/>
            </w14:solidFill>
          </w14:textFill>
        </w:rPr>
      </w:pPr>
    </w:p>
    <w:p>
      <w:pPr>
        <w:pStyle w:val="2"/>
        <w:ind w:firstLine="0" w:firstLineChars="0"/>
        <w:rPr>
          <w:color w:val="000000" w:themeColor="text1"/>
          <w14:textFill>
            <w14:solidFill>
              <w14:schemeClr w14:val="tx1"/>
            </w14:solidFill>
          </w14:textFill>
        </w:rPr>
      </w:pPr>
    </w:p>
    <w:p>
      <w:pPr>
        <w:pStyle w:val="2"/>
        <w:ind w:firstLine="0" w:firstLineChars="0"/>
        <w:rPr>
          <w:color w:val="000000" w:themeColor="text1"/>
          <w14:textFill>
            <w14:solidFill>
              <w14:schemeClr w14:val="tx1"/>
            </w14:solidFill>
          </w14:textFill>
        </w:rPr>
      </w:pPr>
    </w:p>
    <w:p>
      <w:pPr>
        <w:spacing w:line="760" w:lineRule="exact"/>
        <w:jc w:val="center"/>
        <w:rPr>
          <w:rFonts w:hint="eastAsia" w:ascii="方正小标宋简体" w:hAnsi="小标宋体" w:eastAsia="方正小标宋简体" w:cs="小标宋体"/>
          <w:color w:val="000000" w:themeColor="text1"/>
          <w:sz w:val="52"/>
          <w:szCs w:val="52"/>
          <w14:textFill>
            <w14:solidFill>
              <w14:schemeClr w14:val="tx1"/>
            </w14:solidFill>
          </w14:textFill>
          <w14:ligatures w14:val="standardContextual"/>
        </w:rPr>
      </w:pPr>
      <w:r>
        <w:rPr>
          <w:rFonts w:hint="eastAsia" w:ascii="方正小标宋简体" w:hAnsi="小标宋体" w:eastAsia="方正小标宋简体" w:cs="小标宋体"/>
          <w:color w:val="000000" w:themeColor="text1"/>
          <w:sz w:val="52"/>
          <w:szCs w:val="52"/>
          <w14:textFill>
            <w14:solidFill>
              <w14:schemeClr w14:val="tx1"/>
            </w14:solidFill>
          </w14:textFill>
          <w14:ligatures w14:val="standardContextual"/>
        </w:rPr>
        <w:t>平谷区“十五五”时期推进教育</w:t>
      </w:r>
    </w:p>
    <w:p>
      <w:pPr>
        <w:spacing w:line="760" w:lineRule="exact"/>
        <w:jc w:val="center"/>
        <w:rPr>
          <w:rFonts w:hint="eastAsia" w:ascii="方正小标宋简体" w:hAnsi="小标宋体" w:eastAsia="方正小标宋简体" w:cs="小标宋体"/>
          <w:color w:val="000000" w:themeColor="text1"/>
          <w:sz w:val="52"/>
          <w:szCs w:val="52"/>
          <w14:textFill>
            <w14:solidFill>
              <w14:schemeClr w14:val="tx1"/>
            </w14:solidFill>
          </w14:textFill>
          <w14:ligatures w14:val="standardContextual"/>
        </w:rPr>
      </w:pPr>
      <w:r>
        <w:rPr>
          <w:rFonts w:hint="eastAsia" w:ascii="方正小标宋简体" w:hAnsi="小标宋体" w:eastAsia="方正小标宋简体" w:cs="小标宋体"/>
          <w:color w:val="000000" w:themeColor="text1"/>
          <w:sz w:val="52"/>
          <w:szCs w:val="52"/>
          <w14:textFill>
            <w14:solidFill>
              <w14:schemeClr w14:val="tx1"/>
            </w14:solidFill>
          </w14:textFill>
          <w14:ligatures w14:val="standardContextual"/>
        </w:rPr>
        <w:t>高质量发展规划</w:t>
      </w:r>
    </w:p>
    <w:p>
      <w:pPr>
        <w:pStyle w:val="2"/>
        <w:rPr>
          <w:color w:val="000000" w:themeColor="text1"/>
          <w14:textFill>
            <w14:solidFill>
              <w14:schemeClr w14:val="tx1"/>
            </w14:solidFill>
          </w14:textFill>
        </w:rPr>
      </w:pPr>
    </w:p>
    <w:p>
      <w:pPr>
        <w:tabs>
          <w:tab w:val="right" w:leader="dot" w:pos="8300"/>
        </w:tabs>
        <w:spacing w:line="760" w:lineRule="exact"/>
        <w:jc w:val="center"/>
        <w:rPr>
          <w:rFonts w:hint="eastAsia" w:ascii="方正小标宋简体" w:hAnsi="宋体" w:eastAsia="方正小标宋简体" w:cs="Arial Unicode MS"/>
          <w:color w:val="000000" w:themeColor="text1"/>
          <w:kern w:val="0"/>
          <w:sz w:val="52"/>
          <w:szCs w:val="52"/>
          <w:lang w:val="zh-TW"/>
          <w14:textFill>
            <w14:solidFill>
              <w14:schemeClr w14:val="tx1"/>
            </w14:solidFill>
          </w14:textFill>
          <w14:ligatures w14:val="standardContextual"/>
        </w:rPr>
      </w:pPr>
      <w:r>
        <w:rPr>
          <w:rFonts w:hint="eastAsia" w:ascii="方正小标宋简体" w:hAnsi="宋体" w:eastAsia="方正小标宋简体" w:cs="微软雅黑"/>
          <w:color w:val="000000" w:themeColor="text1"/>
          <w:kern w:val="0"/>
          <w:sz w:val="52"/>
          <w:szCs w:val="52"/>
          <w:lang w:val="zh-TW"/>
          <w14:textFill>
            <w14:solidFill>
              <w14:schemeClr w14:val="tx1"/>
            </w14:solidFill>
          </w14:textFill>
          <w14:ligatures w14:val="standardContextual"/>
        </w:rPr>
        <w:t>（代拟稿</w:t>
      </w:r>
      <w:r>
        <w:rPr>
          <w:rFonts w:hint="eastAsia" w:ascii="方正小标宋简体" w:hAnsi="宋体" w:eastAsia="方正小标宋简体" w:cs="微软雅黑"/>
          <w:color w:val="000000" w:themeColor="text1"/>
          <w:kern w:val="0"/>
          <w:sz w:val="52"/>
          <w:szCs w:val="52"/>
          <w14:textFill>
            <w14:solidFill>
              <w14:schemeClr w14:val="tx1"/>
            </w14:solidFill>
          </w14:textFill>
          <w14:ligatures w14:val="standardContextual"/>
        </w:rPr>
        <w:t>29版</w:t>
      </w:r>
      <w:r>
        <w:rPr>
          <w:rFonts w:hint="eastAsia" w:ascii="方正小标宋简体" w:hAnsi="宋体" w:eastAsia="方正小标宋简体" w:cs="微软雅黑"/>
          <w:color w:val="000000" w:themeColor="text1"/>
          <w:kern w:val="0"/>
          <w:sz w:val="52"/>
          <w:szCs w:val="52"/>
          <w:lang w:val="zh-TW"/>
          <w14:textFill>
            <w14:solidFill>
              <w14:schemeClr w14:val="tx1"/>
            </w14:solidFill>
          </w14:textFill>
          <w14:ligatures w14:val="standardContextual"/>
        </w:rPr>
        <w:t>）</w:t>
      </w:r>
    </w:p>
    <w:p>
      <w:pPr>
        <w:pStyle w:val="2"/>
        <w:spacing w:line="760" w:lineRule="exact"/>
        <w:rPr>
          <w:color w:val="000000" w:themeColor="text1"/>
          <w:lang w:val="zh-TW"/>
          <w14:textFill>
            <w14:solidFill>
              <w14:schemeClr w14:val="tx1"/>
            </w14:solidFill>
          </w14:textFill>
        </w:rPr>
      </w:pPr>
    </w:p>
    <w:p>
      <w:pPr>
        <w:pStyle w:val="2"/>
        <w:rPr>
          <w:color w:val="000000" w:themeColor="text1"/>
          <w:lang w:val="zh-TW"/>
          <w14:textFill>
            <w14:solidFill>
              <w14:schemeClr w14:val="tx1"/>
            </w14:solidFill>
          </w14:textFill>
        </w:rPr>
      </w:pPr>
    </w:p>
    <w:p>
      <w:pPr>
        <w:pStyle w:val="2"/>
        <w:rPr>
          <w:color w:val="000000" w:themeColor="text1"/>
          <w:lang w:val="zh-TW"/>
          <w14:textFill>
            <w14:solidFill>
              <w14:schemeClr w14:val="tx1"/>
            </w14:solidFill>
          </w14:textFill>
        </w:rPr>
      </w:pPr>
    </w:p>
    <w:p>
      <w:pPr>
        <w:pStyle w:val="2"/>
        <w:rPr>
          <w:color w:val="000000" w:themeColor="text1"/>
          <w:lang w:val="zh-TW"/>
          <w14:textFill>
            <w14:solidFill>
              <w14:schemeClr w14:val="tx1"/>
            </w14:solidFill>
          </w14:textFill>
        </w:rPr>
      </w:pPr>
    </w:p>
    <w:p>
      <w:pPr>
        <w:pStyle w:val="2"/>
        <w:rPr>
          <w:color w:val="000000" w:themeColor="text1"/>
          <w:lang w:val="zh-TW"/>
          <w14:textFill>
            <w14:solidFill>
              <w14:schemeClr w14:val="tx1"/>
            </w14:solidFill>
          </w14:textFill>
        </w:rPr>
      </w:pPr>
    </w:p>
    <w:p>
      <w:pPr>
        <w:pStyle w:val="2"/>
        <w:rPr>
          <w:color w:val="000000" w:themeColor="text1"/>
          <w:lang w:val="zh-TW"/>
          <w14:textFill>
            <w14:solidFill>
              <w14:schemeClr w14:val="tx1"/>
            </w14:solidFill>
          </w14:textFill>
        </w:rPr>
      </w:pPr>
    </w:p>
    <w:p>
      <w:pPr>
        <w:pStyle w:val="2"/>
        <w:rPr>
          <w:color w:val="000000" w:themeColor="text1"/>
          <w:lang w:val="zh-TW"/>
          <w14:textFill>
            <w14:solidFill>
              <w14:schemeClr w14:val="tx1"/>
            </w14:solidFill>
          </w14:textFill>
        </w:rPr>
      </w:pPr>
    </w:p>
    <w:p>
      <w:pPr>
        <w:pStyle w:val="2"/>
        <w:rPr>
          <w:color w:val="000000" w:themeColor="text1"/>
          <w:lang w:val="zh-TW"/>
          <w14:textFill>
            <w14:solidFill>
              <w14:schemeClr w14:val="tx1"/>
            </w14:solidFill>
          </w14:textFill>
        </w:rPr>
      </w:pPr>
    </w:p>
    <w:p>
      <w:pPr>
        <w:pStyle w:val="2"/>
        <w:rPr>
          <w:color w:val="000000" w:themeColor="text1"/>
          <w:lang w:val="zh-TW"/>
          <w14:textFill>
            <w14:solidFill>
              <w14:schemeClr w14:val="tx1"/>
            </w14:solidFill>
          </w14:textFill>
        </w:rPr>
      </w:pPr>
    </w:p>
    <w:p>
      <w:pPr>
        <w:pStyle w:val="2"/>
        <w:ind w:left="0" w:leftChars="0" w:firstLine="0" w:firstLineChars="0"/>
        <w:jc w:val="both"/>
        <w:rPr>
          <w:rFonts w:hint="eastAsia" w:ascii="楷体" w:hAnsi="楷体" w:eastAsia="楷体"/>
          <w:color w:val="000000" w:themeColor="text1"/>
          <w:sz w:val="32"/>
          <w:szCs w:val="32"/>
          <w:lang w:val="zh-TW"/>
          <w14:textFill>
            <w14:solidFill>
              <w14:schemeClr w14:val="tx1"/>
            </w14:solidFill>
          </w14:textFill>
        </w:rPr>
      </w:pPr>
    </w:p>
    <w:p>
      <w:pPr>
        <w:pStyle w:val="2"/>
        <w:ind w:left="0" w:leftChars="0" w:firstLine="0" w:firstLineChars="0"/>
        <w:jc w:val="center"/>
        <w:rPr>
          <w:rFonts w:hint="eastAsia" w:ascii="楷体" w:hAnsi="楷体" w:eastAsia="楷体"/>
          <w:color w:val="000000" w:themeColor="text1"/>
          <w:sz w:val="32"/>
          <w:szCs w:val="32"/>
          <w:lang w:val="zh-TW"/>
          <w14:textFill>
            <w14:solidFill>
              <w14:schemeClr w14:val="tx1"/>
            </w14:solidFill>
          </w14:textFill>
        </w:rPr>
      </w:pPr>
      <w:r>
        <w:rPr>
          <w:rFonts w:hint="eastAsia" w:ascii="楷体" w:hAnsi="楷体" w:eastAsia="楷体"/>
          <w:color w:val="000000" w:themeColor="text1"/>
          <w:sz w:val="32"/>
          <w:szCs w:val="32"/>
          <w:lang w:val="zh-TW"/>
          <w14:textFill>
            <w14:solidFill>
              <w14:schemeClr w14:val="tx1"/>
            </w14:solidFill>
          </w14:textFill>
        </w:rPr>
        <w:t>北京市</w:t>
      </w:r>
      <w:r>
        <w:rPr>
          <w:rFonts w:ascii="楷体" w:hAnsi="楷体" w:eastAsia="楷体"/>
          <w:color w:val="000000" w:themeColor="text1"/>
          <w:sz w:val="32"/>
          <w:szCs w:val="32"/>
          <w:lang w:val="zh-TW"/>
          <w14:textFill>
            <w14:solidFill>
              <w14:schemeClr w14:val="tx1"/>
            </w14:solidFill>
          </w14:textFill>
        </w:rPr>
        <w:t>平谷区</w:t>
      </w:r>
      <w:r>
        <w:rPr>
          <w:rFonts w:hint="eastAsia" w:ascii="楷体" w:hAnsi="楷体" w:eastAsia="楷体"/>
          <w:color w:val="000000" w:themeColor="text1"/>
          <w:sz w:val="32"/>
          <w:szCs w:val="32"/>
          <w:lang w:val="zh-TW"/>
          <w14:textFill>
            <w14:solidFill>
              <w14:schemeClr w14:val="tx1"/>
            </w14:solidFill>
          </w14:textFill>
        </w:rPr>
        <w:t>教育委员会</w:t>
      </w:r>
    </w:p>
    <w:p>
      <w:pPr>
        <w:pStyle w:val="2"/>
        <w:ind w:firstLine="3520" w:firstLineChars="1100"/>
        <w:jc w:val="both"/>
        <w:rPr>
          <w:rFonts w:hint="eastAsia" w:ascii="楷体" w:hAnsi="楷体" w:eastAsia="楷体"/>
          <w:color w:val="000000" w:themeColor="text1"/>
          <w:sz w:val="32"/>
          <w:szCs w:val="32"/>
          <w:lang w:val="zh-TW"/>
          <w14:textFill>
            <w14:solidFill>
              <w14:schemeClr w14:val="tx1"/>
            </w14:solidFill>
          </w14:textFill>
        </w:rPr>
      </w:pPr>
      <w:r>
        <w:rPr>
          <w:rFonts w:hint="eastAsia" w:ascii="楷体" w:hAnsi="楷体" w:eastAsia="楷体"/>
          <w:color w:val="000000" w:themeColor="text1"/>
          <w:sz w:val="32"/>
          <w:szCs w:val="32"/>
          <w:lang w:val="zh-TW"/>
          <w14:textFill>
            <w14:solidFill>
              <w14:schemeClr w14:val="tx1"/>
            </w14:solidFill>
          </w14:textFill>
        </w:rPr>
        <w:t>2</w:t>
      </w:r>
      <w:r>
        <w:rPr>
          <w:rFonts w:ascii="楷体" w:hAnsi="楷体" w:eastAsia="楷体"/>
          <w:color w:val="000000" w:themeColor="text1"/>
          <w:sz w:val="32"/>
          <w:szCs w:val="32"/>
          <w:lang w:val="zh-TW" w:eastAsia="zh-TW"/>
          <w14:textFill>
            <w14:solidFill>
              <w14:schemeClr w14:val="tx1"/>
            </w14:solidFill>
          </w14:textFill>
        </w:rPr>
        <w:t>02</w:t>
      </w:r>
      <w:r>
        <w:rPr>
          <w:rFonts w:ascii="楷体" w:hAnsi="楷体" w:eastAsia="PMingLiU"/>
          <w:color w:val="000000" w:themeColor="text1"/>
          <w:sz w:val="32"/>
          <w:szCs w:val="32"/>
          <w:lang w:val="zh-TW" w:eastAsia="zh-TW"/>
          <w14:textFill>
            <w14:solidFill>
              <w14:schemeClr w14:val="tx1"/>
            </w14:solidFill>
          </w14:textFill>
        </w:rPr>
        <w:t>6</w:t>
      </w:r>
      <w:r>
        <w:rPr>
          <w:rFonts w:ascii="楷体" w:hAnsi="楷体" w:eastAsia="楷体"/>
          <w:color w:val="000000" w:themeColor="text1"/>
          <w:sz w:val="32"/>
          <w:szCs w:val="32"/>
          <w:lang w:val="zh-TW"/>
          <w14:textFill>
            <w14:solidFill>
              <w14:schemeClr w14:val="tx1"/>
            </w14:solidFill>
          </w14:textFill>
        </w:rPr>
        <w:t>年</w:t>
      </w:r>
      <w:r>
        <w:rPr>
          <w:rFonts w:hint="eastAsia" w:ascii="楷体" w:hAnsi="楷体" w:eastAsia="宋体"/>
          <w:color w:val="000000" w:themeColor="text1"/>
          <w:sz w:val="32"/>
          <w:szCs w:val="32"/>
          <w14:textFill>
            <w14:solidFill>
              <w14:schemeClr w14:val="tx1"/>
            </w14:solidFill>
          </w14:textFill>
        </w:rPr>
        <w:t>5</w:t>
      </w:r>
      <w:r>
        <w:rPr>
          <w:rFonts w:hint="eastAsia" w:ascii="楷体" w:hAnsi="楷体" w:eastAsia="楷体"/>
          <w:color w:val="000000" w:themeColor="text1"/>
          <w:sz w:val="32"/>
          <w:szCs w:val="32"/>
          <w:lang w:val="zh-TW"/>
          <w14:textFill>
            <w14:solidFill>
              <w14:schemeClr w14:val="tx1"/>
            </w14:solidFill>
          </w14:textFill>
        </w:rPr>
        <w:t>月</w:t>
      </w:r>
    </w:p>
    <w:p>
      <w:pPr>
        <w:pStyle w:val="2"/>
        <w:ind w:firstLineChars="105"/>
        <w:jc w:val="center"/>
        <w:rPr>
          <w:rFonts w:hint="eastAsia" w:ascii="小标宋体" w:hAnsi="小标宋体" w:cs="小标宋体" w:eastAsiaTheme="minorEastAsia"/>
          <w:color w:val="000000" w:themeColor="text1"/>
          <w:sz w:val="40"/>
          <w:szCs w:val="44"/>
          <w14:textFill>
            <w14:solidFill>
              <w14:schemeClr w14:val="tx1"/>
            </w14:solidFill>
          </w14:textFill>
          <w14:ligatures w14:val="standardContextual"/>
        </w:rPr>
      </w:pPr>
    </w:p>
    <w:p>
      <w:pPr>
        <w:pStyle w:val="2"/>
        <w:rPr>
          <w:rFonts w:eastAsia="PMingLiU"/>
          <w:color w:val="000000" w:themeColor="text1"/>
          <w:lang w:val="zh-TW" w:eastAsia="zh-TW"/>
          <w14:textFill>
            <w14:solidFill>
              <w14:schemeClr w14:val="tx1"/>
            </w14:solidFill>
          </w14:textFill>
        </w:rPr>
      </w:pPr>
    </w:p>
    <w:p>
      <w:pPr>
        <w:rPr>
          <w:rFonts w:hint="eastAsia"/>
          <w:color w:val="000000" w:themeColor="text1"/>
          <w:lang w:eastAsia="zh-TW"/>
          <w14:textFill>
            <w14:solidFill>
              <w14:schemeClr w14:val="tx1"/>
            </w14:solidFill>
          </w14:textFill>
        </w:rPr>
      </w:pPr>
    </w:p>
    <w:p>
      <w:pPr>
        <w:spacing w:after="160" w:line="560" w:lineRule="exact"/>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sectPr>
          <w:footerReference r:id="rId3" w:type="default"/>
          <w:footerReference r:id="rId4" w:type="even"/>
          <w:pgSz w:w="11906" w:h="16838"/>
          <w:pgMar w:top="2098" w:right="1474" w:bottom="1985" w:left="1588"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为加快平谷区教育现代化建设，推进全区教育高质量发展，制定本规划，规划期限为2026-2030年。</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14:ligatures w14:val="standardContextual"/>
        </w:rPr>
      </w:pPr>
      <w:r>
        <w:rPr>
          <w:rFonts w:hint="eastAsia" w:ascii="黑体" w:hAnsi="黑体" w:eastAsia="黑体" w:cs="黑体"/>
          <w:color w:val="000000" w:themeColor="text1"/>
          <w:sz w:val="32"/>
          <w:szCs w:val="32"/>
          <w:lang w:eastAsia="zh-CN"/>
          <w14:textFill>
            <w14:solidFill>
              <w14:schemeClr w14:val="tx1"/>
            </w14:solidFill>
          </w14:textFill>
          <w14:ligatures w14:val="standardContextual"/>
        </w:rPr>
        <w:t>一、总体要求</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坚持以习近平新时代中国特色社会主义思想为指导，深入贯彻党的二十大</w:t>
      </w:r>
      <w:r>
        <w:rPr>
          <w:rFonts w:hint="eastAsia" w:ascii="仿宋_GB2312" w:hAnsi="仿宋_GB2312" w:eastAsia="仿宋_GB2312" w:cs="仿宋_GB2312"/>
          <w:color w:val="000000" w:themeColor="text1"/>
          <w:sz w:val="32"/>
          <w:szCs w:val="32"/>
          <w:lang w:eastAsia="zh-CN"/>
          <w14:textFill>
            <w14:solidFill>
              <w14:schemeClr w14:val="tx1"/>
            </w14:solidFill>
          </w14:textFill>
          <w14:ligatures w14:val="standardContextual"/>
        </w:rPr>
        <w:t>和</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二十届历次全会精神和习近平总书记关于教育的重要论述，全面落实《教育强国建设规划纲要（2024-2035年）》（以下简称《规划纲要》）、《北京市贯彻</w:t>
      </w:r>
      <w:r>
        <w:rPr>
          <w:rFonts w:hint="eastAsia" w:ascii="仿宋_GB2312" w:hAnsi="仿宋_GB2312" w:eastAsia="仿宋_GB2312" w:cs="仿宋_GB2312"/>
          <w:color w:val="000000" w:themeColor="text1"/>
          <w:sz w:val="32"/>
          <w:szCs w:val="32"/>
          <w:lang w:val="en-US" w:eastAsia="zh-CN"/>
          <w14:textFill>
            <w14:solidFill>
              <w14:schemeClr w14:val="tx1"/>
            </w14:solidFill>
          </w14:textFill>
          <w14:ligatures w14:val="standardContextual"/>
        </w:rPr>
        <w:t>&lt;</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教育强国建设规划纲要（2024-2035年）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14:ligatures w14:val="standardContextual"/>
        </w:rPr>
        <w:t>&gt;</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的实施方案》（以下简称《北京实施方案》），结合《北京市平谷区国民经济和社会发展第十五个五年规划纲要》准确把握教育的政治属性、人民属性、战略属性，落实立德树人根本任务，提高教育质量，促进教育公平，加快建设高质量教育体系，努力办好人民满意的教育。</w:t>
      </w:r>
      <w:r>
        <w:rPr>
          <w:rFonts w:ascii="仿宋_GB2312" w:hAnsi="仿宋_GB2312" w:eastAsia="仿宋_GB2312" w:cs="仿宋_GB2312"/>
          <w:color w:val="000000" w:themeColor="text1"/>
          <w:sz w:val="32"/>
          <w:szCs w:val="32"/>
          <w14:textFill>
            <w14:solidFill>
              <w14:schemeClr w14:val="tx1"/>
            </w14:solidFill>
          </w14:textFill>
          <w14:ligatures w14:val="standardContextual"/>
        </w:rPr>
        <w:t>深入贯彻落实平谷区教育高质量发展大会精神，</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推进教育科技人才一体化发展，深化平谷区创新“654321”教育发展路径，</w:t>
      </w:r>
      <w:r>
        <w:rPr>
          <w:rFonts w:ascii="仿宋_GB2312" w:hAnsi="仿宋_GB2312" w:eastAsia="仿宋_GB2312" w:cs="仿宋_GB2312"/>
          <w:color w:val="000000" w:themeColor="text1"/>
          <w:sz w:val="32"/>
          <w:szCs w:val="32"/>
          <w14:textFill>
            <w14:solidFill>
              <w14:schemeClr w14:val="tx1"/>
            </w14:solidFill>
          </w14:textFill>
          <w14:ligatures w14:val="standardContextual"/>
        </w:rPr>
        <w:t>着力打造与平谷建设相匹配的一流教育，为服务国家战略、践行教育强国首善标准提供区域实践样本，奋力谱写富有平谷特色的教育现代化新篇章</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发展目标：到2027年，义务教育优质均衡发展全面达标，高质量教育体系建设取得标志性进展，彰显教育强国首善标准城乡一体化发展格局初步形成；到2030年，义务教育优质均衡成果进一步巩固，高中教育集团化多样化发展取得显著成果，职业教育实行职普融通和产教融合，全区教育发展质量主要指标进入首都生态涵养区前列，建成具有区域特色，彰显首善标准的京郊</w:t>
      </w:r>
      <w:r>
        <w:rPr>
          <w:rFonts w:hint="eastAsia" w:ascii="仿宋_GB2312" w:hAnsi="仿宋_GB2312" w:eastAsia="仿宋_GB2312" w:cs="仿宋_GB2312"/>
          <w:color w:val="212121"/>
          <w:sz w:val="32"/>
          <w:szCs w:val="32"/>
          <w14:ligatures w14:val="standardContextual"/>
        </w:rPr>
        <w:t>教育新高地。</w:t>
      </w:r>
      <w:r>
        <w:rPr>
          <w:rFonts w:ascii="仿宋_GB2312" w:hAnsi="仿宋_GB2312" w:eastAsia="仿宋_GB2312" w:cs="仿宋_GB2312"/>
          <w:color w:val="212121"/>
          <w:sz w:val="32"/>
          <w:szCs w:val="32"/>
          <w14:ligatures w14:val="standardContextual"/>
        </w:rPr>
        <w:t>到2035年，全区</w:t>
      </w:r>
      <w:r>
        <w:rPr>
          <w:rFonts w:hint="eastAsia" w:ascii="仿宋_GB2312" w:hAnsi="仿宋_GB2312" w:eastAsia="仿宋_GB2312" w:cs="仿宋_GB2312"/>
          <w:color w:val="212121"/>
          <w:sz w:val="32"/>
          <w:szCs w:val="32"/>
          <w14:ligatures w14:val="standardContextual"/>
        </w:rPr>
        <w:t>基本</w:t>
      </w:r>
      <w:r>
        <w:rPr>
          <w:rFonts w:ascii="仿宋_GB2312" w:hAnsi="仿宋_GB2312" w:eastAsia="仿宋_GB2312" w:cs="仿宋_GB2312"/>
          <w:color w:val="212121"/>
          <w:sz w:val="32"/>
          <w:szCs w:val="32"/>
          <w14:ligatures w14:val="standardContextual"/>
        </w:rPr>
        <w:t>达到教育强国首善标准，全面建成高质量教育体系，拔尖创新人才培养取得标志性成效。</w:t>
      </w:r>
    </w:p>
    <w:p>
      <w:pPr>
        <w:spacing w:line="560" w:lineRule="exact"/>
        <w:ind w:firstLine="643" w:firstLineChars="200"/>
        <w:jc w:val="center"/>
        <w:textAlignment w:val="baseline"/>
        <w:rPr>
          <w:rFonts w:hint="eastAsia" w:ascii="仿宋_GB2312" w:hAnsi="仿宋_GB2312" w:eastAsia="仿宋_GB2312" w:cs="仿宋_GB2312"/>
          <w:b/>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b/>
          <w:color w:val="000000" w:themeColor="text1"/>
          <w:sz w:val="32"/>
          <w:szCs w:val="32"/>
          <w14:textFill>
            <w14:solidFill>
              <w14:schemeClr w14:val="tx1"/>
            </w14:solidFill>
          </w14:textFill>
          <w14:ligatures w14:val="standardContextual"/>
        </w:rPr>
        <w:t>平谷区推进教育高质量发展规划主要指标</w:t>
      </w:r>
    </w:p>
    <w:tbl>
      <w:tblPr>
        <w:tblStyle w:val="11"/>
        <w:tblpPr w:leftFromText="180" w:rightFromText="180" w:vertAnchor="text" w:horzAnchor="page" w:tblpXSpec="center" w:tblpY="367"/>
        <w:tblOverlap w:val="never"/>
        <w:tblW w:w="1034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26"/>
        <w:gridCol w:w="6642"/>
        <w:gridCol w:w="993"/>
        <w:gridCol w:w="992"/>
        <w:gridCol w:w="99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9" w:hRule="atLeast"/>
          <w:jc w:val="center"/>
        </w:trPr>
        <w:tc>
          <w:tcPr>
            <w:tcW w:w="726" w:type="dxa"/>
            <w:vAlign w:val="center"/>
          </w:tcPr>
          <w:p>
            <w:pPr>
              <w:spacing w:line="560" w:lineRule="exact"/>
              <w:jc w:val="center"/>
              <w:textAlignment w:val="baseline"/>
              <w:rPr>
                <w:rFonts w:hint="eastAsia" w:ascii="宋体" w:hAnsi="宋体" w:eastAsia="宋体" w:cs="宋体"/>
                <w:b/>
                <w:bCs/>
                <w:color w:val="000000" w:themeColor="text1"/>
                <w:sz w:val="28"/>
                <w:szCs w:val="28"/>
                <w14:textFill>
                  <w14:solidFill>
                    <w14:schemeClr w14:val="tx1"/>
                  </w14:solidFill>
                </w14:textFill>
                <w14:ligatures w14:val="standardContextual"/>
              </w:rPr>
            </w:pPr>
            <w:r>
              <w:rPr>
                <w:rFonts w:hint="eastAsia" w:ascii="宋体" w:hAnsi="宋体" w:eastAsia="宋体" w:cs="宋体"/>
                <w:b/>
                <w:bCs/>
                <w:color w:val="000000" w:themeColor="text1"/>
                <w:sz w:val="28"/>
                <w:szCs w:val="28"/>
                <w14:textFill>
                  <w14:solidFill>
                    <w14:schemeClr w14:val="tx1"/>
                  </w14:solidFill>
                </w14:textFill>
                <w14:ligatures w14:val="standardContextual"/>
              </w:rPr>
              <w:t>序号</w:t>
            </w:r>
          </w:p>
        </w:tc>
        <w:tc>
          <w:tcPr>
            <w:tcW w:w="6642" w:type="dxa"/>
            <w:vAlign w:val="center"/>
          </w:tcPr>
          <w:p>
            <w:pPr>
              <w:spacing w:line="560" w:lineRule="exact"/>
              <w:jc w:val="center"/>
              <w:textAlignment w:val="baseline"/>
              <w:rPr>
                <w:rFonts w:hint="eastAsia" w:ascii="宋体" w:hAnsi="宋体" w:eastAsia="宋体" w:cs="宋体"/>
                <w:b/>
                <w:bCs/>
                <w:color w:val="000000" w:themeColor="text1"/>
                <w:sz w:val="28"/>
                <w:szCs w:val="28"/>
                <w14:textFill>
                  <w14:solidFill>
                    <w14:schemeClr w14:val="tx1"/>
                  </w14:solidFill>
                </w14:textFill>
                <w14:ligatures w14:val="standardContextual"/>
              </w:rPr>
            </w:pPr>
            <w:r>
              <w:rPr>
                <w:rFonts w:hint="eastAsia" w:ascii="宋体" w:hAnsi="宋体" w:eastAsia="宋体" w:cs="宋体"/>
                <w:b/>
                <w:bCs/>
                <w:color w:val="000000" w:themeColor="text1"/>
                <w:sz w:val="28"/>
                <w:szCs w:val="28"/>
                <w14:textFill>
                  <w14:solidFill>
                    <w14:schemeClr w14:val="tx1"/>
                  </w14:solidFill>
                </w14:textFill>
                <w14:ligatures w14:val="standardContextual"/>
              </w:rPr>
              <w:t>指标</w:t>
            </w:r>
          </w:p>
        </w:tc>
        <w:tc>
          <w:tcPr>
            <w:tcW w:w="993" w:type="dxa"/>
            <w:vAlign w:val="center"/>
          </w:tcPr>
          <w:p>
            <w:pPr>
              <w:spacing w:line="560" w:lineRule="exact"/>
              <w:jc w:val="center"/>
              <w:textAlignment w:val="baseline"/>
              <w:rPr>
                <w:rFonts w:hint="eastAsia" w:ascii="宋体" w:hAnsi="宋体" w:eastAsia="宋体" w:cs="宋体"/>
                <w:b/>
                <w:bCs/>
                <w:color w:val="000000" w:themeColor="text1"/>
                <w:sz w:val="28"/>
                <w:szCs w:val="28"/>
                <w14:textFill>
                  <w14:solidFill>
                    <w14:schemeClr w14:val="tx1"/>
                  </w14:solidFill>
                </w14:textFill>
                <w14:ligatures w14:val="standardContextual"/>
              </w:rPr>
            </w:pPr>
            <w:r>
              <w:rPr>
                <w:rFonts w:hint="eastAsia" w:ascii="宋体" w:hAnsi="宋体" w:eastAsia="宋体" w:cs="宋体"/>
                <w:b/>
                <w:bCs/>
                <w:color w:val="000000" w:themeColor="text1"/>
                <w:sz w:val="28"/>
                <w:szCs w:val="28"/>
                <w14:textFill>
                  <w14:solidFill>
                    <w14:schemeClr w14:val="tx1"/>
                  </w14:solidFill>
                </w14:textFill>
                <w14:ligatures w14:val="standardContextual"/>
              </w:rPr>
              <w:t>2025年</w:t>
            </w:r>
          </w:p>
        </w:tc>
        <w:tc>
          <w:tcPr>
            <w:tcW w:w="992" w:type="dxa"/>
            <w:vAlign w:val="center"/>
          </w:tcPr>
          <w:p>
            <w:pPr>
              <w:spacing w:line="560" w:lineRule="exact"/>
              <w:jc w:val="center"/>
              <w:textAlignment w:val="baseline"/>
              <w:rPr>
                <w:rFonts w:hint="eastAsia" w:ascii="宋体" w:hAnsi="宋体" w:eastAsia="宋体" w:cs="宋体"/>
                <w:b/>
                <w:bCs/>
                <w:color w:val="000000" w:themeColor="text1"/>
                <w:sz w:val="28"/>
                <w:szCs w:val="28"/>
                <w14:textFill>
                  <w14:solidFill>
                    <w14:schemeClr w14:val="tx1"/>
                  </w14:solidFill>
                </w14:textFill>
                <w14:ligatures w14:val="standardContextual"/>
              </w:rPr>
            </w:pPr>
            <w:r>
              <w:rPr>
                <w:rFonts w:hint="eastAsia" w:ascii="宋体" w:hAnsi="宋体" w:eastAsia="宋体" w:cs="宋体"/>
                <w:b/>
                <w:bCs/>
                <w:color w:val="000000" w:themeColor="text1"/>
                <w:sz w:val="28"/>
                <w:szCs w:val="28"/>
                <w14:textFill>
                  <w14:solidFill>
                    <w14:schemeClr w14:val="tx1"/>
                  </w14:solidFill>
                </w14:textFill>
                <w14:ligatures w14:val="standardContextual"/>
              </w:rPr>
              <w:t>2027年</w:t>
            </w:r>
          </w:p>
        </w:tc>
        <w:tc>
          <w:tcPr>
            <w:tcW w:w="992" w:type="dxa"/>
            <w:vAlign w:val="center"/>
          </w:tcPr>
          <w:p>
            <w:pPr>
              <w:spacing w:line="560" w:lineRule="exact"/>
              <w:jc w:val="center"/>
              <w:textAlignment w:val="baseline"/>
              <w:rPr>
                <w:rFonts w:hint="eastAsia" w:ascii="宋体" w:hAnsi="宋体" w:eastAsia="宋体" w:cs="宋体"/>
                <w:b/>
                <w:bCs/>
                <w:color w:val="000000" w:themeColor="text1"/>
                <w:sz w:val="28"/>
                <w:szCs w:val="28"/>
                <w14:textFill>
                  <w14:solidFill>
                    <w14:schemeClr w14:val="tx1"/>
                  </w14:solidFill>
                </w14:textFill>
                <w14:ligatures w14:val="standardContextual"/>
              </w:rPr>
            </w:pPr>
            <w:r>
              <w:rPr>
                <w:rFonts w:hint="eastAsia" w:ascii="宋体" w:hAnsi="宋体" w:eastAsia="宋体" w:cs="宋体"/>
                <w:b/>
                <w:bCs/>
                <w:color w:val="000000" w:themeColor="text1"/>
                <w:sz w:val="28"/>
                <w:szCs w:val="28"/>
                <w14:textFill>
                  <w14:solidFill>
                    <w14:schemeClr w14:val="tx1"/>
                  </w14:solidFill>
                </w14:textFill>
                <w14:ligatures w14:val="standardContextual"/>
              </w:rPr>
              <w:t>2030年</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9"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1</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 xml:space="preserve">3岁以下婴幼儿入托率提高(%)        </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lang w:eastAsia="zh-CN"/>
                <w14:textFill>
                  <w14:solidFill>
                    <w14:schemeClr w14:val="tx1"/>
                  </w14:solidFill>
                </w14:textFill>
                <w14:ligatures w14:val="standardContextual"/>
              </w:rPr>
            </w:pPr>
            <w:r>
              <w:rPr>
                <w:rFonts w:hint="eastAsia" w:ascii="仿宋" w:hAnsi="仿宋" w:eastAsia="仿宋" w:cs="仿宋"/>
                <w:color w:val="000000" w:themeColor="text1"/>
                <w:sz w:val="28"/>
                <w:szCs w:val="28"/>
                <w:lang w:val="en-US" w:eastAsia="zh-CN"/>
                <w14:textFill>
                  <w14:solidFill>
                    <w14:schemeClr w14:val="tx1"/>
                  </w14:solidFill>
                </w14:textFill>
                <w14:ligatures w14:val="standardContextual"/>
              </w:rPr>
              <w:t>-</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lang w:eastAsia="zh-CN"/>
                <w14:textFill>
                  <w14:solidFill>
                    <w14:schemeClr w14:val="tx1"/>
                  </w14:solidFill>
                </w14:textFill>
                <w14:ligatures w14:val="standardContextual"/>
              </w:rPr>
            </w:pPr>
            <w:r>
              <w:rPr>
                <w:rFonts w:hint="eastAsia" w:ascii="仿宋" w:hAnsi="仿宋" w:eastAsia="仿宋" w:cs="仿宋"/>
                <w:color w:val="000000" w:themeColor="text1"/>
                <w:sz w:val="28"/>
                <w:szCs w:val="28"/>
                <w:lang w:val="en-US" w:eastAsia="zh-CN"/>
                <w14:textFill>
                  <w14:solidFill>
                    <w14:schemeClr w14:val="tx1"/>
                  </w14:solidFill>
                </w14:textFill>
                <w14:ligatures w14:val="standardContextual"/>
              </w:rPr>
              <w:t>6</w:t>
            </w:r>
          </w:p>
        </w:tc>
        <w:tc>
          <w:tcPr>
            <w:tcW w:w="992" w:type="dxa"/>
            <w:vAlign w:val="center"/>
          </w:tcPr>
          <w:p>
            <w:pPr>
              <w:spacing w:line="560" w:lineRule="exact"/>
              <w:jc w:val="center"/>
              <w:textAlignment w:val="baseline"/>
              <w:rPr>
                <w:rFonts w:hint="default" w:ascii="仿宋" w:hAnsi="仿宋" w:eastAsia="仿宋" w:cs="仿宋"/>
                <w:color w:val="000000" w:themeColor="text1"/>
                <w:sz w:val="28"/>
                <w:szCs w:val="28"/>
                <w:lang w:val="en-US" w:eastAsia="zh-CN"/>
                <w14:textFill>
                  <w14:solidFill>
                    <w14:schemeClr w14:val="tx1"/>
                  </w14:solidFill>
                </w14:textFill>
                <w14:ligatures w14:val="standardContextual"/>
              </w:rPr>
            </w:pPr>
            <w:r>
              <w:rPr>
                <w:rFonts w:hint="eastAsia" w:ascii="仿宋" w:hAnsi="仿宋" w:eastAsia="仿宋" w:cs="仿宋"/>
                <w:color w:val="000000" w:themeColor="text1"/>
                <w:sz w:val="28"/>
                <w:szCs w:val="28"/>
                <w:lang w:val="en-US" w:eastAsia="zh-CN"/>
                <w14:textFill>
                  <w14:solidFill>
                    <w14:schemeClr w14:val="tx1"/>
                  </w14:solidFill>
                </w14:textFill>
                <w14:ligatures w14:val="standardContextual"/>
              </w:rPr>
              <w:t>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9"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2</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学前教育入园率(%)</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97.74</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≥96</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≥96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9"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3</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义务教育就近入学率(%)</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99</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&gt;99</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&gt;99</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2"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4</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 xml:space="preserve">残疾学生高中阶段教育毛入学率(%)   </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37.93</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50</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70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8"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5</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学前教育专任教师接受专业教育比例(%)</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75</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77</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80</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8"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6</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国家义务教育质量监测八年级学生学业水平优良率(%)</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ascii="仿宋" w:hAnsi="仿宋" w:eastAsia="仿宋" w:cs="仿宋"/>
                <w:color w:val="000000" w:themeColor="text1"/>
                <w:sz w:val="28"/>
                <w:szCs w:val="28"/>
                <w14:textFill>
                  <w14:solidFill>
                    <w14:schemeClr w14:val="tx1"/>
                  </w14:solidFill>
                </w14:textFill>
                <w14:ligatures w14:val="standardContextual"/>
              </w:rPr>
              <w:t>65</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ascii="仿宋" w:hAnsi="仿宋" w:eastAsia="仿宋" w:cs="仿宋"/>
                <w:color w:val="000000" w:themeColor="text1"/>
                <w:sz w:val="28"/>
                <w:szCs w:val="28"/>
                <w14:textFill>
                  <w14:solidFill>
                    <w14:schemeClr w14:val="tx1"/>
                  </w14:solidFill>
                </w14:textFill>
                <w14:ligatures w14:val="standardContextual"/>
              </w:rPr>
              <w:t>66</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&gt;</w:t>
            </w:r>
            <w:r>
              <w:rPr>
                <w:rFonts w:ascii="仿宋" w:hAnsi="仿宋" w:eastAsia="仿宋" w:cs="仿宋"/>
                <w:color w:val="000000" w:themeColor="text1"/>
                <w:sz w:val="28"/>
                <w:szCs w:val="28"/>
                <w14:textFill>
                  <w14:solidFill>
                    <w14:schemeClr w14:val="tx1"/>
                  </w14:solidFill>
                </w14:textFill>
                <w14:ligatures w14:val="standardContextual"/>
              </w:rPr>
              <w:t>66</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8"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7</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义务教育专任教师中本科及以上学历人员比例(%)</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96</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97</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98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8"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bookmarkStart w:id="0" w:name="OLE_LINK5" w:colFirst="0" w:colLast="4"/>
            <w:r>
              <w:rPr>
                <w:rFonts w:hint="eastAsia" w:ascii="仿宋" w:hAnsi="仿宋" w:eastAsia="仿宋" w:cs="仿宋"/>
                <w:color w:val="000000" w:themeColor="text1"/>
                <w:sz w:val="28"/>
                <w:szCs w:val="28"/>
                <w14:textFill>
                  <w14:solidFill>
                    <w14:schemeClr w14:val="tx1"/>
                  </w14:solidFill>
                </w14:textFill>
                <w14:ligatures w14:val="standardContextual"/>
              </w:rPr>
              <w:t>8</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 xml:space="preserve">普通高中研究生学历专任教师比例(%)     </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19</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23</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28</w:t>
            </w:r>
          </w:p>
        </w:tc>
      </w:tr>
      <w:bookmarkEnd w:id="0"/>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8"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9</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职业教育“双师型”教师比例(%)</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82</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83</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84</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2"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10</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新增劳动力平均受教育年限(年)</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15.7</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15.8</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&gt;15.8</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8"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11</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 xml:space="preserve">一般公共预算教育经费（亿元）      </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24.55</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＞24.55</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＞24.55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8"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bookmarkStart w:id="1" w:name="OLE_LINK4" w:colFirst="0" w:colLast="1"/>
            <w:r>
              <w:rPr>
                <w:rFonts w:hint="eastAsia" w:ascii="仿宋" w:hAnsi="仿宋" w:eastAsia="仿宋" w:cs="仿宋"/>
                <w:color w:val="000000" w:themeColor="text1"/>
                <w:sz w:val="28"/>
                <w:szCs w:val="28"/>
                <w14:textFill>
                  <w14:solidFill>
                    <w14:schemeClr w14:val="tx1"/>
                  </w14:solidFill>
                </w14:textFill>
                <w14:ligatures w14:val="standardContextual"/>
              </w:rPr>
              <w:t>12</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优质高中学位数占普通高中学位总数比例(%)</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50</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55</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60</w:t>
            </w:r>
          </w:p>
        </w:tc>
      </w:tr>
      <w:bookmarkEnd w:id="1"/>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8" w:hRule="atLeast"/>
          <w:jc w:val="center"/>
        </w:trPr>
        <w:tc>
          <w:tcPr>
            <w:tcW w:w="726"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13</w:t>
            </w:r>
          </w:p>
        </w:tc>
        <w:tc>
          <w:tcPr>
            <w:tcW w:w="6642" w:type="dxa"/>
            <w:vAlign w:val="center"/>
          </w:tcPr>
          <w:p>
            <w:pPr>
              <w:spacing w:line="560" w:lineRule="exact"/>
              <w:jc w:val="left"/>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中小学生体质健康测试达标优良率 (%)</w:t>
            </w:r>
          </w:p>
        </w:tc>
        <w:tc>
          <w:tcPr>
            <w:tcW w:w="993"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&gt;76</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&gt;77</w:t>
            </w:r>
          </w:p>
        </w:tc>
        <w:tc>
          <w:tcPr>
            <w:tcW w:w="992" w:type="dxa"/>
            <w:vAlign w:val="center"/>
          </w:tcPr>
          <w:p>
            <w:pPr>
              <w:spacing w:line="560" w:lineRule="exact"/>
              <w:jc w:val="center"/>
              <w:textAlignment w:val="baseline"/>
              <w:rPr>
                <w:rFonts w:hint="eastAsia" w:ascii="仿宋" w:hAnsi="仿宋" w:eastAsia="仿宋" w:cs="仿宋"/>
                <w:color w:val="000000" w:themeColor="text1"/>
                <w:sz w:val="28"/>
                <w:szCs w:val="28"/>
                <w14:textFill>
                  <w14:solidFill>
                    <w14:schemeClr w14:val="tx1"/>
                  </w14:solidFill>
                </w14:textFill>
                <w14:ligatures w14:val="standardContextual"/>
              </w:rPr>
            </w:pPr>
            <w:r>
              <w:rPr>
                <w:rFonts w:hint="eastAsia" w:ascii="仿宋" w:hAnsi="仿宋" w:eastAsia="仿宋" w:cs="仿宋"/>
                <w:color w:val="000000" w:themeColor="text1"/>
                <w:sz w:val="28"/>
                <w:szCs w:val="28"/>
                <w14:textFill>
                  <w14:solidFill>
                    <w14:schemeClr w14:val="tx1"/>
                  </w14:solidFill>
                </w14:textFill>
                <w14:ligatures w14:val="standardContextual"/>
              </w:rPr>
              <w:t>&gt;80</w:t>
            </w:r>
          </w:p>
        </w:tc>
      </w:tr>
    </w:tbl>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14:ligatures w14:val="standardContextual"/>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14:ligatures w14:val="standardContextual"/>
        </w:rPr>
      </w:pPr>
      <w:r>
        <w:rPr>
          <w:rFonts w:hint="eastAsia" w:ascii="黑体" w:hAnsi="黑体" w:eastAsia="黑体" w:cs="黑体"/>
          <w:b w:val="0"/>
          <w:bCs w:val="0"/>
          <w:color w:val="000000" w:themeColor="text1"/>
          <w:sz w:val="32"/>
          <w:szCs w:val="32"/>
          <w14:textFill>
            <w14:solidFill>
              <w14:schemeClr w14:val="tx1"/>
            </w14:solidFill>
          </w14:textFill>
          <w14:ligatures w14:val="standardContextual"/>
        </w:rPr>
        <w:t>二、</w:t>
      </w:r>
      <w:r>
        <w:rPr>
          <w:rFonts w:ascii="黑体" w:hAnsi="黑体" w:eastAsia="黑体" w:cs="黑体"/>
          <w:b w:val="0"/>
          <w:bCs w:val="0"/>
          <w:color w:val="000000" w:themeColor="text1"/>
          <w:sz w:val="32"/>
          <w:szCs w:val="32"/>
          <w14:textFill>
            <w14:solidFill>
              <w14:schemeClr w14:val="tx1"/>
            </w14:solidFill>
          </w14:textFill>
          <w14:ligatures w14:val="standardContextual"/>
        </w:rPr>
        <w:t>坚持把立德树人作为教育的根本任务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（一）</w:t>
      </w:r>
      <w:r>
        <w:rPr>
          <w:rFonts w:ascii="楷体_GB2312" w:hAnsi="楷体_GB2312" w:eastAsia="楷体_GB2312" w:cs="楷体_GB2312"/>
          <w:b w:val="0"/>
          <w:bCs w:val="0"/>
          <w:color w:val="000000" w:themeColor="text1"/>
          <w:sz w:val="32"/>
          <w:szCs w:val="32"/>
          <w14:textFill>
            <w14:solidFill>
              <w14:schemeClr w14:val="tx1"/>
            </w14:solidFill>
          </w14:textFill>
          <w14:ligatures w14:val="standardContextual"/>
        </w:rPr>
        <w:t>铸魂固本，强化思</w:t>
      </w: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政</w:t>
      </w:r>
      <w:r>
        <w:rPr>
          <w:rFonts w:ascii="楷体_GB2312" w:hAnsi="楷体_GB2312" w:eastAsia="楷体_GB2312" w:cs="楷体_GB2312"/>
          <w:b w:val="0"/>
          <w:bCs w:val="0"/>
          <w:color w:val="000000" w:themeColor="text1"/>
          <w:sz w:val="32"/>
          <w:szCs w:val="32"/>
          <w14:textFill>
            <w14:solidFill>
              <w14:schemeClr w14:val="tx1"/>
            </w14:solidFill>
          </w14:textFill>
          <w14:ligatures w14:val="standardContextual"/>
        </w:rPr>
        <w:t>建设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用习近平新时代中国特色社会主义思想铸魂育人，学好用好习近平新时代中国特色社会主义思想为核心的思想政治课程群，加强社会主义核心价值观教育，加强党史、新中国史、改革开放史、社会主义发展史教育，深化爱国主义、集体主义、社会主义教育，坚持知信行统一、大中小贯通、校家社协同，形成立德树人新生态。</w:t>
      </w:r>
    </w:p>
    <w:p>
      <w:pPr>
        <w:pStyle w:val="2"/>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建立健全党政领导干部进校园开展思想政治教育制度，推动学校思政课堂与社会课堂有效融合，构建“大思政”育人新格局。用好首都丰富的历史、文化、科技资源，构建具有平谷特色场景式、浸润式、融合式思政教育体系。把思想政治教育贯穿学科体系、教学体系、教材体系、管理体系，实现思想政治教育与知识体系教育、习惯养成教育和人文素养培育的有机统一。</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（二）五育融合，促进全面发展</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扎实推进“五育融合”行动计划，落实“健康第一”的教育理念，实施学生体质强健计划、美育浸润计划、青少年读书行动、学生心理健康促进行动，促进学生健康成长、全面发展。</w:t>
      </w:r>
      <w:r>
        <w:rPr>
          <w:rFonts w:hint="eastAsia" w:ascii="仿宋_GB2312" w:hAnsi="仿宋_GB2312" w:eastAsia="仿宋_GB2312" w:cs="仿宋_GB2312"/>
          <w:color w:val="000000" w:themeColor="text1"/>
          <w:sz w:val="32"/>
          <w:szCs w:val="32"/>
          <w14:textFill>
            <w14:solidFill>
              <w14:schemeClr w14:val="tx1"/>
            </w14:solidFill>
          </w14:textFill>
        </w:rPr>
        <w:t>上好“六堂课”，</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贯彻“平谷教育的改变自体育始”育人理念，推进中小学体质体能提升计划，确保“体育每天两小时”，严格落实体育课时要求，将“三大球”至少一项纳入小学、初中必修课，高中开设“三大球”模块教学，利用大课间、课后服务全面开展体育运动。健全班—校—区三级竞赛机制，学校每学期举办一次体育节和运动会，全区每学年举办中小学生运动会。实施体育统考、体育单招、高水平运动员培养计划，畅通学生成长成才新赛道。</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关注学生心理健康与生涯规划，实施“心理素养提升年”计划和“一校一策”身心健康提升计划，把心理健康教育纳入必修课程，引进心理健康AI系统，增强心理辅导调适功能，加强学生健全人格和阳光心理建设，让学校成为学生健康成长的乐园、全面发展的沃土。探索面向课堂学习困难群体教育新路径，实施融德育、体育、美育、劳动教育、心理健康教育与科学探究、研学游学、学习兴趣生活乐趣培养为一体的“自然教育”和“全人教育”。</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（三）实践育人，拓展成长空间</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集合劳动实践、国防教育、红色文化、体验实训、科技创新等育人要素，建设北京（平谷）五育融合校外实训基地，打造北京市实践育新载体。以基地为龙头，丰富教育内容，开发精品课程，拓宽育人渠道，拓展成长空间。利用农业高科技、社会大课堂、文旅综合体等资源，构建覆盖农业、科技、流通、生态、文化立体网络，满足全市中小学校外劳动实践需要，吸引津冀及全国各地学生实地体验特色劳动教育，做强“研学平谷”品牌，促进平谷教育深度开放与广泛合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楷体_GB2312"/>
          <w:b w:val="0"/>
          <w:bCs w:val="0"/>
          <w:color w:val="000000" w:themeColor="text1"/>
          <w:sz w:val="32"/>
          <w:szCs w:val="32"/>
          <w14:textFill>
            <w14:solidFill>
              <w14:schemeClr w14:val="tx1"/>
            </w14:solidFill>
          </w14:textFill>
          <w14:ligatures w14:val="standardContextual"/>
        </w:rPr>
      </w:pPr>
      <w:r>
        <w:rPr>
          <w:rFonts w:hint="eastAsia" w:ascii="黑体" w:hAnsi="黑体" w:eastAsia="黑体" w:cs="楷体_GB2312"/>
          <w:b w:val="0"/>
          <w:bCs w:val="0"/>
          <w:color w:val="000000" w:themeColor="text1"/>
          <w:sz w:val="32"/>
          <w:szCs w:val="32"/>
          <w14:textFill>
            <w14:solidFill>
              <w14:schemeClr w14:val="tx1"/>
            </w14:solidFill>
          </w14:textFill>
          <w14:ligatures w14:val="standardContextual"/>
        </w:rPr>
        <w:t>三、推进各类教育扩优提质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（四）学前教育落实普惠优质安全</w:t>
      </w:r>
      <w:bookmarkStart w:id="18" w:name="_GoBack"/>
      <w:bookmarkEnd w:id="18"/>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构建0—6岁“大学前教育”发展格局，推进学前教育优质安全均衡发展，以办高质量幼儿园为目标，加强幼儿园老旧设施设备更新改造，推进马昌营南区幼儿园建设工程，扩大优质资源供给，逐步实行免费学前教育，积极探索幼儿园联盟、集团化等办园模式，稳步提升保教质量。加强儿童友好城市基础建设，加快平谷区托育综合服务中心功能提升，构建“全域全覆盖”托育服务网络，提供全日托、半日托、临时托等多样化服务，实现每年入托率不断增长。加强托育人才培训、课程研发、婴幼儿早期发展等公共服务。推进托幼一体化建设，促进人才引进和区域人口增长。</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EE0000"/>
          <w:sz w:val="32"/>
          <w:szCs w:val="32"/>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贯彻《</w:t>
      </w:r>
      <w:r>
        <w:rPr>
          <w:rFonts w:hint="eastAsia" w:ascii="仿宋_GB2312" w:hAnsi="仿宋_GB2312" w:eastAsia="仿宋_GB2312" w:cs="仿宋_GB2312"/>
          <w:color w:val="000000" w:themeColor="text1"/>
          <w:sz w:val="32"/>
          <w:szCs w:val="32"/>
          <w:lang w:eastAsia="zh-CN"/>
          <w14:textFill>
            <w14:solidFill>
              <w14:schemeClr w14:val="tx1"/>
            </w14:solidFill>
          </w14:textFill>
          <w14:ligatures w14:val="standardContextual"/>
        </w:rPr>
        <w:t>中华人民共和国</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学前教育法》，进一步加强幼儿园安全工作，完善动态监管机制，规范办园行为。注重幼儿道德品质、兴趣爱好、行为习惯培养，做好幼儿园小学双向衔接。做好有特异体质、特定疾病等有特殊需求学前儿童的管理和照顾工作。健全幼儿园保教质量评估体系，发挥质量评估对保教实践的科学导向作用。全面对标国家学前教育“双普”评估验收细则开展日常创建活动，带动和促进全区学前教育水平整体提高。</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（五）义务教育推进优质均衡发展</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按照国家义务教育优质均衡发展区达标要求，扎实做好各项创建工作，通过“全国优质均衡发展区”验收。建立与人口变化相适应的教育资源统筹调配和战略性投入机制，制定并实施义务教育优质提升计划，新增和提升新优质学校达10所左右。推进马昌营学校改扩建和马坊镇中心区南区小学建设工程，加大对薄弱学校人才引进、教师培养、基础设施、资源供给支持力度，加大对优秀校级干部和骨干教师、青年教师统筹调配和轮岗交流力度，加强薄弱学校自身建设，激发内在动能，增强发展</w:t>
      </w:r>
      <w:bookmarkStart w:id="2" w:name="_Hlk207026693"/>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活力。</w:t>
      </w:r>
    </w:p>
    <w:bookmarkEnd w:id="2"/>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实行义务教育共同体之间名师、课程、资源共享，推进义务教育学校高水平的优质均衡。加强生源优化，整合优质资源，把生源不足短板转化为小班化、特色化、个性化、精细化教育优势。</w:t>
      </w:r>
      <w:bookmarkStart w:id="3" w:name="OLE_LINK7"/>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深化城乡义务教育“手拉手”结对活动，</w:t>
      </w:r>
      <w:bookmarkEnd w:id="3"/>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提高寄宿制学校办学条件、管理水平和服务质量。</w:t>
      </w:r>
      <w:bookmarkStart w:id="4" w:name="_Hlk208558631"/>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实施中小学“沃土计划”，推行小学初中贯通培养和校际联合培养，加强科技教育，激发中小学生好奇心、想象力、探求欲，弘扬科学精神，提高科学素养，努力培育具有科学家潜质、愿意投身科学研究事业的青少年群体。</w:t>
      </w:r>
    </w:p>
    <w:bookmarkEnd w:id="4"/>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（六）高中教育突出特色多样化办学</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212121"/>
          <w:sz w:val="32"/>
          <w:szCs w:val="32"/>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积极推进以高中为龙头的集团化办学改革，构建集团化长链条贯通培养新载体。健全集团管理运行机制，实行统一教师招聘、培训、轮岗、交流，统筹编制、岗位、职称及评优计划，推动集团内教育要素有序流动。</w:t>
      </w:r>
      <w:r>
        <w:rPr>
          <w:rFonts w:hint="eastAsia" w:ascii="仿宋_GB2312" w:hAnsi="仿宋_GB2312" w:eastAsia="仿宋_GB2312" w:cs="仿宋_GB2312"/>
          <w:color w:val="212121"/>
          <w:sz w:val="32"/>
          <w:szCs w:val="32"/>
          <w14:ligatures w14:val="standardContextual"/>
        </w:rPr>
        <w:t>深化与北京市十一学校合作，打造以平谷中学为龙头的教育集团，统领全区教育高质量发展；坚持“以农业理念办教育</w:t>
      </w:r>
      <w:r>
        <w:rPr>
          <w:rFonts w:ascii="仿宋_GB2312" w:hAnsi="仿宋_GB2312" w:eastAsia="仿宋_GB2312" w:cs="仿宋_GB2312"/>
          <w:color w:val="212121"/>
          <w:sz w:val="32"/>
          <w:szCs w:val="32"/>
          <w14:ligatures w14:val="standardContextual"/>
        </w:rPr>
        <w:t>”</w:t>
      </w:r>
      <w:r>
        <w:rPr>
          <w:rFonts w:hint="eastAsia" w:ascii="仿宋_GB2312" w:hAnsi="仿宋_GB2312" w:eastAsia="仿宋_GB2312" w:cs="仿宋_GB2312"/>
          <w:color w:val="212121"/>
          <w:sz w:val="32"/>
          <w:szCs w:val="32"/>
          <w:lang w:eastAsia="zh-CN"/>
          <w14:ligatures w14:val="standardContextual"/>
        </w:rPr>
        <w:t>，</w:t>
      </w:r>
      <w:r>
        <w:rPr>
          <w:rFonts w:hint="eastAsia" w:ascii="仿宋_GB2312" w:hAnsi="仿宋_GB2312" w:eastAsia="仿宋_GB2312" w:cs="仿宋_GB2312"/>
          <w:color w:val="212121"/>
          <w:sz w:val="32"/>
          <w:szCs w:val="32"/>
          <w14:ligatures w14:val="standardContextual"/>
        </w:rPr>
        <w:t>高标准建设十二年制北京市平谷区国农港学校，构建集团化长链条贯通式育人机制；推进北京青年政治学院平谷学校教育集团特色化发展，构建大中小幼一体化发展，成立马坊实验中学教育集团，推动西部片区教育高质量发展，实现区域拔尖创新人才贯通培养。</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bookmarkStart w:id="5" w:name="_Hlk209470704"/>
      <w:r>
        <w:rPr>
          <w:rFonts w:ascii="仿宋_GB2312" w:hAnsi="仿宋_GB2312" w:eastAsia="仿宋_GB2312" w:cs="仿宋_GB2312"/>
          <w:color w:val="000000" w:themeColor="text1"/>
          <w:sz w:val="32"/>
          <w:szCs w:val="32"/>
          <w14:textFill>
            <w14:solidFill>
              <w14:schemeClr w14:val="tx1"/>
            </w14:solidFill>
          </w14:textFill>
          <w14:ligatures w14:val="standardContextual"/>
        </w:rPr>
        <w:t>精准把握中考中招改革试点政策要求，严格落实义务教育登记入学、“阳光招生”制度，推行高中阶段多元招生模式，扩大“1+3”培养项目、集团校直升招生规模。</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保障平谷学生“愿升尽升”接受高中教育</w:t>
      </w:r>
      <w:bookmarkEnd w:id="5"/>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围绕数理、科技、人文、艺体、语言等五大领域，开展特色高中创建工作。建立学科竞赛、强基计划、综合评价、艺体特长等多元化人才培养体系。面向具有创新潜质学生实施“脱颖计划”，依托北京市青少年创新学院平谷分院，汇集大中小学、校外教育、科研院所等优质资源，探索大学、中学双导师制，让平谷更多具有创新潜质的学生脱颖而出。</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（七）职业教育注重专业能力建设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深化与北京青年政治学院合作办学，深化职业教育与高校合作。加强培养方式和专业能力适配性建设，加强校企深度合作，推进产学研一体化，精心打造品牌专业。深化职普融通改革和综合高中建设，努力提高办学水平和质量。推行中职学校与高职院校“3+2”培养模式，拓展高技能人才职业发展新通道。</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增设宠物经济、直播电商等新兴热门专业，围绕宠物繁育养护、宠物服务、直播带货、电商运营等市场刚需领域搭建系统化课程体系，针对性培养新业态技能型人才。加快建设建立北京青年政治学院产教融合等实训基地（护理、康养方面），为京津冀物流产教联合体、北京康养市域产教联合体提供核心载体。聘请</w:t>
      </w:r>
      <w:r>
        <w:rPr>
          <w:rFonts w:hint="eastAsia" w:ascii="仿宋_GB2312" w:hAnsi="仿宋_GB2312" w:eastAsia="仿宋_GB2312" w:cs="仿宋_GB2312"/>
          <w:sz w:val="32"/>
          <w:szCs w:val="32"/>
          <w14:ligatures w14:val="standardContextual"/>
        </w:rPr>
        <w:t>企业技术能手、技术骨干充实</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师资力量，加强“双师型”教师队伍建设，</w:t>
      </w:r>
      <w:r>
        <w:rPr>
          <w:rFonts w:hint="eastAsia" w:ascii="仿宋_GB2312" w:hAnsi="仿宋_GB2312" w:eastAsia="仿宋_GB2312" w:cs="仿宋_GB2312"/>
          <w:sz w:val="32"/>
          <w:szCs w:val="32"/>
          <w14:ligatures w14:val="standardContextual"/>
        </w:rPr>
        <w:t>以职业教育赋能平谷建设，实现产教协同共进。助力全区经济高质量发展。</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（八）特殊教育强化服务保障功能</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完善</w:t>
      </w:r>
      <w:r>
        <w:rPr>
          <w:rFonts w:ascii="仿宋_GB2312" w:hAnsi="仿宋_GB2312" w:eastAsia="仿宋_GB2312" w:cs="仿宋_GB2312"/>
          <w:color w:val="000000" w:themeColor="text1"/>
          <w:sz w:val="32"/>
          <w:szCs w:val="32"/>
          <w14:textFill>
            <w14:solidFill>
              <w14:schemeClr w14:val="tx1"/>
            </w14:solidFill>
          </w14:textFill>
          <w14:ligatures w14:val="standardContextual"/>
        </w:rPr>
        <w:t>特殊教育从</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学前教育</w:t>
      </w:r>
      <w:r>
        <w:rPr>
          <w:rFonts w:ascii="仿宋_GB2312" w:hAnsi="仿宋_GB2312" w:eastAsia="仿宋_GB2312" w:cs="仿宋_GB2312"/>
          <w:color w:val="000000" w:themeColor="text1"/>
          <w:sz w:val="32"/>
          <w:szCs w:val="32"/>
          <w14:textFill>
            <w14:solidFill>
              <w14:schemeClr w14:val="tx1"/>
            </w14:solidFill>
          </w14:textFill>
          <w14:ligatures w14:val="standardContextual"/>
        </w:rPr>
        <w:t>到中等职业教育各阶段入学保障和课程体系，探索符合不同类</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型</w:t>
      </w:r>
      <w:r>
        <w:rPr>
          <w:rFonts w:ascii="仿宋_GB2312" w:hAnsi="仿宋_GB2312" w:eastAsia="仿宋_GB2312" w:cs="仿宋_GB2312"/>
          <w:color w:val="000000" w:themeColor="text1"/>
          <w:sz w:val="32"/>
          <w:szCs w:val="32"/>
          <w14:textFill>
            <w14:solidFill>
              <w14:schemeClr w14:val="tx1"/>
            </w14:solidFill>
          </w14:textFill>
          <w14:ligatures w14:val="standardContextual"/>
        </w:rPr>
        <w:t>残疾学生的认知课程、教学方式和学习方式。深化“送教上门”服务模式，加大康复训练技术支持。</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拓展</w:t>
      </w:r>
      <w:r>
        <w:rPr>
          <w:rFonts w:ascii="仿宋_GB2312" w:hAnsi="仿宋_GB2312" w:eastAsia="仿宋_GB2312" w:cs="仿宋_GB2312"/>
          <w:color w:val="000000" w:themeColor="text1"/>
          <w:sz w:val="32"/>
          <w:szCs w:val="32"/>
          <w14:textFill>
            <w14:solidFill>
              <w14:schemeClr w14:val="tx1"/>
            </w14:solidFill>
          </w14:textFill>
          <w14:ligatures w14:val="standardContextual"/>
        </w:rPr>
        <w:t>身心健康教育和社会实践活动课程，积极为特需学生提供音乐、体育、美术等课程及活动资源。</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积极培养和引进特教人才，</w:t>
      </w:r>
      <w:r>
        <w:rPr>
          <w:rFonts w:ascii="仿宋_GB2312" w:hAnsi="仿宋_GB2312" w:eastAsia="仿宋_GB2312" w:cs="仿宋_GB2312"/>
          <w:color w:val="000000" w:themeColor="text1"/>
          <w:sz w:val="32"/>
          <w:szCs w:val="32"/>
          <w14:textFill>
            <w14:solidFill>
              <w14:schemeClr w14:val="tx1"/>
            </w14:solidFill>
          </w14:textFill>
          <w14:ligatures w14:val="standardContextual"/>
        </w:rPr>
        <w:t>加强和改进区特教中心、学区融合资源中心和普通中小学资源教室的运行管理工作</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，切实发挥应有作用</w:t>
      </w:r>
      <w:r>
        <w:rPr>
          <w:rFonts w:ascii="仿宋_GB2312" w:hAnsi="仿宋_GB2312" w:eastAsia="仿宋_GB2312" w:cs="仿宋_GB2312"/>
          <w:color w:val="000000" w:themeColor="text1"/>
          <w:sz w:val="32"/>
          <w:szCs w:val="32"/>
          <w14:textFill>
            <w14:solidFill>
              <w14:schemeClr w14:val="tx1"/>
            </w14:solidFill>
          </w14:textFill>
          <w14:ligatures w14:val="standardContextual"/>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（九）专门教育发挥干预矫治作用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进一步提高对专门教育的认知水平，切实加强阳光学校配套建设，同步强化其对区域</w:t>
      </w:r>
      <w:r>
        <w:rPr>
          <w:rFonts w:hint="eastAsia" w:ascii="仿宋_GB2312" w:hAnsi="仿宋_GB2312" w:eastAsia="仿宋_GB2312" w:cs="仿宋_GB2312"/>
          <w:color w:val="000000" w:themeColor="text1"/>
          <w:sz w:val="32"/>
          <w:szCs w:val="32"/>
          <w:lang w:eastAsia="zh-CN"/>
          <w14:textFill>
            <w14:solidFill>
              <w14:schemeClr w14:val="tx1"/>
            </w14:solidFill>
          </w14:textFill>
          <w14:ligatures w14:val="standardContextual"/>
        </w:rPr>
        <w:t>法治</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教育的辐射作用。精心做好有针对性、实效性的疏导、干预、矫治等持续教育工作，筑牢青少年健康成长底线保障，促进家庭安宁幸福、社会长治久安。</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（十）民办教育促进规范健康发展</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落实国家关于民办教育、校外培训机构监管政策，规范办学培训行为。加强民办学校管理，防范化解各类风险。完善年度检查、督导评估制度。支持科学、艺术、体育类培训规范有序发展，切实减轻学生校外培训负担和学生家长经济负担。</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（十一）</w:t>
      </w:r>
      <w:bookmarkStart w:id="6" w:name="_Hlk205817268"/>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推进AI通识教育与深度应用</w:t>
      </w:r>
    </w:p>
    <w:bookmarkEnd w:id="6"/>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加强人工智能教育基础设施配套建设，通过科技手段和“双师模式”，实现中小学人工智能通识课程全覆盖，利用好墨水屏智能终端设备，建设平谷“人工智能+教育”应用平台，推广智能电子书包，实施伴随式学情数据采集，精准生成个性化学习手册。做好校园网络升级改造工作，利用人工智能、大数据等现代信息技术，开展学生学习情况全过程综合评价。做好“AI+课堂”“AI+体育”“AI</w:t>
      </w:r>
      <w:r>
        <w:rPr>
          <w:rFonts w:ascii="仿宋_GB2312" w:hAnsi="仿宋_GB2312" w:eastAsia="仿宋_GB2312" w:cs="仿宋_GB2312"/>
          <w:color w:val="000000" w:themeColor="text1"/>
          <w:sz w:val="32"/>
          <w:szCs w:val="32"/>
          <w14:textFill>
            <w14:solidFill>
              <w14:schemeClr w14:val="tx1"/>
            </w14:solidFill>
          </w14:textFill>
          <w14:ligatures w14:val="standardContextual"/>
        </w:rPr>
        <w:t>+</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心理健康”等应用，推动实施教育数字化战略行动，运用知识图谱和大模型技术，实现教育教学动态和效果数字化智能化管理，用现代化智能技术探索未来课堂、未来学习中心和未来学校。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（十二）健全校家社协同育人机制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构建“政府统筹、部门协作、学校主导、家庭尽责、社会参与”的协同育人格局，建立“教联体”。建设校外教育资源库，拓展学生成长新平台。培养兼具课堂教学与家庭教育能力的教师队伍。推动农业、科技等资源进入社会大课堂。整合学校、家庭、社会教育资源，健全家庭教育指导委员会、家长学校和家长委员会。</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lang w:eastAsia="zh-CN"/>
          <w14:textFill>
            <w14:solidFill>
              <w14:schemeClr w14:val="tx1"/>
            </w14:solidFill>
          </w14:textFill>
          <w14:ligatures w14:val="standardContextual"/>
        </w:rPr>
        <w:t>（十三）</w:t>
      </w: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 xml:space="preserve">营造终身学习的社会环境 </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推进学习型城市建设，强化社区教育中心功能，健全“区、街镇、村居”三级教育组织体系。优化公共服务供给，搭建平谷公益性社会学习资源库，推进学习型组织建设，营造有利于全民学习、终身学习的良好环境。加强语言文字工作，弘扬中华文化，增强文化自觉和文化自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楷体_GB2312"/>
          <w:b w:val="0"/>
          <w:bCs w:val="0"/>
          <w:color w:val="000000" w:themeColor="text1"/>
          <w:sz w:val="32"/>
          <w:szCs w:val="32"/>
          <w14:textFill>
            <w14:solidFill>
              <w14:schemeClr w14:val="tx1"/>
            </w14:solidFill>
          </w14:textFill>
          <w14:ligatures w14:val="standardContextual"/>
        </w:rPr>
      </w:pPr>
      <w:r>
        <w:rPr>
          <w:rFonts w:hint="eastAsia" w:ascii="黑体" w:hAnsi="黑体" w:eastAsia="黑体" w:cs="楷体_GB2312"/>
          <w:b w:val="0"/>
          <w:bCs w:val="0"/>
          <w:color w:val="000000" w:themeColor="text1"/>
          <w:sz w:val="32"/>
          <w:szCs w:val="32"/>
          <w14:textFill>
            <w14:solidFill>
              <w14:schemeClr w14:val="tx1"/>
            </w14:solidFill>
          </w14:textFill>
          <w14:ligatures w14:val="standardContextual"/>
        </w:rPr>
        <w:t>四、高标准建设教育人才队伍</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bookmarkStart w:id="7" w:name="_Hlk205816803"/>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（十四）实施教育家精神铸魂强师行动</w:t>
      </w:r>
    </w:p>
    <w:bookmarkEnd w:id="7"/>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实施教育家精神铸魂强师行动，全面提升教师综合素质</w:t>
      </w:r>
      <w:bookmarkStart w:id="8" w:name="_Hlk217306972"/>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w:t>
      </w:r>
      <w:bookmarkEnd w:id="8"/>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把教育家精神融入教师培养培训全过程，贯穿课堂教学、教育科研、社会实践各环节，构建日常浸润、项目赋能、平台支撑的教师发展新生态。抓好全系统集中培训，注重思想政治教育和职业道德教育，做到学为人师，行为世范。将师德师风作为教师资格准入、招聘引进、职称评定、名师遴选、评优奖励、课题申报等工作的首要要求。依规依法查处师德师风违规行为，严格师德失范“零容忍”，形成师德师风建设的长效机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（十五）</w:t>
      </w:r>
      <w:bookmarkStart w:id="9" w:name="_Hlk205816829"/>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推进名师名校长成长工程</w:t>
      </w:r>
    </w:p>
    <w:bookmarkEnd w:id="9"/>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建立教师梯次培养、持续发展机制，在全区开展名校长、名师推荐选拔工作，</w:t>
      </w:r>
      <w:bookmarkStart w:id="10" w:name="_Hlk216963195"/>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每年遴选5-8名具有潜质的中青年校园长作为领军人才培养对象，从市级骨干教师、学科带头人、优秀区级骨干教师中遴选50名教师作为名师培养对象</w:t>
      </w:r>
      <w:bookmarkEnd w:id="10"/>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建立特级校长工作室、名师工作室，发挥名师名校长在创新教学和科研中的示范榜样作用。高度重视青年教师培养工作，落实《平谷区青年教师培养工程实施方案》。建立平谷教育人才资源库，系统推进名师引进、优秀教师“回流”工作。面向教育发达地区引进卓越校长、特级教师、金牌教练、省市级教学骨干等高层次人才。完善政策支持，吸引更多师德师风优良、教学业绩突出的平谷籍教师回乡任教。</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（十六）加强教科研建设和教学能力提升</w:t>
      </w:r>
    </w:p>
    <w:p>
      <w:pPr>
        <w:pStyle w:val="2"/>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加强20个学科教研基地建设，深化与北京市教育科学研究院和北京市考试院等教育考试科研单位合作，推进新高考、新中考背景下“教考衔接”研究与实践，提高教育科研和教学评价水平</w:t>
      </w:r>
      <w:bookmarkStart w:id="11" w:name="_Hlk205816853"/>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w:t>
      </w:r>
      <w:r>
        <w:rPr>
          <w:rFonts w:ascii="仿宋_GB2312" w:hAnsi="仿宋_GB2312" w:eastAsia="仿宋_GB2312" w:cs="仿宋_GB2312"/>
          <w:color w:val="000000" w:themeColor="text1"/>
          <w:sz w:val="32"/>
          <w:szCs w:val="32"/>
          <w14:textFill>
            <w14:solidFill>
              <w14:schemeClr w14:val="tx1"/>
            </w14:solidFill>
          </w14:textFill>
          <w14:ligatures w14:val="standardContextual"/>
        </w:rPr>
        <w:t>深入开展中小学教育质量监测与分析，完善教育科研人员</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到</w:t>
      </w:r>
      <w:r>
        <w:rPr>
          <w:rFonts w:ascii="仿宋_GB2312" w:hAnsi="仿宋_GB2312" w:eastAsia="仿宋_GB2312" w:cs="仿宋_GB2312"/>
          <w:color w:val="000000" w:themeColor="text1"/>
          <w:sz w:val="32"/>
          <w:szCs w:val="32"/>
          <w14:textFill>
            <w14:solidFill>
              <w14:schemeClr w14:val="tx1"/>
            </w14:solidFill>
          </w14:textFill>
          <w14:ligatures w14:val="standardContextual"/>
        </w:rPr>
        <w:t>一线教学兼课制度，</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建立</w:t>
      </w:r>
      <w:r>
        <w:rPr>
          <w:rFonts w:ascii="仿宋_GB2312" w:hAnsi="仿宋_GB2312" w:eastAsia="仿宋_GB2312" w:cs="仿宋_GB2312"/>
          <w:color w:val="000000" w:themeColor="text1"/>
          <w:sz w:val="32"/>
          <w:szCs w:val="32"/>
          <w14:textFill>
            <w14:solidFill>
              <w14:schemeClr w14:val="tx1"/>
            </w14:solidFill>
          </w14:textFill>
          <w14:ligatures w14:val="standardContextual"/>
        </w:rPr>
        <w:t>教育科研课题从规划、立项、研究、成果产出到应用的全链条人才培养机制。聚焦教师专业素养提升，健全分层分类教师培训体系，扎实实施中小学教师“国培计划”，推动教师培训</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与</w:t>
      </w:r>
      <w:r>
        <w:rPr>
          <w:rFonts w:ascii="仿宋_GB2312" w:hAnsi="仿宋_GB2312" w:eastAsia="仿宋_GB2312" w:cs="仿宋_GB2312"/>
          <w:color w:val="000000" w:themeColor="text1"/>
          <w:sz w:val="32"/>
          <w:szCs w:val="32"/>
          <w14:textFill>
            <w14:solidFill>
              <w14:schemeClr w14:val="tx1"/>
            </w14:solidFill>
          </w14:textFill>
          <w14:ligatures w14:val="standardContextual"/>
        </w:rPr>
        <w:t>科研教学能力深度融合，促进教科研成果有效转化</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为教学质量提升</w:t>
      </w:r>
      <w:r>
        <w:rPr>
          <w:rFonts w:ascii="仿宋_GB2312" w:hAnsi="仿宋_GB2312" w:eastAsia="仿宋_GB2312" w:cs="仿宋_GB2312"/>
          <w:color w:val="000000" w:themeColor="text1"/>
          <w:sz w:val="32"/>
          <w:szCs w:val="32"/>
          <w14:textFill>
            <w14:solidFill>
              <w14:schemeClr w14:val="tx1"/>
            </w14:solidFill>
          </w14:textFill>
          <w14:ligatures w14:val="standardContextual"/>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（十七）深化人事制度改革和教师评价</w:t>
      </w:r>
      <w:bookmarkEnd w:id="11"/>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深化教育人事制度改革。通过科学有效的选聘、引进、调配、组合方式，大力优化教师知识结构、专业结构、年龄结构和职称晋升格局，有效破解师资老化、人才断层、创新不够、活力不足等突出问题。深化“区管校聘”、职称阳光评审等改革，</w:t>
      </w:r>
      <w:r>
        <w:rPr>
          <w:rFonts w:ascii="仿宋_GB2312" w:hAnsi="仿宋_GB2312" w:eastAsia="仿宋_GB2312" w:cs="仿宋_GB2312"/>
          <w:color w:val="000000" w:themeColor="text1"/>
          <w:sz w:val="32"/>
          <w:szCs w:val="32"/>
          <w14:textFill>
            <w14:solidFill>
              <w14:schemeClr w14:val="tx1"/>
            </w14:solidFill>
          </w14:textFill>
          <w14:ligatures w14:val="standardContextual"/>
        </w:rPr>
        <w:t>推动职称评聘、绩效工资分配向教育教学实绩突出的一线教师倾斜。</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将课后服务纳入保障体系，把教师参与课后服务表现作为教育教学考核评价的重要参考。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改革学校管理体制和用人制度。在初高中学段，推行与“支部建在年级上”相适应的年级主任负责制扁平化管理体制，强化年级主任教育质量负责制。加强选人用人制度改革，实行年级主任与班主任、班主任与学科教师双向选择的学校人员组合新制度。稳健推动重点考察师德师风、教学能力、教学业绩三个维度“教师任课资格评价”改革，激发教师的荣誉感、价值感和成就感，强化优胜劣汰、能上能下的制度性激励约束作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构建常态化、全学段的育人成效、教学质量监测评估考核体系，综合运用教育质量评价结果，落实到干部选拔、教师评优、职称评聘、岗位晋升、选送培训、绩效工资等各个方面。建立健全教育教学质量激励机制。动员社会力量，筹设平谷“桃李天下”教师奖励基金，奖励有突出贡献的科任教师、班主任、年级主任和学校管理团队，充分调动教师的积极性和创造性。</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楷体_GB2312"/>
          <w:b w:val="0"/>
          <w:bCs w:val="0"/>
          <w:color w:val="000000" w:themeColor="text1"/>
          <w:sz w:val="32"/>
          <w:szCs w:val="32"/>
          <w14:textFill>
            <w14:solidFill>
              <w14:schemeClr w14:val="tx1"/>
            </w14:solidFill>
          </w14:textFill>
          <w14:ligatures w14:val="standardContextual"/>
        </w:rPr>
      </w:pPr>
      <w:r>
        <w:rPr>
          <w:rFonts w:hint="eastAsia" w:ascii="黑体" w:hAnsi="黑体" w:eastAsia="黑体" w:cs="楷体_GB2312"/>
          <w:b w:val="0"/>
          <w:bCs w:val="0"/>
          <w:color w:val="000000" w:themeColor="text1"/>
          <w:sz w:val="32"/>
          <w:szCs w:val="32"/>
          <w14:textFill>
            <w14:solidFill>
              <w14:schemeClr w14:val="tx1"/>
            </w14:solidFill>
          </w14:textFill>
          <w14:ligatures w14:val="standardContextual"/>
        </w:rPr>
        <w:t>五、打造区域特色教育品牌</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bookmarkStart w:id="12" w:name="_Hlk205816727"/>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（十八）加强特色学校内涵发展</w:t>
      </w:r>
      <w:bookmarkEnd w:id="12"/>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bCs/>
          <w:color w:val="000000" w:themeColor="text1"/>
          <w:sz w:val="32"/>
          <w:szCs w:val="32"/>
          <w:highlight w:val="green"/>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加快将农业中关村学校打造为劳动教育特色学校，进一步加强农业科技资源导入，建立健全涵盖科技养殖和现代种植两大校外劳动教育实践基地；加快将阳光学校打造为法治教育特色学校，持续开展订单式法治教育服务，建立“学校-家庭-社会”三位一体教育网络，促进复归学生健康成长；加快将小香玉学校打造为艺术教育特色学校，完善校本教材体系，融入体育健身等互动元素，与北京舞蹈学院共建产学研基地，在更大舞台上展现平谷风采；加快将精英未来学校打造为民办教育改革特色学校，完善运营模式和运行机制，提升民办学校运营能力和管理水平。</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（十九）打造平谷教育特色品牌</w:t>
      </w:r>
      <w:bookmarkStart w:id="13" w:name="OLE_LINK2"/>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立足现有基础和发展趋势，擦亮擦新平谷教育知名品牌。一是“近光讲堂”品牌。将思政课课程与学生成长的生活和环境紧密结合，增强互动形式和实践环节，推动大思政入脑入心。二是体育强教品牌。认真总结平谷体育突破瓶颈实现跨越的成功经验，持续巩固学生体质健康普测成果，打造北京市“体育强教”区域样板。三是地方特色课程品牌。发挥书法之乡、楹联之乡、小提琴之乡优势，建设独具特色的地方课程和校本课程，创建首都优质地方课程平谷样本。</w:t>
      </w:r>
      <w:bookmarkEnd w:id="13"/>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楷体_GB2312"/>
          <w:b w:val="0"/>
          <w:bCs w:val="0"/>
          <w:color w:val="000000" w:themeColor="text1"/>
          <w:sz w:val="32"/>
          <w:szCs w:val="32"/>
          <w14:textFill>
            <w14:solidFill>
              <w14:schemeClr w14:val="tx1"/>
            </w14:solidFill>
          </w14:textFill>
          <w14:ligatures w14:val="standardContextual"/>
        </w:rPr>
      </w:pPr>
      <w:r>
        <w:rPr>
          <w:rFonts w:hint="eastAsia" w:ascii="黑体" w:hAnsi="黑体" w:eastAsia="黑体" w:cs="楷体_GB2312"/>
          <w:b w:val="0"/>
          <w:bCs w:val="0"/>
          <w:color w:val="000000" w:themeColor="text1"/>
          <w:sz w:val="32"/>
          <w:szCs w:val="32"/>
          <w14:textFill>
            <w14:solidFill>
              <w14:schemeClr w14:val="tx1"/>
            </w14:solidFill>
          </w14:textFill>
          <w14:ligatures w14:val="standardContextual"/>
        </w:rPr>
        <w:t>六、全面提升教育开放合作效能</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bookmarkStart w:id="14" w:name="_Hlk205816573"/>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（二十）系统引进优质教育资源</w:t>
      </w:r>
    </w:p>
    <w:bookmarkEnd w:id="14"/>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积极引进优秀校长及管理团队、优秀师资队伍、优质课程体系，加大与品牌优质学校和专业机构合作办学，建立系统化督导、评估和监管体系，科学评价办学效果，加强过程化监督与管理，实行优胜劣汰，保证合作办学效果。进一步强化引进合作办学的系统性、引进教育高端人才的适配性，发挥引进资源示范效应，加强与本土资源深度融合，培养一大批平谷本土的教育专家、校长、教学能手、业务骨干，探索具有平谷特色的教育教学新方法、新模式。</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（二十一）全面推进教育开放与合作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建立全方位教育合作开放机制。探索高等院校、科研院所、社会机构联合培养方式，鼓励优秀学生进行学科拓展和课程先修。加强与市级优质教育资源联动，开展教育科研、教学竞赛、教育教学评价等交流活动。深化与首都师范大学和城区名校的合作，建立常态化人才引进、教师进修、跟岗学习、教学交流、对口培训制度。借鉴城区优质教育发展经验，积极争取高等院校、科研院所与全区中小学结对帮扶，到平谷设立附属中小学幼儿园</w:t>
      </w:r>
      <w:bookmarkStart w:id="15" w:name="_Hlk217306238"/>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。深化与首都高校合作，加快共建产业研究院，为平谷教育高质量发展注入新动能。</w:t>
      </w:r>
      <w:bookmarkEnd w:id="15"/>
      <w:bookmarkStart w:id="16" w:name="_Hlk205817391"/>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14:textFill>
            <w14:solidFill>
              <w14:schemeClr w14:val="tx1"/>
            </w14:solidFill>
          </w14:textFill>
          <w14:ligatures w14:val="standardContextual"/>
        </w:rPr>
        <w:t>（二十二）加强教育对外交流与合作</w:t>
      </w:r>
    </w:p>
    <w:bookmarkEnd w:id="16"/>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加快融入环京教育发展体系，为京津冀教育协同育人注入新动能。外派教师挂职学习培训，建立区域中小学交流合作机制，密切与“一带一路”国家校际交流，促进广大师生厚植家国情怀，培育世界眼光，全方位赋能平谷教育高质量发展。</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14:ligatures w14:val="standardContextual"/>
        </w:rPr>
      </w:pPr>
      <w:r>
        <w:rPr>
          <w:rFonts w:hint="eastAsia" w:ascii="黑体" w:hAnsi="黑体" w:eastAsia="黑体" w:cs="黑体"/>
          <w:b w:val="0"/>
          <w:bCs w:val="0"/>
          <w:color w:val="000000" w:themeColor="text1"/>
          <w:sz w:val="32"/>
          <w:szCs w:val="32"/>
          <w14:textFill>
            <w14:solidFill>
              <w14:schemeClr w14:val="tx1"/>
            </w14:solidFill>
          </w14:textFill>
          <w14:ligatures w14:val="standardContextual"/>
        </w:rPr>
        <w:t>七、保障措施</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14:ligatures w14:val="standardContextual"/>
        </w:rPr>
        <w:t>（一）完善教育领导体制</w:t>
      </w:r>
    </w:p>
    <w:p>
      <w:pPr>
        <w:pStyle w:val="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压实党委统一领导、党政齐抓共管、部门协同负责的工作格局，扎实开展正确政绩观学习教育。把党的领导贯穿办学治校全过程，牢牢掌握意识形态工作领导权，落实党风廉政建设责任制，将党风政风、师德师风、校风学风纳入学校领导班子考核，维护教育系统安全稳定。建强书记校长队伍，选优配强学校领导班子，试行副职干部公开选拔，健全一线培养选拔管理干部的后备人才全链条培育机制。充分发挥党组织领导核心、基层党组织战斗堡垒和党员教师先锋模范作用，助力平谷教育品牌建设与高质量发展。</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14:ligatures w14:val="standardContextual"/>
        </w:rPr>
        <w:t>（二）健全教育投入机制</w:t>
      </w:r>
    </w:p>
    <w:p>
      <w:pPr>
        <w:pStyle w:val="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加大教育财政投入，建立预算拨款与绩效激励约束机制，落实两个“只增不减”要求，完善各级各类学校预算拨款制度，合理调整提高拨款标准，提升预算内投资用于教育的比重。强化教育经费全过程监管，切实提高资金使用效益。</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14:ligatures w14:val="standardContextual"/>
        </w:rPr>
        <w:t>（三）提高教育治理水平</w:t>
      </w:r>
    </w:p>
    <w:p>
      <w:pPr>
        <w:pStyle w:val="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推进依法治教，将法治教育纳入干部培训，强化依法行政、依法治校。严格执行“三重一大”决策制度，强化落实、审计与监督，开展重点领域专项整治。健全现代学校治理体系，落实权责清单，规范履职行为。加强校园食堂管理，推进智慧食堂、食堂自营建设，严把食材采购关口，完善供应商资质与食材追溯体系。常态化开展安全隐患排查整治，构建校园安全长效管理机制。</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14:ligatures w14:val="standardContextua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14:ligatures w14:val="standardContextual"/>
        </w:rPr>
        <w:t>（四）优化教育发展环境</w:t>
      </w:r>
    </w:p>
    <w:p>
      <w:pPr>
        <w:pStyle w:val="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sectPr>
          <w:footerReference r:id="rId5" w:type="default"/>
          <w:footerReference r:id="rId6" w:type="even"/>
          <w:pgSz w:w="11906" w:h="16838"/>
          <w:pgMar w:top="1985" w:right="1588" w:bottom="2098" w:left="1474" w:header="851" w:footer="992" w:gutter="0"/>
          <w:pgNumType w:fmt="numberInDash" w:start="1"/>
          <w:cols w:space="425" w:num="1"/>
          <w:docGrid w:type="lines" w:linePitch="312" w:charSpace="0"/>
        </w:sectPr>
      </w:pP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宣传全区教育改革发展成果与广大教师先进事迹，提升社会对平谷教育的认同感。落实教师优先公共服务政策，加大教师表彰力度，提升教师社会地位。强化舆论引导，表彰支持教育发展的家长及社会各界人士，凝聚全社会关心支持教育的强大合力，营造教育</w:t>
      </w:r>
      <w:r>
        <w:rPr>
          <w:rFonts w:hint="eastAsia" w:ascii="仿宋_GB2312" w:hAnsi="仿宋_GB2312" w:eastAsia="仿宋_GB2312" w:cs="仿宋_GB2312"/>
          <w:color w:val="000000" w:themeColor="text1"/>
          <w:sz w:val="32"/>
          <w:szCs w:val="32"/>
          <w:lang w:eastAsia="zh-CN"/>
          <w14:textFill>
            <w14:solidFill>
              <w14:schemeClr w14:val="tx1"/>
            </w14:solidFill>
          </w14:textFill>
          <w14:ligatures w14:val="standardContextual"/>
        </w:rPr>
        <w:t>的</w:t>
      </w:r>
      <w:r>
        <w:rPr>
          <w:rFonts w:hint="eastAsia" w:ascii="仿宋_GB2312" w:hAnsi="仿宋_GB2312" w:eastAsia="仿宋_GB2312" w:cs="仿宋_GB2312"/>
          <w:color w:val="000000" w:themeColor="text1"/>
          <w:sz w:val="32"/>
          <w:szCs w:val="32"/>
          <w14:textFill>
            <w14:solidFill>
              <w14:schemeClr w14:val="tx1"/>
            </w14:solidFill>
          </w14:textFill>
          <w14:ligatures w14:val="standardContextual"/>
        </w:rPr>
        <w:t>良好氛围。</w:t>
      </w:r>
    </w:p>
    <w:tbl>
      <w:tblPr>
        <w:tblStyle w:val="12"/>
        <w:tblpPr w:leftFromText="180" w:rightFromText="180" w:vertAnchor="text" w:horzAnchor="page" w:tblpX="1634" w:tblpY="1187"/>
        <w:tblOverlap w:val="never"/>
        <w:tblW w:w="13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2517"/>
        <w:gridCol w:w="1185"/>
        <w:gridCol w:w="6750"/>
        <w:gridCol w:w="1200"/>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16" w:type="dxa"/>
            <w:vAlign w:val="center"/>
          </w:tcPr>
          <w:p>
            <w:pPr>
              <w:pStyle w:val="2"/>
              <w:spacing w:line="280" w:lineRule="exact"/>
              <w:ind w:firstLine="0" w:firstLineChars="0"/>
              <w:jc w:val="center"/>
              <w:rPr>
                <w:rFonts w:hint="eastAsia" w:hAnsi="黑体" w:cs="黑体"/>
                <w:color w:val="000000" w:themeColor="text1"/>
                <w:sz w:val="24"/>
                <w:szCs w:val="24"/>
                <w14:textFill>
                  <w14:solidFill>
                    <w14:schemeClr w14:val="tx1"/>
                  </w14:solidFill>
                </w14:textFill>
                <w14:ligatures w14:val="standardContextual"/>
              </w:rPr>
            </w:pPr>
            <w:r>
              <w:rPr>
                <w:rFonts w:hint="eastAsia" w:hAnsi="黑体" w:cs="黑体"/>
                <w:color w:val="000000" w:themeColor="text1"/>
                <w:sz w:val="24"/>
                <w:szCs w:val="24"/>
                <w14:textFill>
                  <w14:solidFill>
                    <w14:schemeClr w14:val="tx1"/>
                  </w14:solidFill>
                </w14:textFill>
                <w14:ligatures w14:val="standardContextual"/>
              </w:rPr>
              <w:t>序号</w:t>
            </w:r>
          </w:p>
        </w:tc>
        <w:tc>
          <w:tcPr>
            <w:tcW w:w="2517" w:type="dxa"/>
            <w:vAlign w:val="center"/>
          </w:tcPr>
          <w:p>
            <w:pPr>
              <w:pStyle w:val="2"/>
              <w:spacing w:line="280" w:lineRule="exact"/>
              <w:ind w:firstLine="0" w:firstLineChars="0"/>
              <w:jc w:val="center"/>
              <w:rPr>
                <w:rFonts w:hint="eastAsia" w:hAnsi="黑体" w:cs="黑体"/>
                <w:color w:val="000000" w:themeColor="text1"/>
                <w:sz w:val="24"/>
                <w:szCs w:val="24"/>
                <w14:textFill>
                  <w14:solidFill>
                    <w14:schemeClr w14:val="tx1"/>
                  </w14:solidFill>
                </w14:textFill>
                <w14:ligatures w14:val="standardContextual"/>
              </w:rPr>
            </w:pPr>
            <w:r>
              <w:rPr>
                <w:rFonts w:hint="eastAsia" w:hAnsi="黑体" w:cs="黑体"/>
                <w:color w:val="000000" w:themeColor="text1"/>
                <w:sz w:val="24"/>
                <w:szCs w:val="24"/>
                <w14:textFill>
                  <w14:solidFill>
                    <w14:schemeClr w14:val="tx1"/>
                  </w14:solidFill>
                </w14:textFill>
                <w14:ligatures w14:val="standardContextual"/>
              </w:rPr>
              <w:t>项目名称</w:t>
            </w:r>
          </w:p>
        </w:tc>
        <w:tc>
          <w:tcPr>
            <w:tcW w:w="1185" w:type="dxa"/>
            <w:vAlign w:val="center"/>
          </w:tcPr>
          <w:p>
            <w:pPr>
              <w:pStyle w:val="2"/>
              <w:spacing w:line="280" w:lineRule="exact"/>
              <w:ind w:firstLine="0" w:firstLineChars="0"/>
              <w:jc w:val="center"/>
              <w:rPr>
                <w:rFonts w:hint="eastAsia" w:hAnsi="黑体" w:cs="黑体"/>
                <w:color w:val="000000" w:themeColor="text1"/>
                <w:sz w:val="24"/>
                <w:szCs w:val="24"/>
                <w14:textFill>
                  <w14:solidFill>
                    <w14:schemeClr w14:val="tx1"/>
                  </w14:solidFill>
                </w14:textFill>
                <w14:ligatures w14:val="standardContextual"/>
              </w:rPr>
            </w:pPr>
            <w:r>
              <w:rPr>
                <w:rFonts w:hint="eastAsia" w:hAnsi="黑体" w:cs="黑体"/>
                <w:color w:val="000000" w:themeColor="text1"/>
                <w:sz w:val="24"/>
                <w:szCs w:val="24"/>
                <w14:textFill>
                  <w14:solidFill>
                    <w14:schemeClr w14:val="tx1"/>
                  </w14:solidFill>
                </w14:textFill>
                <w14:ligatures w14:val="standardContextual"/>
              </w:rPr>
              <w:t>项目位置</w:t>
            </w:r>
          </w:p>
        </w:tc>
        <w:tc>
          <w:tcPr>
            <w:tcW w:w="6750" w:type="dxa"/>
            <w:vAlign w:val="center"/>
          </w:tcPr>
          <w:p>
            <w:pPr>
              <w:pStyle w:val="2"/>
              <w:spacing w:line="280" w:lineRule="exact"/>
              <w:ind w:firstLine="0" w:firstLineChars="0"/>
              <w:jc w:val="center"/>
              <w:rPr>
                <w:rFonts w:hint="eastAsia" w:hAnsi="黑体" w:cs="黑体"/>
                <w:color w:val="000000" w:themeColor="text1"/>
                <w:sz w:val="24"/>
                <w:szCs w:val="24"/>
                <w14:textFill>
                  <w14:solidFill>
                    <w14:schemeClr w14:val="tx1"/>
                  </w14:solidFill>
                </w14:textFill>
                <w14:ligatures w14:val="standardContextual"/>
              </w:rPr>
            </w:pPr>
            <w:r>
              <w:rPr>
                <w:rFonts w:hint="eastAsia" w:hAnsi="黑体" w:cs="黑体"/>
                <w:color w:val="000000" w:themeColor="text1"/>
                <w:sz w:val="24"/>
                <w:szCs w:val="24"/>
                <w14:textFill>
                  <w14:solidFill>
                    <w14:schemeClr w14:val="tx1"/>
                  </w14:solidFill>
                </w14:textFill>
                <w14:ligatures w14:val="standardContextual"/>
              </w:rPr>
              <w:t>建设内容及规模</w:t>
            </w:r>
          </w:p>
        </w:tc>
        <w:tc>
          <w:tcPr>
            <w:tcW w:w="1200" w:type="dxa"/>
            <w:vAlign w:val="center"/>
          </w:tcPr>
          <w:p>
            <w:pPr>
              <w:pStyle w:val="2"/>
              <w:spacing w:line="280" w:lineRule="exact"/>
              <w:ind w:firstLine="0" w:firstLineChars="0"/>
              <w:jc w:val="center"/>
              <w:rPr>
                <w:rFonts w:hint="eastAsia" w:hAnsi="黑体" w:cs="黑体"/>
                <w:color w:val="000000" w:themeColor="text1"/>
                <w:sz w:val="24"/>
                <w:szCs w:val="24"/>
                <w14:textFill>
                  <w14:solidFill>
                    <w14:schemeClr w14:val="tx1"/>
                  </w14:solidFill>
                </w14:textFill>
                <w14:ligatures w14:val="standardContextual"/>
              </w:rPr>
            </w:pPr>
            <w:r>
              <w:rPr>
                <w:rFonts w:hint="eastAsia" w:hAnsi="黑体" w:cs="黑体"/>
                <w:color w:val="000000" w:themeColor="text1"/>
                <w:sz w:val="24"/>
                <w:szCs w:val="24"/>
                <w14:textFill>
                  <w14:solidFill>
                    <w14:schemeClr w14:val="tx1"/>
                  </w14:solidFill>
                </w14:textFill>
                <w14:ligatures w14:val="standardContextual"/>
              </w:rPr>
              <w:t>总投资</w:t>
            </w:r>
          </w:p>
          <w:p>
            <w:pPr>
              <w:pStyle w:val="2"/>
              <w:spacing w:line="280" w:lineRule="exact"/>
              <w:ind w:firstLine="0" w:firstLineChars="0"/>
              <w:jc w:val="center"/>
              <w:rPr>
                <w:rFonts w:hint="eastAsia" w:hAnsi="黑体" w:cs="黑体"/>
                <w:color w:val="000000" w:themeColor="text1"/>
                <w:sz w:val="24"/>
                <w:szCs w:val="24"/>
                <w14:textFill>
                  <w14:solidFill>
                    <w14:schemeClr w14:val="tx1"/>
                  </w14:solidFill>
                </w14:textFill>
                <w14:ligatures w14:val="standardContextual"/>
              </w:rPr>
            </w:pPr>
            <w:r>
              <w:rPr>
                <w:rFonts w:hint="eastAsia" w:hAnsi="黑体" w:cs="黑体"/>
                <w:color w:val="000000" w:themeColor="text1"/>
                <w:sz w:val="24"/>
                <w:szCs w:val="24"/>
                <w14:textFill>
                  <w14:solidFill>
                    <w14:schemeClr w14:val="tx1"/>
                  </w14:solidFill>
                </w14:textFill>
                <w14:ligatures w14:val="standardContextual"/>
              </w:rPr>
              <w:t>(万元)</w:t>
            </w:r>
          </w:p>
        </w:tc>
        <w:tc>
          <w:tcPr>
            <w:tcW w:w="1255" w:type="dxa"/>
            <w:vAlign w:val="center"/>
          </w:tcPr>
          <w:p>
            <w:pPr>
              <w:pStyle w:val="2"/>
              <w:spacing w:line="280" w:lineRule="exact"/>
              <w:ind w:firstLine="0" w:firstLineChars="0"/>
              <w:jc w:val="center"/>
              <w:rPr>
                <w:rFonts w:hint="eastAsia" w:hAnsi="黑体" w:cs="黑体"/>
                <w:color w:val="000000" w:themeColor="text1"/>
                <w:sz w:val="24"/>
                <w:szCs w:val="24"/>
                <w14:textFill>
                  <w14:solidFill>
                    <w14:schemeClr w14:val="tx1"/>
                  </w14:solidFill>
                </w14:textFill>
                <w14:ligatures w14:val="standardContextual"/>
              </w:rPr>
            </w:pPr>
            <w:r>
              <w:rPr>
                <w:rFonts w:hint="eastAsia" w:hAnsi="黑体" w:cs="黑体"/>
                <w:color w:val="000000" w:themeColor="text1"/>
                <w:sz w:val="24"/>
                <w:szCs w:val="24"/>
                <w14:textFill>
                  <w14:solidFill>
                    <w14:schemeClr w14:val="tx1"/>
                  </w14:solidFill>
                </w14:textFill>
                <w14:ligatures w14:val="standardContextual"/>
              </w:rPr>
              <w:t>投资形式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16"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1</w:t>
            </w:r>
          </w:p>
        </w:tc>
        <w:tc>
          <w:tcPr>
            <w:tcW w:w="2517"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北京（平谷）“五育融合”校外实训基地</w:t>
            </w:r>
          </w:p>
        </w:tc>
        <w:tc>
          <w:tcPr>
            <w:tcW w:w="118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金海湖镇</w:t>
            </w:r>
          </w:p>
        </w:tc>
        <w:tc>
          <w:tcPr>
            <w:tcW w:w="6750" w:type="dxa"/>
            <w:vAlign w:val="center"/>
          </w:tcPr>
          <w:p>
            <w:pPr>
              <w:pStyle w:val="2"/>
              <w:spacing w:line="280" w:lineRule="exact"/>
              <w:ind w:firstLine="0" w:firstLineChars="0"/>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建设综合配套设施、十大核心场馆及其他附属设施，配设特色功能硬件设备等，总占地面积约149公顷(2228亩),总建筑规模约19.6万平方米。</w:t>
            </w:r>
          </w:p>
        </w:tc>
        <w:tc>
          <w:tcPr>
            <w:tcW w:w="1200"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480000</w:t>
            </w:r>
          </w:p>
        </w:tc>
        <w:tc>
          <w:tcPr>
            <w:tcW w:w="125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中央预算内资金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616"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2</w:t>
            </w:r>
          </w:p>
        </w:tc>
        <w:tc>
          <w:tcPr>
            <w:tcW w:w="2517"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北京市平谷区国农港学校高中部建设项目</w:t>
            </w:r>
          </w:p>
        </w:tc>
        <w:tc>
          <w:tcPr>
            <w:tcW w:w="118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王辛庄镇</w:t>
            </w:r>
          </w:p>
        </w:tc>
        <w:tc>
          <w:tcPr>
            <w:tcW w:w="6750" w:type="dxa"/>
            <w:vAlign w:val="center"/>
          </w:tcPr>
          <w:p>
            <w:pPr>
              <w:pStyle w:val="2"/>
              <w:spacing w:line="280" w:lineRule="exact"/>
              <w:ind w:firstLine="0" w:firstLineChars="0"/>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学校规模为54个班。建设用地面积97300平方米，总建筑面积66171.56平方米。</w:t>
            </w:r>
          </w:p>
        </w:tc>
        <w:tc>
          <w:tcPr>
            <w:tcW w:w="1200"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49000</w:t>
            </w:r>
          </w:p>
        </w:tc>
        <w:tc>
          <w:tcPr>
            <w:tcW w:w="125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市区两级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6"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3</w:t>
            </w:r>
          </w:p>
        </w:tc>
        <w:tc>
          <w:tcPr>
            <w:tcW w:w="2517"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北京市平谷区国农港学校义教部建设项目</w:t>
            </w:r>
          </w:p>
        </w:tc>
        <w:tc>
          <w:tcPr>
            <w:tcW w:w="118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大兴庄镇</w:t>
            </w:r>
          </w:p>
        </w:tc>
        <w:tc>
          <w:tcPr>
            <w:tcW w:w="6750" w:type="dxa"/>
            <w:vAlign w:val="center"/>
          </w:tcPr>
          <w:p>
            <w:pPr>
              <w:pStyle w:val="2"/>
              <w:spacing w:line="280" w:lineRule="exact"/>
              <w:ind w:firstLine="0" w:firstLineChars="0"/>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学校规模为42个班，其中，小学12个班，初中30个班。建设用地面积65108.50平方米，总建筑面积32662平方米。</w:t>
            </w:r>
          </w:p>
        </w:tc>
        <w:tc>
          <w:tcPr>
            <w:tcW w:w="1200"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34400</w:t>
            </w:r>
          </w:p>
        </w:tc>
        <w:tc>
          <w:tcPr>
            <w:tcW w:w="125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市区两级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16"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4</w:t>
            </w:r>
          </w:p>
        </w:tc>
        <w:tc>
          <w:tcPr>
            <w:tcW w:w="2517"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平谷区马昌营学校改扩建项目</w:t>
            </w:r>
          </w:p>
        </w:tc>
        <w:tc>
          <w:tcPr>
            <w:tcW w:w="118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马昌营镇</w:t>
            </w:r>
          </w:p>
        </w:tc>
        <w:tc>
          <w:tcPr>
            <w:tcW w:w="6750" w:type="dxa"/>
            <w:vAlign w:val="center"/>
          </w:tcPr>
          <w:p>
            <w:pPr>
              <w:pStyle w:val="2"/>
              <w:spacing w:line="280" w:lineRule="exact"/>
              <w:ind w:firstLine="0" w:firstLineChars="0"/>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 xml:space="preserve">新建建筑面积 25000平方米，规划新建24个班，主要建设教学用房、办公及管理用房、生活服务用房、设备用房，地下人防等。 </w:t>
            </w:r>
          </w:p>
        </w:tc>
        <w:tc>
          <w:tcPr>
            <w:tcW w:w="1200"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16900</w:t>
            </w:r>
          </w:p>
        </w:tc>
        <w:tc>
          <w:tcPr>
            <w:tcW w:w="125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市区两级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16"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5</w:t>
            </w:r>
          </w:p>
        </w:tc>
        <w:tc>
          <w:tcPr>
            <w:tcW w:w="2517"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平谷区马坊镇中心区南区小学建设工程</w:t>
            </w:r>
          </w:p>
        </w:tc>
        <w:tc>
          <w:tcPr>
            <w:tcW w:w="118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马坊镇</w:t>
            </w:r>
          </w:p>
        </w:tc>
        <w:tc>
          <w:tcPr>
            <w:tcW w:w="6750" w:type="dxa"/>
            <w:vAlign w:val="center"/>
          </w:tcPr>
          <w:p>
            <w:pPr>
              <w:pStyle w:val="2"/>
              <w:spacing w:line="280" w:lineRule="exact"/>
              <w:ind w:firstLine="0" w:firstLineChars="0"/>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用地面积2.67公顷，新建占地面积约26674.303平方米，总建筑面积19506.95平方米。本项目教学用房及附属用房等建筑基底面积5912.93平方米，体育用地8936平方米，绿化用地8430 平方米，道路及广场、停车场4215平方米。</w:t>
            </w:r>
          </w:p>
        </w:tc>
        <w:tc>
          <w:tcPr>
            <w:tcW w:w="1200"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17553</w:t>
            </w:r>
          </w:p>
        </w:tc>
        <w:tc>
          <w:tcPr>
            <w:tcW w:w="125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市级固投资金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616"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6</w:t>
            </w:r>
          </w:p>
        </w:tc>
        <w:tc>
          <w:tcPr>
            <w:tcW w:w="2517"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平谷区马坊镇中心区南区北侧幼儿园建设工程</w:t>
            </w:r>
          </w:p>
        </w:tc>
        <w:tc>
          <w:tcPr>
            <w:tcW w:w="118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马坊镇</w:t>
            </w:r>
          </w:p>
        </w:tc>
        <w:tc>
          <w:tcPr>
            <w:tcW w:w="6750" w:type="dxa"/>
            <w:vAlign w:val="center"/>
          </w:tcPr>
          <w:p>
            <w:pPr>
              <w:pStyle w:val="2"/>
              <w:spacing w:line="280" w:lineRule="exact"/>
              <w:ind w:firstLine="0" w:firstLineChars="0"/>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用地面积4539.548平方米，约0.45公顷，总建筑面积3952.06平方米。9个标准班级，幼儿园园舍由活动用房、辅助用房、办公及辅助用房和生活用房组成。室外活动场地1080.00平方米。</w:t>
            </w:r>
          </w:p>
        </w:tc>
        <w:tc>
          <w:tcPr>
            <w:tcW w:w="1200"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3209</w:t>
            </w:r>
          </w:p>
        </w:tc>
        <w:tc>
          <w:tcPr>
            <w:tcW w:w="125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市级固投资金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616"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7</w:t>
            </w:r>
          </w:p>
        </w:tc>
        <w:tc>
          <w:tcPr>
            <w:tcW w:w="2517"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北京青年政治学院产教融合实训基地（护理、康养方面）</w:t>
            </w:r>
          </w:p>
        </w:tc>
        <w:tc>
          <w:tcPr>
            <w:tcW w:w="118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夏各庄镇</w:t>
            </w:r>
          </w:p>
        </w:tc>
        <w:tc>
          <w:tcPr>
            <w:tcW w:w="6750" w:type="dxa"/>
            <w:vAlign w:val="center"/>
          </w:tcPr>
          <w:p>
            <w:pPr>
              <w:pStyle w:val="2"/>
              <w:spacing w:line="280" w:lineRule="exact"/>
              <w:ind w:firstLine="0" w:firstLineChars="0"/>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建设内容主要包括实训基地必备的教学楼、实训楼、创新研发孵化中心、操场、宿舍、食堂、图书馆等硬件设施。项目分2期实施。一期工程，项目占地127.8亩，建筑面积11.8万平方米;二期工程，项目占地71.55亩。</w:t>
            </w:r>
          </w:p>
        </w:tc>
        <w:tc>
          <w:tcPr>
            <w:tcW w:w="1200"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125000</w:t>
            </w:r>
          </w:p>
        </w:tc>
        <w:tc>
          <w:tcPr>
            <w:tcW w:w="1255" w:type="dxa"/>
            <w:vAlign w:val="center"/>
          </w:tcPr>
          <w:p>
            <w:pPr>
              <w:pStyle w:val="2"/>
              <w:spacing w:line="280" w:lineRule="exact"/>
              <w:ind w:firstLine="0" w:firstLineChars="0"/>
              <w:jc w:val="cente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pPr>
            <w:bookmarkStart w:id="17" w:name="OLE_LINK6"/>
            <w:r>
              <w:rPr>
                <w:rFonts w:hint="eastAsia" w:ascii="仿宋_GB2312" w:hAnsi="仿宋_GB2312" w:eastAsia="仿宋_GB2312" w:cs="仿宋_GB2312"/>
                <w:color w:val="000000" w:themeColor="text1"/>
                <w:sz w:val="24"/>
                <w:szCs w:val="24"/>
                <w14:textFill>
                  <w14:solidFill>
                    <w14:schemeClr w14:val="tx1"/>
                  </w14:solidFill>
                </w14:textFill>
                <w14:ligatures w14:val="standardContextual"/>
              </w:rPr>
              <w:t>市区两级</w:t>
            </w:r>
            <w:bookmarkEnd w:id="17"/>
          </w:p>
        </w:tc>
      </w:tr>
    </w:tbl>
    <w:p>
      <w:pPr>
        <w:pStyle w:val="2"/>
        <w:ind w:firstLine="0" w:firstLineChars="0"/>
        <w:jc w:val="both"/>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2"/>
          <w:szCs w:val="32"/>
          <w14:textFill>
            <w14:solidFill>
              <w14:schemeClr w14:val="tx1"/>
            </w14:solidFill>
          </w14:textFill>
        </w:rPr>
        <w:t xml:space="preserve">附件  </w:t>
      </w:r>
    </w:p>
    <w:p>
      <w:pPr>
        <w:pStyle w:val="2"/>
        <w:ind w:firstLine="0" w:firstLineChars="0"/>
        <w:jc w:val="center"/>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2"/>
          <w:szCs w:val="32"/>
          <w14:textFill>
            <w14:solidFill>
              <w14:schemeClr w14:val="tx1"/>
            </w14:solidFill>
          </w14:textFill>
        </w:rPr>
        <w:t>平谷区“十五五”时期重大</w:t>
      </w:r>
      <w:r>
        <w:rPr>
          <w:rFonts w:hint="eastAsia" w:ascii="宋体" w:hAnsi="宋体" w:eastAsia="宋体" w:cs="宋体"/>
          <w:b/>
          <w:bCs/>
          <w:color w:val="000000" w:themeColor="text1"/>
          <w:sz w:val="32"/>
          <w:szCs w:val="32"/>
          <w:lang w:eastAsia="zh-CN"/>
          <w14:textFill>
            <w14:solidFill>
              <w14:schemeClr w14:val="tx1"/>
            </w14:solidFill>
          </w14:textFill>
        </w:rPr>
        <w:t>工程</w:t>
      </w:r>
      <w:r>
        <w:rPr>
          <w:rFonts w:hint="eastAsia" w:ascii="宋体" w:hAnsi="宋体" w:eastAsia="宋体" w:cs="宋体"/>
          <w:b/>
          <w:bCs/>
          <w:color w:val="000000" w:themeColor="text1"/>
          <w:sz w:val="32"/>
          <w:szCs w:val="32"/>
          <w14:textFill>
            <w14:solidFill>
              <w14:schemeClr w14:val="tx1"/>
            </w14:solidFill>
          </w14:textFill>
        </w:rPr>
        <w:t>项目清单</w:t>
      </w:r>
    </w:p>
    <w:sectPr>
      <w:footerReference r:id="rId7" w:type="default"/>
      <w:pgSz w:w="16838" w:h="11906" w:orient="landscape"/>
      <w:pgMar w:top="1474" w:right="1985" w:bottom="1588" w:left="2098" w:header="851" w:footer="992" w:gutter="0"/>
      <w:pgNumType w:fmt="numberInDash" w:start="2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小标宋体">
    <w:altName w:val="Calibri"/>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roman"/>
    <w:pitch w:val="default"/>
    <w:sig w:usb0="A00002FF" w:usb1="28CFFCFA"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pPr>
          <w:pStyle w:val="6"/>
          <w:jc w:val="center"/>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4</w:t>
        </w:r>
        <w:r>
          <w:rPr>
            <w:rFonts w:ascii="宋体" w:hAnsi="宋体" w:eastAsia="宋体"/>
            <w:sz w:val="28"/>
            <w:szCs w:val="28"/>
          </w:rPr>
          <w:fldChar w:fldCharType="end"/>
        </w:r>
      </w:p>
    </w:sdtContent>
  </w:sdt>
  <w:p>
    <w:pPr>
      <w:pStyle w:val="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00089802"/>
    </w:sdtPr>
    <w:sdtEndPr>
      <w:rPr>
        <w:rFonts w:ascii="宋体" w:hAnsi="宋体" w:eastAsia="宋体"/>
        <w:sz w:val="28"/>
        <w:szCs w:val="28"/>
      </w:rPr>
    </w:sdtEndPr>
    <w:sdtContent>
      <w:p>
        <w:pPr>
          <w:pStyle w:val="6"/>
          <w:ind w:right="180"/>
          <w:jc w:val="right"/>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22 -</w:t>
        </w:r>
        <w:r>
          <w:rPr>
            <w:rFonts w:ascii="宋体" w:hAnsi="宋体" w:eastAsia="宋体"/>
            <w:sz w:val="28"/>
            <w:szCs w:val="28"/>
          </w:rPr>
          <w:fldChar w:fldCharType="end"/>
        </w:r>
      </w:p>
    </w:sdtContent>
  </w:sdt>
  <w:p>
    <w:pPr>
      <w:pStyle w:val="6"/>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3416034"/>
    </w:sdtPr>
    <w:sdtEndPr>
      <w:rPr>
        <w:rFonts w:ascii="宋体" w:hAnsi="宋体" w:eastAsia="宋体"/>
        <w:sz w:val="28"/>
        <w:szCs w:val="28"/>
      </w:rPr>
    </w:sdtEndPr>
    <w:sdtContent>
      <w:p>
        <w:pPr>
          <w:pStyle w:val="6"/>
          <w:jc w:val="center"/>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sdtContent>
  </w:sdt>
  <w:p>
    <w:pPr>
      <w:pStyle w:val="6"/>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664435"/>
    </w:sdtPr>
    <w:sdtEndPr>
      <w:rPr>
        <w:rFonts w:ascii="宋体" w:hAnsi="宋体" w:eastAsia="宋体"/>
        <w:sz w:val="28"/>
        <w:szCs w:val="28"/>
      </w:rPr>
    </w:sdtEndPr>
    <w:sdtContent>
      <w:p>
        <w:pPr>
          <w:pStyle w:val="6"/>
          <w:jc w:val="right"/>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27 -</w:t>
        </w:r>
        <w:r>
          <w:rPr>
            <w:rFonts w:ascii="宋体" w:hAnsi="宋体" w:eastAsia="宋体"/>
            <w:sz w:val="28"/>
            <w:szCs w:val="28"/>
          </w:rPr>
          <w:fldChar w:fldCharType="end"/>
        </w:r>
      </w:p>
    </w:sdtContent>
  </w:sdt>
  <w:p>
    <w:pPr>
      <w:pStyle w:val="6"/>
      <w:jc w:val="cen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840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8EB"/>
    <w:rsid w:val="00001552"/>
    <w:rsid w:val="00001A76"/>
    <w:rsid w:val="000100F6"/>
    <w:rsid w:val="0001080F"/>
    <w:rsid w:val="00010DDF"/>
    <w:rsid w:val="00014868"/>
    <w:rsid w:val="00015FC5"/>
    <w:rsid w:val="0002019A"/>
    <w:rsid w:val="00020F94"/>
    <w:rsid w:val="000246DC"/>
    <w:rsid w:val="000258A9"/>
    <w:rsid w:val="00030BBC"/>
    <w:rsid w:val="0003216A"/>
    <w:rsid w:val="00032DD5"/>
    <w:rsid w:val="0003411B"/>
    <w:rsid w:val="00036406"/>
    <w:rsid w:val="00036B9E"/>
    <w:rsid w:val="00037445"/>
    <w:rsid w:val="00040442"/>
    <w:rsid w:val="00040F88"/>
    <w:rsid w:val="000444E1"/>
    <w:rsid w:val="000452A5"/>
    <w:rsid w:val="0004761C"/>
    <w:rsid w:val="000503C1"/>
    <w:rsid w:val="000504AB"/>
    <w:rsid w:val="00050BDD"/>
    <w:rsid w:val="00051325"/>
    <w:rsid w:val="00056DAE"/>
    <w:rsid w:val="0006104B"/>
    <w:rsid w:val="00063E1D"/>
    <w:rsid w:val="000661C1"/>
    <w:rsid w:val="00070FA2"/>
    <w:rsid w:val="00073E4A"/>
    <w:rsid w:val="0007468B"/>
    <w:rsid w:val="000752FA"/>
    <w:rsid w:val="00075CC0"/>
    <w:rsid w:val="000762E5"/>
    <w:rsid w:val="00076DB1"/>
    <w:rsid w:val="00077D77"/>
    <w:rsid w:val="000801F5"/>
    <w:rsid w:val="000872C6"/>
    <w:rsid w:val="0009441F"/>
    <w:rsid w:val="00097EA9"/>
    <w:rsid w:val="000A17EA"/>
    <w:rsid w:val="000A2C1E"/>
    <w:rsid w:val="000A34F1"/>
    <w:rsid w:val="000A5EDB"/>
    <w:rsid w:val="000B4F18"/>
    <w:rsid w:val="000B5D2B"/>
    <w:rsid w:val="000B6DA1"/>
    <w:rsid w:val="000C1576"/>
    <w:rsid w:val="000C1E4F"/>
    <w:rsid w:val="000C21E7"/>
    <w:rsid w:val="000C56CC"/>
    <w:rsid w:val="000C6DE5"/>
    <w:rsid w:val="000C6EFE"/>
    <w:rsid w:val="000C7E71"/>
    <w:rsid w:val="000D1BC1"/>
    <w:rsid w:val="000D29A2"/>
    <w:rsid w:val="000D2A8F"/>
    <w:rsid w:val="000D320D"/>
    <w:rsid w:val="000D618A"/>
    <w:rsid w:val="000D78FD"/>
    <w:rsid w:val="000E4171"/>
    <w:rsid w:val="000E5B89"/>
    <w:rsid w:val="000E6630"/>
    <w:rsid w:val="000F0422"/>
    <w:rsid w:val="000F2637"/>
    <w:rsid w:val="000F35C5"/>
    <w:rsid w:val="000F3A6C"/>
    <w:rsid w:val="000F3B46"/>
    <w:rsid w:val="00100A53"/>
    <w:rsid w:val="00100FEC"/>
    <w:rsid w:val="00112C83"/>
    <w:rsid w:val="00114F17"/>
    <w:rsid w:val="00121C92"/>
    <w:rsid w:val="001224C7"/>
    <w:rsid w:val="00123FE8"/>
    <w:rsid w:val="00124393"/>
    <w:rsid w:val="00125505"/>
    <w:rsid w:val="00126895"/>
    <w:rsid w:val="0012718D"/>
    <w:rsid w:val="00127E4E"/>
    <w:rsid w:val="00132FE8"/>
    <w:rsid w:val="00140594"/>
    <w:rsid w:val="00140812"/>
    <w:rsid w:val="001553D9"/>
    <w:rsid w:val="001556C8"/>
    <w:rsid w:val="00157C37"/>
    <w:rsid w:val="00164FCC"/>
    <w:rsid w:val="00166CAA"/>
    <w:rsid w:val="0017118F"/>
    <w:rsid w:val="00172A27"/>
    <w:rsid w:val="00173756"/>
    <w:rsid w:val="00173B22"/>
    <w:rsid w:val="00174C3D"/>
    <w:rsid w:val="001756E8"/>
    <w:rsid w:val="00176541"/>
    <w:rsid w:val="001775F4"/>
    <w:rsid w:val="00177FBF"/>
    <w:rsid w:val="0018181F"/>
    <w:rsid w:val="00183DFE"/>
    <w:rsid w:val="001853E8"/>
    <w:rsid w:val="00190A74"/>
    <w:rsid w:val="001910E5"/>
    <w:rsid w:val="001929F2"/>
    <w:rsid w:val="00195BDF"/>
    <w:rsid w:val="0019671D"/>
    <w:rsid w:val="001A2186"/>
    <w:rsid w:val="001A41BD"/>
    <w:rsid w:val="001A4344"/>
    <w:rsid w:val="001A4367"/>
    <w:rsid w:val="001A479C"/>
    <w:rsid w:val="001B2058"/>
    <w:rsid w:val="001B3AA2"/>
    <w:rsid w:val="001B5D29"/>
    <w:rsid w:val="001B62A9"/>
    <w:rsid w:val="001B62D3"/>
    <w:rsid w:val="001C1137"/>
    <w:rsid w:val="001C4878"/>
    <w:rsid w:val="001C4A4E"/>
    <w:rsid w:val="001C4A94"/>
    <w:rsid w:val="001C567F"/>
    <w:rsid w:val="001C58DE"/>
    <w:rsid w:val="001C63C9"/>
    <w:rsid w:val="001C63F9"/>
    <w:rsid w:val="001C7A61"/>
    <w:rsid w:val="001D0098"/>
    <w:rsid w:val="001D032F"/>
    <w:rsid w:val="001D1A88"/>
    <w:rsid w:val="001D41CA"/>
    <w:rsid w:val="001D580E"/>
    <w:rsid w:val="001D69B1"/>
    <w:rsid w:val="001D6B04"/>
    <w:rsid w:val="001E46DC"/>
    <w:rsid w:val="001F07B3"/>
    <w:rsid w:val="001F0E0F"/>
    <w:rsid w:val="001F0E6E"/>
    <w:rsid w:val="001F1352"/>
    <w:rsid w:val="001F232D"/>
    <w:rsid w:val="001F4F34"/>
    <w:rsid w:val="00205DAF"/>
    <w:rsid w:val="00206A1B"/>
    <w:rsid w:val="002070F7"/>
    <w:rsid w:val="002118E9"/>
    <w:rsid w:val="002140BE"/>
    <w:rsid w:val="00214499"/>
    <w:rsid w:val="00216B71"/>
    <w:rsid w:val="00221122"/>
    <w:rsid w:val="002212B2"/>
    <w:rsid w:val="00221C76"/>
    <w:rsid w:val="00227FA3"/>
    <w:rsid w:val="00232573"/>
    <w:rsid w:val="002351A2"/>
    <w:rsid w:val="00240D8D"/>
    <w:rsid w:val="00241FD7"/>
    <w:rsid w:val="00243CAB"/>
    <w:rsid w:val="002459E2"/>
    <w:rsid w:val="00250E5B"/>
    <w:rsid w:val="00251353"/>
    <w:rsid w:val="00255FFB"/>
    <w:rsid w:val="00260FC1"/>
    <w:rsid w:val="002615EF"/>
    <w:rsid w:val="002617DA"/>
    <w:rsid w:val="002619AB"/>
    <w:rsid w:val="00262249"/>
    <w:rsid w:val="00263076"/>
    <w:rsid w:val="0026476E"/>
    <w:rsid w:val="00267C88"/>
    <w:rsid w:val="002715F0"/>
    <w:rsid w:val="0027174A"/>
    <w:rsid w:val="00271F7C"/>
    <w:rsid w:val="00275E56"/>
    <w:rsid w:val="00281947"/>
    <w:rsid w:val="002843E3"/>
    <w:rsid w:val="00285B6E"/>
    <w:rsid w:val="00286FB2"/>
    <w:rsid w:val="00290508"/>
    <w:rsid w:val="00290B31"/>
    <w:rsid w:val="00290B54"/>
    <w:rsid w:val="002910D5"/>
    <w:rsid w:val="0029176E"/>
    <w:rsid w:val="002A537A"/>
    <w:rsid w:val="002A6DE2"/>
    <w:rsid w:val="002A7BD0"/>
    <w:rsid w:val="002B18D8"/>
    <w:rsid w:val="002B19F6"/>
    <w:rsid w:val="002B4149"/>
    <w:rsid w:val="002B60F1"/>
    <w:rsid w:val="002B692D"/>
    <w:rsid w:val="002C25CF"/>
    <w:rsid w:val="002C4880"/>
    <w:rsid w:val="002C5748"/>
    <w:rsid w:val="002C5A11"/>
    <w:rsid w:val="002C5EA3"/>
    <w:rsid w:val="002D2E3B"/>
    <w:rsid w:val="002E670A"/>
    <w:rsid w:val="002E6DCE"/>
    <w:rsid w:val="002F2865"/>
    <w:rsid w:val="002F46AB"/>
    <w:rsid w:val="002F63FA"/>
    <w:rsid w:val="00300F7D"/>
    <w:rsid w:val="003018B8"/>
    <w:rsid w:val="00301CDC"/>
    <w:rsid w:val="003037BD"/>
    <w:rsid w:val="00306AA4"/>
    <w:rsid w:val="00310233"/>
    <w:rsid w:val="003117F0"/>
    <w:rsid w:val="00315F97"/>
    <w:rsid w:val="003179A7"/>
    <w:rsid w:val="00320A3A"/>
    <w:rsid w:val="003237A2"/>
    <w:rsid w:val="00327020"/>
    <w:rsid w:val="00330D47"/>
    <w:rsid w:val="00335934"/>
    <w:rsid w:val="00336C34"/>
    <w:rsid w:val="00337DC5"/>
    <w:rsid w:val="00344683"/>
    <w:rsid w:val="003446E9"/>
    <w:rsid w:val="00346DD7"/>
    <w:rsid w:val="003470E4"/>
    <w:rsid w:val="003473B6"/>
    <w:rsid w:val="00352D76"/>
    <w:rsid w:val="00352FD1"/>
    <w:rsid w:val="0035354E"/>
    <w:rsid w:val="0036010D"/>
    <w:rsid w:val="0036334F"/>
    <w:rsid w:val="00364422"/>
    <w:rsid w:val="003654E1"/>
    <w:rsid w:val="00370A7A"/>
    <w:rsid w:val="003749FB"/>
    <w:rsid w:val="00375F27"/>
    <w:rsid w:val="00376077"/>
    <w:rsid w:val="00376417"/>
    <w:rsid w:val="003768C3"/>
    <w:rsid w:val="00376E98"/>
    <w:rsid w:val="00380225"/>
    <w:rsid w:val="00381FC8"/>
    <w:rsid w:val="0039127F"/>
    <w:rsid w:val="00394AE9"/>
    <w:rsid w:val="003A0E9D"/>
    <w:rsid w:val="003A4061"/>
    <w:rsid w:val="003A74BE"/>
    <w:rsid w:val="003B187E"/>
    <w:rsid w:val="003B22F4"/>
    <w:rsid w:val="003B6AA3"/>
    <w:rsid w:val="003B77E3"/>
    <w:rsid w:val="003C046A"/>
    <w:rsid w:val="003C08B1"/>
    <w:rsid w:val="003C3723"/>
    <w:rsid w:val="003C3ECC"/>
    <w:rsid w:val="003C6989"/>
    <w:rsid w:val="003C7269"/>
    <w:rsid w:val="003D05D4"/>
    <w:rsid w:val="003D1B3D"/>
    <w:rsid w:val="003D4264"/>
    <w:rsid w:val="003D70A7"/>
    <w:rsid w:val="003E149D"/>
    <w:rsid w:val="003E1A07"/>
    <w:rsid w:val="003E1F96"/>
    <w:rsid w:val="003E7BEF"/>
    <w:rsid w:val="003E7F28"/>
    <w:rsid w:val="003F026A"/>
    <w:rsid w:val="003F18C4"/>
    <w:rsid w:val="003F2544"/>
    <w:rsid w:val="003F29DD"/>
    <w:rsid w:val="003F3C86"/>
    <w:rsid w:val="003F51A6"/>
    <w:rsid w:val="003F685B"/>
    <w:rsid w:val="004049DD"/>
    <w:rsid w:val="00410FEC"/>
    <w:rsid w:val="00412E88"/>
    <w:rsid w:val="00413EEE"/>
    <w:rsid w:val="00414176"/>
    <w:rsid w:val="0041672E"/>
    <w:rsid w:val="00417FB7"/>
    <w:rsid w:val="004201D3"/>
    <w:rsid w:val="00420352"/>
    <w:rsid w:val="00420ADE"/>
    <w:rsid w:val="00424C91"/>
    <w:rsid w:val="004254AF"/>
    <w:rsid w:val="004311BA"/>
    <w:rsid w:val="004349EB"/>
    <w:rsid w:val="00434BEB"/>
    <w:rsid w:val="00437078"/>
    <w:rsid w:val="004378C0"/>
    <w:rsid w:val="00437ED1"/>
    <w:rsid w:val="004442A4"/>
    <w:rsid w:val="00444338"/>
    <w:rsid w:val="00452757"/>
    <w:rsid w:val="00453F28"/>
    <w:rsid w:val="00460CD1"/>
    <w:rsid w:val="00461B79"/>
    <w:rsid w:val="00461F4C"/>
    <w:rsid w:val="00462146"/>
    <w:rsid w:val="00463404"/>
    <w:rsid w:val="00465362"/>
    <w:rsid w:val="00471450"/>
    <w:rsid w:val="00472CAB"/>
    <w:rsid w:val="00472FAD"/>
    <w:rsid w:val="004735F5"/>
    <w:rsid w:val="00474543"/>
    <w:rsid w:val="00474952"/>
    <w:rsid w:val="004760D1"/>
    <w:rsid w:val="004771F4"/>
    <w:rsid w:val="0047739D"/>
    <w:rsid w:val="0047755F"/>
    <w:rsid w:val="00484EEE"/>
    <w:rsid w:val="004872B4"/>
    <w:rsid w:val="00487856"/>
    <w:rsid w:val="004938F5"/>
    <w:rsid w:val="00494C63"/>
    <w:rsid w:val="00494F26"/>
    <w:rsid w:val="00495674"/>
    <w:rsid w:val="004A09ED"/>
    <w:rsid w:val="004A2BD5"/>
    <w:rsid w:val="004B0A0E"/>
    <w:rsid w:val="004B30F5"/>
    <w:rsid w:val="004B582C"/>
    <w:rsid w:val="004C0474"/>
    <w:rsid w:val="004C0B20"/>
    <w:rsid w:val="004C1617"/>
    <w:rsid w:val="004C1B57"/>
    <w:rsid w:val="004C2A97"/>
    <w:rsid w:val="004C5869"/>
    <w:rsid w:val="004C6A35"/>
    <w:rsid w:val="004D002B"/>
    <w:rsid w:val="004D03B7"/>
    <w:rsid w:val="004D07B5"/>
    <w:rsid w:val="004D1CDC"/>
    <w:rsid w:val="004D78D0"/>
    <w:rsid w:val="004E042C"/>
    <w:rsid w:val="004E08B9"/>
    <w:rsid w:val="004E3376"/>
    <w:rsid w:val="004E42B1"/>
    <w:rsid w:val="004E7716"/>
    <w:rsid w:val="004F094A"/>
    <w:rsid w:val="004F1396"/>
    <w:rsid w:val="004F54C2"/>
    <w:rsid w:val="00500872"/>
    <w:rsid w:val="0050144B"/>
    <w:rsid w:val="00505C30"/>
    <w:rsid w:val="00511A9A"/>
    <w:rsid w:val="005137B9"/>
    <w:rsid w:val="00515778"/>
    <w:rsid w:val="005160AC"/>
    <w:rsid w:val="00522728"/>
    <w:rsid w:val="00524BC0"/>
    <w:rsid w:val="00532382"/>
    <w:rsid w:val="00533682"/>
    <w:rsid w:val="0053686C"/>
    <w:rsid w:val="005377D7"/>
    <w:rsid w:val="00537F7D"/>
    <w:rsid w:val="00540CE5"/>
    <w:rsid w:val="005419D4"/>
    <w:rsid w:val="00551C40"/>
    <w:rsid w:val="005524B2"/>
    <w:rsid w:val="005531FC"/>
    <w:rsid w:val="00557B4F"/>
    <w:rsid w:val="00561B3D"/>
    <w:rsid w:val="00562FD4"/>
    <w:rsid w:val="0056495B"/>
    <w:rsid w:val="00564ED9"/>
    <w:rsid w:val="00567A59"/>
    <w:rsid w:val="00570C13"/>
    <w:rsid w:val="00572414"/>
    <w:rsid w:val="00573079"/>
    <w:rsid w:val="0057651E"/>
    <w:rsid w:val="00577BF0"/>
    <w:rsid w:val="00580F71"/>
    <w:rsid w:val="005902DB"/>
    <w:rsid w:val="00590CE3"/>
    <w:rsid w:val="00591E5B"/>
    <w:rsid w:val="00592E36"/>
    <w:rsid w:val="00593953"/>
    <w:rsid w:val="00593C74"/>
    <w:rsid w:val="00593C7B"/>
    <w:rsid w:val="0059479C"/>
    <w:rsid w:val="00596AED"/>
    <w:rsid w:val="005A3A1B"/>
    <w:rsid w:val="005A4B75"/>
    <w:rsid w:val="005A67FB"/>
    <w:rsid w:val="005A7E8A"/>
    <w:rsid w:val="005B1913"/>
    <w:rsid w:val="005B5FA6"/>
    <w:rsid w:val="005B787F"/>
    <w:rsid w:val="005C0220"/>
    <w:rsid w:val="005C3AB8"/>
    <w:rsid w:val="005C57B8"/>
    <w:rsid w:val="005C67CF"/>
    <w:rsid w:val="005D1268"/>
    <w:rsid w:val="005D1C2A"/>
    <w:rsid w:val="005D436C"/>
    <w:rsid w:val="005D4CED"/>
    <w:rsid w:val="005D67CE"/>
    <w:rsid w:val="005D6B7A"/>
    <w:rsid w:val="005D6ECF"/>
    <w:rsid w:val="005E141D"/>
    <w:rsid w:val="005E3DEB"/>
    <w:rsid w:val="005E4B9C"/>
    <w:rsid w:val="005F0914"/>
    <w:rsid w:val="005F20FC"/>
    <w:rsid w:val="005F35BA"/>
    <w:rsid w:val="005F360B"/>
    <w:rsid w:val="005F42AF"/>
    <w:rsid w:val="005F4322"/>
    <w:rsid w:val="005F45C5"/>
    <w:rsid w:val="005F4A7E"/>
    <w:rsid w:val="005F4E48"/>
    <w:rsid w:val="005F6E73"/>
    <w:rsid w:val="005F7340"/>
    <w:rsid w:val="00600A4E"/>
    <w:rsid w:val="00601B76"/>
    <w:rsid w:val="00601B89"/>
    <w:rsid w:val="00602123"/>
    <w:rsid w:val="00604380"/>
    <w:rsid w:val="006047A9"/>
    <w:rsid w:val="0060555E"/>
    <w:rsid w:val="006063EA"/>
    <w:rsid w:val="00606A21"/>
    <w:rsid w:val="00613468"/>
    <w:rsid w:val="00615D63"/>
    <w:rsid w:val="006220C6"/>
    <w:rsid w:val="00622B1B"/>
    <w:rsid w:val="006238CA"/>
    <w:rsid w:val="00624FDF"/>
    <w:rsid w:val="0062541A"/>
    <w:rsid w:val="006259AC"/>
    <w:rsid w:val="00626904"/>
    <w:rsid w:val="00630520"/>
    <w:rsid w:val="0063589A"/>
    <w:rsid w:val="006369C9"/>
    <w:rsid w:val="00637535"/>
    <w:rsid w:val="0063764A"/>
    <w:rsid w:val="00637CFF"/>
    <w:rsid w:val="00640066"/>
    <w:rsid w:val="00643F35"/>
    <w:rsid w:val="006450AD"/>
    <w:rsid w:val="00645BC9"/>
    <w:rsid w:val="0065312F"/>
    <w:rsid w:val="006558B6"/>
    <w:rsid w:val="00655E8B"/>
    <w:rsid w:val="00656BFE"/>
    <w:rsid w:val="0066038C"/>
    <w:rsid w:val="00663069"/>
    <w:rsid w:val="0066320E"/>
    <w:rsid w:val="00664F5C"/>
    <w:rsid w:val="006664E2"/>
    <w:rsid w:val="00671FD5"/>
    <w:rsid w:val="006762A1"/>
    <w:rsid w:val="0068196D"/>
    <w:rsid w:val="00681B68"/>
    <w:rsid w:val="00681EF8"/>
    <w:rsid w:val="00683024"/>
    <w:rsid w:val="00684485"/>
    <w:rsid w:val="00687737"/>
    <w:rsid w:val="006903BC"/>
    <w:rsid w:val="00691955"/>
    <w:rsid w:val="00692A2A"/>
    <w:rsid w:val="00692F0F"/>
    <w:rsid w:val="00694789"/>
    <w:rsid w:val="00694C51"/>
    <w:rsid w:val="0069614F"/>
    <w:rsid w:val="006A0035"/>
    <w:rsid w:val="006A0B59"/>
    <w:rsid w:val="006A22C3"/>
    <w:rsid w:val="006A24D6"/>
    <w:rsid w:val="006A29A2"/>
    <w:rsid w:val="006A2C95"/>
    <w:rsid w:val="006A38BA"/>
    <w:rsid w:val="006A4CD1"/>
    <w:rsid w:val="006A7B0E"/>
    <w:rsid w:val="006B20BA"/>
    <w:rsid w:val="006B3200"/>
    <w:rsid w:val="006B51D5"/>
    <w:rsid w:val="006B7A53"/>
    <w:rsid w:val="006C1901"/>
    <w:rsid w:val="006C58BB"/>
    <w:rsid w:val="006D40BE"/>
    <w:rsid w:val="006D63BC"/>
    <w:rsid w:val="006E50EE"/>
    <w:rsid w:val="006E66A3"/>
    <w:rsid w:val="006E724E"/>
    <w:rsid w:val="006F1056"/>
    <w:rsid w:val="006F291A"/>
    <w:rsid w:val="006F5879"/>
    <w:rsid w:val="006F64F2"/>
    <w:rsid w:val="006F709C"/>
    <w:rsid w:val="00706B6D"/>
    <w:rsid w:val="007079E3"/>
    <w:rsid w:val="00707F91"/>
    <w:rsid w:val="00711F05"/>
    <w:rsid w:val="0071258F"/>
    <w:rsid w:val="00715D39"/>
    <w:rsid w:val="007168B7"/>
    <w:rsid w:val="00716C04"/>
    <w:rsid w:val="00717E77"/>
    <w:rsid w:val="007215C8"/>
    <w:rsid w:val="00724F3B"/>
    <w:rsid w:val="007253E6"/>
    <w:rsid w:val="00727E7F"/>
    <w:rsid w:val="0073020C"/>
    <w:rsid w:val="00730BE7"/>
    <w:rsid w:val="00730CF1"/>
    <w:rsid w:val="007318F1"/>
    <w:rsid w:val="00736697"/>
    <w:rsid w:val="007367BE"/>
    <w:rsid w:val="00741638"/>
    <w:rsid w:val="0074177F"/>
    <w:rsid w:val="00741F42"/>
    <w:rsid w:val="00744311"/>
    <w:rsid w:val="00744380"/>
    <w:rsid w:val="00744925"/>
    <w:rsid w:val="00744A76"/>
    <w:rsid w:val="00745C05"/>
    <w:rsid w:val="00746CE3"/>
    <w:rsid w:val="00747E50"/>
    <w:rsid w:val="00757149"/>
    <w:rsid w:val="0075732C"/>
    <w:rsid w:val="00761E91"/>
    <w:rsid w:val="00762614"/>
    <w:rsid w:val="00763814"/>
    <w:rsid w:val="00767389"/>
    <w:rsid w:val="00767F07"/>
    <w:rsid w:val="0077532C"/>
    <w:rsid w:val="00775C3C"/>
    <w:rsid w:val="0077615C"/>
    <w:rsid w:val="00776233"/>
    <w:rsid w:val="00776492"/>
    <w:rsid w:val="007769C0"/>
    <w:rsid w:val="00781C21"/>
    <w:rsid w:val="00782490"/>
    <w:rsid w:val="00782770"/>
    <w:rsid w:val="00792C0F"/>
    <w:rsid w:val="007939D7"/>
    <w:rsid w:val="00797E54"/>
    <w:rsid w:val="007A23A4"/>
    <w:rsid w:val="007A5605"/>
    <w:rsid w:val="007B1C2B"/>
    <w:rsid w:val="007B2E94"/>
    <w:rsid w:val="007B3983"/>
    <w:rsid w:val="007B436E"/>
    <w:rsid w:val="007B5CC8"/>
    <w:rsid w:val="007B7588"/>
    <w:rsid w:val="007C0B94"/>
    <w:rsid w:val="007C19C8"/>
    <w:rsid w:val="007C1EFE"/>
    <w:rsid w:val="007C3AF4"/>
    <w:rsid w:val="007D58A7"/>
    <w:rsid w:val="007D6764"/>
    <w:rsid w:val="007E012B"/>
    <w:rsid w:val="007E1693"/>
    <w:rsid w:val="007E1936"/>
    <w:rsid w:val="007E1A30"/>
    <w:rsid w:val="007E2E45"/>
    <w:rsid w:val="007E5948"/>
    <w:rsid w:val="007E5FFE"/>
    <w:rsid w:val="007E7F67"/>
    <w:rsid w:val="007F071B"/>
    <w:rsid w:val="007F1692"/>
    <w:rsid w:val="007F4140"/>
    <w:rsid w:val="007F42D7"/>
    <w:rsid w:val="007F46DA"/>
    <w:rsid w:val="007F4B0B"/>
    <w:rsid w:val="007F64E8"/>
    <w:rsid w:val="00801032"/>
    <w:rsid w:val="00801598"/>
    <w:rsid w:val="00803540"/>
    <w:rsid w:val="00805223"/>
    <w:rsid w:val="0080535D"/>
    <w:rsid w:val="0081145E"/>
    <w:rsid w:val="00814285"/>
    <w:rsid w:val="008162F9"/>
    <w:rsid w:val="00817118"/>
    <w:rsid w:val="008171E9"/>
    <w:rsid w:val="00817608"/>
    <w:rsid w:val="00817FBF"/>
    <w:rsid w:val="0082544D"/>
    <w:rsid w:val="00826033"/>
    <w:rsid w:val="00833B93"/>
    <w:rsid w:val="0083513F"/>
    <w:rsid w:val="00836101"/>
    <w:rsid w:val="00842935"/>
    <w:rsid w:val="008479E2"/>
    <w:rsid w:val="00850E81"/>
    <w:rsid w:val="008518C0"/>
    <w:rsid w:val="00853DF2"/>
    <w:rsid w:val="00854BF4"/>
    <w:rsid w:val="00860EF4"/>
    <w:rsid w:val="00862FC1"/>
    <w:rsid w:val="00864132"/>
    <w:rsid w:val="00870349"/>
    <w:rsid w:val="0087095A"/>
    <w:rsid w:val="00870963"/>
    <w:rsid w:val="00873862"/>
    <w:rsid w:val="008756A9"/>
    <w:rsid w:val="008763DB"/>
    <w:rsid w:val="008765CF"/>
    <w:rsid w:val="00890C2C"/>
    <w:rsid w:val="008926FA"/>
    <w:rsid w:val="00896705"/>
    <w:rsid w:val="008979A9"/>
    <w:rsid w:val="008A0CBC"/>
    <w:rsid w:val="008A13C2"/>
    <w:rsid w:val="008B00DE"/>
    <w:rsid w:val="008B08FD"/>
    <w:rsid w:val="008B73D5"/>
    <w:rsid w:val="008C25E4"/>
    <w:rsid w:val="008C357E"/>
    <w:rsid w:val="008C4176"/>
    <w:rsid w:val="008C47FE"/>
    <w:rsid w:val="008C531C"/>
    <w:rsid w:val="008D257F"/>
    <w:rsid w:val="008D3BC5"/>
    <w:rsid w:val="008D4C82"/>
    <w:rsid w:val="008D5986"/>
    <w:rsid w:val="008D7396"/>
    <w:rsid w:val="008D7EF3"/>
    <w:rsid w:val="008E0473"/>
    <w:rsid w:val="008E2090"/>
    <w:rsid w:val="008E5173"/>
    <w:rsid w:val="008E57A7"/>
    <w:rsid w:val="008E7CA4"/>
    <w:rsid w:val="008F0E0B"/>
    <w:rsid w:val="008F255D"/>
    <w:rsid w:val="008F2F53"/>
    <w:rsid w:val="008F6B6C"/>
    <w:rsid w:val="008F7963"/>
    <w:rsid w:val="009003BD"/>
    <w:rsid w:val="00900989"/>
    <w:rsid w:val="00900E90"/>
    <w:rsid w:val="00904FFE"/>
    <w:rsid w:val="00906441"/>
    <w:rsid w:val="009137C6"/>
    <w:rsid w:val="00917BAF"/>
    <w:rsid w:val="00921849"/>
    <w:rsid w:val="00931D09"/>
    <w:rsid w:val="00932484"/>
    <w:rsid w:val="00933856"/>
    <w:rsid w:val="00937312"/>
    <w:rsid w:val="00943E6E"/>
    <w:rsid w:val="009451D2"/>
    <w:rsid w:val="00945CEF"/>
    <w:rsid w:val="0094686C"/>
    <w:rsid w:val="00947E81"/>
    <w:rsid w:val="00953D38"/>
    <w:rsid w:val="00956A14"/>
    <w:rsid w:val="009601CD"/>
    <w:rsid w:val="00960653"/>
    <w:rsid w:val="0096278D"/>
    <w:rsid w:val="009628BE"/>
    <w:rsid w:val="009637B3"/>
    <w:rsid w:val="00967466"/>
    <w:rsid w:val="009676AE"/>
    <w:rsid w:val="00972ED4"/>
    <w:rsid w:val="00973ECB"/>
    <w:rsid w:val="00975CB3"/>
    <w:rsid w:val="0097722F"/>
    <w:rsid w:val="009778F4"/>
    <w:rsid w:val="00977A95"/>
    <w:rsid w:val="00980CE1"/>
    <w:rsid w:val="00985213"/>
    <w:rsid w:val="0099103C"/>
    <w:rsid w:val="00993AC9"/>
    <w:rsid w:val="00993EA3"/>
    <w:rsid w:val="00994A24"/>
    <w:rsid w:val="00995E10"/>
    <w:rsid w:val="009971B1"/>
    <w:rsid w:val="009A02C1"/>
    <w:rsid w:val="009A22A3"/>
    <w:rsid w:val="009A46DD"/>
    <w:rsid w:val="009A4B33"/>
    <w:rsid w:val="009A6D65"/>
    <w:rsid w:val="009A6F53"/>
    <w:rsid w:val="009A74CD"/>
    <w:rsid w:val="009B019B"/>
    <w:rsid w:val="009B1082"/>
    <w:rsid w:val="009B1114"/>
    <w:rsid w:val="009B49CE"/>
    <w:rsid w:val="009B4D4B"/>
    <w:rsid w:val="009B5839"/>
    <w:rsid w:val="009C03FE"/>
    <w:rsid w:val="009C0D2D"/>
    <w:rsid w:val="009C151C"/>
    <w:rsid w:val="009C1EAF"/>
    <w:rsid w:val="009C23F8"/>
    <w:rsid w:val="009C24C2"/>
    <w:rsid w:val="009C562B"/>
    <w:rsid w:val="009D2DC6"/>
    <w:rsid w:val="009D399C"/>
    <w:rsid w:val="009D4740"/>
    <w:rsid w:val="009D5C62"/>
    <w:rsid w:val="009E2692"/>
    <w:rsid w:val="009E352C"/>
    <w:rsid w:val="009F1B74"/>
    <w:rsid w:val="009F4B29"/>
    <w:rsid w:val="009F63B5"/>
    <w:rsid w:val="00A01D34"/>
    <w:rsid w:val="00A03503"/>
    <w:rsid w:val="00A03E93"/>
    <w:rsid w:val="00A055CD"/>
    <w:rsid w:val="00A05D18"/>
    <w:rsid w:val="00A071AF"/>
    <w:rsid w:val="00A1062E"/>
    <w:rsid w:val="00A11ED0"/>
    <w:rsid w:val="00A13F48"/>
    <w:rsid w:val="00A15DD7"/>
    <w:rsid w:val="00A16E87"/>
    <w:rsid w:val="00A215D3"/>
    <w:rsid w:val="00A252C4"/>
    <w:rsid w:val="00A26AE9"/>
    <w:rsid w:val="00A310CF"/>
    <w:rsid w:val="00A3189D"/>
    <w:rsid w:val="00A3346D"/>
    <w:rsid w:val="00A33609"/>
    <w:rsid w:val="00A40C77"/>
    <w:rsid w:val="00A40CE1"/>
    <w:rsid w:val="00A40E4B"/>
    <w:rsid w:val="00A4484D"/>
    <w:rsid w:val="00A459B8"/>
    <w:rsid w:val="00A463F4"/>
    <w:rsid w:val="00A56061"/>
    <w:rsid w:val="00A5630B"/>
    <w:rsid w:val="00A569E0"/>
    <w:rsid w:val="00A5700A"/>
    <w:rsid w:val="00A57A4B"/>
    <w:rsid w:val="00A62C7A"/>
    <w:rsid w:val="00A65559"/>
    <w:rsid w:val="00A65A25"/>
    <w:rsid w:val="00A6679D"/>
    <w:rsid w:val="00A7035C"/>
    <w:rsid w:val="00A7189B"/>
    <w:rsid w:val="00A721BE"/>
    <w:rsid w:val="00A732AF"/>
    <w:rsid w:val="00A7368D"/>
    <w:rsid w:val="00A76A59"/>
    <w:rsid w:val="00A76C8C"/>
    <w:rsid w:val="00A77A12"/>
    <w:rsid w:val="00A83ECD"/>
    <w:rsid w:val="00A84469"/>
    <w:rsid w:val="00A86736"/>
    <w:rsid w:val="00A87130"/>
    <w:rsid w:val="00A93635"/>
    <w:rsid w:val="00A93DDB"/>
    <w:rsid w:val="00A9583C"/>
    <w:rsid w:val="00A96EDF"/>
    <w:rsid w:val="00AA01B9"/>
    <w:rsid w:val="00AA226A"/>
    <w:rsid w:val="00AA2567"/>
    <w:rsid w:val="00AA330D"/>
    <w:rsid w:val="00AA580C"/>
    <w:rsid w:val="00AA5B32"/>
    <w:rsid w:val="00AA639E"/>
    <w:rsid w:val="00AA66F0"/>
    <w:rsid w:val="00AB2875"/>
    <w:rsid w:val="00AB48B7"/>
    <w:rsid w:val="00AB5B07"/>
    <w:rsid w:val="00AB674F"/>
    <w:rsid w:val="00AC0714"/>
    <w:rsid w:val="00AC3851"/>
    <w:rsid w:val="00AC4DF7"/>
    <w:rsid w:val="00AC5139"/>
    <w:rsid w:val="00AC587F"/>
    <w:rsid w:val="00AC6383"/>
    <w:rsid w:val="00AC6686"/>
    <w:rsid w:val="00AD56AB"/>
    <w:rsid w:val="00AD7D7F"/>
    <w:rsid w:val="00AE0338"/>
    <w:rsid w:val="00AE0480"/>
    <w:rsid w:val="00AE0686"/>
    <w:rsid w:val="00AE273A"/>
    <w:rsid w:val="00AE393C"/>
    <w:rsid w:val="00AE3A52"/>
    <w:rsid w:val="00AE7500"/>
    <w:rsid w:val="00AF3B96"/>
    <w:rsid w:val="00AF5472"/>
    <w:rsid w:val="00AF6371"/>
    <w:rsid w:val="00B00CF4"/>
    <w:rsid w:val="00B0206B"/>
    <w:rsid w:val="00B03B78"/>
    <w:rsid w:val="00B040EC"/>
    <w:rsid w:val="00B04CF1"/>
    <w:rsid w:val="00B14A87"/>
    <w:rsid w:val="00B15FC0"/>
    <w:rsid w:val="00B15FE0"/>
    <w:rsid w:val="00B248E5"/>
    <w:rsid w:val="00B27366"/>
    <w:rsid w:val="00B32C8F"/>
    <w:rsid w:val="00B3523A"/>
    <w:rsid w:val="00B37530"/>
    <w:rsid w:val="00B379B3"/>
    <w:rsid w:val="00B41ADF"/>
    <w:rsid w:val="00B43D75"/>
    <w:rsid w:val="00B504A4"/>
    <w:rsid w:val="00B55B4C"/>
    <w:rsid w:val="00B621AD"/>
    <w:rsid w:val="00B65323"/>
    <w:rsid w:val="00B6709A"/>
    <w:rsid w:val="00B6780C"/>
    <w:rsid w:val="00B71222"/>
    <w:rsid w:val="00B72F56"/>
    <w:rsid w:val="00B7435A"/>
    <w:rsid w:val="00B75740"/>
    <w:rsid w:val="00B777C7"/>
    <w:rsid w:val="00B84044"/>
    <w:rsid w:val="00B86600"/>
    <w:rsid w:val="00B86FC0"/>
    <w:rsid w:val="00B962B8"/>
    <w:rsid w:val="00B970EA"/>
    <w:rsid w:val="00B97361"/>
    <w:rsid w:val="00B975AE"/>
    <w:rsid w:val="00B9784E"/>
    <w:rsid w:val="00BA272B"/>
    <w:rsid w:val="00BA7FDE"/>
    <w:rsid w:val="00BB01B1"/>
    <w:rsid w:val="00BB0448"/>
    <w:rsid w:val="00BB1955"/>
    <w:rsid w:val="00BB447E"/>
    <w:rsid w:val="00BC77B8"/>
    <w:rsid w:val="00BD53A6"/>
    <w:rsid w:val="00BE2139"/>
    <w:rsid w:val="00BE37E8"/>
    <w:rsid w:val="00BE38F6"/>
    <w:rsid w:val="00BE76A0"/>
    <w:rsid w:val="00BF7D9C"/>
    <w:rsid w:val="00C00462"/>
    <w:rsid w:val="00C0099F"/>
    <w:rsid w:val="00C02450"/>
    <w:rsid w:val="00C03A2F"/>
    <w:rsid w:val="00C05290"/>
    <w:rsid w:val="00C1029B"/>
    <w:rsid w:val="00C105DB"/>
    <w:rsid w:val="00C10EF0"/>
    <w:rsid w:val="00C11F51"/>
    <w:rsid w:val="00C162F0"/>
    <w:rsid w:val="00C16619"/>
    <w:rsid w:val="00C1781D"/>
    <w:rsid w:val="00C26C31"/>
    <w:rsid w:val="00C31831"/>
    <w:rsid w:val="00C32028"/>
    <w:rsid w:val="00C32771"/>
    <w:rsid w:val="00C32FF3"/>
    <w:rsid w:val="00C33119"/>
    <w:rsid w:val="00C34A00"/>
    <w:rsid w:val="00C358BF"/>
    <w:rsid w:val="00C365A0"/>
    <w:rsid w:val="00C36A39"/>
    <w:rsid w:val="00C45875"/>
    <w:rsid w:val="00C46397"/>
    <w:rsid w:val="00C505F5"/>
    <w:rsid w:val="00C521D5"/>
    <w:rsid w:val="00C5266B"/>
    <w:rsid w:val="00C52FD7"/>
    <w:rsid w:val="00C53D2D"/>
    <w:rsid w:val="00C5558E"/>
    <w:rsid w:val="00C61097"/>
    <w:rsid w:val="00C63937"/>
    <w:rsid w:val="00C673E5"/>
    <w:rsid w:val="00C71624"/>
    <w:rsid w:val="00C72C68"/>
    <w:rsid w:val="00C73323"/>
    <w:rsid w:val="00C76839"/>
    <w:rsid w:val="00C776C8"/>
    <w:rsid w:val="00C82DBC"/>
    <w:rsid w:val="00C83597"/>
    <w:rsid w:val="00C84A97"/>
    <w:rsid w:val="00C86A42"/>
    <w:rsid w:val="00C87E35"/>
    <w:rsid w:val="00C931B4"/>
    <w:rsid w:val="00C94C0F"/>
    <w:rsid w:val="00C94E35"/>
    <w:rsid w:val="00C97C5A"/>
    <w:rsid w:val="00CA124F"/>
    <w:rsid w:val="00CA174F"/>
    <w:rsid w:val="00CA29EF"/>
    <w:rsid w:val="00CA343A"/>
    <w:rsid w:val="00CA5BCA"/>
    <w:rsid w:val="00CA7353"/>
    <w:rsid w:val="00CB1062"/>
    <w:rsid w:val="00CB2052"/>
    <w:rsid w:val="00CB3212"/>
    <w:rsid w:val="00CB644F"/>
    <w:rsid w:val="00CB7DA9"/>
    <w:rsid w:val="00CC04FD"/>
    <w:rsid w:val="00CC0F84"/>
    <w:rsid w:val="00CC2277"/>
    <w:rsid w:val="00CC55A3"/>
    <w:rsid w:val="00CC5619"/>
    <w:rsid w:val="00CC5DD1"/>
    <w:rsid w:val="00CC67CA"/>
    <w:rsid w:val="00CC78BA"/>
    <w:rsid w:val="00CC7BC1"/>
    <w:rsid w:val="00CD10C2"/>
    <w:rsid w:val="00CD4120"/>
    <w:rsid w:val="00CD497A"/>
    <w:rsid w:val="00CD5521"/>
    <w:rsid w:val="00CD58F2"/>
    <w:rsid w:val="00CE0A27"/>
    <w:rsid w:val="00CE3239"/>
    <w:rsid w:val="00CE387F"/>
    <w:rsid w:val="00CE61C5"/>
    <w:rsid w:val="00CF38CA"/>
    <w:rsid w:val="00CF3FE6"/>
    <w:rsid w:val="00CF66F0"/>
    <w:rsid w:val="00CF797C"/>
    <w:rsid w:val="00D000F4"/>
    <w:rsid w:val="00D00A2D"/>
    <w:rsid w:val="00D0120B"/>
    <w:rsid w:val="00D01CF2"/>
    <w:rsid w:val="00D03AA0"/>
    <w:rsid w:val="00D03FAC"/>
    <w:rsid w:val="00D1205C"/>
    <w:rsid w:val="00D159F7"/>
    <w:rsid w:val="00D17941"/>
    <w:rsid w:val="00D17A9B"/>
    <w:rsid w:val="00D20C08"/>
    <w:rsid w:val="00D20F07"/>
    <w:rsid w:val="00D21AF7"/>
    <w:rsid w:val="00D21D5E"/>
    <w:rsid w:val="00D2620D"/>
    <w:rsid w:val="00D27631"/>
    <w:rsid w:val="00D33CB8"/>
    <w:rsid w:val="00D345B1"/>
    <w:rsid w:val="00D35011"/>
    <w:rsid w:val="00D3553A"/>
    <w:rsid w:val="00D3553F"/>
    <w:rsid w:val="00D40594"/>
    <w:rsid w:val="00D4160B"/>
    <w:rsid w:val="00D42139"/>
    <w:rsid w:val="00D5032A"/>
    <w:rsid w:val="00D51836"/>
    <w:rsid w:val="00D5560A"/>
    <w:rsid w:val="00D602FF"/>
    <w:rsid w:val="00D609FE"/>
    <w:rsid w:val="00D61320"/>
    <w:rsid w:val="00D62DD6"/>
    <w:rsid w:val="00D6471E"/>
    <w:rsid w:val="00D672BD"/>
    <w:rsid w:val="00D674F5"/>
    <w:rsid w:val="00D70866"/>
    <w:rsid w:val="00D720C9"/>
    <w:rsid w:val="00D72571"/>
    <w:rsid w:val="00D72F7D"/>
    <w:rsid w:val="00D75A73"/>
    <w:rsid w:val="00D76D6B"/>
    <w:rsid w:val="00D77288"/>
    <w:rsid w:val="00D773EC"/>
    <w:rsid w:val="00D8169F"/>
    <w:rsid w:val="00D83AD4"/>
    <w:rsid w:val="00D83E49"/>
    <w:rsid w:val="00D85421"/>
    <w:rsid w:val="00D86D59"/>
    <w:rsid w:val="00D873F1"/>
    <w:rsid w:val="00D96974"/>
    <w:rsid w:val="00D9756D"/>
    <w:rsid w:val="00D97D4C"/>
    <w:rsid w:val="00DA18A3"/>
    <w:rsid w:val="00DA7D4D"/>
    <w:rsid w:val="00DB058F"/>
    <w:rsid w:val="00DB3028"/>
    <w:rsid w:val="00DB3689"/>
    <w:rsid w:val="00DB4B44"/>
    <w:rsid w:val="00DB5B10"/>
    <w:rsid w:val="00DC486F"/>
    <w:rsid w:val="00DC541A"/>
    <w:rsid w:val="00DC5C74"/>
    <w:rsid w:val="00DC790E"/>
    <w:rsid w:val="00DC799B"/>
    <w:rsid w:val="00DD4230"/>
    <w:rsid w:val="00DD5201"/>
    <w:rsid w:val="00DE281D"/>
    <w:rsid w:val="00DE37DC"/>
    <w:rsid w:val="00DE3C86"/>
    <w:rsid w:val="00DE52BF"/>
    <w:rsid w:val="00DE5914"/>
    <w:rsid w:val="00DF07AB"/>
    <w:rsid w:val="00DF3FAE"/>
    <w:rsid w:val="00DF5983"/>
    <w:rsid w:val="00E001AD"/>
    <w:rsid w:val="00E01153"/>
    <w:rsid w:val="00E02396"/>
    <w:rsid w:val="00E1128A"/>
    <w:rsid w:val="00E1416A"/>
    <w:rsid w:val="00E1484E"/>
    <w:rsid w:val="00E15E36"/>
    <w:rsid w:val="00E2175C"/>
    <w:rsid w:val="00E26744"/>
    <w:rsid w:val="00E30668"/>
    <w:rsid w:val="00E308BB"/>
    <w:rsid w:val="00E35B6C"/>
    <w:rsid w:val="00E374A9"/>
    <w:rsid w:val="00E37D60"/>
    <w:rsid w:val="00E42037"/>
    <w:rsid w:val="00E42099"/>
    <w:rsid w:val="00E422F9"/>
    <w:rsid w:val="00E4512B"/>
    <w:rsid w:val="00E458A2"/>
    <w:rsid w:val="00E46F37"/>
    <w:rsid w:val="00E46F57"/>
    <w:rsid w:val="00E5095A"/>
    <w:rsid w:val="00E511E9"/>
    <w:rsid w:val="00E5177C"/>
    <w:rsid w:val="00E51C3A"/>
    <w:rsid w:val="00E55785"/>
    <w:rsid w:val="00E56426"/>
    <w:rsid w:val="00E56656"/>
    <w:rsid w:val="00E61B0E"/>
    <w:rsid w:val="00E62A50"/>
    <w:rsid w:val="00E63E42"/>
    <w:rsid w:val="00E66DFA"/>
    <w:rsid w:val="00E67D3D"/>
    <w:rsid w:val="00E722FE"/>
    <w:rsid w:val="00E72C19"/>
    <w:rsid w:val="00E72E52"/>
    <w:rsid w:val="00E759D6"/>
    <w:rsid w:val="00E764FE"/>
    <w:rsid w:val="00E85340"/>
    <w:rsid w:val="00E85D61"/>
    <w:rsid w:val="00E85FEC"/>
    <w:rsid w:val="00E91B1F"/>
    <w:rsid w:val="00E94F36"/>
    <w:rsid w:val="00E97044"/>
    <w:rsid w:val="00E973C3"/>
    <w:rsid w:val="00EA112F"/>
    <w:rsid w:val="00EA1644"/>
    <w:rsid w:val="00EA2000"/>
    <w:rsid w:val="00EA3269"/>
    <w:rsid w:val="00EA3D54"/>
    <w:rsid w:val="00EA44A8"/>
    <w:rsid w:val="00EA54CA"/>
    <w:rsid w:val="00EA7CF5"/>
    <w:rsid w:val="00EB272A"/>
    <w:rsid w:val="00EB37AC"/>
    <w:rsid w:val="00EC1B3B"/>
    <w:rsid w:val="00ED01B5"/>
    <w:rsid w:val="00ED099F"/>
    <w:rsid w:val="00ED16F7"/>
    <w:rsid w:val="00ED1B01"/>
    <w:rsid w:val="00ED3602"/>
    <w:rsid w:val="00ED3B86"/>
    <w:rsid w:val="00ED54F8"/>
    <w:rsid w:val="00ED6C21"/>
    <w:rsid w:val="00EE001F"/>
    <w:rsid w:val="00EE1AD3"/>
    <w:rsid w:val="00EE21FF"/>
    <w:rsid w:val="00EE25E5"/>
    <w:rsid w:val="00EE37A2"/>
    <w:rsid w:val="00EE5A05"/>
    <w:rsid w:val="00EE5B3E"/>
    <w:rsid w:val="00EF2D21"/>
    <w:rsid w:val="00EF4A8E"/>
    <w:rsid w:val="00EF51FD"/>
    <w:rsid w:val="00EF53DF"/>
    <w:rsid w:val="00EF6964"/>
    <w:rsid w:val="00EF6DF4"/>
    <w:rsid w:val="00EF7BA3"/>
    <w:rsid w:val="00EF7D83"/>
    <w:rsid w:val="00F02B6D"/>
    <w:rsid w:val="00F06710"/>
    <w:rsid w:val="00F073F5"/>
    <w:rsid w:val="00F078BD"/>
    <w:rsid w:val="00F07981"/>
    <w:rsid w:val="00F11630"/>
    <w:rsid w:val="00F1360B"/>
    <w:rsid w:val="00F163A7"/>
    <w:rsid w:val="00F27F50"/>
    <w:rsid w:val="00F308AC"/>
    <w:rsid w:val="00F32BBC"/>
    <w:rsid w:val="00F37D5C"/>
    <w:rsid w:val="00F43535"/>
    <w:rsid w:val="00F46422"/>
    <w:rsid w:val="00F51875"/>
    <w:rsid w:val="00F51D4D"/>
    <w:rsid w:val="00F535BD"/>
    <w:rsid w:val="00F5502C"/>
    <w:rsid w:val="00F554A3"/>
    <w:rsid w:val="00F57E4F"/>
    <w:rsid w:val="00F622F7"/>
    <w:rsid w:val="00F630C5"/>
    <w:rsid w:val="00F660B2"/>
    <w:rsid w:val="00F677B9"/>
    <w:rsid w:val="00F709F8"/>
    <w:rsid w:val="00F714A1"/>
    <w:rsid w:val="00F7398F"/>
    <w:rsid w:val="00F831FE"/>
    <w:rsid w:val="00F83F08"/>
    <w:rsid w:val="00F87A3F"/>
    <w:rsid w:val="00F9181D"/>
    <w:rsid w:val="00F92423"/>
    <w:rsid w:val="00F940D4"/>
    <w:rsid w:val="00F966A1"/>
    <w:rsid w:val="00F96DBA"/>
    <w:rsid w:val="00FA24AD"/>
    <w:rsid w:val="00FA4FDA"/>
    <w:rsid w:val="00FB201E"/>
    <w:rsid w:val="00FB4075"/>
    <w:rsid w:val="00FB4D40"/>
    <w:rsid w:val="00FB7427"/>
    <w:rsid w:val="00FC4D4C"/>
    <w:rsid w:val="00FC7F1E"/>
    <w:rsid w:val="00FD1111"/>
    <w:rsid w:val="00FD47AA"/>
    <w:rsid w:val="00FD4DED"/>
    <w:rsid w:val="00FE167F"/>
    <w:rsid w:val="00FE2F47"/>
    <w:rsid w:val="00FE4D6E"/>
    <w:rsid w:val="00FE7118"/>
    <w:rsid w:val="00FE760D"/>
    <w:rsid w:val="00FE7DAA"/>
    <w:rsid w:val="00FF1CBB"/>
    <w:rsid w:val="00FF2389"/>
    <w:rsid w:val="00FF2676"/>
    <w:rsid w:val="00FF29C8"/>
    <w:rsid w:val="00FF4B66"/>
    <w:rsid w:val="00FF4FCA"/>
    <w:rsid w:val="00FF59C8"/>
    <w:rsid w:val="00FF67FA"/>
    <w:rsid w:val="01BA34C2"/>
    <w:rsid w:val="02A163DC"/>
    <w:rsid w:val="02C7409E"/>
    <w:rsid w:val="03AA52D2"/>
    <w:rsid w:val="047F64FD"/>
    <w:rsid w:val="04E60B61"/>
    <w:rsid w:val="053C6824"/>
    <w:rsid w:val="058A46A1"/>
    <w:rsid w:val="06C1112F"/>
    <w:rsid w:val="08B460B7"/>
    <w:rsid w:val="09AA2B57"/>
    <w:rsid w:val="09BD2D11"/>
    <w:rsid w:val="0B9D5BAE"/>
    <w:rsid w:val="0C965FB3"/>
    <w:rsid w:val="0E07540C"/>
    <w:rsid w:val="0E1C78AB"/>
    <w:rsid w:val="0F2E3C90"/>
    <w:rsid w:val="106A3C74"/>
    <w:rsid w:val="10F13F1E"/>
    <w:rsid w:val="11200625"/>
    <w:rsid w:val="113C7DC6"/>
    <w:rsid w:val="11C364DE"/>
    <w:rsid w:val="11E97A9C"/>
    <w:rsid w:val="12130FC5"/>
    <w:rsid w:val="121B5C11"/>
    <w:rsid w:val="13045342"/>
    <w:rsid w:val="13642DDD"/>
    <w:rsid w:val="136E3242"/>
    <w:rsid w:val="144A7B26"/>
    <w:rsid w:val="147B3C2A"/>
    <w:rsid w:val="149C635D"/>
    <w:rsid w:val="16876350"/>
    <w:rsid w:val="175B4A52"/>
    <w:rsid w:val="18BA4DAA"/>
    <w:rsid w:val="18C96438"/>
    <w:rsid w:val="1A160C9D"/>
    <w:rsid w:val="1B381927"/>
    <w:rsid w:val="1B894309"/>
    <w:rsid w:val="1C7C20CC"/>
    <w:rsid w:val="1C9722D6"/>
    <w:rsid w:val="1CBF6A49"/>
    <w:rsid w:val="1E0657D6"/>
    <w:rsid w:val="1E53201A"/>
    <w:rsid w:val="1EDF41B4"/>
    <w:rsid w:val="1EF60235"/>
    <w:rsid w:val="20936594"/>
    <w:rsid w:val="209477BC"/>
    <w:rsid w:val="20A90994"/>
    <w:rsid w:val="20E21F80"/>
    <w:rsid w:val="21506F1C"/>
    <w:rsid w:val="21D5280D"/>
    <w:rsid w:val="23056DE1"/>
    <w:rsid w:val="29E0072B"/>
    <w:rsid w:val="2A2C16BD"/>
    <w:rsid w:val="2A46628C"/>
    <w:rsid w:val="2B082271"/>
    <w:rsid w:val="2B2C7062"/>
    <w:rsid w:val="2B466BBB"/>
    <w:rsid w:val="2CA66FBE"/>
    <w:rsid w:val="2DC633AD"/>
    <w:rsid w:val="2DF8708D"/>
    <w:rsid w:val="2EE14DFB"/>
    <w:rsid w:val="3014422E"/>
    <w:rsid w:val="325150BF"/>
    <w:rsid w:val="331541AE"/>
    <w:rsid w:val="334A566A"/>
    <w:rsid w:val="33AA0C2C"/>
    <w:rsid w:val="33CE2152"/>
    <w:rsid w:val="33F23FC7"/>
    <w:rsid w:val="34FC377E"/>
    <w:rsid w:val="3596022F"/>
    <w:rsid w:val="373661B5"/>
    <w:rsid w:val="3797F733"/>
    <w:rsid w:val="37C142F0"/>
    <w:rsid w:val="384323B6"/>
    <w:rsid w:val="3BBB1019"/>
    <w:rsid w:val="413A2C90"/>
    <w:rsid w:val="43E8557E"/>
    <w:rsid w:val="4496598B"/>
    <w:rsid w:val="451B18FA"/>
    <w:rsid w:val="454163AE"/>
    <w:rsid w:val="46527AC0"/>
    <w:rsid w:val="46E54232"/>
    <w:rsid w:val="473C746D"/>
    <w:rsid w:val="473D72EB"/>
    <w:rsid w:val="47891FA4"/>
    <w:rsid w:val="48312E3A"/>
    <w:rsid w:val="487B457C"/>
    <w:rsid w:val="4A614797"/>
    <w:rsid w:val="4AE51F35"/>
    <w:rsid w:val="4AFD230C"/>
    <w:rsid w:val="4B245750"/>
    <w:rsid w:val="4D967ACF"/>
    <w:rsid w:val="4DB87D11"/>
    <w:rsid w:val="4DEC1CD9"/>
    <w:rsid w:val="4E2D273C"/>
    <w:rsid w:val="4E967CD7"/>
    <w:rsid w:val="509748CB"/>
    <w:rsid w:val="50F52783"/>
    <w:rsid w:val="51EF36E7"/>
    <w:rsid w:val="5204585B"/>
    <w:rsid w:val="52EB27E7"/>
    <w:rsid w:val="536A7BE8"/>
    <w:rsid w:val="549B011C"/>
    <w:rsid w:val="54E70EC4"/>
    <w:rsid w:val="54EB7021"/>
    <w:rsid w:val="55BD6634"/>
    <w:rsid w:val="56F404B7"/>
    <w:rsid w:val="580A21FF"/>
    <w:rsid w:val="59140E77"/>
    <w:rsid w:val="59592395"/>
    <w:rsid w:val="59AD6F2B"/>
    <w:rsid w:val="59EC76FE"/>
    <w:rsid w:val="5A281EA1"/>
    <w:rsid w:val="5A6A34AC"/>
    <w:rsid w:val="5AED1A94"/>
    <w:rsid w:val="5BA47E29"/>
    <w:rsid w:val="5C46332B"/>
    <w:rsid w:val="5C7E4FE7"/>
    <w:rsid w:val="5D2056AD"/>
    <w:rsid w:val="5D9670F5"/>
    <w:rsid w:val="5DC00077"/>
    <w:rsid w:val="5EB47074"/>
    <w:rsid w:val="5F392547"/>
    <w:rsid w:val="60095DE7"/>
    <w:rsid w:val="61F12AC0"/>
    <w:rsid w:val="62254213"/>
    <w:rsid w:val="62697C50"/>
    <w:rsid w:val="628D293E"/>
    <w:rsid w:val="62E96660"/>
    <w:rsid w:val="62F525D9"/>
    <w:rsid w:val="63DE2069"/>
    <w:rsid w:val="64135EBB"/>
    <w:rsid w:val="646373BF"/>
    <w:rsid w:val="6478428C"/>
    <w:rsid w:val="656129DE"/>
    <w:rsid w:val="66502FE4"/>
    <w:rsid w:val="6716155A"/>
    <w:rsid w:val="680150C0"/>
    <w:rsid w:val="6837661B"/>
    <w:rsid w:val="688514E9"/>
    <w:rsid w:val="688E6BF2"/>
    <w:rsid w:val="68FE307E"/>
    <w:rsid w:val="69147375"/>
    <w:rsid w:val="69162878"/>
    <w:rsid w:val="6943517B"/>
    <w:rsid w:val="69CD3F6A"/>
    <w:rsid w:val="69E4773D"/>
    <w:rsid w:val="6B082070"/>
    <w:rsid w:val="6BFF1F3B"/>
    <w:rsid w:val="6C4A33DF"/>
    <w:rsid w:val="6D251D1D"/>
    <w:rsid w:val="6D334EFA"/>
    <w:rsid w:val="6DB737CE"/>
    <w:rsid w:val="6E441BB7"/>
    <w:rsid w:val="6F6F0E7E"/>
    <w:rsid w:val="6F793DF0"/>
    <w:rsid w:val="6F9F3263"/>
    <w:rsid w:val="6FC156EB"/>
    <w:rsid w:val="6FCE427E"/>
    <w:rsid w:val="71B26913"/>
    <w:rsid w:val="72C1460E"/>
    <w:rsid w:val="72F50460"/>
    <w:rsid w:val="737733D7"/>
    <w:rsid w:val="74395705"/>
    <w:rsid w:val="754144B7"/>
    <w:rsid w:val="75F02366"/>
    <w:rsid w:val="767648B8"/>
    <w:rsid w:val="776F7808"/>
    <w:rsid w:val="77F99D1F"/>
    <w:rsid w:val="784373D1"/>
    <w:rsid w:val="78483A30"/>
    <w:rsid w:val="78F431D5"/>
    <w:rsid w:val="7979569A"/>
    <w:rsid w:val="7A81064B"/>
    <w:rsid w:val="7A862C70"/>
    <w:rsid w:val="7AD04CFF"/>
    <w:rsid w:val="7AF20C66"/>
    <w:rsid w:val="7B312D0A"/>
    <w:rsid w:val="7B670D38"/>
    <w:rsid w:val="7C451884"/>
    <w:rsid w:val="7D2A608F"/>
    <w:rsid w:val="7D626E8C"/>
    <w:rsid w:val="7D7E654F"/>
    <w:rsid w:val="7E094A54"/>
    <w:rsid w:val="7E602EE5"/>
    <w:rsid w:val="7E9C146B"/>
    <w:rsid w:val="7F026F69"/>
    <w:rsid w:val="7F3F2924"/>
    <w:rsid w:val="7F7F6589"/>
    <w:rsid w:val="93F7DF75"/>
    <w:rsid w:val="B3BF1B0C"/>
    <w:rsid w:val="B43DE218"/>
    <w:rsid w:val="C73F2A86"/>
    <w:rsid w:val="DFFFECAF"/>
    <w:rsid w:val="EBF70534"/>
    <w:rsid w:val="EEDDEB19"/>
    <w:rsid w:val="EFE45828"/>
    <w:rsid w:val="EFFED1B8"/>
    <w:rsid w:val="F5A835A0"/>
    <w:rsid w:val="FB7ED7D9"/>
    <w:rsid w:val="FEA886B8"/>
    <w:rsid w:val="FFB77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1"/>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adjustRightInd w:val="0"/>
      <w:snapToGrid w:val="0"/>
      <w:spacing w:line="540" w:lineRule="atLeast"/>
      <w:ind w:firstLine="200" w:firstLineChars="200"/>
      <w:jc w:val="left"/>
    </w:pPr>
    <w:rPr>
      <w:rFonts w:ascii="黑体" w:hAnsi="Times New Roman" w:eastAsia="黑体" w:cs="Times New Roman"/>
    </w:rPr>
  </w:style>
  <w:style w:type="paragraph" w:styleId="5">
    <w:name w:val="Body Text"/>
    <w:basedOn w:val="1"/>
    <w:unhideWhenUsed/>
    <w:qFormat/>
    <w:uiPriority w:val="0"/>
    <w:pPr>
      <w:spacing w:after="120"/>
    </w:pPr>
    <w:rPr>
      <w:szCs w:val="24"/>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tabs>
        <w:tab w:val="center" w:pos="4153"/>
        <w:tab w:val="right" w:pos="8306"/>
      </w:tabs>
      <w:snapToGrid w:val="0"/>
      <w:jc w:val="center"/>
    </w:pPr>
    <w:rPr>
      <w:sz w:val="18"/>
      <w:szCs w:val="18"/>
    </w:rPr>
  </w:style>
  <w:style w:type="paragraph" w:styleId="8">
    <w:name w:val="footnote text"/>
    <w:basedOn w:val="1"/>
    <w:link w:val="20"/>
    <w:unhideWhenUsed/>
    <w:qFormat/>
    <w:uiPriority w:val="99"/>
    <w:pPr>
      <w:snapToGrid w:val="0"/>
      <w:jc w:val="left"/>
    </w:pPr>
    <w:rPr>
      <w:sz w:val="18"/>
      <w:szCs w:val="24"/>
    </w:rPr>
  </w:style>
  <w:style w:type="paragraph" w:styleId="9">
    <w:name w:val="toc 2"/>
    <w:basedOn w:val="1"/>
    <w:next w:val="1"/>
    <w:qFormat/>
    <w:uiPriority w:val="0"/>
    <w:pPr>
      <w:spacing w:after="160" w:line="305" w:lineRule="auto"/>
      <w:ind w:firstLine="209"/>
    </w:pPr>
    <w:rPr>
      <w14:ligatures w14:val="standardContextual"/>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unhideWhenUsed/>
    <w:qFormat/>
    <w:uiPriority w:val="0"/>
    <w:rPr>
      <w:rFonts w:hint="default"/>
      <w:sz w:val="24"/>
      <w:szCs w:val="24"/>
    </w:rPr>
  </w:style>
  <w:style w:type="character" w:styleId="15">
    <w:name w:val="footnote reference"/>
    <w:basedOn w:val="13"/>
    <w:unhideWhenUsed/>
    <w:qFormat/>
    <w:uiPriority w:val="99"/>
    <w:rPr>
      <w:vertAlign w:val="superscript"/>
    </w:rPr>
  </w:style>
  <w:style w:type="paragraph" w:styleId="16">
    <w:name w:val="List Paragraph"/>
    <w:basedOn w:val="1"/>
    <w:qFormat/>
    <w:uiPriority w:val="34"/>
    <w:pPr>
      <w:spacing w:after="160" w:line="278" w:lineRule="auto"/>
      <w:ind w:left="720"/>
      <w:contextualSpacing/>
    </w:pPr>
    <w:rPr>
      <w14:ligatures w14:val="standardContextual"/>
    </w:rPr>
  </w:style>
  <w:style w:type="paragraph" w:customStyle="1" w:styleId="17">
    <w:name w:val="目录 11"/>
    <w:next w:val="1"/>
    <w:qFormat/>
    <w:uiPriority w:val="0"/>
    <w:pPr>
      <w:wordWrap w:val="0"/>
      <w:jc w:val="both"/>
    </w:pPr>
    <w:rPr>
      <w:rFonts w:ascii="Calibri" w:hAnsi="Calibri" w:eastAsia="宋体" w:cs="Times New Roman"/>
      <w:sz w:val="21"/>
      <w:szCs w:val="22"/>
      <w:lang w:val="en-US" w:eastAsia="zh-CN" w:bidi="ar-SA"/>
    </w:rPr>
  </w:style>
  <w:style w:type="character" w:customStyle="1" w:styleId="18">
    <w:name w:val="页眉 字符"/>
    <w:basedOn w:val="13"/>
    <w:link w:val="7"/>
    <w:qFormat/>
    <w:uiPriority w:val="99"/>
    <w:rPr>
      <w:sz w:val="18"/>
      <w:szCs w:val="18"/>
    </w:rPr>
  </w:style>
  <w:style w:type="character" w:customStyle="1" w:styleId="19">
    <w:name w:val="页脚 字符"/>
    <w:basedOn w:val="13"/>
    <w:link w:val="6"/>
    <w:qFormat/>
    <w:uiPriority w:val="99"/>
    <w:rPr>
      <w:sz w:val="18"/>
      <w:szCs w:val="18"/>
    </w:rPr>
  </w:style>
  <w:style w:type="character" w:customStyle="1" w:styleId="20">
    <w:name w:val="脚注文本 字符"/>
    <w:basedOn w:val="13"/>
    <w:link w:val="8"/>
    <w:qFormat/>
    <w:uiPriority w:val="99"/>
    <w:rPr>
      <w:rFonts w:asciiTheme="minorHAnsi" w:hAnsiTheme="minorHAnsi" w:eastAsiaTheme="minorEastAsia" w:cstheme="minorBidi"/>
      <w:kern w:val="2"/>
      <w:sz w:val="18"/>
      <w:szCs w:val="24"/>
    </w:rPr>
  </w:style>
  <w:style w:type="character" w:customStyle="1" w:styleId="21">
    <w:name w:val="标题 1 字符"/>
    <w:basedOn w:val="13"/>
    <w:link w:val="4"/>
    <w:qFormat/>
    <w:uiPriority w:val="9"/>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BACB926F-6D33-4CFA-8915-B0BB52F5F92A}">
  <ds:schemaRefs/>
</ds:datastoreItem>
</file>

<file path=docProps/app.xml><?xml version="1.0" encoding="utf-8"?>
<Properties xmlns="http://schemas.openxmlformats.org/officeDocument/2006/extended-properties" xmlns:vt="http://schemas.openxmlformats.org/officeDocument/2006/docPropsVTypes">
  <Template>Normal</Template>
  <Pages>17</Pages>
  <Words>1421</Words>
  <Characters>8102</Characters>
  <Lines>67</Lines>
  <Paragraphs>19</Paragraphs>
  <TotalTime>15</TotalTime>
  <ScaleCrop>false</ScaleCrop>
  <LinksUpToDate>false</LinksUpToDate>
  <CharactersWithSpaces>9504</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2026-08-31T01:21:00Z</dcterms:created>
  <dc:creator>Huang</dc:creator>
  <cp:lastModifiedBy>GHK</cp:lastModifiedBy>
  <cp:lastPrinted>2026-09-01T06:58:00Z</cp:lastPrinted>
  <dcterms:modified xsi:type="dcterms:W3CDTF">2026-09-03T02:01:09Z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2052-11.8.2.12251</vt:lpwstr>
  </property>
  <property fmtid="{D5CDD505-2E9C-101B-9397-08002B2CF9AE}" pid="3" name="ICV">
    <vt:lpwstr>88C23FF37E8A488E94C4AD9549BC5F0C</vt:lpwstr>
  </property>
  <property fmtid="{D5CDD505-2E9C-101B-9397-08002B2CF9AE}" pid="4" name="KSOTemplateDocerSaveRecord">
    <vt:lpwstr>eyJoZGlkIjoiMDc5ZGQ5NjVlN2M2OGEwNTYxNjc5ZDE4N2Y3NDUwZTIiLCJ1c2VySWQiOiIyNDczMTgxODIifQ==</vt:lpwstr>
  </property>
</Properties>
</file>