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0D79DE">
      <w:pPr>
        <w:pStyle w:val="7"/>
        <w:keepNext w:val="0"/>
        <w:keepLines w:val="0"/>
        <w:pageBreakBefore w:val="0"/>
        <w:kinsoku/>
        <w:overflowPunct/>
        <w:topLinePunct w:val="0"/>
        <w:autoSpaceDE/>
        <w:autoSpaceDN/>
        <w:bidi w:val="0"/>
        <w:spacing w:line="560" w:lineRule="exact"/>
        <w:jc w:val="both"/>
        <w:rPr>
          <w:rFonts w:hint="eastAsia" w:ascii="黑体" w:hAnsi="黑体" w:eastAsia="黑体" w:cs="黑体"/>
          <w:sz w:val="32"/>
          <w:szCs w:val="32"/>
          <w:lang w:val="en-US" w:eastAsia="zh-CN"/>
        </w:rPr>
      </w:pPr>
      <w:r>
        <w:rPr>
          <w:rFonts w:hint="eastAsia" w:ascii="黑体" w:hAnsi="黑体" w:eastAsia="黑体" w:cs="黑体"/>
          <w:sz w:val="32"/>
          <w:szCs w:val="32"/>
          <w:lang w:eastAsia="zh-CN"/>
        </w:rPr>
        <w:t>附件</w:t>
      </w:r>
      <w:r>
        <w:rPr>
          <w:rFonts w:hint="eastAsia" w:ascii="黑体" w:hAnsi="黑体" w:eastAsia="黑体" w:cs="黑体"/>
          <w:sz w:val="32"/>
          <w:szCs w:val="32"/>
          <w:lang w:val="en-US" w:eastAsia="zh-CN"/>
        </w:rPr>
        <w:t>1-2</w:t>
      </w:r>
    </w:p>
    <w:p w14:paraId="13562B6D">
      <w:pPr>
        <w:keepNext w:val="0"/>
        <w:keepLines w:val="0"/>
        <w:pageBreakBefore w:val="0"/>
        <w:kinsoku/>
        <w:overflowPunct/>
        <w:topLinePunct w:val="0"/>
        <w:autoSpaceDE/>
        <w:autoSpaceDN/>
        <w:bidi w:val="0"/>
        <w:spacing w:line="560" w:lineRule="exact"/>
        <w:jc w:val="both"/>
        <w:rPr>
          <w:rFonts w:hint="eastAsia"/>
          <w:lang w:val="en-US" w:eastAsia="zh-CN"/>
        </w:rPr>
      </w:pPr>
    </w:p>
    <w:p w14:paraId="7258C1E6">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outlineLvl w:val="9"/>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lang w:val="en-US" w:eastAsia="zh-CN"/>
        </w:rPr>
        <w:t>《北京市门头沟区“十五五”时期“三大产业”及园区发展规划</w:t>
      </w:r>
      <w:r>
        <w:rPr>
          <w:rFonts w:hint="eastAsia" w:ascii="方正小标宋简体" w:hAnsi="方正小标宋简体" w:eastAsia="方正小标宋简体" w:cs="方正小标宋简体"/>
          <w:b w:val="0"/>
          <w:bCs w:val="0"/>
          <w:sz w:val="44"/>
          <w:szCs w:val="44"/>
          <w:lang w:eastAsia="zh-CN"/>
        </w:rPr>
        <w:t>（征求意见稿）</w:t>
      </w:r>
      <w:r>
        <w:rPr>
          <w:rFonts w:hint="eastAsia" w:ascii="方正小标宋简体" w:hAnsi="方正小标宋简体" w:eastAsia="方正小标宋简体" w:cs="方正小标宋简体"/>
          <w:b w:val="0"/>
          <w:bCs w:val="0"/>
          <w:sz w:val="44"/>
          <w:szCs w:val="44"/>
          <w:lang w:val="en-US" w:eastAsia="zh-CN"/>
        </w:rPr>
        <w:t>》</w:t>
      </w:r>
      <w:r>
        <w:rPr>
          <w:rFonts w:hint="eastAsia" w:ascii="方正小标宋简体" w:hAnsi="方正小标宋简体" w:eastAsia="方正小标宋简体" w:cs="方正小标宋简体"/>
          <w:b w:val="0"/>
          <w:bCs w:val="0"/>
          <w:sz w:val="44"/>
          <w:szCs w:val="44"/>
        </w:rPr>
        <w:t>的</w:t>
      </w:r>
    </w:p>
    <w:p w14:paraId="333EC5D8">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outlineLvl w:val="9"/>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lang w:eastAsia="zh-CN"/>
        </w:rPr>
        <w:t>起草</w:t>
      </w:r>
      <w:r>
        <w:rPr>
          <w:rFonts w:hint="eastAsia" w:ascii="方正小标宋简体" w:hAnsi="方正小标宋简体" w:eastAsia="方正小标宋简体" w:cs="方正小标宋简体"/>
          <w:b w:val="0"/>
          <w:bCs w:val="0"/>
          <w:sz w:val="44"/>
          <w:szCs w:val="44"/>
        </w:rPr>
        <w:t>说明</w:t>
      </w:r>
    </w:p>
    <w:p w14:paraId="45ADEB7D">
      <w:pPr>
        <w:pStyle w:val="5"/>
        <w:keepNext w:val="0"/>
        <w:keepLines w:val="0"/>
        <w:pageBreakBefore w:val="0"/>
        <w:kinsoku/>
        <w:overflowPunct/>
        <w:topLinePunct w:val="0"/>
        <w:autoSpaceDE/>
        <w:autoSpaceDN/>
        <w:bidi w:val="0"/>
        <w:spacing w:line="560" w:lineRule="exact"/>
        <w:jc w:val="both"/>
        <w:rPr>
          <w:rFonts w:hint="eastAsia" w:ascii="宋体" w:hAnsi="宋体" w:eastAsia="宋体" w:cs="宋体"/>
          <w:b/>
          <w:bCs/>
          <w:sz w:val="36"/>
          <w:szCs w:val="36"/>
          <w:lang w:val="en-US" w:eastAsia="zh-CN"/>
        </w:rPr>
      </w:pPr>
    </w:p>
    <w:p w14:paraId="3BE4DBD3">
      <w:pPr>
        <w:keepNext w:val="0"/>
        <w:keepLines w:val="0"/>
        <w:pageBreakBefore w:val="0"/>
        <w:kinsoku/>
        <w:overflowPunct/>
        <w:topLinePunct w:val="0"/>
        <w:autoSpaceDE/>
        <w:autoSpaceDN/>
        <w:bidi w:val="0"/>
        <w:spacing w:line="560" w:lineRule="exact"/>
        <w:rPr>
          <w:rFonts w:hint="eastAsia"/>
          <w:lang w:val="en-US" w:eastAsia="zh-CN"/>
        </w:rPr>
      </w:pPr>
    </w:p>
    <w:p w14:paraId="56DF88C4">
      <w:pPr>
        <w:pStyle w:val="6"/>
        <w:keepNext w:val="0"/>
        <w:keepLines w:val="0"/>
        <w:pageBreakBefore w:val="0"/>
        <w:widowControl/>
        <w:shd w:val="clear" w:color="auto" w:fill="FFFFFF"/>
        <w:kinsoku/>
        <w:overflowPunct/>
        <w:topLinePunct w:val="0"/>
        <w:autoSpaceDE/>
        <w:autoSpaceDN/>
        <w:bidi w:val="0"/>
        <w:adjustRightInd w:val="0"/>
        <w:snapToGrid w:val="0"/>
        <w:spacing w:beforeAutospacing="0" w:afterAutospacing="0" w:line="560" w:lineRule="exact"/>
        <w:ind w:firstLine="640" w:firstLineChars="200"/>
        <w:textAlignment w:val="baseline"/>
        <w:rPr>
          <w:rFonts w:hint="eastAsia" w:ascii="黑体" w:hAnsi="黑体" w:eastAsia="黑体" w:cs="黑体"/>
          <w:bCs/>
          <w:color w:val="1A2029"/>
          <w:sz w:val="32"/>
          <w:szCs w:val="32"/>
        </w:rPr>
      </w:pPr>
      <w:r>
        <w:rPr>
          <w:rStyle w:val="10"/>
          <w:rFonts w:hint="eastAsia" w:ascii="黑体" w:hAnsi="黑体" w:eastAsia="黑体" w:cs="黑体"/>
          <w:b w:val="0"/>
          <w:bCs/>
          <w:color w:val="1A2029"/>
          <w:sz w:val="32"/>
          <w:szCs w:val="32"/>
          <w:shd w:val="clear" w:color="auto" w:fill="FFFFFF"/>
        </w:rPr>
        <w:t>一、</w:t>
      </w:r>
      <w:r>
        <w:rPr>
          <w:rStyle w:val="10"/>
          <w:rFonts w:hint="eastAsia" w:ascii="黑体" w:hAnsi="黑体" w:eastAsia="黑体" w:cs="黑体"/>
          <w:b w:val="0"/>
          <w:bCs/>
          <w:color w:val="1A2029"/>
          <w:sz w:val="32"/>
          <w:szCs w:val="32"/>
          <w:shd w:val="clear" w:color="auto" w:fill="FFFFFF"/>
          <w:lang w:val="en-US" w:eastAsia="zh-CN"/>
        </w:rPr>
        <w:t>起草</w:t>
      </w:r>
      <w:r>
        <w:rPr>
          <w:rStyle w:val="10"/>
          <w:rFonts w:hint="eastAsia" w:ascii="黑体" w:hAnsi="黑体" w:eastAsia="黑体" w:cs="黑体"/>
          <w:b w:val="0"/>
          <w:bCs/>
          <w:color w:val="1A2029"/>
          <w:sz w:val="32"/>
          <w:szCs w:val="32"/>
          <w:shd w:val="clear" w:color="auto" w:fill="FFFFFF"/>
        </w:rPr>
        <w:t>背景</w:t>
      </w:r>
    </w:p>
    <w:p w14:paraId="601FD796">
      <w:pPr>
        <w:pStyle w:val="6"/>
        <w:keepNext w:val="0"/>
        <w:keepLines w:val="0"/>
        <w:pageBreakBefore w:val="0"/>
        <w:widowControl/>
        <w:shd w:val="clear" w:color="auto" w:fill="FFFFFF"/>
        <w:kinsoku/>
        <w:overflowPunct/>
        <w:topLinePunct w:val="0"/>
        <w:autoSpaceDE/>
        <w:autoSpaceDN/>
        <w:bidi w:val="0"/>
        <w:adjustRightInd w:val="0"/>
        <w:snapToGrid w:val="0"/>
        <w:spacing w:beforeAutospacing="0" w:afterAutospacing="0" w:line="560" w:lineRule="exact"/>
        <w:ind w:firstLine="640" w:firstLineChars="200"/>
        <w:jc w:val="both"/>
        <w:textAlignment w:val="baseline"/>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bCs/>
          <w:color w:val="auto"/>
          <w:sz w:val="32"/>
          <w:szCs w:val="32"/>
          <w:highlight w:val="none"/>
        </w:rPr>
        <w:t>深入贯彻党的二十大和二十届历次全会精神，贯彻落实习近平总书记对北京</w:t>
      </w:r>
      <w:r>
        <w:rPr>
          <w:rFonts w:hint="eastAsia" w:ascii="仿宋_GB2312" w:hAnsi="仿宋_GB2312" w:eastAsia="仿宋_GB2312" w:cs="仿宋_GB2312"/>
          <w:color w:val="auto"/>
          <w:sz w:val="32"/>
          <w:szCs w:val="32"/>
          <w:highlight w:val="none"/>
        </w:rPr>
        <w:t>（京津冀）</w:t>
      </w:r>
      <w:r>
        <w:rPr>
          <w:rFonts w:hint="eastAsia" w:ascii="仿宋_GB2312" w:hAnsi="仿宋_GB2312" w:eastAsia="仿宋_GB2312" w:cs="仿宋_GB2312"/>
          <w:bCs/>
          <w:color w:val="auto"/>
          <w:sz w:val="32"/>
          <w:szCs w:val="32"/>
          <w:highlight w:val="none"/>
        </w:rPr>
        <w:t>国际科技创新中心和中关村世界领先科技园区建设重要指示批示精神，深入实施“科技强区”战略，</w:t>
      </w:r>
      <w:r>
        <w:rPr>
          <w:rFonts w:hint="eastAsia" w:ascii="仿宋_GB2312" w:hAnsi="仿宋_GB2312" w:eastAsia="仿宋_GB2312" w:cs="仿宋_GB2312"/>
          <w:sz w:val="32"/>
          <w:szCs w:val="32"/>
        </w:rPr>
        <w:t>按照市区要求</w:t>
      </w:r>
      <w:r>
        <w:rPr>
          <w:rFonts w:hint="eastAsia" w:ascii="仿宋_GB2312" w:hAnsi="仿宋_GB2312" w:eastAsia="仿宋_GB2312" w:cs="仿宋_GB2312"/>
          <w:color w:val="1A2029"/>
          <w:sz w:val="32"/>
          <w:szCs w:val="32"/>
          <w:highlight w:val="none"/>
          <w:shd w:val="clear" w:color="auto" w:fill="FFFFFF"/>
        </w:rPr>
        <w:t>，</w:t>
      </w:r>
      <w:r>
        <w:rPr>
          <w:rFonts w:hint="eastAsia" w:ascii="仿宋_GB2312" w:hAnsi="仿宋_GB2312" w:eastAsia="仿宋_GB2312" w:cs="仿宋_GB2312"/>
          <w:color w:val="1A2029"/>
          <w:sz w:val="32"/>
          <w:szCs w:val="32"/>
          <w:highlight w:val="none"/>
          <w:shd w:val="clear" w:color="auto" w:fill="FFFFFF"/>
          <w:lang w:val="en-US" w:eastAsia="zh-CN"/>
        </w:rPr>
        <w:t>由</w:t>
      </w:r>
      <w:bookmarkStart w:id="82" w:name="_GoBack"/>
      <w:bookmarkEnd w:id="82"/>
      <w:r>
        <w:rPr>
          <w:rFonts w:hint="eastAsia" w:ascii="仿宋_GB2312" w:hAnsi="仿宋_GB2312" w:eastAsia="仿宋_GB2312" w:cs="仿宋_GB2312"/>
          <w:color w:val="1A2029"/>
          <w:sz w:val="32"/>
          <w:szCs w:val="32"/>
          <w:highlight w:val="none"/>
          <w:shd w:val="clear" w:color="auto" w:fill="FFFFFF"/>
        </w:rPr>
        <w:t>中关村门头沟园管委会牵头，</w:t>
      </w:r>
      <w:r>
        <w:rPr>
          <w:rFonts w:hint="eastAsia" w:ascii="仿宋_GB2312" w:hAnsi="仿宋_GB2312" w:eastAsia="仿宋_GB2312" w:cs="仿宋_GB2312"/>
          <w:color w:val="1A2029"/>
          <w:sz w:val="32"/>
          <w:szCs w:val="32"/>
          <w:highlight w:val="none"/>
          <w:shd w:val="clear" w:color="auto" w:fill="FFFFFF"/>
          <w:lang w:val="en-US" w:eastAsia="zh-CN"/>
        </w:rPr>
        <w:t>会同</w:t>
      </w:r>
      <w:r>
        <w:rPr>
          <w:rFonts w:hint="eastAsia" w:ascii="仿宋_GB2312" w:hAnsi="仿宋_GB2312" w:eastAsia="仿宋_GB2312" w:cs="仿宋_GB2312"/>
          <w:color w:val="1A2029"/>
          <w:sz w:val="32"/>
          <w:szCs w:val="32"/>
          <w:highlight w:val="none"/>
          <w:shd w:val="clear" w:color="auto" w:fill="FFFFFF"/>
        </w:rPr>
        <w:t>区经信局、区</w:t>
      </w:r>
      <w:r>
        <w:rPr>
          <w:rFonts w:hint="eastAsia" w:ascii="仿宋_GB2312" w:hAnsi="仿宋_GB2312" w:eastAsia="仿宋_GB2312" w:cs="仿宋_GB2312"/>
          <w:color w:val="1A2029"/>
          <w:sz w:val="32"/>
          <w:szCs w:val="32"/>
          <w:highlight w:val="none"/>
          <w:shd w:val="clear" w:color="auto" w:fill="FFFFFF"/>
          <w:lang w:val="en-US" w:eastAsia="zh-CN"/>
        </w:rPr>
        <w:t>科</w:t>
      </w:r>
      <w:r>
        <w:rPr>
          <w:rFonts w:hint="eastAsia" w:ascii="仿宋_GB2312" w:hAnsi="仿宋_GB2312" w:eastAsia="仿宋_GB2312" w:cs="仿宋_GB2312"/>
          <w:color w:val="1A2029"/>
          <w:sz w:val="32"/>
          <w:szCs w:val="32"/>
          <w:highlight w:val="none"/>
          <w:shd w:val="clear" w:color="auto" w:fill="FFFFFF"/>
        </w:rPr>
        <w:t>委共同编制了《北京市门头沟区“十五五”时期“三大产业”及园区发展规划（征求意见稿）》</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val="en-US" w:eastAsia="zh-CN"/>
        </w:rPr>
        <w:t>以下简称</w:t>
      </w:r>
      <w:r>
        <w:rPr>
          <w:rFonts w:hint="eastAsia" w:ascii="仿宋_GB2312" w:hAnsi="仿宋_GB2312" w:eastAsia="仿宋_GB2312" w:cs="仿宋_GB2312"/>
          <w:sz w:val="32"/>
          <w:szCs w:val="32"/>
          <w:highlight w:val="none"/>
        </w:rPr>
        <w:t>《规划（征求意见稿）》）</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科学指导</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十五五</w:t>
      </w:r>
      <w:r>
        <w:rPr>
          <w:rFonts w:hint="eastAsia" w:ascii="仿宋_GB2312" w:hAnsi="仿宋_GB2312" w:eastAsia="仿宋_GB2312" w:cs="仿宋_GB2312"/>
          <w:sz w:val="32"/>
          <w:szCs w:val="32"/>
          <w:highlight w:val="none"/>
          <w:lang w:eastAsia="zh-CN"/>
        </w:rPr>
        <w:t>”时期</w:t>
      </w:r>
      <w:r>
        <w:rPr>
          <w:rFonts w:hint="eastAsia" w:ascii="仿宋_GB2312" w:hAnsi="仿宋_GB2312" w:eastAsia="仿宋_GB2312" w:cs="仿宋_GB2312"/>
          <w:sz w:val="32"/>
          <w:szCs w:val="32"/>
          <w:highlight w:val="none"/>
          <w:lang w:val="en-US" w:eastAsia="zh-CN"/>
        </w:rPr>
        <w:t>全区</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三大产业</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及园区</w:t>
      </w:r>
      <w:r>
        <w:rPr>
          <w:rFonts w:hint="eastAsia" w:ascii="仿宋_GB2312" w:hAnsi="仿宋_GB2312" w:eastAsia="仿宋_GB2312" w:cs="仿宋_GB2312"/>
          <w:sz w:val="32"/>
          <w:szCs w:val="32"/>
          <w:highlight w:val="none"/>
          <w:lang w:eastAsia="zh-CN"/>
        </w:rPr>
        <w:t>工作</w:t>
      </w:r>
      <w:r>
        <w:rPr>
          <w:rFonts w:hint="eastAsia" w:ascii="仿宋_GB2312" w:hAnsi="仿宋_GB2312" w:eastAsia="仿宋_GB2312" w:cs="仿宋_GB2312"/>
          <w:sz w:val="32"/>
          <w:szCs w:val="32"/>
          <w:highlight w:val="none"/>
        </w:rPr>
        <w:t>发展</w:t>
      </w:r>
      <w:r>
        <w:rPr>
          <w:rFonts w:hint="eastAsia" w:ascii="仿宋_GB2312" w:hAnsi="仿宋_GB2312" w:eastAsia="仿宋_GB2312" w:cs="仿宋_GB2312"/>
          <w:sz w:val="32"/>
          <w:szCs w:val="32"/>
          <w:highlight w:val="none"/>
          <w:lang w:val="en-US" w:eastAsia="zh-CN"/>
        </w:rPr>
        <w:t>。</w:t>
      </w:r>
    </w:p>
    <w:p w14:paraId="6F655339">
      <w:pPr>
        <w:pStyle w:val="6"/>
        <w:keepNext w:val="0"/>
        <w:keepLines w:val="0"/>
        <w:pageBreakBefore w:val="0"/>
        <w:widowControl/>
        <w:shd w:val="clear" w:color="auto" w:fill="FFFFFF"/>
        <w:kinsoku/>
        <w:overflowPunct/>
        <w:topLinePunct w:val="0"/>
        <w:autoSpaceDE/>
        <w:autoSpaceDN/>
        <w:bidi w:val="0"/>
        <w:adjustRightInd w:val="0"/>
        <w:snapToGrid w:val="0"/>
        <w:spacing w:beforeAutospacing="0" w:afterAutospacing="0" w:line="560" w:lineRule="exact"/>
        <w:ind w:firstLine="640" w:firstLineChars="200"/>
        <w:textAlignment w:val="baseline"/>
        <w:rPr>
          <w:rFonts w:hint="eastAsia" w:ascii="黑体" w:hAnsi="黑体" w:eastAsia="黑体" w:cs="黑体"/>
          <w:bCs/>
          <w:color w:val="1A2029"/>
          <w:sz w:val="32"/>
          <w:szCs w:val="32"/>
        </w:rPr>
      </w:pPr>
      <w:r>
        <w:rPr>
          <w:rStyle w:val="10"/>
          <w:rFonts w:hint="eastAsia" w:ascii="黑体" w:hAnsi="黑体" w:eastAsia="黑体" w:cs="黑体"/>
          <w:b w:val="0"/>
          <w:bCs/>
          <w:color w:val="1A2029"/>
          <w:sz w:val="32"/>
          <w:szCs w:val="32"/>
          <w:shd w:val="clear" w:color="auto" w:fill="FFFFFF"/>
          <w:lang w:val="en-US" w:eastAsia="zh-CN"/>
        </w:rPr>
        <w:t>二、起草</w:t>
      </w:r>
      <w:r>
        <w:rPr>
          <w:rStyle w:val="10"/>
          <w:rFonts w:hint="eastAsia" w:ascii="黑体" w:hAnsi="黑体" w:eastAsia="黑体" w:cs="黑体"/>
          <w:b w:val="0"/>
          <w:bCs/>
          <w:color w:val="1A2029"/>
          <w:sz w:val="32"/>
          <w:szCs w:val="32"/>
          <w:shd w:val="clear" w:color="auto" w:fill="FFFFFF"/>
        </w:rPr>
        <w:t>过程</w:t>
      </w:r>
    </w:p>
    <w:p w14:paraId="02177287">
      <w:pPr>
        <w:pStyle w:val="6"/>
        <w:keepNext w:val="0"/>
        <w:keepLines w:val="0"/>
        <w:pageBreakBefore w:val="0"/>
        <w:widowControl/>
        <w:shd w:val="clear" w:color="auto" w:fill="FFFFFF"/>
        <w:kinsoku/>
        <w:overflowPunct/>
        <w:topLinePunct w:val="0"/>
        <w:autoSpaceDE/>
        <w:autoSpaceDN/>
        <w:bidi w:val="0"/>
        <w:adjustRightInd w:val="0"/>
        <w:snapToGrid w:val="0"/>
        <w:spacing w:beforeAutospacing="0" w:afterAutospacing="0" w:line="560" w:lineRule="exact"/>
        <w:ind w:firstLine="640" w:firstLineChars="200"/>
        <w:jc w:val="both"/>
        <w:textAlignment w:val="baseline"/>
        <w:rPr>
          <w:rFonts w:hint="default" w:ascii="仿宋_GB2312" w:hAnsi="仿宋" w:eastAsia="仿宋_GB2312"/>
          <w:sz w:val="32"/>
          <w:szCs w:val="32"/>
          <w:highlight w:val="none"/>
          <w:lang w:val="en-US" w:eastAsia="zh-CN"/>
        </w:rPr>
      </w:pPr>
      <w:r>
        <w:rPr>
          <w:rFonts w:hint="eastAsia" w:ascii="仿宋_GB2312" w:hAnsi="仿宋" w:eastAsia="仿宋_GB2312"/>
          <w:sz w:val="32"/>
          <w:szCs w:val="32"/>
        </w:rPr>
        <w:t>《规划（征求意见稿）》依据《中共门头沟区委关于制定门头沟区国民经济和社会发展第十五个五年规划的建议》《北京市门头沟区国民经济和社会发展第十五个五年规划纲</w:t>
      </w:r>
      <w:r>
        <w:rPr>
          <w:rFonts w:hint="eastAsia" w:ascii="仿宋_GB2312" w:hAnsi="仿宋" w:eastAsia="仿宋_GB2312"/>
          <w:sz w:val="32"/>
          <w:szCs w:val="32"/>
          <w:highlight w:val="none"/>
        </w:rPr>
        <w:t>要》</w:t>
      </w:r>
      <w:r>
        <w:rPr>
          <w:rFonts w:hint="eastAsia" w:ascii="仿宋_GB2312" w:hAnsi="仿宋" w:eastAsia="仿宋_GB2312"/>
          <w:sz w:val="32"/>
          <w:szCs w:val="32"/>
          <w:highlight w:val="none"/>
          <w:lang w:val="en-US" w:eastAsia="zh-CN"/>
        </w:rPr>
        <w:t>以及《北京市“十五五”时期现代化产业体系发展规划》《“十五五”时期中关村世界领先科技园区建设规划》《“十五五”北京（京津冀）国际科技创新中心建设规划》</w:t>
      </w:r>
      <w:r>
        <w:rPr>
          <w:rFonts w:hint="eastAsia" w:ascii="仿宋_GB2312" w:hAnsi="仿宋" w:eastAsia="仿宋_GB2312"/>
          <w:sz w:val="32"/>
          <w:szCs w:val="32"/>
          <w:highlight w:val="none"/>
        </w:rPr>
        <w:t>等上位规划和文件编制</w:t>
      </w:r>
      <w:r>
        <w:rPr>
          <w:rFonts w:hint="eastAsia" w:ascii="仿宋_GB2312" w:hAnsi="仿宋" w:eastAsia="仿宋_GB2312"/>
          <w:sz w:val="32"/>
          <w:szCs w:val="32"/>
          <w:highlight w:val="none"/>
          <w:lang w:eastAsia="zh-CN"/>
        </w:rPr>
        <w:t>，</w:t>
      </w:r>
      <w:r>
        <w:rPr>
          <w:rFonts w:hint="eastAsia" w:ascii="仿宋_GB2312" w:hAnsi="仿宋" w:eastAsia="仿宋_GB2312"/>
          <w:sz w:val="32"/>
          <w:szCs w:val="32"/>
          <w:highlight w:val="none"/>
          <w:lang w:val="en-US" w:eastAsia="zh-CN"/>
        </w:rPr>
        <w:t>并与人才等领域专项规划紧密衔接。征求区属相关单位意见建议，并加以完善修改，现形成公开征求意见文稿。</w:t>
      </w:r>
    </w:p>
    <w:p w14:paraId="7856025F">
      <w:pPr>
        <w:keepNext w:val="0"/>
        <w:keepLines w:val="0"/>
        <w:pageBreakBefore w:val="0"/>
        <w:kinsoku/>
        <w:overflowPunct/>
        <w:topLinePunct w:val="0"/>
        <w:autoSpaceDE/>
        <w:autoSpaceDN/>
        <w:bidi w:val="0"/>
        <w:spacing w:line="560" w:lineRule="exact"/>
        <w:ind w:firstLine="640" w:firstLineChars="200"/>
        <w:jc w:val="both"/>
        <w:textAlignment w:val="auto"/>
        <w:rPr>
          <w:rFonts w:ascii="黑体" w:hAnsi="宋体" w:eastAsia="黑体" w:cs="Times New Roman"/>
          <w:sz w:val="32"/>
          <w:szCs w:val="32"/>
        </w:rPr>
      </w:pPr>
      <w:r>
        <w:rPr>
          <w:rFonts w:hint="eastAsia" w:ascii="黑体" w:hAnsi="宋体" w:eastAsia="黑体" w:cs="Times New Roman"/>
          <w:sz w:val="32"/>
          <w:szCs w:val="32"/>
          <w:lang w:val="en-US" w:eastAsia="zh-CN"/>
        </w:rPr>
        <w:t>三</w:t>
      </w:r>
      <w:r>
        <w:rPr>
          <w:rFonts w:hint="eastAsia" w:ascii="黑体" w:hAnsi="宋体" w:eastAsia="黑体" w:cs="Times New Roman"/>
          <w:sz w:val="32"/>
          <w:szCs w:val="32"/>
        </w:rPr>
        <w:t>、主要内容</w:t>
      </w:r>
    </w:p>
    <w:p w14:paraId="2AB385AA">
      <w:pPr>
        <w:keepNext w:val="0"/>
        <w:keepLines w:val="0"/>
        <w:pageBreakBefore w:val="0"/>
        <w:kinsoku/>
        <w:overflowPunct/>
        <w:topLinePunct w:val="0"/>
        <w:autoSpaceDE/>
        <w:autoSpaceDN/>
        <w:bidi w:val="0"/>
        <w:snapToGrid/>
        <w:spacing w:line="560" w:lineRule="exact"/>
        <w:ind w:firstLine="640" w:firstLineChars="200"/>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《规划（征求意见稿）》包括十个章节，具体内容如下：</w:t>
      </w:r>
    </w:p>
    <w:p w14:paraId="7E272FA6">
      <w:pPr>
        <w:keepNext w:val="0"/>
        <w:keepLines w:val="0"/>
        <w:pageBreakBefore w:val="0"/>
        <w:kinsoku/>
        <w:overflowPunct/>
        <w:topLinePunct w:val="0"/>
        <w:autoSpaceDE/>
        <w:autoSpaceDN/>
        <w:bidi w:val="0"/>
        <w:snapToGrid/>
        <w:spacing w:line="560" w:lineRule="exact"/>
        <w:ind w:firstLine="643" w:firstLineChars="200"/>
        <w:rPr>
          <w:rFonts w:hint="eastAsia" w:ascii="仿宋_GB2312" w:hAnsi="仿宋_GB2312" w:eastAsia="仿宋_GB2312" w:cs="仿宋_GB2312"/>
          <w:b w:val="0"/>
          <w:bCs w:val="0"/>
          <w:color w:val="1A2029"/>
          <w:sz w:val="32"/>
          <w:szCs w:val="32"/>
          <w:shd w:val="clear" w:color="auto" w:fill="FFFFFF"/>
        </w:rPr>
      </w:pPr>
      <w:r>
        <w:rPr>
          <w:rFonts w:hint="eastAsia" w:ascii="仿宋_GB2312" w:hAnsi="仿宋_GB2312" w:eastAsia="仿宋_GB2312" w:cs="仿宋_GB2312"/>
          <w:b/>
          <w:bCs/>
          <w:sz w:val="32"/>
          <w:szCs w:val="32"/>
          <w:lang w:val="en-US" w:eastAsia="zh-CN"/>
        </w:rPr>
        <w:t>第一章：发展基础和面临形势</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b w:val="0"/>
          <w:bCs w:val="0"/>
          <w:sz w:val="32"/>
          <w:szCs w:val="32"/>
          <w:lang w:val="en-US" w:eastAsia="zh-CN"/>
        </w:rPr>
        <w:t>系统总结</w:t>
      </w:r>
      <w:bookmarkStart w:id="0" w:name="_Toc24109"/>
      <w:bookmarkStart w:id="1" w:name="_Toc20605"/>
      <w:bookmarkStart w:id="2" w:name="_Toc20215"/>
      <w:bookmarkStart w:id="3" w:name="_Toc214"/>
      <w:bookmarkStart w:id="4" w:name="_Toc27766"/>
      <w:bookmarkStart w:id="5" w:name="_Toc32002"/>
      <w:bookmarkStart w:id="6" w:name="_Toc10191"/>
      <w:bookmarkStart w:id="7" w:name="_Toc10879"/>
      <w:bookmarkStart w:id="8" w:name="_Toc16291"/>
      <w:bookmarkStart w:id="9" w:name="_Toc5480"/>
      <w:bookmarkStart w:id="10" w:name="_Toc19925"/>
      <w:bookmarkStart w:id="11" w:name="_Toc16915"/>
      <w:bookmarkStart w:id="12" w:name="_Toc5763"/>
      <w:bookmarkStart w:id="13" w:name="_Toc1080"/>
      <w:bookmarkStart w:id="14" w:name="_Toc14845"/>
      <w:bookmarkStart w:id="15" w:name="_Toc13130"/>
      <w:bookmarkStart w:id="16" w:name="_Toc2948"/>
      <w:bookmarkStart w:id="17" w:name="_Toc12684"/>
      <w:bookmarkStart w:id="18" w:name="_Toc23743"/>
      <w:bookmarkStart w:id="19" w:name="_Toc17886"/>
      <w:bookmarkStart w:id="20" w:name="_Toc21544"/>
      <w:bookmarkStart w:id="21" w:name="_Toc13071"/>
      <w:bookmarkStart w:id="22" w:name="_Toc23318"/>
      <w:bookmarkStart w:id="23" w:name="_Toc28820"/>
      <w:bookmarkStart w:id="24" w:name="_Toc19315"/>
      <w:bookmarkStart w:id="25" w:name="_Toc7237"/>
      <w:bookmarkStart w:id="26" w:name="_Toc14433"/>
      <w:bookmarkStart w:id="27" w:name="_Toc8250"/>
      <w:bookmarkStart w:id="28" w:name="_Toc22089"/>
      <w:bookmarkStart w:id="29" w:name="_Toc9492"/>
      <w:bookmarkStart w:id="30" w:name="_Toc1793"/>
      <w:bookmarkStart w:id="31" w:name="_Toc19610"/>
      <w:bookmarkStart w:id="32" w:name="_Toc10400"/>
      <w:bookmarkStart w:id="33" w:name="_Toc28541"/>
      <w:bookmarkStart w:id="34" w:name="_Toc12938"/>
      <w:bookmarkStart w:id="35" w:name="_Toc24532"/>
      <w:bookmarkStart w:id="36" w:name="_Toc6753"/>
      <w:bookmarkStart w:id="37" w:name="_Toc29982"/>
      <w:bookmarkStart w:id="38" w:name="_Toc7097"/>
      <w:bookmarkStart w:id="39" w:name="_Toc32526"/>
      <w:bookmarkStart w:id="40" w:name="_Toc22595"/>
      <w:bookmarkStart w:id="41" w:name="_Toc22959"/>
      <w:bookmarkStart w:id="42" w:name="_Toc4579"/>
      <w:bookmarkStart w:id="43" w:name="_Toc7749"/>
      <w:bookmarkStart w:id="44" w:name="_Toc32196"/>
      <w:bookmarkStart w:id="45" w:name="_Toc23362"/>
      <w:bookmarkStart w:id="46" w:name="_Toc9491"/>
      <w:bookmarkStart w:id="47" w:name="_Toc20541"/>
      <w:bookmarkStart w:id="48" w:name="_Toc20996"/>
      <w:bookmarkStart w:id="49" w:name="_Toc14610"/>
      <w:bookmarkStart w:id="50" w:name="_Toc28327"/>
      <w:bookmarkStart w:id="51" w:name="_Toc22557"/>
      <w:bookmarkStart w:id="52" w:name="_Toc12367"/>
      <w:bookmarkStart w:id="53" w:name="_Toc22988"/>
      <w:bookmarkStart w:id="54" w:name="_Toc12937"/>
      <w:bookmarkStart w:id="55" w:name="_Toc30310"/>
      <w:bookmarkStart w:id="56" w:name="_Toc8725"/>
      <w:bookmarkStart w:id="57" w:name="_Toc25131"/>
      <w:bookmarkStart w:id="58" w:name="_Toc9497"/>
      <w:bookmarkStart w:id="59" w:name="_Toc18611"/>
      <w:bookmarkStart w:id="60" w:name="_Toc14528"/>
      <w:bookmarkStart w:id="61" w:name="_Toc6200"/>
      <w:bookmarkStart w:id="62" w:name="_Toc19196"/>
      <w:bookmarkStart w:id="63" w:name="_Toc7709"/>
      <w:bookmarkStart w:id="64" w:name="_Toc3377"/>
      <w:bookmarkStart w:id="65" w:name="_Toc9748"/>
      <w:bookmarkStart w:id="66" w:name="_Toc1395"/>
      <w:bookmarkStart w:id="67" w:name="_Toc17315"/>
      <w:bookmarkStart w:id="68" w:name="_Toc24251"/>
      <w:bookmarkStart w:id="69" w:name="_Toc4900"/>
      <w:bookmarkStart w:id="70" w:name="_Toc31391"/>
      <w:bookmarkStart w:id="71" w:name="_Toc18937"/>
      <w:bookmarkStart w:id="72" w:name="_Toc11477"/>
      <w:bookmarkStart w:id="73" w:name="_Toc6342"/>
      <w:bookmarkStart w:id="74" w:name="_Toc13952"/>
      <w:bookmarkStart w:id="75" w:name="_Toc26908"/>
      <w:bookmarkStart w:id="76" w:name="_Toc19053"/>
      <w:bookmarkStart w:id="77" w:name="_Toc23410"/>
      <w:bookmarkStart w:id="78" w:name="_Toc4020"/>
      <w:bookmarkStart w:id="79" w:name="_Toc8103"/>
      <w:bookmarkStart w:id="80" w:name="_Toc21980"/>
      <w:bookmarkStart w:id="81" w:name="_Toc18954"/>
      <w:r>
        <w:rPr>
          <w:rFonts w:hint="eastAsia" w:ascii="仿宋_GB2312" w:hAnsi="仿宋_GB2312" w:eastAsia="仿宋_GB2312" w:cs="仿宋_GB2312"/>
          <w:b w:val="0"/>
          <w:bCs w:val="0"/>
          <w:sz w:val="32"/>
          <w:szCs w:val="32"/>
          <w:lang w:val="en-US" w:eastAsia="zh-CN"/>
        </w:rPr>
        <w:t>了我区在</w:t>
      </w:r>
      <w:r>
        <w:rPr>
          <w:rFonts w:hint="eastAsia" w:ascii="仿宋_GB2312" w:hAnsi="仿宋_GB2312" w:eastAsia="仿宋_GB2312" w:cs="仿宋_GB2312"/>
          <w:b w:val="0"/>
          <w:bCs w:val="0"/>
          <w:sz w:val="32"/>
          <w:szCs w:val="32"/>
          <w:highlight w:val="none"/>
        </w:rPr>
        <w:t>产业</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r>
        <w:rPr>
          <w:rFonts w:hint="eastAsia" w:ascii="仿宋_GB2312" w:hAnsi="仿宋_GB2312" w:eastAsia="仿宋_GB2312" w:cs="仿宋_GB2312"/>
          <w:b w:val="0"/>
          <w:bCs w:val="0"/>
          <w:sz w:val="32"/>
          <w:szCs w:val="32"/>
          <w:highlight w:val="none"/>
        </w:rPr>
        <w:t>突破</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highlight w:val="none"/>
        </w:rPr>
        <w:t>创新发展</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highlight w:val="none"/>
          <w:lang w:val="en-US" w:eastAsia="zh-CN"/>
        </w:rPr>
        <w:t>垂直</w:t>
      </w:r>
      <w:r>
        <w:rPr>
          <w:rFonts w:hint="eastAsia" w:ascii="仿宋_GB2312" w:hAnsi="仿宋_GB2312" w:eastAsia="仿宋_GB2312" w:cs="仿宋_GB2312"/>
          <w:b w:val="0"/>
          <w:bCs w:val="0"/>
          <w:sz w:val="32"/>
          <w:szCs w:val="32"/>
          <w:highlight w:val="none"/>
        </w:rPr>
        <w:t>营商环境优化</w:t>
      </w:r>
      <w:r>
        <w:rPr>
          <w:rFonts w:hint="eastAsia" w:ascii="仿宋_GB2312" w:hAnsi="仿宋_GB2312" w:eastAsia="仿宋_GB2312" w:cs="仿宋_GB2312"/>
          <w:b w:val="0"/>
          <w:bCs w:val="0"/>
          <w:sz w:val="32"/>
          <w:szCs w:val="32"/>
          <w:lang w:val="en-US" w:eastAsia="zh-CN"/>
        </w:rPr>
        <w:t>等方面取得的成效，深刻分析了我区面临的机遇挑战和</w:t>
      </w:r>
      <w:r>
        <w:rPr>
          <w:rFonts w:hint="eastAsia" w:ascii="仿宋_GB2312" w:hAnsi="仿宋_GB2312" w:eastAsia="仿宋_GB2312" w:cs="仿宋_GB2312"/>
          <w:b w:val="0"/>
          <w:bCs w:val="0"/>
          <w:color w:val="1A2029"/>
          <w:sz w:val="32"/>
          <w:szCs w:val="32"/>
          <w:highlight w:val="none"/>
          <w:shd w:val="clear" w:color="auto" w:fill="FFFFFF"/>
        </w:rPr>
        <w:t>使命</w:t>
      </w:r>
      <w:r>
        <w:rPr>
          <w:rFonts w:hint="eastAsia" w:ascii="仿宋_GB2312" w:hAnsi="仿宋_GB2312" w:eastAsia="仿宋_GB2312" w:cs="仿宋_GB2312"/>
          <w:b w:val="0"/>
          <w:bCs w:val="0"/>
          <w:color w:val="1A2029"/>
          <w:sz w:val="32"/>
          <w:szCs w:val="32"/>
          <w:shd w:val="clear" w:color="auto" w:fill="FFFFFF"/>
          <w:lang w:val="en-US" w:eastAsia="zh-CN"/>
        </w:rPr>
        <w:t>任务</w:t>
      </w:r>
      <w:r>
        <w:rPr>
          <w:rFonts w:hint="eastAsia" w:ascii="仿宋_GB2312" w:hAnsi="仿宋_GB2312" w:eastAsia="仿宋_GB2312" w:cs="仿宋_GB2312"/>
          <w:b w:val="0"/>
          <w:bCs w:val="0"/>
          <w:color w:val="1A2029"/>
          <w:sz w:val="32"/>
          <w:szCs w:val="32"/>
          <w:highlight w:val="none"/>
          <w:shd w:val="clear" w:color="auto" w:fill="FFFFFF"/>
        </w:rPr>
        <w:t>。</w:t>
      </w:r>
    </w:p>
    <w:p w14:paraId="3702E193">
      <w:pPr>
        <w:keepNext w:val="0"/>
        <w:keepLines w:val="0"/>
        <w:pageBreakBefore w:val="0"/>
        <w:kinsoku/>
        <w:overflowPunct/>
        <w:topLinePunct w:val="0"/>
        <w:autoSpaceDE/>
        <w:autoSpaceDN/>
        <w:bidi w:val="0"/>
        <w:spacing w:line="560" w:lineRule="exact"/>
        <w:ind w:firstLine="643" w:firstLineChars="200"/>
        <w:rPr>
          <w:rFonts w:hint="default" w:ascii="仿宋_GB2312" w:hAnsi="仿宋_GB2312" w:eastAsia="仿宋_GB2312" w:cs="仿宋_GB2312"/>
          <w:bCs/>
          <w:sz w:val="32"/>
          <w:szCs w:val="32"/>
          <w:highlight w:val="none"/>
          <w:lang w:val="en-US" w:eastAsia="zh-CN" w:bidi="ar"/>
        </w:rPr>
      </w:pPr>
      <w:r>
        <w:rPr>
          <w:rFonts w:hint="eastAsia" w:ascii="仿宋_GB2312" w:hAnsi="仿宋_GB2312" w:eastAsia="仿宋_GB2312" w:cs="仿宋_GB2312"/>
          <w:b/>
          <w:bCs/>
          <w:sz w:val="32"/>
          <w:szCs w:val="32"/>
          <w:lang w:val="en-US" w:eastAsia="zh-CN"/>
        </w:rPr>
        <w:t>第二章：</w:t>
      </w:r>
      <w:r>
        <w:rPr>
          <w:rFonts w:hint="eastAsia" w:ascii="仿宋_GB2312" w:hAnsi="仿宋_GB2312" w:eastAsia="仿宋_GB2312" w:cs="仿宋_GB2312"/>
          <w:b/>
          <w:bCs/>
          <w:sz w:val="32"/>
          <w:szCs w:val="32"/>
          <w:lang w:eastAsia="zh-CN"/>
        </w:rPr>
        <w:t>总体要求和发展目标。</w:t>
      </w:r>
      <w:r>
        <w:rPr>
          <w:rFonts w:hint="eastAsia" w:ascii="仿宋_GB2312" w:hAnsi="仿宋_GB2312" w:eastAsia="仿宋_GB2312" w:cs="仿宋_GB2312"/>
          <w:b w:val="0"/>
          <w:bCs w:val="0"/>
          <w:sz w:val="32"/>
          <w:szCs w:val="32"/>
          <w:lang w:val="en-US" w:eastAsia="zh-CN"/>
        </w:rPr>
        <w:t>明确了“十五五”时期发展的总体思路，提出“三大产业”和园区发展的目标，</w:t>
      </w:r>
      <w:r>
        <w:rPr>
          <w:rFonts w:hint="eastAsia" w:ascii="仿宋_GB2312" w:hAnsi="仿宋_GB2312" w:eastAsia="仿宋_GB2312" w:cs="仿宋_GB2312"/>
          <w:bCs/>
          <w:sz w:val="32"/>
          <w:szCs w:val="32"/>
          <w:highlight w:val="none"/>
          <w:lang w:val="en-US" w:eastAsia="zh-CN"/>
        </w:rPr>
        <w:t>围绕产业集群、创新能力、企业培育、人才活力四个维度，构建指标体系</w:t>
      </w:r>
      <w:r>
        <w:rPr>
          <w:rFonts w:hint="eastAsia" w:ascii="仿宋_GB2312" w:hAnsi="仿宋_GB2312" w:eastAsia="仿宋_GB2312" w:cs="仿宋_GB2312"/>
          <w:bCs/>
          <w:sz w:val="32"/>
          <w:szCs w:val="32"/>
          <w:highlight w:val="none"/>
          <w:lang w:val="en-US" w:eastAsia="zh-CN" w:bidi="ar"/>
        </w:rPr>
        <w:t>。</w:t>
      </w:r>
    </w:p>
    <w:p w14:paraId="77DF1784">
      <w:pPr>
        <w:keepNext w:val="0"/>
        <w:keepLines w:val="0"/>
        <w:pageBreakBefore w:val="0"/>
        <w:kinsoku/>
        <w:overflowPunct/>
        <w:topLinePunct w:val="0"/>
        <w:autoSpaceDE/>
        <w:autoSpaceDN/>
        <w:bidi w:val="0"/>
        <w:snapToGrid w:val="0"/>
        <w:spacing w:line="560" w:lineRule="exact"/>
        <w:ind w:firstLine="643"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b/>
          <w:bCs/>
          <w:sz w:val="32"/>
          <w:szCs w:val="32"/>
          <w:highlight w:val="none"/>
          <w:lang w:val="en-US" w:eastAsia="zh-CN"/>
        </w:rPr>
        <w:t>第三章：完善创新链，提升创新孵化和转化能力。</w:t>
      </w:r>
      <w:r>
        <w:rPr>
          <w:rFonts w:hint="eastAsia" w:ascii="仿宋_GB2312" w:hAnsi="仿宋_GB2312" w:eastAsia="仿宋_GB2312" w:cs="仿宋_GB2312"/>
          <w:color w:val="auto"/>
          <w:sz w:val="32"/>
          <w:szCs w:val="32"/>
          <w:highlight w:val="none"/>
        </w:rPr>
        <w:t>以科技创新与产业创新深度融合为主线，</w:t>
      </w:r>
      <w:r>
        <w:rPr>
          <w:rFonts w:hint="eastAsia" w:ascii="仿宋_GB2312" w:hAnsi="仿宋_GB2312" w:eastAsia="仿宋_GB2312" w:cs="仿宋_GB2312"/>
          <w:b w:val="0"/>
          <w:bCs w:val="0"/>
          <w:sz w:val="32"/>
          <w:szCs w:val="32"/>
          <w:highlight w:val="none"/>
          <w:lang w:val="en-US" w:eastAsia="zh-CN"/>
        </w:rPr>
        <w:t>围绕提升产业技术创新能力、培育壮大创新企业梯队、促进科技成果孵化转化，提出科技创新路径</w:t>
      </w:r>
      <w:r>
        <w:rPr>
          <w:rFonts w:hint="eastAsia" w:ascii="仿宋_GB2312" w:hAnsi="仿宋_GB2312" w:eastAsia="仿宋_GB2312" w:cs="仿宋_GB2312"/>
          <w:color w:val="auto"/>
          <w:sz w:val="32"/>
          <w:szCs w:val="32"/>
          <w:highlight w:val="none"/>
        </w:rPr>
        <w:t>。</w:t>
      </w:r>
    </w:p>
    <w:p w14:paraId="6C28205E">
      <w:pPr>
        <w:keepNext w:val="0"/>
        <w:keepLines w:val="0"/>
        <w:pageBreakBefore w:val="0"/>
        <w:kinsoku/>
        <w:overflowPunct/>
        <w:topLinePunct w:val="0"/>
        <w:autoSpaceDE/>
        <w:autoSpaceDN/>
        <w:bidi w:val="0"/>
        <w:snapToGrid/>
        <w:spacing w:after="0" w:line="560" w:lineRule="exact"/>
        <w:ind w:firstLine="643" w:firstLineChars="200"/>
        <w:rPr>
          <w:rFonts w:hint="eastAsia" w:ascii="仿宋_GB2312" w:hAnsi="仿宋_GB2312" w:eastAsia="仿宋_GB2312" w:cs="仿宋_GB2312"/>
          <w:b w:val="0"/>
          <w:bCs w:val="0"/>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第四章：做强产业链，聚力打造“三大产业”集群。</w:t>
      </w:r>
      <w:r>
        <w:rPr>
          <w:rFonts w:hint="eastAsia" w:ascii="仿宋_GB2312" w:hAnsi="仿宋_GB2312" w:eastAsia="仿宋_GB2312" w:cs="仿宋_GB2312"/>
          <w:b w:val="0"/>
          <w:bCs w:val="0"/>
          <w:sz w:val="32"/>
          <w:szCs w:val="32"/>
          <w:highlight w:val="none"/>
          <w:lang w:val="en-US" w:eastAsia="zh-CN"/>
        </w:rPr>
        <w:t>聚焦做强人工智能、超高清视听（计算视听）、心血管创新药械三大产业，全面打响“京西智谷”“京西剧谷”“中国心谷”产业品牌，明确“三大产业”发展路径。</w:t>
      </w:r>
    </w:p>
    <w:p w14:paraId="6ADFE3CF">
      <w:pPr>
        <w:pStyle w:val="4"/>
        <w:keepNext w:val="0"/>
        <w:keepLines w:val="0"/>
        <w:pageBreakBefore w:val="0"/>
        <w:kinsoku/>
        <w:overflowPunct/>
        <w:topLinePunct w:val="0"/>
        <w:autoSpaceDE/>
        <w:autoSpaceDN/>
        <w:bidi w:val="0"/>
        <w:spacing w:line="560" w:lineRule="exact"/>
        <w:ind w:firstLine="643" w:firstLineChars="200"/>
        <w:rPr>
          <w:rFonts w:hint="eastAsia" w:ascii="仿宋_GB2312" w:hAnsi="仿宋_GB2312" w:eastAsia="仿宋_GB2312" w:cs="仿宋_GB2312"/>
          <w:color w:val="auto"/>
          <w:sz w:val="32"/>
          <w:highlight w:val="none"/>
          <w:lang w:eastAsia="zh-CN"/>
        </w:rPr>
      </w:pPr>
      <w:r>
        <w:rPr>
          <w:rFonts w:hint="eastAsia" w:ascii="仿宋_GB2312" w:hAnsi="仿宋_GB2312" w:eastAsia="仿宋_GB2312" w:cs="仿宋_GB2312"/>
          <w:b/>
          <w:bCs/>
          <w:sz w:val="32"/>
          <w:szCs w:val="32"/>
          <w:highlight w:val="none"/>
          <w:lang w:val="en-US" w:eastAsia="zh-CN"/>
        </w:rPr>
        <w:t>第五章：优化人才链，完善“引育用留”人才生态圈。</w:t>
      </w:r>
      <w:r>
        <w:rPr>
          <w:rFonts w:hint="eastAsia" w:ascii="仿宋_GB2312" w:hAnsi="仿宋_GB2312" w:eastAsia="仿宋_GB2312" w:cs="仿宋_GB2312"/>
          <w:b w:val="0"/>
          <w:bCs w:val="0"/>
          <w:sz w:val="32"/>
          <w:szCs w:val="32"/>
          <w:highlight w:val="none"/>
          <w:lang w:val="en-US" w:eastAsia="zh-CN"/>
        </w:rPr>
        <w:t>从大力引进高层次人才、优化多元化人才培养体系、筑牢全方位留才保障体系三个方面，</w:t>
      </w:r>
      <w:r>
        <w:rPr>
          <w:rFonts w:hint="eastAsia" w:ascii="仿宋_GB2312" w:hAnsi="仿宋_GB2312" w:eastAsia="仿宋_GB2312" w:cs="仿宋_GB2312"/>
          <w:color w:val="auto"/>
          <w:sz w:val="32"/>
          <w:highlight w:val="none"/>
          <w:lang w:eastAsia="zh-CN"/>
        </w:rPr>
        <w:t>系统</w:t>
      </w:r>
      <w:r>
        <w:rPr>
          <w:rFonts w:hint="eastAsia" w:ascii="仿宋_GB2312" w:hAnsi="仿宋_GB2312" w:eastAsia="仿宋_GB2312" w:cs="仿宋_GB2312"/>
          <w:color w:val="auto"/>
          <w:sz w:val="32"/>
          <w:highlight w:val="none"/>
          <w:lang w:val="en-US" w:eastAsia="zh-CN"/>
        </w:rPr>
        <w:t>提出</w:t>
      </w:r>
      <w:r>
        <w:rPr>
          <w:rFonts w:hint="eastAsia" w:ascii="仿宋_GB2312" w:hAnsi="仿宋_GB2312" w:eastAsia="仿宋_GB2312" w:cs="仿宋_GB2312"/>
          <w:color w:val="auto"/>
          <w:sz w:val="32"/>
          <w:szCs w:val="32"/>
          <w:highlight w:val="none"/>
          <w:lang w:eastAsia="zh-CN" w:bidi="ar"/>
        </w:rPr>
        <w:t>全方位、多角度</w:t>
      </w:r>
      <w:r>
        <w:rPr>
          <w:rFonts w:hint="eastAsia" w:ascii="仿宋_GB2312" w:hAnsi="仿宋_GB2312" w:eastAsia="仿宋_GB2312" w:cs="仿宋_GB2312"/>
          <w:color w:val="auto"/>
          <w:sz w:val="32"/>
          <w:szCs w:val="32"/>
          <w:highlight w:val="none"/>
          <w:lang w:eastAsia="zh-CN"/>
        </w:rPr>
        <w:t>构建创新人才梯队</w:t>
      </w:r>
      <w:r>
        <w:rPr>
          <w:rFonts w:hint="eastAsia" w:ascii="仿宋_GB2312" w:hAnsi="仿宋_GB2312" w:eastAsia="仿宋_GB2312" w:cs="仿宋_GB2312"/>
          <w:color w:val="auto"/>
          <w:sz w:val="32"/>
          <w:szCs w:val="32"/>
          <w:highlight w:val="none"/>
          <w:lang w:val="en-US" w:eastAsia="zh-CN"/>
        </w:rPr>
        <w:t>的举措</w:t>
      </w:r>
      <w:r>
        <w:rPr>
          <w:rFonts w:hint="eastAsia" w:ascii="仿宋_GB2312" w:hAnsi="仿宋_GB2312" w:eastAsia="仿宋_GB2312" w:cs="仿宋_GB2312"/>
          <w:color w:val="auto"/>
          <w:sz w:val="32"/>
          <w:highlight w:val="none"/>
          <w:lang w:eastAsia="zh-CN"/>
        </w:rPr>
        <w:t>。</w:t>
      </w:r>
    </w:p>
    <w:p w14:paraId="5CA5CBE4">
      <w:pPr>
        <w:keepNext w:val="0"/>
        <w:keepLines w:val="0"/>
        <w:pageBreakBefore w:val="0"/>
        <w:kinsoku/>
        <w:overflowPunct/>
        <w:topLinePunct w:val="0"/>
        <w:autoSpaceDE/>
        <w:autoSpaceDN/>
        <w:bidi w:val="0"/>
        <w:spacing w:line="560" w:lineRule="exact"/>
        <w:ind w:firstLine="643"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b/>
          <w:bCs/>
          <w:sz w:val="32"/>
          <w:szCs w:val="32"/>
          <w:highlight w:val="none"/>
          <w:lang w:val="en-US" w:eastAsia="zh-CN"/>
        </w:rPr>
        <w:t>第六章：畅通资金链，优化全生命周期金融服务体系。</w:t>
      </w:r>
      <w:r>
        <w:rPr>
          <w:rFonts w:hint="eastAsia" w:ascii="仿宋_GB2312" w:hAnsi="仿宋_GB2312" w:eastAsia="仿宋_GB2312" w:cs="仿宋_GB2312"/>
          <w:b w:val="0"/>
          <w:bCs w:val="0"/>
          <w:sz w:val="32"/>
          <w:szCs w:val="32"/>
          <w:highlight w:val="none"/>
          <w:lang w:val="en-US" w:eastAsia="zh-CN"/>
        </w:rPr>
        <w:t>聚焦增强创投服务能力、创新科技金融产品、加强金融接力赋能三个维度，</w:t>
      </w:r>
      <w:r>
        <w:rPr>
          <w:rFonts w:hint="eastAsia" w:ascii="仿宋_GB2312" w:hAnsi="仿宋_GB2312" w:eastAsia="仿宋_GB2312" w:cs="仿宋_GB2312"/>
          <w:color w:val="auto"/>
          <w:sz w:val="32"/>
          <w:szCs w:val="32"/>
          <w:highlight w:val="none"/>
          <w:lang w:val="en-US" w:eastAsia="zh-CN"/>
        </w:rPr>
        <w:t>部署</w:t>
      </w:r>
      <w:r>
        <w:rPr>
          <w:rFonts w:hint="eastAsia" w:ascii="仿宋_GB2312" w:hAnsi="仿宋_GB2312" w:eastAsia="仿宋_GB2312" w:cs="仿宋_GB2312"/>
          <w:color w:val="auto"/>
          <w:sz w:val="32"/>
          <w:szCs w:val="32"/>
          <w:highlight w:val="none"/>
        </w:rPr>
        <w:t>打造覆盖企业全生命周期的金融服务链条</w:t>
      </w:r>
      <w:r>
        <w:rPr>
          <w:rFonts w:hint="eastAsia" w:ascii="仿宋_GB2312" w:hAnsi="仿宋_GB2312" w:eastAsia="仿宋_GB2312" w:cs="仿宋_GB2312"/>
          <w:color w:val="auto"/>
          <w:sz w:val="32"/>
          <w:szCs w:val="32"/>
          <w:highlight w:val="none"/>
          <w:lang w:val="en-US" w:eastAsia="zh-CN"/>
        </w:rPr>
        <w:t>的主要任务</w:t>
      </w:r>
      <w:r>
        <w:rPr>
          <w:rFonts w:hint="eastAsia" w:ascii="仿宋_GB2312" w:hAnsi="仿宋_GB2312" w:eastAsia="仿宋_GB2312" w:cs="仿宋_GB2312"/>
          <w:color w:val="auto"/>
          <w:sz w:val="32"/>
          <w:szCs w:val="32"/>
          <w:highlight w:val="none"/>
          <w:lang w:eastAsia="zh-CN"/>
        </w:rPr>
        <w:t>。</w:t>
      </w:r>
    </w:p>
    <w:p w14:paraId="2462A2F5">
      <w:pPr>
        <w:keepNext w:val="0"/>
        <w:keepLines w:val="0"/>
        <w:pageBreakBefore w:val="0"/>
        <w:numPr>
          <w:ilvl w:val="0"/>
          <w:numId w:val="0"/>
        </w:numPr>
        <w:kinsoku/>
        <w:overflowPunct/>
        <w:topLinePunct w:val="0"/>
        <w:autoSpaceDE/>
        <w:autoSpaceDN/>
        <w:bidi w:val="0"/>
        <w:spacing w:line="560" w:lineRule="exact"/>
        <w:ind w:firstLine="643"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b/>
          <w:bCs/>
          <w:sz w:val="32"/>
          <w:szCs w:val="32"/>
          <w:highlight w:val="none"/>
          <w:lang w:val="en-US" w:eastAsia="zh-CN"/>
        </w:rPr>
        <w:t>第七章：优化空间，构筑未来科技园区发展形态。</w:t>
      </w:r>
      <w:r>
        <w:rPr>
          <w:rFonts w:hint="eastAsia" w:ascii="仿宋_GB2312" w:hAnsi="仿宋_GB2312" w:eastAsia="仿宋_GB2312" w:cs="仿宋_GB2312"/>
          <w:b w:val="0"/>
          <w:bCs w:val="0"/>
          <w:sz w:val="32"/>
          <w:szCs w:val="32"/>
          <w:highlight w:val="none"/>
          <w:lang w:val="en-US" w:eastAsia="zh-CN"/>
        </w:rPr>
        <w:t>提出以塑造高效集约的产业集聚空间、升级园城一体的生活配套服务、打造青年发展型活力特色园区、建设绿色数智发展的园区样板为主要发展方向，</w:t>
      </w:r>
      <w:r>
        <w:rPr>
          <w:rFonts w:hint="eastAsia" w:ascii="仿宋_GB2312" w:hAnsi="仿宋_GB2312" w:eastAsia="仿宋_GB2312" w:cs="仿宋_GB2312"/>
          <w:color w:val="auto"/>
          <w:sz w:val="32"/>
          <w:szCs w:val="32"/>
          <w:highlight w:val="none"/>
        </w:rPr>
        <w:t>深化产城</w:t>
      </w:r>
      <w:r>
        <w:rPr>
          <w:rFonts w:hint="eastAsia" w:ascii="仿宋_GB2312" w:hAnsi="仿宋_GB2312" w:eastAsia="仿宋_GB2312" w:cs="仿宋_GB2312"/>
          <w:color w:val="auto"/>
          <w:sz w:val="32"/>
          <w:szCs w:val="32"/>
          <w:highlight w:val="none"/>
          <w:lang w:val="en-US" w:eastAsia="zh-CN"/>
        </w:rPr>
        <w:t>人</w:t>
      </w:r>
      <w:r>
        <w:rPr>
          <w:rFonts w:hint="eastAsia" w:ascii="仿宋_GB2312" w:hAnsi="仿宋_GB2312" w:eastAsia="仿宋_GB2312" w:cs="仿宋_GB2312"/>
          <w:color w:val="auto"/>
          <w:sz w:val="32"/>
          <w:szCs w:val="32"/>
          <w:highlight w:val="none"/>
        </w:rPr>
        <w:t>融合发展</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加快园区焕新升级。</w:t>
      </w:r>
    </w:p>
    <w:p w14:paraId="4730E0AA">
      <w:pPr>
        <w:keepNext w:val="0"/>
        <w:keepLines w:val="0"/>
        <w:pageBreakBefore w:val="0"/>
        <w:kinsoku/>
        <w:overflowPunct/>
        <w:topLinePunct w:val="0"/>
        <w:autoSpaceDE/>
        <w:autoSpaceDN/>
        <w:bidi w:val="0"/>
        <w:spacing w:line="560" w:lineRule="exact"/>
        <w:ind w:firstLine="643" w:firstLineChars="200"/>
        <w:rPr>
          <w:rFonts w:hint="default" w:ascii="Calibri" w:hAnsi="Calibri" w:eastAsia="仿宋_GB2312" w:cs="Times New Roman"/>
          <w:b w:val="0"/>
          <w:bCs w:val="0"/>
          <w:color w:val="auto"/>
          <w:sz w:val="32"/>
          <w:szCs w:val="24"/>
          <w:highlight w:val="none"/>
          <w:lang w:val="en-US" w:eastAsia="zh-CN"/>
        </w:rPr>
      </w:pPr>
      <w:r>
        <w:rPr>
          <w:rFonts w:hint="eastAsia" w:ascii="仿宋_GB2312" w:hAnsi="仿宋_GB2312" w:eastAsia="仿宋_GB2312" w:cs="仿宋_GB2312"/>
          <w:b/>
          <w:bCs/>
          <w:sz w:val="32"/>
          <w:szCs w:val="32"/>
          <w:highlight w:val="none"/>
          <w:lang w:val="en-US" w:eastAsia="zh-CN"/>
        </w:rPr>
        <w:t>第八章：完善服务，打造具有竞争力的营商环境。</w:t>
      </w:r>
      <w:r>
        <w:rPr>
          <w:rFonts w:hint="eastAsia" w:ascii="仿宋_GB2312" w:hAnsi="仿宋_GB2312" w:eastAsia="仿宋_GB2312" w:cs="仿宋_GB2312"/>
          <w:b w:val="0"/>
          <w:bCs w:val="0"/>
          <w:sz w:val="32"/>
          <w:szCs w:val="32"/>
          <w:highlight w:val="none"/>
          <w:lang w:val="en-US" w:eastAsia="zh-CN"/>
        </w:rPr>
        <w:t>明确通过构建高效协同的园区服务体系、完善多元赋能的企业服务模式、营造共生共荣的产业服务生态，</w:t>
      </w:r>
      <w:r>
        <w:rPr>
          <w:rFonts w:hint="eastAsia" w:ascii="Calibri" w:hAnsi="Calibri" w:eastAsia="仿宋_GB2312" w:cs="Times New Roman"/>
          <w:b w:val="0"/>
          <w:bCs w:val="0"/>
          <w:color w:val="auto"/>
          <w:sz w:val="32"/>
          <w:szCs w:val="24"/>
          <w:highlight w:val="none"/>
          <w:lang w:val="en-US" w:eastAsia="zh-CN"/>
        </w:rPr>
        <w:t>为企业发展增效赋能。</w:t>
      </w:r>
    </w:p>
    <w:p w14:paraId="0C42B1F2">
      <w:pPr>
        <w:keepNext w:val="0"/>
        <w:keepLines w:val="0"/>
        <w:pageBreakBefore w:val="0"/>
        <w:kinsoku/>
        <w:overflowPunct/>
        <w:topLinePunct w:val="0"/>
        <w:autoSpaceDE/>
        <w:autoSpaceDN/>
        <w:bidi w:val="0"/>
        <w:spacing w:line="560" w:lineRule="exact"/>
        <w:ind w:firstLine="643" w:firstLineChars="200"/>
        <w:rPr>
          <w:color w:val="auto"/>
          <w:highlight w:val="none"/>
        </w:rPr>
      </w:pPr>
      <w:r>
        <w:rPr>
          <w:rFonts w:hint="eastAsia" w:ascii="仿宋_GB2312" w:hAnsi="仿宋_GB2312" w:eastAsia="仿宋_GB2312" w:cs="仿宋_GB2312"/>
          <w:b/>
          <w:bCs/>
          <w:sz w:val="32"/>
          <w:szCs w:val="32"/>
          <w:highlight w:val="none"/>
          <w:lang w:val="en-US" w:eastAsia="zh-CN"/>
        </w:rPr>
        <w:t>第九章：深化改革，提升园区现代化治理能力。</w:t>
      </w:r>
      <w:r>
        <w:rPr>
          <w:rFonts w:hint="eastAsia" w:ascii="仿宋_GB2312" w:hAnsi="仿宋_GB2312" w:eastAsia="仿宋_GB2312" w:cs="仿宋_GB2312"/>
          <w:b w:val="0"/>
          <w:bCs w:val="0"/>
          <w:sz w:val="32"/>
          <w:szCs w:val="32"/>
          <w:highlight w:val="none"/>
          <w:lang w:val="en-US" w:eastAsia="zh-CN"/>
        </w:rPr>
        <w:t>坚持党建引领赋能发展，以健全园区统筹运行机制、完善园区产业招商机制、促进区域开放协同发展为主要抓手，</w:t>
      </w:r>
      <w:r>
        <w:rPr>
          <w:rFonts w:hint="eastAsia" w:ascii="仿宋_GB2312" w:hAnsi="仿宋_GB2312" w:eastAsia="仿宋_GB2312" w:cs="仿宋_GB2312"/>
          <w:color w:val="auto"/>
          <w:sz w:val="32"/>
          <w:szCs w:val="32"/>
          <w:highlight w:val="none"/>
        </w:rPr>
        <w:t>因地制宜</w:t>
      </w:r>
      <w:r>
        <w:rPr>
          <w:rFonts w:hint="eastAsia" w:ascii="仿宋_GB2312" w:hAnsi="仿宋_GB2312" w:eastAsia="仿宋_GB2312" w:cs="仿宋_GB2312"/>
          <w:color w:val="auto"/>
          <w:sz w:val="32"/>
          <w:szCs w:val="32"/>
          <w:highlight w:val="none"/>
          <w:lang w:val="en-US" w:eastAsia="zh-CN"/>
        </w:rPr>
        <w:t>完善</w:t>
      </w:r>
      <w:r>
        <w:rPr>
          <w:rFonts w:hint="eastAsia" w:ascii="仿宋_GB2312" w:hAnsi="仿宋_GB2312" w:eastAsia="仿宋_GB2312" w:cs="仿宋_GB2312"/>
          <w:color w:val="auto"/>
          <w:sz w:val="32"/>
          <w:szCs w:val="32"/>
          <w:highlight w:val="none"/>
        </w:rPr>
        <w:t>新质生产力</w:t>
      </w:r>
      <w:r>
        <w:rPr>
          <w:rFonts w:hint="eastAsia" w:ascii="仿宋_GB2312" w:hAnsi="仿宋_GB2312" w:eastAsia="仿宋_GB2312" w:cs="仿宋_GB2312"/>
          <w:color w:val="auto"/>
          <w:sz w:val="32"/>
          <w:szCs w:val="32"/>
          <w:highlight w:val="none"/>
          <w:lang w:val="en-US" w:eastAsia="zh-CN"/>
        </w:rPr>
        <w:t>发展的</w:t>
      </w:r>
      <w:r>
        <w:rPr>
          <w:rFonts w:hint="eastAsia" w:ascii="仿宋_GB2312" w:hAnsi="仿宋_GB2312" w:eastAsia="仿宋_GB2312" w:cs="仿宋_GB2312"/>
          <w:color w:val="auto"/>
          <w:sz w:val="32"/>
          <w:szCs w:val="32"/>
          <w:highlight w:val="none"/>
        </w:rPr>
        <w:t>体制机制。</w:t>
      </w:r>
    </w:p>
    <w:p w14:paraId="46942FB1">
      <w:pPr>
        <w:pStyle w:val="6"/>
        <w:keepNext w:val="0"/>
        <w:keepLines w:val="0"/>
        <w:pageBreakBefore w:val="0"/>
        <w:widowControl/>
        <w:shd w:val="clear" w:color="auto" w:fill="FFFFFF"/>
        <w:kinsoku/>
        <w:overflowPunct/>
        <w:topLinePunct w:val="0"/>
        <w:autoSpaceDE/>
        <w:autoSpaceDN/>
        <w:bidi w:val="0"/>
        <w:adjustRightInd w:val="0"/>
        <w:snapToGrid w:val="0"/>
        <w:spacing w:beforeAutospacing="0" w:afterAutospacing="0" w:line="560" w:lineRule="exact"/>
        <w:ind w:firstLine="643" w:firstLineChars="200"/>
        <w:jc w:val="both"/>
        <w:textAlignment w:val="baseline"/>
        <w:rPr>
          <w:rFonts w:hint="eastAsia" w:ascii="仿宋_GB2312" w:hAnsi="仿宋_GB2312" w:eastAsia="仿宋_GB2312" w:cs="仿宋_GB2312"/>
          <w:sz w:val="32"/>
          <w:szCs w:val="32"/>
          <w:highlight w:val="none"/>
          <w:shd w:val="clear" w:color="auto" w:fill="FFFFFF"/>
        </w:rPr>
      </w:pPr>
      <w:r>
        <w:rPr>
          <w:rFonts w:hint="eastAsia" w:ascii="仿宋_GB2312" w:hAnsi="仿宋_GB2312" w:eastAsia="仿宋_GB2312" w:cs="仿宋_GB2312"/>
          <w:b/>
          <w:bCs/>
          <w:sz w:val="32"/>
          <w:szCs w:val="32"/>
          <w:highlight w:val="none"/>
          <w:lang w:val="en-US" w:eastAsia="zh-CN"/>
        </w:rPr>
        <w:t>第十章：保障措施。</w:t>
      </w:r>
      <w:r>
        <w:rPr>
          <w:rFonts w:hint="eastAsia" w:ascii="仿宋_GB2312" w:hAnsi="仿宋_GB2312" w:eastAsia="仿宋_GB2312" w:cs="仿宋_GB2312"/>
          <w:b w:val="0"/>
          <w:bCs w:val="0"/>
          <w:sz w:val="32"/>
          <w:szCs w:val="32"/>
          <w:highlight w:val="none"/>
          <w:lang w:val="en-US" w:eastAsia="zh-CN"/>
        </w:rPr>
        <w:t>从加强组织领导、强化资源保障、完善监测评估三个方面，</w:t>
      </w:r>
      <w:r>
        <w:rPr>
          <w:rFonts w:hint="eastAsia" w:ascii="仿宋_GB2312" w:hAnsi="仿宋_GB2312" w:eastAsia="仿宋_GB2312" w:cs="仿宋_GB2312"/>
          <w:sz w:val="32"/>
          <w:szCs w:val="32"/>
          <w:highlight w:val="none"/>
          <w:shd w:val="clear" w:color="auto" w:fill="FFFFFF"/>
          <w:lang w:val="en-US" w:eastAsia="zh-CN"/>
        </w:rPr>
        <w:t>强化</w:t>
      </w:r>
      <w:r>
        <w:rPr>
          <w:rFonts w:hint="eastAsia" w:ascii="仿宋_GB2312" w:hAnsi="仿宋_GB2312" w:eastAsia="仿宋_GB2312" w:cs="仿宋_GB2312"/>
          <w:sz w:val="32"/>
          <w:szCs w:val="32"/>
          <w:highlight w:val="none"/>
          <w:shd w:val="clear" w:color="auto" w:fill="FFFFFF"/>
        </w:rPr>
        <w:t>任务落实。</w:t>
      </w:r>
    </w:p>
    <w:p w14:paraId="637740C4">
      <w:pPr>
        <w:keepNext w:val="0"/>
        <w:keepLines w:val="0"/>
        <w:pageBreakBefore w:val="0"/>
        <w:kinsoku/>
        <w:overflowPunct/>
        <w:topLinePunct w:val="0"/>
        <w:autoSpaceDE/>
        <w:autoSpaceDN/>
        <w:bidi w:val="0"/>
        <w:spacing w:line="560" w:lineRule="exact"/>
        <w:jc w:val="both"/>
        <w:rPr>
          <w:highlight w:val="none"/>
        </w:rPr>
      </w:pPr>
    </w:p>
    <w:p w14:paraId="77D4EDC2">
      <w:pPr>
        <w:pStyle w:val="2"/>
        <w:keepNext w:val="0"/>
        <w:keepLines w:val="0"/>
        <w:pageBreakBefore w:val="0"/>
        <w:kinsoku/>
        <w:overflowPunct/>
        <w:topLinePunct w:val="0"/>
        <w:autoSpaceDE/>
        <w:autoSpaceDN/>
        <w:bidi w:val="0"/>
        <w:spacing w:line="560" w:lineRule="exact"/>
        <w:rPr>
          <w:rFonts w:hint="eastAsia"/>
        </w:rPr>
      </w:pPr>
    </w:p>
    <w:p w14:paraId="0158F17B">
      <w:pPr>
        <w:pStyle w:val="3"/>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仿宋_GB2312" w:hAnsi="仿宋_GB2312" w:eastAsia="仿宋_GB2312" w:cs="仿宋_GB2312"/>
          <w:sz w:val="24"/>
          <w:szCs w:val="24"/>
          <w:lang w:val="en-US" w:eastAsia="zh-CN"/>
        </w:rPr>
      </w:pPr>
    </w:p>
    <w:p w14:paraId="40675DD1"/>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Calibri Light">
    <w:panose1 w:val="020F0302020204030204"/>
    <w:charset w:val="00"/>
    <w:family w:val="auto"/>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2375FA"/>
    <w:rsid w:val="0673692E"/>
    <w:rsid w:val="0DA63A8D"/>
    <w:rsid w:val="3B4C7B1C"/>
    <w:rsid w:val="48A73C3A"/>
    <w:rsid w:val="4B012AB6"/>
    <w:rsid w:val="4EFF05CC"/>
    <w:rsid w:val="6BAE0CB8"/>
    <w:rsid w:val="795200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Plain Text"/>
    <w:basedOn w:val="1"/>
    <w:next w:val="1"/>
    <w:qFormat/>
    <w:uiPriority w:val="0"/>
    <w:rPr>
      <w:rFonts w:ascii="宋体" w:hAnsi="Courier New" w:eastAsia="宋体" w:cs="Courier New"/>
      <w:szCs w:val="21"/>
    </w:rPr>
  </w:style>
  <w:style w:type="paragraph" w:styleId="3">
    <w:name w:val="Normal Indent"/>
    <w:basedOn w:val="1"/>
    <w:unhideWhenUsed/>
    <w:qFormat/>
    <w:uiPriority w:val="99"/>
    <w:pPr>
      <w:ind w:firstLine="420"/>
    </w:pPr>
    <w:rPr>
      <w:rFonts w:eastAsia="宋体"/>
      <w:sz w:val="21"/>
    </w:rPr>
  </w:style>
  <w:style w:type="paragraph" w:styleId="4">
    <w:name w:val="Body Text"/>
    <w:basedOn w:val="1"/>
    <w:semiHidden/>
    <w:qFormat/>
    <w:uiPriority w:val="0"/>
    <w:rPr>
      <w:rFonts w:ascii="仿宋" w:hAnsi="仿宋" w:eastAsia="仿宋" w:cs="仿宋"/>
      <w:sz w:val="30"/>
      <w:szCs w:val="30"/>
      <w:lang w:eastAsia="en-US"/>
    </w:rPr>
  </w:style>
  <w:style w:type="paragraph" w:styleId="5">
    <w:name w:val="toc 1"/>
    <w:basedOn w:val="1"/>
    <w:next w:val="1"/>
    <w:qFormat/>
    <w:uiPriority w:val="39"/>
  </w:style>
  <w:style w:type="paragraph" w:styleId="6">
    <w:name w:val="Normal (Web)"/>
    <w:basedOn w:val="1"/>
    <w:qFormat/>
    <w:uiPriority w:val="0"/>
    <w:pPr>
      <w:spacing w:beforeAutospacing="1" w:afterAutospacing="1"/>
      <w:jc w:val="left"/>
    </w:pPr>
    <w:rPr>
      <w:rFonts w:cs="Times New Roman"/>
      <w:kern w:val="0"/>
      <w:sz w:val="24"/>
    </w:rPr>
  </w:style>
  <w:style w:type="paragraph" w:styleId="7">
    <w:name w:val="Title"/>
    <w:basedOn w:val="1"/>
    <w:next w:val="1"/>
    <w:qFormat/>
    <w:uiPriority w:val="10"/>
    <w:pPr>
      <w:spacing w:line="660" w:lineRule="exact"/>
      <w:jc w:val="center"/>
      <w:outlineLvl w:val="0"/>
    </w:pPr>
    <w:rPr>
      <w:rFonts w:ascii="华文中宋" w:eastAsia="华文中宋" w:hAnsiTheme="majorHAnsi" w:cstheme="majorBidi"/>
      <w:bCs/>
      <w:sz w:val="44"/>
      <w:szCs w:val="32"/>
    </w:rPr>
  </w:style>
  <w:style w:type="character" w:styleId="10">
    <w:name w:val="Strong"/>
    <w:basedOn w:val="9"/>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883db338-9638-4a01-8eb0-4f323c70f591</errorID>
      <errorWord>，</errorWord>
      <group>L1_Word</group>
      <groupName>字词问题</groupName>
      <ability>L2_Typo</ability>
      <abilityName>字词错误</abilityName>
      <candidateList>
        <item>，由</item>
      </candidateList>
      <explain/>
      <paraID>601FD796</paraID>
      <start>88</start>
      <end>89</end>
      <status>ignored</status>
      <modifiedWord/>
      <trackRevisions>false</trackRevisions>
    </reviewItem>
    <reviewItem>
      <errorID>2cafb46d-ae08-4553-ad8d-3ef05e1f7c53</errorID>
      <errorWord>（</errorWord>
      <group>L1_Punc</group>
      <groupName>标点问题</groupName>
      <ability>L2_Punc</ability>
      <abilityName>标点符号检查</abilityName>
      <candidateList/>
      <explain>同一形式括号套用。</explain>
      <paraID>601FD796</paraID>
      <start>161</start>
      <end>162</end>
      <status>ignored</status>
      <modifiedWord/>
      <trackRevisions>false</trackRevisions>
    </reviewItem>
    <reviewItem>
      <errorID>828a4391-9265-4c6a-96fe-f6fdf5eed4a5</errorID>
      <errorWord>）</errorWord>
      <group>L1_Punc</group>
      <groupName>标点问题</groupName>
      <ability>L2_Punc</ability>
      <abilityName>标点符号检查</abilityName>
      <candidateList/>
      <explain>同一形式括号套用。</explain>
      <paraID>601FD796</paraID>
      <start>167</start>
      <end>168</end>
      <status>ignored</status>
      <modifiedWord/>
      <trackRevisions>false</trackRevisions>
    </reviewItem>
    <reviewItem>
      <errorID>591b14b7-eb77-4ec6-ae95-85b60ba5ac8c</errorID>
      <errorWord>科技成果孵化</errorWord>
      <group>L1_Political</group>
      <groupName>政治性问题</groupName>
      <ability>L2_Keyword</ability>
      <abilityName>固定表述</abilityName>
      <candidateList>
        <item>科技成果转化</item>
      </candidateList>
      <explain>词汇“科技成果转化”在特定场景下为固定表述形式，请确认此处的“科技成果孵化”是否存在不当。</explain>
      <paraID>77DF1784</paraID>
      <start>66</start>
      <end>72</end>
      <status>unmodified</status>
      <modifiedWord/>
      <trackRevisions>false</trackRevisions>
    </reviewItem>
  </reviewItems>
  <config/>
</contractReview>
</file>

<file path=customXml/itemProps1.xml><?xml version="1.0" encoding="utf-8"?>
<ds:datastoreItem xmlns:ds="http://schemas.openxmlformats.org/officeDocument/2006/customXml" ds:itemID="{80d92c03-0cf5-4e05-ac15-eefa957e3870}">
  <ds:schemaRefs/>
</ds:datastoreItem>
</file>

<file path=docProps/app.xml><?xml version="1.0" encoding="utf-8"?>
<Properties xmlns="http://schemas.openxmlformats.org/officeDocument/2006/extended-properties" xmlns:vt="http://schemas.openxmlformats.org/officeDocument/2006/docPropsVTypes">
  <Template>Normal.dotm</Template>
  <Pages>3</Pages>
  <Words>1315</Words>
  <Characters>1317</Characters>
  <Lines>0</Lines>
  <Paragraphs>0</Paragraphs>
  <TotalTime>3</TotalTime>
  <ScaleCrop>false</ScaleCrop>
  <LinksUpToDate>false</LinksUpToDate>
  <CharactersWithSpaces>1317</CharactersWithSpaces>
  <Application>WPS Office_12.1.0.26988_F1E327BC-269C-435d-A152-05C5408002CA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2026-09-04T08:12:00Z</dcterms:created>
  <dc:creator>HP</dc:creator>
  <cp:lastModifiedBy>WPS_1614051428</cp:lastModifiedBy>
  <dcterms:modified xsi:type="dcterms:W3CDTF">2026-09-04T08:34:48Z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2052-12.1.0.26988</vt:lpwstr>
  </property>
  <property fmtid="{D5CDD505-2E9C-101B-9397-08002B2CF9AE}" pid="3" name="KSOTemplateDocerSaveRecord">
    <vt:lpwstr>eyJoZGlkIjoiM2RmYjBiZmNhZDlmNmI5OWNiMDFlYTc2YzNkYTE2ZmMiLCJ1c2VySWQiOiIxMTc0MTg1NTExIn0=</vt:lpwstr>
  </property>
  <property fmtid="{D5CDD505-2E9C-101B-9397-08002B2CF9AE}" pid="4" name="ICV">
    <vt:lpwstr>6DF2C9CA02614AFBB95CC9C0CA8331C3_13</vt:lpwstr>
  </property>
</Properties>
</file>