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191E9">
      <w:pPr>
        <w:spacing w:line="560" w:lineRule="exact"/>
        <w:jc w:val="both"/>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附件1-1</w:t>
      </w:r>
    </w:p>
    <w:p w14:paraId="28475337">
      <w:pPr>
        <w:spacing w:line="560" w:lineRule="exact"/>
        <w:jc w:val="center"/>
        <w:rPr>
          <w:rFonts w:hint="eastAsia" w:ascii="黑体" w:hAnsi="黑体" w:eastAsia="黑体" w:cs="黑体"/>
          <w:color w:val="auto"/>
          <w:sz w:val="32"/>
          <w:szCs w:val="32"/>
          <w:highlight w:val="none"/>
        </w:rPr>
      </w:pPr>
    </w:p>
    <w:p w14:paraId="535027F7">
      <w:pPr>
        <w:spacing w:line="560" w:lineRule="exact"/>
        <w:jc w:val="center"/>
        <w:rPr>
          <w:rFonts w:hint="eastAsia" w:ascii="黑体" w:hAnsi="黑体" w:eastAsia="黑体" w:cs="黑体"/>
          <w:color w:val="auto"/>
          <w:sz w:val="32"/>
          <w:szCs w:val="32"/>
          <w:highlight w:val="none"/>
        </w:rPr>
      </w:pPr>
    </w:p>
    <w:p w14:paraId="451A1768">
      <w:pPr>
        <w:spacing w:line="560" w:lineRule="exact"/>
        <w:jc w:val="center"/>
        <w:rPr>
          <w:rFonts w:hint="eastAsia" w:ascii="黑体" w:hAnsi="黑体" w:eastAsia="黑体" w:cs="黑体"/>
          <w:color w:val="auto"/>
          <w:sz w:val="32"/>
          <w:szCs w:val="32"/>
          <w:highlight w:val="none"/>
        </w:rPr>
      </w:pPr>
    </w:p>
    <w:p w14:paraId="1500C11B">
      <w:pPr>
        <w:spacing w:line="560" w:lineRule="exact"/>
        <w:jc w:val="center"/>
        <w:rPr>
          <w:rFonts w:hint="eastAsia" w:ascii="黑体" w:hAnsi="黑体" w:eastAsia="黑体" w:cs="黑体"/>
          <w:color w:val="auto"/>
          <w:sz w:val="32"/>
          <w:szCs w:val="32"/>
          <w:highlight w:val="none"/>
        </w:rPr>
      </w:pPr>
      <w:bookmarkStart w:id="3328" w:name="_GoBack"/>
      <w:bookmarkEnd w:id="3328"/>
    </w:p>
    <w:p w14:paraId="58FCF7DB">
      <w:pPr>
        <w:spacing w:line="560" w:lineRule="exact"/>
        <w:jc w:val="center"/>
        <w:rPr>
          <w:rFonts w:hint="eastAsia" w:ascii="黑体" w:hAnsi="黑体" w:eastAsia="黑体" w:cs="黑体"/>
          <w:color w:val="auto"/>
          <w:sz w:val="32"/>
          <w:szCs w:val="32"/>
          <w:highlight w:val="none"/>
        </w:rPr>
      </w:pPr>
    </w:p>
    <w:p w14:paraId="1AE30115">
      <w:pPr>
        <w:spacing w:line="800" w:lineRule="exact"/>
        <w:jc w:val="center"/>
        <w:rPr>
          <w:rFonts w:hint="eastAsia" w:ascii="方正小标宋简体" w:hAnsi="方正小标宋简体" w:eastAsia="方正小标宋简体" w:cs="方正小标宋简体"/>
          <w:color w:val="auto"/>
          <w:sz w:val="52"/>
          <w:szCs w:val="52"/>
          <w:highlight w:val="none"/>
        </w:rPr>
      </w:pPr>
      <w:r>
        <w:rPr>
          <w:rFonts w:hint="eastAsia" w:ascii="方正小标宋简体" w:hAnsi="方正小标宋简体" w:eastAsia="方正小标宋简体" w:cs="方正小标宋简体"/>
          <w:color w:val="auto"/>
          <w:sz w:val="52"/>
          <w:szCs w:val="52"/>
          <w:highlight w:val="none"/>
          <w:lang w:val="en-US" w:eastAsia="zh-CN"/>
        </w:rPr>
        <w:t>北京市</w:t>
      </w:r>
      <w:r>
        <w:rPr>
          <w:rFonts w:hint="eastAsia" w:ascii="方正小标宋简体" w:hAnsi="方正小标宋简体" w:eastAsia="方正小标宋简体" w:cs="方正小标宋简体"/>
          <w:color w:val="auto"/>
          <w:sz w:val="52"/>
          <w:szCs w:val="52"/>
          <w:highlight w:val="none"/>
        </w:rPr>
        <w:t>门头沟区“十五五”时期</w:t>
      </w:r>
    </w:p>
    <w:p w14:paraId="7BBD7E99">
      <w:pPr>
        <w:spacing w:line="800" w:lineRule="exact"/>
        <w:jc w:val="center"/>
        <w:rPr>
          <w:rFonts w:hint="eastAsia" w:ascii="方正小标宋简体" w:hAnsi="方正小标宋简体" w:eastAsia="方正小标宋简体" w:cs="方正小标宋简体"/>
          <w:color w:val="auto"/>
          <w:sz w:val="52"/>
          <w:szCs w:val="52"/>
          <w:highlight w:val="none"/>
        </w:rPr>
      </w:pPr>
      <w:r>
        <w:rPr>
          <w:rFonts w:hint="eastAsia" w:ascii="方正小标宋简体" w:hAnsi="方正小标宋简体" w:eastAsia="方正小标宋简体" w:cs="方正小标宋简体"/>
          <w:color w:val="auto"/>
          <w:sz w:val="52"/>
          <w:szCs w:val="52"/>
          <w:highlight w:val="none"/>
        </w:rPr>
        <w:t>“三大产业”及园区发展规划</w:t>
      </w:r>
    </w:p>
    <w:p w14:paraId="2FAE9EF5">
      <w:pPr>
        <w:spacing w:line="800" w:lineRule="exact"/>
        <w:jc w:val="center"/>
        <w:rPr>
          <w:rFonts w:hint="eastAsia" w:ascii="方正小标宋简体" w:hAnsi="方正小标宋简体" w:eastAsia="方正小标宋简体" w:cs="方正小标宋简体"/>
          <w:color w:val="auto"/>
          <w:sz w:val="52"/>
          <w:szCs w:val="52"/>
          <w:highlight w:val="none"/>
          <w:lang w:eastAsia="zh-CN"/>
        </w:rPr>
      </w:pPr>
      <w:r>
        <w:rPr>
          <w:rFonts w:hint="eastAsia" w:ascii="方正小标宋简体" w:hAnsi="方正小标宋简体" w:eastAsia="方正小标宋简体" w:cs="方正小标宋简体"/>
          <w:color w:val="auto"/>
          <w:sz w:val="52"/>
          <w:szCs w:val="52"/>
          <w:highlight w:val="none"/>
          <w:lang w:eastAsia="zh-CN"/>
        </w:rPr>
        <w:t>（</w:t>
      </w:r>
      <w:r>
        <w:rPr>
          <w:rFonts w:hint="eastAsia" w:ascii="方正小标宋简体" w:hAnsi="方正小标宋简体" w:eastAsia="方正小标宋简体" w:cs="方正小标宋简体"/>
          <w:color w:val="auto"/>
          <w:sz w:val="52"/>
          <w:szCs w:val="52"/>
          <w:highlight w:val="none"/>
          <w:lang w:val="en-US" w:eastAsia="zh-CN"/>
        </w:rPr>
        <w:t>征求意见稿</w:t>
      </w:r>
      <w:r>
        <w:rPr>
          <w:rFonts w:hint="eastAsia" w:ascii="方正小标宋简体" w:hAnsi="方正小标宋简体" w:eastAsia="方正小标宋简体" w:cs="方正小标宋简体"/>
          <w:color w:val="auto"/>
          <w:sz w:val="52"/>
          <w:szCs w:val="52"/>
          <w:highlight w:val="none"/>
          <w:lang w:eastAsia="zh-CN"/>
        </w:rPr>
        <w:t>）</w:t>
      </w:r>
    </w:p>
    <w:p w14:paraId="161A735D">
      <w:pPr>
        <w:spacing w:line="560" w:lineRule="exact"/>
        <w:jc w:val="center"/>
        <w:rPr>
          <w:rFonts w:hint="eastAsia" w:ascii="黑体" w:hAnsi="黑体" w:eastAsia="黑体" w:cs="黑体"/>
          <w:color w:val="auto"/>
          <w:sz w:val="32"/>
          <w:szCs w:val="32"/>
          <w:highlight w:val="none"/>
        </w:rPr>
      </w:pPr>
    </w:p>
    <w:p w14:paraId="5914DBB8">
      <w:pPr>
        <w:spacing w:line="560" w:lineRule="exact"/>
        <w:jc w:val="center"/>
        <w:rPr>
          <w:rFonts w:hint="eastAsia" w:ascii="黑体" w:hAnsi="黑体" w:eastAsia="黑体" w:cs="黑体"/>
          <w:color w:val="auto"/>
          <w:sz w:val="32"/>
          <w:szCs w:val="32"/>
          <w:highlight w:val="none"/>
        </w:rPr>
      </w:pPr>
    </w:p>
    <w:p w14:paraId="103DFCF6">
      <w:pPr>
        <w:spacing w:line="560" w:lineRule="exact"/>
        <w:jc w:val="center"/>
        <w:rPr>
          <w:rFonts w:hint="eastAsia" w:ascii="黑体" w:hAnsi="黑体" w:eastAsia="黑体" w:cs="黑体"/>
          <w:color w:val="auto"/>
          <w:sz w:val="32"/>
          <w:szCs w:val="32"/>
          <w:highlight w:val="none"/>
        </w:rPr>
      </w:pPr>
    </w:p>
    <w:p w14:paraId="351E180C">
      <w:pPr>
        <w:spacing w:line="560" w:lineRule="exact"/>
        <w:jc w:val="center"/>
        <w:rPr>
          <w:rFonts w:hint="eastAsia" w:ascii="黑体" w:hAnsi="黑体" w:eastAsia="黑体" w:cs="黑体"/>
          <w:color w:val="auto"/>
          <w:sz w:val="32"/>
          <w:szCs w:val="32"/>
          <w:highlight w:val="none"/>
        </w:rPr>
      </w:pPr>
    </w:p>
    <w:p w14:paraId="5E8D646A">
      <w:pPr>
        <w:spacing w:line="560" w:lineRule="exact"/>
        <w:jc w:val="center"/>
        <w:rPr>
          <w:rFonts w:hint="eastAsia" w:ascii="黑体" w:hAnsi="黑体" w:eastAsia="黑体" w:cs="黑体"/>
          <w:color w:val="auto"/>
          <w:sz w:val="32"/>
          <w:szCs w:val="32"/>
          <w:highlight w:val="none"/>
        </w:rPr>
      </w:pPr>
    </w:p>
    <w:p w14:paraId="71523176">
      <w:pPr>
        <w:spacing w:line="560" w:lineRule="exact"/>
        <w:jc w:val="center"/>
        <w:rPr>
          <w:rFonts w:hint="eastAsia" w:ascii="黑体" w:hAnsi="黑体" w:eastAsia="黑体" w:cs="黑体"/>
          <w:color w:val="auto"/>
          <w:sz w:val="32"/>
          <w:szCs w:val="32"/>
          <w:highlight w:val="none"/>
        </w:rPr>
      </w:pPr>
    </w:p>
    <w:p w14:paraId="79407ED7">
      <w:pPr>
        <w:spacing w:line="560" w:lineRule="exact"/>
        <w:jc w:val="center"/>
        <w:rPr>
          <w:rFonts w:hint="eastAsia" w:ascii="黑体" w:hAnsi="黑体" w:eastAsia="黑体" w:cs="黑体"/>
          <w:color w:val="auto"/>
          <w:sz w:val="32"/>
          <w:szCs w:val="32"/>
          <w:highlight w:val="none"/>
        </w:rPr>
      </w:pPr>
    </w:p>
    <w:p w14:paraId="3A4EEB6D">
      <w:pPr>
        <w:spacing w:line="560" w:lineRule="exact"/>
        <w:jc w:val="center"/>
        <w:rPr>
          <w:rFonts w:hint="eastAsia" w:ascii="黑体" w:hAnsi="黑体" w:eastAsia="黑体" w:cs="黑体"/>
          <w:color w:val="auto"/>
          <w:sz w:val="32"/>
          <w:szCs w:val="32"/>
          <w:highlight w:val="none"/>
        </w:rPr>
      </w:pPr>
    </w:p>
    <w:p w14:paraId="00AA8F0A">
      <w:pPr>
        <w:spacing w:line="560" w:lineRule="exact"/>
        <w:jc w:val="center"/>
        <w:rPr>
          <w:rFonts w:hint="eastAsia" w:ascii="黑体" w:hAnsi="黑体" w:eastAsia="黑体" w:cs="黑体"/>
          <w:color w:val="auto"/>
          <w:sz w:val="32"/>
          <w:szCs w:val="32"/>
          <w:highlight w:val="none"/>
        </w:rPr>
      </w:pPr>
    </w:p>
    <w:p w14:paraId="2A3E2F54">
      <w:pPr>
        <w:spacing w:line="560" w:lineRule="exact"/>
        <w:jc w:val="center"/>
        <w:rPr>
          <w:rFonts w:hint="eastAsia" w:ascii="黑体" w:hAnsi="黑体" w:eastAsia="黑体" w:cs="黑体"/>
          <w:color w:val="auto"/>
          <w:sz w:val="32"/>
          <w:szCs w:val="32"/>
          <w:highlight w:val="none"/>
        </w:rPr>
      </w:pPr>
    </w:p>
    <w:p w14:paraId="597C10E9">
      <w:pPr>
        <w:spacing w:line="560" w:lineRule="exact"/>
        <w:rPr>
          <w:rFonts w:hint="eastAsia" w:ascii="黑体" w:hAnsi="黑体" w:eastAsia="黑体" w:cs="黑体"/>
          <w:color w:val="auto"/>
          <w:sz w:val="32"/>
          <w:szCs w:val="32"/>
          <w:highlight w:val="none"/>
        </w:rPr>
      </w:pPr>
    </w:p>
    <w:p w14:paraId="07A19F3D">
      <w:pPr>
        <w:spacing w:line="560" w:lineRule="exact"/>
        <w:jc w:val="center"/>
        <w:rPr>
          <w:rFonts w:hint="eastAsia" w:ascii="黑体" w:hAnsi="黑体" w:eastAsia="黑体" w:cs="黑体"/>
          <w:color w:val="auto"/>
          <w:sz w:val="36"/>
          <w:szCs w:val="36"/>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5" w:left="1588" w:header="851" w:footer="992" w:gutter="0"/>
          <w:cols w:space="425" w:num="1"/>
          <w:docGrid w:type="lines" w:linePitch="312" w:charSpace="0"/>
        </w:sectPr>
      </w:pPr>
      <w:r>
        <w:rPr>
          <w:rFonts w:hint="eastAsia" w:ascii="黑体" w:hAnsi="黑体" w:eastAsia="黑体" w:cs="黑体"/>
          <w:color w:val="auto"/>
          <w:sz w:val="36"/>
          <w:szCs w:val="36"/>
          <w:highlight w:val="none"/>
        </w:rPr>
        <w:t>2026年</w:t>
      </w:r>
      <w:r>
        <w:rPr>
          <w:rFonts w:hint="eastAsia" w:ascii="黑体" w:hAnsi="黑体" w:eastAsia="黑体" w:cs="黑体"/>
          <w:color w:val="auto"/>
          <w:sz w:val="36"/>
          <w:szCs w:val="36"/>
          <w:highlight w:val="none"/>
          <w:lang w:val="en-US" w:eastAsia="zh-CN"/>
        </w:rPr>
        <w:t>9</w:t>
      </w:r>
      <w:r>
        <w:rPr>
          <w:rFonts w:hint="eastAsia" w:ascii="黑体" w:hAnsi="黑体" w:eastAsia="黑体" w:cs="黑体"/>
          <w:color w:val="auto"/>
          <w:sz w:val="36"/>
          <w:szCs w:val="36"/>
          <w:highlight w:val="none"/>
        </w:rPr>
        <w:t>月</w:t>
      </w:r>
    </w:p>
    <w:p w14:paraId="5E66A832">
      <w:pPr>
        <w:pStyle w:val="9"/>
        <w:tabs>
          <w:tab w:val="right" w:leader="dot" w:pos="8306"/>
        </w:tabs>
        <w:spacing w:after="157" w:afterLines="50" w:line="400" w:lineRule="exact"/>
        <w:jc w:val="center"/>
        <w:rPr>
          <w:rFonts w:hint="eastAsia" w:ascii="黑体" w:hAnsi="黑体" w:eastAsia="黑体" w:cs="黑体"/>
          <w:b/>
          <w:bCs/>
          <w:color w:val="auto"/>
          <w:sz w:val="32"/>
          <w:szCs w:val="32"/>
          <w:highlight w:val="none"/>
        </w:rPr>
      </w:pPr>
      <w:r>
        <w:rPr>
          <w:rFonts w:hint="eastAsia" w:ascii="黑体" w:hAnsi="黑体" w:eastAsia="黑体" w:cs="黑体"/>
          <w:b/>
          <w:bCs/>
          <w:color w:val="auto"/>
          <w:sz w:val="32"/>
          <w:szCs w:val="32"/>
          <w:highlight w:val="none"/>
        </w:rPr>
        <w:t>目 录</w:t>
      </w:r>
    </w:p>
    <w:p w14:paraId="335F2CF3">
      <w:pPr>
        <w:pStyle w:val="9"/>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TOC \o "1-2" \h \u </w:instrText>
      </w:r>
      <w:r>
        <w:rPr>
          <w:rFonts w:ascii="Times New Roman" w:hAnsi="Times New Roman" w:eastAsia="黑体" w:cs="Times New Roman"/>
          <w:color w:val="auto"/>
          <w:sz w:val="32"/>
          <w:szCs w:val="32"/>
          <w:highlight w:val="none"/>
        </w:rPr>
        <w:fldChar w:fldCharType="separate"/>
      </w: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_Toc11267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黑体" w:cs="Times New Roman"/>
          <w:color w:val="auto"/>
          <w:sz w:val="32"/>
          <w:szCs w:val="32"/>
          <w:highlight w:val="none"/>
        </w:rPr>
        <w:t>一、发展基础和面临形势</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_Toc11267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1</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3C578133">
      <w:pPr>
        <w:pStyle w:val="10"/>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_Toc21312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楷体_GB2312" w:cs="Times New Roman"/>
          <w:color w:val="auto"/>
          <w:sz w:val="32"/>
          <w:szCs w:val="32"/>
          <w:highlight w:val="none"/>
        </w:rPr>
        <w:t>（一）发展基础</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_Toc21312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1</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7E7DC759">
      <w:pPr>
        <w:pStyle w:val="10"/>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_Toc12142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楷体_GB2312" w:cs="Times New Roman"/>
          <w:color w:val="auto"/>
          <w:kern w:val="2"/>
          <w:sz w:val="32"/>
          <w:szCs w:val="32"/>
          <w:highlight w:val="none"/>
          <w:lang w:val="en-US" w:eastAsia="zh-CN" w:bidi="ar-SA"/>
        </w:rPr>
        <w:t>（二）</w:t>
      </w:r>
      <w:r>
        <w:rPr>
          <w:rFonts w:hint="default" w:ascii="Times New Roman" w:hAnsi="Times New Roman" w:eastAsia="楷体_GB2312" w:cs="Times New Roman"/>
          <w:color w:val="auto"/>
          <w:sz w:val="32"/>
          <w:szCs w:val="32"/>
          <w:highlight w:val="none"/>
        </w:rPr>
        <w:t>形势使命</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_Toc12142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3</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0C05F79C">
      <w:pPr>
        <w:pStyle w:val="9"/>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_Toc20324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黑体" w:cs="Times New Roman"/>
          <w:color w:val="auto"/>
          <w:sz w:val="32"/>
          <w:szCs w:val="32"/>
          <w:highlight w:val="none"/>
        </w:rPr>
        <w:t>二、总体要求和发展目标</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_Toc20324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4</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1BC696EA">
      <w:pPr>
        <w:pStyle w:val="10"/>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_Toc4974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楷体_GB2312" w:cs="Times New Roman"/>
          <w:color w:val="auto"/>
          <w:sz w:val="32"/>
          <w:szCs w:val="32"/>
          <w:highlight w:val="none"/>
        </w:rPr>
        <w:t>（一）总体思路</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_Toc4974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4</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1D9B4A82">
      <w:pPr>
        <w:pStyle w:val="10"/>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_Toc22335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楷体_GB2312" w:cs="Times New Roman"/>
          <w:color w:val="auto"/>
          <w:sz w:val="32"/>
          <w:szCs w:val="32"/>
          <w:highlight w:val="none"/>
        </w:rPr>
        <w:t>（二）主要目标</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_Toc22335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5</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7BD01938">
      <w:pPr>
        <w:pStyle w:val="9"/>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_Toc10480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黑体" w:cs="Times New Roman"/>
          <w:color w:val="auto"/>
          <w:sz w:val="32"/>
          <w:szCs w:val="32"/>
          <w:highlight w:val="none"/>
        </w:rPr>
        <w:t>三、完善创新链，提升创新孵化和转化能力</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_Toc10480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8</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0C6B8671">
      <w:pPr>
        <w:pStyle w:val="10"/>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_Toc13726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楷体_GB2312" w:cs="Times New Roman"/>
          <w:bCs w:val="0"/>
          <w:color w:val="auto"/>
          <w:sz w:val="32"/>
          <w:szCs w:val="32"/>
          <w:highlight w:val="none"/>
        </w:rPr>
        <w:t>（一）</w:t>
      </w:r>
      <w:r>
        <w:rPr>
          <w:rFonts w:hint="default" w:ascii="Times New Roman" w:hAnsi="Times New Roman" w:eastAsia="楷体_GB2312" w:cs="Times New Roman"/>
          <w:bCs w:val="0"/>
          <w:color w:val="auto"/>
          <w:sz w:val="32"/>
          <w:szCs w:val="32"/>
          <w:highlight w:val="none"/>
          <w:lang w:val="en-US" w:eastAsia="zh-CN"/>
        </w:rPr>
        <w:t>提升产业技术创新能力</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_Toc13726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8</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26C0B20B">
      <w:pPr>
        <w:pStyle w:val="10"/>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_Toc14486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楷体_GB2312" w:cs="Times New Roman"/>
          <w:color w:val="auto"/>
          <w:sz w:val="32"/>
          <w:szCs w:val="32"/>
          <w:highlight w:val="none"/>
        </w:rPr>
        <w:t>（二）培育壮大创新企业梯队</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_Toc14486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11</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6947BAC5">
      <w:pPr>
        <w:pStyle w:val="10"/>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_Toc25437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楷体_GB2312" w:cs="Times New Roman"/>
          <w:color w:val="auto"/>
          <w:sz w:val="32"/>
          <w:szCs w:val="32"/>
          <w:highlight w:val="none"/>
        </w:rPr>
        <w:t>（三）促进科技成果孵化转化</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_Toc25437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12</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1F6C8442">
      <w:pPr>
        <w:pStyle w:val="9"/>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_Toc21062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黑体" w:cs="Times New Roman"/>
          <w:color w:val="auto"/>
          <w:sz w:val="32"/>
          <w:szCs w:val="32"/>
          <w:highlight w:val="none"/>
        </w:rPr>
        <w:t>四、做强产业链，聚力打造“三大产业”集群</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_Toc21062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13</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3DCEA013">
      <w:pPr>
        <w:pStyle w:val="10"/>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_Toc20284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楷体_GB2312" w:cs="Times New Roman"/>
          <w:color w:val="auto"/>
          <w:sz w:val="32"/>
          <w:szCs w:val="32"/>
          <w:highlight w:val="none"/>
        </w:rPr>
        <w:t>（一）持续做强“京西智谷”，打造京西人工智能产业发展高地</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_Toc20284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13</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3364003A">
      <w:pPr>
        <w:pStyle w:val="10"/>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_Toc29939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楷体_GB2312" w:cs="Times New Roman"/>
          <w:color w:val="auto"/>
          <w:sz w:val="32"/>
          <w:szCs w:val="32"/>
          <w:highlight w:val="none"/>
        </w:rPr>
        <w:t>（二）聚力打造“京西剧谷”，建设计算视听产业特色集聚区</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_Toc29939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14</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78B07B15">
      <w:pPr>
        <w:pStyle w:val="10"/>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_Toc11424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楷体_GB2312" w:cs="Times New Roman"/>
          <w:color w:val="auto"/>
          <w:sz w:val="32"/>
          <w:szCs w:val="32"/>
          <w:highlight w:val="none"/>
        </w:rPr>
        <w:t>（三）着力打响“中国心谷”，构筑心血管创新药械产业新引擎</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_Toc11424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16</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3D08A708">
      <w:pPr>
        <w:pStyle w:val="9"/>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_Toc9457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黑体" w:cs="Times New Roman"/>
          <w:color w:val="auto"/>
          <w:sz w:val="32"/>
          <w:szCs w:val="32"/>
          <w:highlight w:val="none"/>
        </w:rPr>
        <w:t>五、优化人才链，完善“引育用留”人才生态圈</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_Toc9457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18</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3813911C">
      <w:pPr>
        <w:pStyle w:val="10"/>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_Toc19154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楷体_GB2312" w:cs="Times New Roman"/>
          <w:color w:val="auto"/>
          <w:sz w:val="32"/>
          <w:szCs w:val="32"/>
          <w:highlight w:val="none"/>
        </w:rPr>
        <w:t>（一）</w:t>
      </w:r>
      <w:r>
        <w:rPr>
          <w:rFonts w:hint="default" w:ascii="Times New Roman" w:hAnsi="Times New Roman" w:eastAsia="楷体_GB2312" w:cs="Times New Roman"/>
          <w:color w:val="auto"/>
          <w:sz w:val="32"/>
          <w:szCs w:val="32"/>
          <w:highlight w:val="none"/>
          <w:lang w:val="en-US" w:eastAsia="zh-CN"/>
        </w:rPr>
        <w:t>大力</w:t>
      </w:r>
      <w:r>
        <w:rPr>
          <w:rFonts w:hint="default" w:ascii="Times New Roman" w:hAnsi="Times New Roman" w:eastAsia="楷体_GB2312" w:cs="Times New Roman"/>
          <w:color w:val="auto"/>
          <w:sz w:val="32"/>
          <w:szCs w:val="32"/>
          <w:highlight w:val="none"/>
        </w:rPr>
        <w:t>引进高层次人才</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_Toc19154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18</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7B6C4FED">
      <w:pPr>
        <w:pStyle w:val="10"/>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_Toc27291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楷体_GB2312" w:cs="Times New Roman"/>
          <w:color w:val="auto"/>
          <w:sz w:val="32"/>
          <w:szCs w:val="32"/>
          <w:highlight w:val="none"/>
        </w:rPr>
        <w:t>（二）</w:t>
      </w:r>
      <w:r>
        <w:rPr>
          <w:rFonts w:hint="default" w:ascii="Times New Roman" w:hAnsi="Times New Roman" w:eastAsia="楷体_GB2312" w:cs="Times New Roman"/>
          <w:color w:val="auto"/>
          <w:sz w:val="32"/>
          <w:szCs w:val="32"/>
          <w:highlight w:val="none"/>
          <w:lang w:val="en-US" w:eastAsia="zh-CN"/>
        </w:rPr>
        <w:t>优化</w:t>
      </w:r>
      <w:r>
        <w:rPr>
          <w:rFonts w:hint="default" w:ascii="Times New Roman" w:hAnsi="Times New Roman" w:eastAsia="楷体_GB2312" w:cs="Times New Roman"/>
          <w:color w:val="auto"/>
          <w:sz w:val="32"/>
          <w:szCs w:val="32"/>
          <w:highlight w:val="none"/>
        </w:rPr>
        <w:t>多元化人才培养体系</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_Toc27291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18</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102D4CA0">
      <w:pPr>
        <w:pStyle w:val="10"/>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_Toc23853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楷体_GB2312" w:cs="Times New Roman"/>
          <w:color w:val="auto"/>
          <w:sz w:val="32"/>
          <w:szCs w:val="32"/>
          <w:highlight w:val="none"/>
        </w:rPr>
        <w:t>（</w:t>
      </w:r>
      <w:r>
        <w:rPr>
          <w:rFonts w:hint="default" w:ascii="Times New Roman" w:hAnsi="Times New Roman" w:eastAsia="楷体_GB2312" w:cs="Times New Roman"/>
          <w:color w:val="auto"/>
          <w:sz w:val="32"/>
          <w:szCs w:val="32"/>
          <w:highlight w:val="none"/>
          <w:lang w:val="en-US" w:eastAsia="zh-CN"/>
        </w:rPr>
        <w:t>三</w:t>
      </w:r>
      <w:r>
        <w:rPr>
          <w:rFonts w:hint="default" w:ascii="Times New Roman" w:hAnsi="Times New Roman" w:eastAsia="楷体_GB2312" w:cs="Times New Roman"/>
          <w:color w:val="auto"/>
          <w:sz w:val="32"/>
          <w:szCs w:val="32"/>
          <w:highlight w:val="none"/>
        </w:rPr>
        <w:t>）</w:t>
      </w:r>
      <w:r>
        <w:rPr>
          <w:rFonts w:hint="default" w:ascii="Times New Roman" w:hAnsi="Times New Roman" w:eastAsia="楷体_GB2312" w:cs="Times New Roman"/>
          <w:color w:val="auto"/>
          <w:sz w:val="32"/>
          <w:szCs w:val="32"/>
          <w:highlight w:val="none"/>
          <w:lang w:val="en-US" w:eastAsia="zh-CN"/>
        </w:rPr>
        <w:t>筑牢</w:t>
      </w:r>
      <w:r>
        <w:rPr>
          <w:rFonts w:hint="default" w:ascii="Times New Roman" w:hAnsi="Times New Roman" w:eastAsia="楷体_GB2312" w:cs="Times New Roman"/>
          <w:color w:val="auto"/>
          <w:sz w:val="32"/>
          <w:szCs w:val="32"/>
          <w:highlight w:val="none"/>
        </w:rPr>
        <w:t>全方位留才保障体系</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_Toc23853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19</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1DC977FF">
      <w:pPr>
        <w:pStyle w:val="9"/>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_Toc15650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黑体" w:cs="Times New Roman"/>
          <w:color w:val="auto"/>
          <w:sz w:val="32"/>
          <w:szCs w:val="32"/>
          <w:highlight w:val="none"/>
          <w:lang w:eastAsia="zh-CN"/>
        </w:rPr>
        <w:t>六、畅通资金链，优化全生命周期金融服务体系</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_Toc15650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20</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2067A9C8">
      <w:pPr>
        <w:pStyle w:val="10"/>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_Toc11764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楷体_GB2312" w:cs="Times New Roman"/>
          <w:color w:val="auto"/>
          <w:sz w:val="32"/>
          <w:szCs w:val="32"/>
          <w:highlight w:val="none"/>
        </w:rPr>
        <w:t>（一）增强创投服务能力</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_Toc11764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20</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00A5E939">
      <w:pPr>
        <w:pStyle w:val="10"/>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_Toc16986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楷体_GB2312" w:cs="Times New Roman"/>
          <w:color w:val="auto"/>
          <w:sz w:val="32"/>
          <w:szCs w:val="32"/>
          <w:highlight w:val="none"/>
        </w:rPr>
        <w:t>（</w:t>
      </w:r>
      <w:r>
        <w:rPr>
          <w:rFonts w:ascii="Times New Roman" w:hAnsi="Times New Roman" w:eastAsia="楷体_GB2312" w:cs="Times New Roman"/>
          <w:color w:val="auto"/>
          <w:sz w:val="32"/>
          <w:szCs w:val="32"/>
          <w:highlight w:val="none"/>
        </w:rPr>
        <w:t>二</w:t>
      </w:r>
      <w:r>
        <w:rPr>
          <w:rFonts w:hint="default" w:ascii="Times New Roman" w:hAnsi="Times New Roman" w:eastAsia="楷体_GB2312" w:cs="Times New Roman"/>
          <w:color w:val="auto"/>
          <w:sz w:val="32"/>
          <w:szCs w:val="32"/>
          <w:highlight w:val="none"/>
        </w:rPr>
        <w:t>）创新科技金融产品</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_Toc16986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20</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131A5EED">
      <w:pPr>
        <w:pStyle w:val="10"/>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_Toc17863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楷体_GB2312" w:cs="Times New Roman"/>
          <w:color w:val="auto"/>
          <w:sz w:val="32"/>
          <w:szCs w:val="32"/>
          <w:highlight w:val="none"/>
        </w:rPr>
        <w:t>（三）加强金融接力赋能</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_Toc17863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21</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72715488">
      <w:pPr>
        <w:pStyle w:val="9"/>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_Toc23064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黑体" w:cs="Times New Roman"/>
          <w:color w:val="auto"/>
          <w:sz w:val="32"/>
          <w:szCs w:val="32"/>
          <w:highlight w:val="none"/>
        </w:rPr>
        <w:t>七、优化空间，构筑未来科技园区发展形态</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_Toc23064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22</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76787B5A">
      <w:pPr>
        <w:pStyle w:val="10"/>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_Toc24589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楷体_GB2312" w:cs="Times New Roman"/>
          <w:color w:val="auto"/>
          <w:sz w:val="32"/>
          <w:szCs w:val="32"/>
          <w:highlight w:val="none"/>
        </w:rPr>
        <w:t>（一）塑造高效集约的产业集聚空间</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_Toc24589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22</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7A24C357">
      <w:pPr>
        <w:pStyle w:val="10"/>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_Toc26979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楷体_GB2312" w:cs="Times New Roman"/>
          <w:color w:val="auto"/>
          <w:sz w:val="32"/>
          <w:szCs w:val="32"/>
          <w:highlight w:val="none"/>
        </w:rPr>
        <w:t>（二）</w:t>
      </w:r>
      <w:r>
        <w:rPr>
          <w:rFonts w:hint="default" w:ascii="Times New Roman" w:hAnsi="Times New Roman" w:eastAsia="楷体_GB2312" w:cs="Times New Roman"/>
          <w:color w:val="auto"/>
          <w:sz w:val="32"/>
          <w:szCs w:val="32"/>
          <w:highlight w:val="none"/>
          <w:lang w:val="en-US" w:eastAsia="zh-CN"/>
        </w:rPr>
        <w:t>升级</w:t>
      </w:r>
      <w:r>
        <w:rPr>
          <w:rFonts w:hint="default" w:ascii="Times New Roman" w:hAnsi="Times New Roman" w:eastAsia="楷体_GB2312" w:cs="Times New Roman"/>
          <w:color w:val="auto"/>
          <w:sz w:val="32"/>
          <w:szCs w:val="32"/>
          <w:highlight w:val="none"/>
        </w:rPr>
        <w:t>园城一体的生活配套服务</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_Toc26979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22</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1BF2F777">
      <w:pPr>
        <w:pStyle w:val="10"/>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_Toc4077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楷体_GB2312" w:cs="Times New Roman"/>
          <w:color w:val="auto"/>
          <w:sz w:val="32"/>
          <w:szCs w:val="32"/>
          <w:highlight w:val="none"/>
        </w:rPr>
        <w:t>（三）打造青年发展型活力特色园区</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_Toc4077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23</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27F4BBF2">
      <w:pPr>
        <w:pStyle w:val="10"/>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_Toc22562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楷体_GB2312" w:cs="Times New Roman"/>
          <w:color w:val="auto"/>
          <w:sz w:val="32"/>
          <w:szCs w:val="32"/>
          <w:highlight w:val="none"/>
        </w:rPr>
        <w:t>（四）建设绿色数智发展的园区样板</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_Toc22562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24</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7F9E54FA">
      <w:pPr>
        <w:pStyle w:val="9"/>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_Toc446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黑体" w:cs="Times New Roman"/>
          <w:color w:val="auto"/>
          <w:kern w:val="44"/>
          <w:sz w:val="32"/>
          <w:szCs w:val="32"/>
          <w:highlight w:val="none"/>
          <w:lang w:val="en-US" w:eastAsia="zh-CN" w:bidi="ar-SA"/>
        </w:rPr>
        <w:t>八、</w:t>
      </w:r>
      <w:r>
        <w:rPr>
          <w:rFonts w:hint="default" w:ascii="Times New Roman" w:hAnsi="Times New Roman" w:eastAsia="黑体" w:cs="Times New Roman"/>
          <w:color w:val="auto"/>
          <w:sz w:val="32"/>
          <w:szCs w:val="32"/>
          <w:highlight w:val="none"/>
        </w:rPr>
        <w:t>完善服务，打造具有竞争力的营商环境</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_Toc446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25</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2596A201">
      <w:pPr>
        <w:pStyle w:val="10"/>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_Toc7464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楷体_GB2312" w:cs="Times New Roman"/>
          <w:color w:val="auto"/>
          <w:sz w:val="32"/>
          <w:szCs w:val="32"/>
          <w:highlight w:val="none"/>
        </w:rPr>
        <w:t>（一）</w:t>
      </w:r>
      <w:r>
        <w:rPr>
          <w:rFonts w:ascii="Times New Roman" w:hAnsi="Times New Roman" w:eastAsia="楷体_GB2312" w:cs="Times New Roman"/>
          <w:color w:val="auto"/>
          <w:sz w:val="32"/>
          <w:szCs w:val="32"/>
          <w:highlight w:val="none"/>
        </w:rPr>
        <w:t>构建高效协同的</w:t>
      </w:r>
      <w:r>
        <w:rPr>
          <w:rFonts w:hint="default" w:ascii="Times New Roman" w:hAnsi="Times New Roman" w:eastAsia="楷体_GB2312" w:cs="Times New Roman"/>
          <w:color w:val="auto"/>
          <w:sz w:val="32"/>
          <w:szCs w:val="32"/>
          <w:highlight w:val="none"/>
        </w:rPr>
        <w:t>园区</w:t>
      </w:r>
      <w:r>
        <w:rPr>
          <w:rFonts w:ascii="Times New Roman" w:hAnsi="Times New Roman" w:eastAsia="楷体_GB2312" w:cs="Times New Roman"/>
          <w:color w:val="auto"/>
          <w:sz w:val="32"/>
          <w:szCs w:val="32"/>
          <w:highlight w:val="none"/>
        </w:rPr>
        <w:t>服务体系</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_Toc7464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25</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7FA368AC">
      <w:pPr>
        <w:pStyle w:val="10"/>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_Toc25947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楷体_GB2312" w:cs="Times New Roman"/>
          <w:color w:val="auto"/>
          <w:sz w:val="32"/>
          <w:szCs w:val="32"/>
          <w:highlight w:val="none"/>
        </w:rPr>
        <w:t>（二）完善多元</w:t>
      </w:r>
      <w:r>
        <w:rPr>
          <w:rFonts w:ascii="Times New Roman" w:hAnsi="Times New Roman" w:eastAsia="楷体_GB2312" w:cs="Times New Roman"/>
          <w:color w:val="auto"/>
          <w:sz w:val="32"/>
          <w:szCs w:val="32"/>
          <w:highlight w:val="none"/>
        </w:rPr>
        <w:t>赋能</w:t>
      </w:r>
      <w:r>
        <w:rPr>
          <w:rFonts w:hint="default" w:ascii="Times New Roman" w:hAnsi="Times New Roman" w:eastAsia="楷体_GB2312" w:cs="Times New Roman"/>
          <w:color w:val="auto"/>
          <w:sz w:val="32"/>
          <w:szCs w:val="32"/>
          <w:highlight w:val="none"/>
        </w:rPr>
        <w:t>的企业服务模式</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_Toc25947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25</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35EC549D">
      <w:pPr>
        <w:pStyle w:val="10"/>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_Toc21468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楷体_GB2312" w:cs="Times New Roman"/>
          <w:color w:val="auto"/>
          <w:sz w:val="32"/>
          <w:szCs w:val="32"/>
          <w:highlight w:val="none"/>
        </w:rPr>
        <w:t>（三）营造共生共荣的产业服务生态</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_Toc21468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26</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39B186A0">
      <w:pPr>
        <w:pStyle w:val="9"/>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_Toc12226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黑体" w:cs="Times New Roman"/>
          <w:color w:val="auto"/>
          <w:kern w:val="44"/>
          <w:sz w:val="32"/>
          <w:szCs w:val="32"/>
          <w:highlight w:val="none"/>
        </w:rPr>
        <w:t>九、深化改革，提升园区现代化治理能力</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_Toc12226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27</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4D30C1D9">
      <w:pPr>
        <w:pStyle w:val="10"/>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_Toc28609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楷体_GB2312" w:cs="Times New Roman"/>
          <w:color w:val="auto"/>
          <w:sz w:val="32"/>
          <w:szCs w:val="32"/>
          <w:highlight w:val="none"/>
        </w:rPr>
        <w:t>（一）坚持党建引领赋能发展</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_Toc28609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27</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02CDE781">
      <w:pPr>
        <w:pStyle w:val="10"/>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_Toc5853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楷体_GB2312" w:cs="Times New Roman"/>
          <w:color w:val="auto"/>
          <w:sz w:val="32"/>
          <w:szCs w:val="32"/>
          <w:highlight w:val="none"/>
        </w:rPr>
        <w:t>（二）健全园区统筹运行机制</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_Toc5853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27</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7037CEBB">
      <w:pPr>
        <w:pStyle w:val="10"/>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_Toc1456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楷体_GB2312" w:cs="Times New Roman"/>
          <w:color w:val="auto"/>
          <w:sz w:val="32"/>
          <w:szCs w:val="32"/>
          <w:highlight w:val="none"/>
        </w:rPr>
        <w:t>（三）完善园区产业招商机制</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_Toc1456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28</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117EBD0A">
      <w:pPr>
        <w:pStyle w:val="10"/>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_Toc108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楷体_GB2312" w:cs="Times New Roman"/>
          <w:color w:val="auto"/>
          <w:sz w:val="32"/>
          <w:szCs w:val="32"/>
          <w:highlight w:val="none"/>
        </w:rPr>
        <w:t>（四）促进区域开放协同发展</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_Toc108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28</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7852DED7">
      <w:pPr>
        <w:pStyle w:val="9"/>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_Toc8075 </w:instrText>
      </w:r>
      <w:r>
        <w:rPr>
          <w:rFonts w:ascii="Times New Roman" w:hAnsi="Times New Roman" w:eastAsia="黑体" w:cs="Times New Roman"/>
          <w:color w:val="auto"/>
          <w:sz w:val="32"/>
          <w:szCs w:val="32"/>
          <w:highlight w:val="none"/>
        </w:rPr>
        <w:fldChar w:fldCharType="separate"/>
      </w:r>
      <w:r>
        <w:rPr>
          <w:rFonts w:ascii="Times New Roman" w:hAnsi="Times New Roman" w:eastAsia="黑体" w:cs="Times New Roman"/>
          <w:color w:val="auto"/>
          <w:kern w:val="44"/>
          <w:sz w:val="32"/>
          <w:szCs w:val="32"/>
          <w:highlight w:val="none"/>
        </w:rPr>
        <w:t>十、保障措施</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_Toc8075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29</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6BD5EB66">
      <w:pPr>
        <w:pStyle w:val="10"/>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_Toc9574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楷体_GB2312" w:cs="Times New Roman"/>
          <w:color w:val="auto"/>
          <w:sz w:val="32"/>
          <w:szCs w:val="32"/>
          <w:highlight w:val="none"/>
        </w:rPr>
        <w:t>（一）加强组织领导</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_Toc9574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29</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6ABD5C5A">
      <w:pPr>
        <w:pStyle w:val="10"/>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_Toc30366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楷体_GB2312" w:cs="Times New Roman"/>
          <w:color w:val="auto"/>
          <w:sz w:val="32"/>
          <w:szCs w:val="32"/>
          <w:highlight w:val="none"/>
        </w:rPr>
        <w:t>（二）强化资源保障</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_Toc30366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29</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4E0A02BF">
      <w:pPr>
        <w:pStyle w:val="10"/>
        <w:tabs>
          <w:tab w:val="right" w:leader="dot" w:pos="8845"/>
        </w:tabs>
        <w:rPr>
          <w:rFonts w:ascii="Times New Roman" w:hAnsi="Times New Roman" w:cs="Times New Roman"/>
          <w:color w:val="auto"/>
          <w:sz w:val="32"/>
          <w:szCs w:val="32"/>
          <w:highlight w:val="none"/>
        </w:rPr>
      </w:pPr>
      <w:r>
        <w:rPr>
          <w:rFonts w:ascii="Times New Roman" w:hAnsi="Times New Roman" w:eastAsia="黑体" w:cs="Times New Roman"/>
          <w:color w:val="auto"/>
          <w:sz w:val="32"/>
          <w:szCs w:val="32"/>
          <w:highlight w:val="none"/>
        </w:rPr>
        <w:fldChar w:fldCharType="begin"/>
      </w:r>
      <w:r>
        <w:rPr>
          <w:rFonts w:ascii="Times New Roman" w:hAnsi="Times New Roman" w:eastAsia="黑体" w:cs="Times New Roman"/>
          <w:color w:val="auto"/>
          <w:sz w:val="32"/>
          <w:szCs w:val="32"/>
          <w:highlight w:val="none"/>
        </w:rPr>
        <w:instrText xml:space="preserve"> HYPERLINK \l _Toc30033 </w:instrText>
      </w:r>
      <w:r>
        <w:rPr>
          <w:rFonts w:ascii="Times New Roman" w:hAnsi="Times New Roman" w:eastAsia="黑体" w:cs="Times New Roman"/>
          <w:color w:val="auto"/>
          <w:sz w:val="32"/>
          <w:szCs w:val="32"/>
          <w:highlight w:val="none"/>
        </w:rPr>
        <w:fldChar w:fldCharType="separate"/>
      </w:r>
      <w:r>
        <w:rPr>
          <w:rFonts w:hint="default" w:ascii="Times New Roman" w:hAnsi="Times New Roman" w:eastAsia="楷体_GB2312" w:cs="Times New Roman"/>
          <w:color w:val="auto"/>
          <w:sz w:val="32"/>
          <w:szCs w:val="32"/>
          <w:highlight w:val="none"/>
        </w:rPr>
        <w:t>（</w:t>
      </w:r>
      <w:r>
        <w:rPr>
          <w:rFonts w:hint="default" w:ascii="Times New Roman" w:hAnsi="Times New Roman" w:eastAsia="楷体_GB2312" w:cs="Times New Roman"/>
          <w:color w:val="auto"/>
          <w:sz w:val="32"/>
          <w:szCs w:val="32"/>
          <w:highlight w:val="none"/>
          <w:lang w:val="en-US" w:eastAsia="zh-CN"/>
        </w:rPr>
        <w:t>三</w:t>
      </w:r>
      <w:r>
        <w:rPr>
          <w:rFonts w:hint="default" w:ascii="Times New Roman" w:hAnsi="Times New Roman" w:eastAsia="楷体_GB2312" w:cs="Times New Roman"/>
          <w:color w:val="auto"/>
          <w:sz w:val="32"/>
          <w:szCs w:val="32"/>
          <w:highlight w:val="none"/>
        </w:rPr>
        <w:t>）完善监测评估</w:t>
      </w:r>
      <w:r>
        <w:rPr>
          <w:rFonts w:ascii="Times New Roman" w:hAnsi="Times New Roman" w:cs="Times New Roman"/>
          <w:color w:val="auto"/>
          <w:sz w:val="32"/>
          <w:szCs w:val="32"/>
          <w:highlight w:val="none"/>
        </w:rPr>
        <w:tab/>
      </w:r>
      <w:r>
        <w:rPr>
          <w:rFonts w:ascii="Times New Roman" w:hAnsi="Times New Roman" w:cs="Times New Roman"/>
          <w:color w:val="auto"/>
          <w:sz w:val="32"/>
          <w:szCs w:val="32"/>
          <w:highlight w:val="none"/>
        </w:rPr>
        <w:fldChar w:fldCharType="begin"/>
      </w:r>
      <w:r>
        <w:rPr>
          <w:rFonts w:ascii="Times New Roman" w:hAnsi="Times New Roman" w:cs="Times New Roman"/>
          <w:color w:val="auto"/>
          <w:sz w:val="32"/>
          <w:szCs w:val="32"/>
          <w:highlight w:val="none"/>
        </w:rPr>
        <w:instrText xml:space="preserve"> PAGEREF _Toc30033 \h </w:instrText>
      </w:r>
      <w:r>
        <w:rPr>
          <w:rFonts w:ascii="Times New Roman" w:hAnsi="Times New Roman" w:cs="Times New Roman"/>
          <w:color w:val="auto"/>
          <w:sz w:val="32"/>
          <w:szCs w:val="32"/>
          <w:highlight w:val="none"/>
        </w:rPr>
        <w:fldChar w:fldCharType="separate"/>
      </w:r>
      <w:r>
        <w:rPr>
          <w:rFonts w:ascii="Times New Roman" w:hAnsi="Times New Roman" w:cs="Times New Roman"/>
          <w:color w:val="auto"/>
          <w:sz w:val="32"/>
          <w:szCs w:val="32"/>
          <w:highlight w:val="none"/>
        </w:rPr>
        <w:t>29</w:t>
      </w:r>
      <w:r>
        <w:rPr>
          <w:rFonts w:ascii="Times New Roman" w:hAnsi="Times New Roman" w:cs="Times New Roman"/>
          <w:color w:val="auto"/>
          <w:sz w:val="32"/>
          <w:szCs w:val="32"/>
          <w:highlight w:val="none"/>
        </w:rPr>
        <w:fldChar w:fldCharType="end"/>
      </w:r>
      <w:r>
        <w:rPr>
          <w:rFonts w:ascii="Times New Roman" w:hAnsi="Times New Roman" w:eastAsia="黑体" w:cs="Times New Roman"/>
          <w:color w:val="auto"/>
          <w:sz w:val="32"/>
          <w:szCs w:val="32"/>
          <w:highlight w:val="none"/>
        </w:rPr>
        <w:fldChar w:fldCharType="end"/>
      </w:r>
    </w:p>
    <w:p w14:paraId="0FC5460A">
      <w:pPr>
        <w:spacing w:after="157" w:afterLines="50" w:line="540" w:lineRule="exact"/>
        <w:rPr>
          <w:rFonts w:hint="eastAsia" w:ascii="黑体" w:hAnsi="黑体" w:eastAsia="黑体" w:cs="黑体"/>
          <w:color w:val="auto"/>
          <w:sz w:val="32"/>
          <w:szCs w:val="32"/>
          <w:highlight w:val="none"/>
        </w:rPr>
        <w:sectPr>
          <w:footerReference r:id="rId9" w:type="default"/>
          <w:pgSz w:w="11906" w:h="16838"/>
          <w:pgMar w:top="2098" w:right="1474" w:bottom="1984" w:left="1587" w:header="851" w:footer="992" w:gutter="0"/>
          <w:pgNumType w:start="1"/>
          <w:cols w:space="425" w:num="1"/>
          <w:docGrid w:type="lines" w:linePitch="312" w:charSpace="0"/>
        </w:sectPr>
      </w:pPr>
      <w:r>
        <w:rPr>
          <w:rFonts w:ascii="Times New Roman" w:hAnsi="Times New Roman" w:eastAsia="黑体" w:cs="Times New Roman"/>
          <w:color w:val="auto"/>
          <w:sz w:val="32"/>
          <w:szCs w:val="32"/>
          <w:highlight w:val="none"/>
        </w:rPr>
        <w:fldChar w:fldCharType="end"/>
      </w:r>
    </w:p>
    <w:p w14:paraId="1E1CB797">
      <w:pPr>
        <w:spacing w:line="560" w:lineRule="exact"/>
        <w:ind w:firstLine="640" w:firstLineChars="200"/>
        <w:rPr>
          <w:rFonts w:hint="eastAsia" w:ascii="仿宋_GB2312" w:hAnsi="仿宋" w:eastAsia="仿宋_GB2312"/>
          <w:color w:val="auto"/>
          <w:sz w:val="32"/>
          <w:szCs w:val="32"/>
          <w:highlight w:val="none"/>
        </w:rPr>
      </w:pPr>
      <w:r>
        <w:rPr>
          <w:rFonts w:hint="eastAsia" w:ascii="仿宋_GB2312" w:hAnsi="仿宋" w:eastAsia="仿宋_GB2312"/>
          <w:color w:val="auto"/>
          <w:sz w:val="32"/>
          <w:szCs w:val="32"/>
          <w:highlight w:val="none"/>
        </w:rPr>
        <w:t>“十五五”时期是科技强国建设的关键攻坚期，是中关村加快建设世界领先科技园区的关键阶段，也是门头沟区产业迭代升级、势能全面释放的关键突破期、黄金机遇期。立足新形势新要求，“十五五”</w:t>
      </w:r>
      <w:r>
        <w:rPr>
          <w:rFonts w:hint="eastAsia" w:ascii="仿宋_GB2312" w:hAnsi="仿宋" w:eastAsia="仿宋_GB2312"/>
          <w:color w:val="auto"/>
          <w:sz w:val="32"/>
          <w:szCs w:val="32"/>
          <w:highlight w:val="none"/>
          <w:lang w:val="en-US" w:eastAsia="zh-CN"/>
        </w:rPr>
        <w:t>时期，</w:t>
      </w:r>
      <w:r>
        <w:rPr>
          <w:rFonts w:hint="eastAsia" w:ascii="仿宋_GB2312" w:hAnsi="仿宋" w:eastAsia="仿宋_GB2312"/>
          <w:color w:val="auto"/>
          <w:sz w:val="32"/>
          <w:szCs w:val="32"/>
          <w:highlight w:val="none"/>
        </w:rPr>
        <w:t>门头沟区将</w:t>
      </w:r>
      <w:r>
        <w:rPr>
          <w:rFonts w:hint="eastAsia" w:ascii="仿宋_GB2312" w:hAnsi="仿宋" w:eastAsia="仿宋_GB2312"/>
          <w:color w:val="auto"/>
          <w:sz w:val="32"/>
          <w:szCs w:val="32"/>
          <w:highlight w:val="none"/>
          <w:lang w:val="en-US" w:eastAsia="zh-CN"/>
        </w:rPr>
        <w:t>以习近平新时代中国特色社会主义思想为指引，</w:t>
      </w:r>
      <w:r>
        <w:rPr>
          <w:rFonts w:hint="eastAsia" w:ascii="仿宋_GB2312" w:hAnsi="仿宋" w:eastAsia="仿宋_GB2312"/>
          <w:color w:val="auto"/>
          <w:sz w:val="32"/>
          <w:szCs w:val="32"/>
          <w:highlight w:val="none"/>
        </w:rPr>
        <w:t>坚持以新时代首都发展为统领，大力实施“科技强区”发展战略，</w:t>
      </w:r>
      <w:r>
        <w:rPr>
          <w:rFonts w:hint="eastAsia" w:ascii="仿宋_GB2312" w:hAnsi="仿宋" w:eastAsia="仿宋_GB2312"/>
          <w:color w:val="auto"/>
          <w:sz w:val="32"/>
          <w:szCs w:val="32"/>
          <w:highlight w:val="none"/>
          <w:lang w:val="en-US" w:eastAsia="zh-CN"/>
        </w:rPr>
        <w:t>因地制宜</w:t>
      </w:r>
      <w:r>
        <w:rPr>
          <w:rFonts w:hint="eastAsia" w:ascii="仿宋_GB2312" w:hAnsi="仿宋" w:eastAsia="仿宋_GB2312"/>
          <w:color w:val="auto"/>
          <w:sz w:val="32"/>
          <w:szCs w:val="32"/>
          <w:highlight w:val="none"/>
        </w:rPr>
        <w:t>发展新质生产力，</w:t>
      </w:r>
      <w:r>
        <w:rPr>
          <w:rFonts w:hint="eastAsia" w:ascii="仿宋_GB2312" w:hAnsi="仿宋" w:eastAsia="仿宋_GB2312"/>
          <w:color w:val="auto"/>
          <w:sz w:val="32"/>
          <w:szCs w:val="32"/>
          <w:highlight w:val="none"/>
          <w:lang w:val="en-US" w:eastAsia="zh-CN"/>
        </w:rPr>
        <w:t>着力推进科技创新与产业创新深度融合，</w:t>
      </w:r>
      <w:r>
        <w:rPr>
          <w:rFonts w:hint="eastAsia" w:ascii="仿宋_GB2312" w:hAnsi="仿宋" w:eastAsia="仿宋_GB2312"/>
          <w:color w:val="auto"/>
          <w:sz w:val="32"/>
          <w:szCs w:val="32"/>
          <w:highlight w:val="none"/>
        </w:rPr>
        <w:t>加速推动现代化产业实现</w:t>
      </w:r>
      <w:r>
        <w:rPr>
          <w:rFonts w:hint="eastAsia" w:ascii="仿宋_GB2312" w:hAnsi="仿宋" w:eastAsia="仿宋_GB2312"/>
          <w:color w:val="auto"/>
          <w:sz w:val="32"/>
          <w:szCs w:val="32"/>
          <w:highlight w:val="none"/>
          <w:lang w:eastAsia="zh-CN"/>
        </w:rPr>
        <w:t>“</w:t>
      </w:r>
      <w:r>
        <w:rPr>
          <w:rFonts w:hint="eastAsia" w:ascii="仿宋_GB2312" w:hAnsi="仿宋" w:eastAsia="仿宋_GB2312"/>
          <w:color w:val="auto"/>
          <w:sz w:val="32"/>
          <w:szCs w:val="32"/>
          <w:highlight w:val="none"/>
        </w:rPr>
        <w:t>从1到10</w:t>
      </w:r>
      <w:r>
        <w:rPr>
          <w:rFonts w:hint="eastAsia" w:ascii="仿宋_GB2312" w:hAnsi="仿宋" w:eastAsia="仿宋_GB2312"/>
          <w:color w:val="auto"/>
          <w:sz w:val="32"/>
          <w:szCs w:val="32"/>
          <w:highlight w:val="none"/>
          <w:lang w:eastAsia="zh-CN"/>
        </w:rPr>
        <w:t>”</w:t>
      </w:r>
      <w:r>
        <w:rPr>
          <w:rFonts w:hint="eastAsia" w:ascii="仿宋_GB2312" w:hAnsi="仿宋" w:eastAsia="仿宋_GB2312"/>
          <w:color w:val="auto"/>
          <w:sz w:val="32"/>
          <w:szCs w:val="32"/>
          <w:highlight w:val="none"/>
        </w:rPr>
        <w:t>的跃升，打造长安街上的专精特新园区，在服务北京（京津冀）国际科技创新中心建设、支撑高水平科技自立自强中展现新担当、</w:t>
      </w:r>
      <w:r>
        <w:rPr>
          <w:rFonts w:hint="eastAsia" w:ascii="仿宋_GB2312" w:hAnsi="仿宋" w:eastAsia="仿宋_GB2312"/>
          <w:color w:val="auto"/>
          <w:sz w:val="32"/>
          <w:szCs w:val="32"/>
          <w:highlight w:val="none"/>
          <w:lang w:val="en-US" w:eastAsia="zh-CN"/>
        </w:rPr>
        <w:t>作</w:t>
      </w:r>
      <w:r>
        <w:rPr>
          <w:rFonts w:hint="eastAsia" w:ascii="仿宋_GB2312" w:hAnsi="仿宋" w:eastAsia="仿宋_GB2312"/>
          <w:color w:val="auto"/>
          <w:sz w:val="32"/>
          <w:szCs w:val="32"/>
          <w:highlight w:val="none"/>
        </w:rPr>
        <w:t>出新贡献，奋力谱写绿色高质量转型发展的新篇章。为科学谋划“十五五”发展蓝图，加快推进产业转型升级与园区能级跃升，特制</w:t>
      </w:r>
      <w:r>
        <w:rPr>
          <w:rFonts w:hint="eastAsia" w:ascii="仿宋_GB2312" w:hAnsi="仿宋" w:eastAsia="仿宋_GB2312"/>
          <w:color w:val="auto"/>
          <w:sz w:val="32"/>
          <w:szCs w:val="32"/>
          <w:highlight w:val="none"/>
          <w:lang w:val="en-US" w:eastAsia="zh-CN"/>
        </w:rPr>
        <w:t>定</w:t>
      </w:r>
      <w:r>
        <w:rPr>
          <w:rFonts w:hint="eastAsia" w:ascii="仿宋_GB2312" w:hAnsi="仿宋" w:eastAsia="仿宋_GB2312"/>
          <w:color w:val="auto"/>
          <w:sz w:val="32"/>
          <w:szCs w:val="32"/>
          <w:highlight w:val="none"/>
        </w:rPr>
        <w:t>本规划。</w:t>
      </w:r>
    </w:p>
    <w:p w14:paraId="4EBBDA0C">
      <w:pPr>
        <w:pStyle w:val="2"/>
        <w:spacing w:line="560" w:lineRule="exact"/>
        <w:ind w:firstLine="640"/>
        <w:rPr>
          <w:rFonts w:hint="eastAsia" w:ascii="黑体" w:hAnsi="黑体" w:eastAsia="黑体" w:cs="黑体"/>
          <w:color w:val="auto"/>
          <w:szCs w:val="32"/>
          <w:highlight w:val="none"/>
          <w:lang w:eastAsia="zh-CN"/>
        </w:rPr>
      </w:pPr>
      <w:bookmarkStart w:id="0" w:name="_Toc13814"/>
      <w:bookmarkStart w:id="1" w:name="_Toc15337"/>
      <w:bookmarkStart w:id="2" w:name="_Toc30265"/>
      <w:bookmarkStart w:id="3" w:name="_Toc1074"/>
      <w:bookmarkStart w:id="4" w:name="_Toc28840"/>
      <w:bookmarkStart w:id="5" w:name="_Toc11544"/>
      <w:bookmarkStart w:id="6" w:name="_Toc30191"/>
      <w:bookmarkStart w:id="7" w:name="_Toc11277"/>
      <w:bookmarkStart w:id="8" w:name="_Toc9937"/>
      <w:bookmarkStart w:id="9" w:name="_Toc14457"/>
      <w:bookmarkStart w:id="10" w:name="_Toc31742"/>
      <w:bookmarkStart w:id="11" w:name="_Toc20072"/>
      <w:bookmarkStart w:id="12" w:name="_Toc26627"/>
      <w:bookmarkStart w:id="13" w:name="_Toc14305"/>
      <w:bookmarkStart w:id="14" w:name="_Toc11641"/>
      <w:bookmarkStart w:id="15" w:name="_Toc2538"/>
      <w:bookmarkStart w:id="16" w:name="_Toc5217"/>
      <w:bookmarkStart w:id="17" w:name="_Toc5556"/>
      <w:bookmarkStart w:id="18" w:name="_Toc6021"/>
      <w:bookmarkStart w:id="19" w:name="_Toc5244"/>
      <w:bookmarkStart w:id="20" w:name="_Toc22358"/>
      <w:bookmarkStart w:id="21" w:name="_Toc11640"/>
      <w:bookmarkStart w:id="22" w:name="_Toc371"/>
      <w:bookmarkStart w:id="23" w:name="_Toc28536"/>
      <w:bookmarkStart w:id="24" w:name="_Toc13324"/>
      <w:bookmarkStart w:id="25" w:name="_Toc21385"/>
      <w:bookmarkStart w:id="26" w:name="_Toc20222"/>
      <w:bookmarkStart w:id="27" w:name="_Toc5149"/>
      <w:bookmarkStart w:id="28" w:name="_Toc7149"/>
      <w:bookmarkStart w:id="29" w:name="_Toc2937"/>
      <w:bookmarkStart w:id="30" w:name="_Toc1867"/>
      <w:bookmarkStart w:id="31" w:name="_Toc14347"/>
      <w:bookmarkStart w:id="32" w:name="_Toc21481"/>
      <w:bookmarkStart w:id="33" w:name="_Toc9640"/>
      <w:bookmarkStart w:id="34" w:name="_Toc9911"/>
      <w:bookmarkStart w:id="35" w:name="_Toc7649"/>
      <w:bookmarkStart w:id="36" w:name="_Toc10545"/>
      <w:bookmarkStart w:id="37" w:name="_Toc30402"/>
      <w:bookmarkStart w:id="38" w:name="_Toc1879"/>
      <w:bookmarkStart w:id="39" w:name="_Toc11190"/>
      <w:bookmarkStart w:id="40" w:name="_Toc21517"/>
      <w:bookmarkStart w:id="41" w:name="_Toc13656"/>
      <w:bookmarkStart w:id="42" w:name="_Toc5983"/>
      <w:bookmarkStart w:id="43" w:name="_Toc28077"/>
      <w:bookmarkStart w:id="44" w:name="_Toc4339"/>
      <w:bookmarkStart w:id="45" w:name="_Toc6940"/>
      <w:bookmarkStart w:id="46" w:name="_Toc25402"/>
      <w:bookmarkStart w:id="47" w:name="_Toc4064"/>
      <w:bookmarkStart w:id="48" w:name="_Toc28203"/>
      <w:bookmarkStart w:id="49" w:name="_Toc25894"/>
      <w:bookmarkStart w:id="50" w:name="_Toc11229"/>
      <w:bookmarkStart w:id="51" w:name="_Toc12084"/>
      <w:bookmarkStart w:id="52" w:name="_Toc2325"/>
      <w:bookmarkStart w:id="53" w:name="_Toc13269"/>
      <w:bookmarkStart w:id="54" w:name="_Toc25709"/>
      <w:bookmarkStart w:id="55" w:name="_Toc11915"/>
      <w:bookmarkStart w:id="56" w:name="_Toc5571"/>
      <w:bookmarkStart w:id="57" w:name="_Toc25676"/>
      <w:bookmarkStart w:id="58" w:name="_Toc22951"/>
      <w:bookmarkStart w:id="59" w:name="_Toc5224"/>
      <w:bookmarkStart w:id="60" w:name="_Toc21920"/>
      <w:bookmarkStart w:id="61" w:name="_Toc21067"/>
      <w:bookmarkStart w:id="62" w:name="_Toc30670"/>
      <w:bookmarkStart w:id="63" w:name="_Toc10196"/>
      <w:bookmarkStart w:id="64" w:name="_Toc23475"/>
      <w:bookmarkStart w:id="65" w:name="_Toc25385"/>
      <w:bookmarkStart w:id="66" w:name="_Toc29958"/>
      <w:bookmarkStart w:id="67" w:name="_Toc20614"/>
      <w:bookmarkStart w:id="68" w:name="_Toc7246"/>
      <w:bookmarkStart w:id="69" w:name="_Toc4267"/>
      <w:bookmarkStart w:id="70" w:name="_Toc4915"/>
      <w:bookmarkStart w:id="71" w:name="_Toc107"/>
      <w:bookmarkStart w:id="72" w:name="_Toc5976"/>
      <w:bookmarkStart w:id="73" w:name="_Toc20868"/>
      <w:bookmarkStart w:id="74" w:name="_Toc19596"/>
      <w:bookmarkStart w:id="75" w:name="_Toc4317"/>
      <w:bookmarkStart w:id="76" w:name="_Toc7460"/>
      <w:bookmarkStart w:id="77" w:name="_Toc31770"/>
      <w:bookmarkStart w:id="78" w:name="_Toc676"/>
      <w:bookmarkStart w:id="79" w:name="_Toc26603"/>
      <w:bookmarkStart w:id="80" w:name="_Toc17771"/>
      <w:bookmarkStart w:id="81" w:name="_Toc18214"/>
      <w:bookmarkStart w:id="82" w:name="_Toc30127"/>
      <w:bookmarkStart w:id="83" w:name="_Toc17156"/>
      <w:bookmarkStart w:id="84" w:name="_Toc7268"/>
      <w:bookmarkStart w:id="85" w:name="_Toc7744"/>
      <w:bookmarkStart w:id="86" w:name="_Toc10746"/>
      <w:bookmarkStart w:id="87" w:name="_Toc29155"/>
      <w:bookmarkStart w:id="88" w:name="_Toc26898"/>
      <w:bookmarkStart w:id="89" w:name="_Toc1802589200"/>
      <w:bookmarkStart w:id="90" w:name="_Toc12768"/>
      <w:bookmarkStart w:id="91" w:name="_Toc5179"/>
      <w:bookmarkStart w:id="92" w:name="_Toc20465"/>
      <w:bookmarkStart w:id="93" w:name="_Toc17192"/>
      <w:bookmarkStart w:id="94" w:name="_Toc11267"/>
      <w:r>
        <w:rPr>
          <w:rFonts w:hint="eastAsia" w:ascii="黑体" w:hAnsi="黑体" w:eastAsia="黑体" w:cs="黑体"/>
          <w:color w:val="auto"/>
          <w:szCs w:val="32"/>
          <w:highlight w:val="none"/>
        </w:rPr>
        <w:t>一、发展基础</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Pr>
          <w:rFonts w:hint="eastAsia" w:ascii="黑体" w:hAnsi="黑体" w:eastAsia="黑体" w:cs="黑体"/>
          <w:color w:val="auto"/>
          <w:szCs w:val="32"/>
          <w:highlight w:val="none"/>
        </w:rPr>
        <w:t>和面临形势</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17A8CF0F">
      <w:pPr>
        <w:numPr>
          <w:ilvl w:val="255"/>
          <w:numId w:val="0"/>
        </w:numPr>
        <w:spacing w:line="560" w:lineRule="exact"/>
        <w:ind w:firstLine="640" w:firstLineChars="200"/>
        <w:outlineLvl w:val="1"/>
        <w:rPr>
          <w:rFonts w:hint="eastAsia" w:ascii="楷体_GB2312" w:hAnsi="楷体_GB2312" w:eastAsia="楷体_GB2312" w:cs="楷体_GB2312"/>
          <w:color w:val="auto"/>
          <w:sz w:val="32"/>
          <w:szCs w:val="32"/>
          <w:highlight w:val="none"/>
        </w:rPr>
      </w:pPr>
      <w:bookmarkStart w:id="95" w:name="_Toc7516"/>
      <w:bookmarkStart w:id="96" w:name="_Toc1564876171"/>
      <w:bookmarkStart w:id="97" w:name="_Toc23855"/>
      <w:bookmarkStart w:id="98" w:name="_Toc1612"/>
      <w:bookmarkStart w:id="99" w:name="_Toc24554"/>
      <w:bookmarkStart w:id="100" w:name="_Toc18092"/>
      <w:bookmarkStart w:id="101" w:name="_Toc3463"/>
      <w:bookmarkStart w:id="102" w:name="_Toc10393"/>
      <w:bookmarkStart w:id="103" w:name="_Toc884"/>
      <w:bookmarkStart w:id="104" w:name="_Toc5510"/>
      <w:bookmarkStart w:id="105" w:name="_Toc13503"/>
      <w:bookmarkStart w:id="106" w:name="_Toc3925"/>
      <w:bookmarkStart w:id="107" w:name="_Toc15159"/>
      <w:bookmarkStart w:id="108" w:name="_Toc21911"/>
      <w:bookmarkStart w:id="109" w:name="_Toc11015"/>
      <w:bookmarkStart w:id="110" w:name="_Toc6219"/>
      <w:bookmarkStart w:id="111" w:name="_Toc21312"/>
      <w:bookmarkStart w:id="112" w:name="_Toc1256066642"/>
      <w:bookmarkStart w:id="113" w:name="_Toc885"/>
      <w:bookmarkStart w:id="114" w:name="_Toc80117468"/>
      <w:bookmarkStart w:id="115" w:name="_Toc4046"/>
      <w:bookmarkStart w:id="116" w:name="_Toc717169582"/>
      <w:bookmarkStart w:id="117" w:name="_Toc1178167966"/>
      <w:bookmarkStart w:id="118" w:name="_Toc698098474"/>
      <w:bookmarkStart w:id="119" w:name="_Toc371249347"/>
      <w:bookmarkStart w:id="120" w:name="_Toc143803067"/>
      <w:bookmarkStart w:id="121" w:name="_Toc31458"/>
      <w:bookmarkStart w:id="122" w:name="_Toc1869459504"/>
      <w:bookmarkStart w:id="123" w:name="_Toc593128845"/>
      <w:bookmarkStart w:id="124" w:name="_Toc1958032607"/>
      <w:bookmarkStart w:id="125" w:name="_Toc1985317415"/>
      <w:bookmarkStart w:id="126" w:name="_Toc15651"/>
      <w:bookmarkStart w:id="127" w:name="_Toc949037407"/>
      <w:r>
        <w:rPr>
          <w:rFonts w:hint="eastAsia" w:ascii="楷体_GB2312" w:hAnsi="楷体_GB2312" w:eastAsia="楷体_GB2312" w:cs="楷体_GB2312"/>
          <w:color w:val="auto"/>
          <w:sz w:val="32"/>
          <w:szCs w:val="32"/>
          <w:highlight w:val="none"/>
        </w:rPr>
        <w:t>（一）发展基础</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0C61DC32">
      <w:pPr>
        <w:numPr>
          <w:ilvl w:val="255"/>
          <w:numId w:val="0"/>
        </w:numPr>
        <w:spacing w:line="560" w:lineRule="exact"/>
        <w:ind w:firstLine="640" w:firstLineChars="200"/>
        <w:rPr>
          <w:rFonts w:hint="eastAsia" w:ascii="仿宋_GB2312" w:hAnsi="仿宋" w:eastAsia="仿宋_GB2312"/>
          <w:color w:val="auto"/>
          <w:sz w:val="32"/>
          <w:szCs w:val="32"/>
          <w:highlight w:val="none"/>
        </w:rPr>
      </w:pPr>
      <w:r>
        <w:rPr>
          <w:rFonts w:hint="eastAsia" w:ascii="仿宋_GB2312" w:hAnsi="仿宋" w:eastAsia="仿宋_GB2312"/>
          <w:color w:val="auto"/>
          <w:sz w:val="32"/>
          <w:szCs w:val="32"/>
          <w:highlight w:val="none"/>
        </w:rPr>
        <w:t>“十四五”以来，门头沟区</w:t>
      </w:r>
      <w:r>
        <w:rPr>
          <w:rFonts w:hint="eastAsia" w:ascii="仿宋_GB2312" w:hAnsi="仿宋" w:eastAsia="仿宋_GB2312"/>
          <w:color w:val="auto"/>
          <w:sz w:val="32"/>
          <w:szCs w:val="32"/>
          <w:highlight w:val="none"/>
          <w:lang w:val="en-US" w:eastAsia="zh-CN"/>
        </w:rPr>
        <w:t>认真贯彻党中央和市委市政府决策部署，</w:t>
      </w:r>
      <w:r>
        <w:rPr>
          <w:rFonts w:hint="eastAsia" w:ascii="仿宋_GB2312" w:hAnsi="仿宋" w:eastAsia="仿宋_GB2312"/>
          <w:color w:val="auto"/>
          <w:sz w:val="32"/>
          <w:szCs w:val="32"/>
          <w:highlight w:val="none"/>
        </w:rPr>
        <w:t>牢记总书记来区视察殷殷嘱托，坚持</w:t>
      </w:r>
      <w:r>
        <w:rPr>
          <w:rFonts w:hint="eastAsia" w:ascii="仿宋_GB2312" w:hAnsi="仿宋" w:eastAsia="仿宋_GB2312"/>
          <w:color w:val="auto"/>
          <w:sz w:val="32"/>
          <w:szCs w:val="32"/>
          <w:highlight w:val="none"/>
          <w:lang w:val="en-US" w:eastAsia="zh-CN"/>
        </w:rPr>
        <w:t>主动融入首都发展大局，立足生态涵养区功能定位，</w:t>
      </w:r>
      <w:r>
        <w:rPr>
          <w:rFonts w:hint="eastAsia" w:ascii="仿宋_GB2312" w:hAnsi="仿宋" w:eastAsia="仿宋_GB2312"/>
          <w:color w:val="auto"/>
          <w:sz w:val="32"/>
          <w:szCs w:val="32"/>
          <w:highlight w:val="none"/>
        </w:rPr>
        <w:t>向新提质</w:t>
      </w:r>
      <w:r>
        <w:rPr>
          <w:rFonts w:hint="eastAsia" w:ascii="仿宋_GB2312" w:hAnsi="仿宋" w:eastAsia="仿宋_GB2312"/>
          <w:color w:val="auto"/>
          <w:sz w:val="32"/>
          <w:szCs w:val="32"/>
          <w:highlight w:val="none"/>
          <w:lang w:eastAsia="zh-CN"/>
        </w:rPr>
        <w:t>、</w:t>
      </w:r>
      <w:r>
        <w:rPr>
          <w:rFonts w:hint="eastAsia" w:ascii="仿宋_GB2312" w:hAnsi="仿宋" w:eastAsia="仿宋_GB2312"/>
          <w:color w:val="auto"/>
          <w:sz w:val="32"/>
          <w:szCs w:val="32"/>
          <w:highlight w:val="none"/>
        </w:rPr>
        <w:t>破立并举，资源驱动向创新驱动转型取得突破性进展，</w:t>
      </w:r>
      <w:r>
        <w:rPr>
          <w:rFonts w:hint="eastAsia" w:ascii="仿宋_GB2312" w:hAnsi="仿宋" w:eastAsia="仿宋_GB2312"/>
          <w:color w:val="auto"/>
          <w:sz w:val="32"/>
          <w:szCs w:val="32"/>
          <w:highlight w:val="none"/>
          <w:lang w:eastAsia="zh-CN"/>
        </w:rPr>
        <w:t>产业</w:t>
      </w:r>
      <w:r>
        <w:rPr>
          <w:rFonts w:hint="eastAsia" w:ascii="仿宋_GB2312" w:hAnsi="仿宋" w:eastAsia="仿宋_GB2312"/>
          <w:color w:val="auto"/>
          <w:sz w:val="32"/>
          <w:szCs w:val="32"/>
          <w:highlight w:val="none"/>
        </w:rPr>
        <w:t>发展</w:t>
      </w:r>
      <w:r>
        <w:rPr>
          <w:rFonts w:hint="eastAsia" w:ascii="仿宋_GB2312" w:hAnsi="仿宋" w:eastAsia="仿宋_GB2312"/>
          <w:color w:val="auto"/>
          <w:sz w:val="32"/>
          <w:szCs w:val="32"/>
          <w:highlight w:val="none"/>
          <w:lang w:val="en-US" w:eastAsia="zh-CN"/>
        </w:rPr>
        <w:t>新</w:t>
      </w:r>
      <w:r>
        <w:rPr>
          <w:rFonts w:hint="eastAsia" w:ascii="仿宋_GB2312" w:hAnsi="仿宋" w:eastAsia="仿宋_GB2312"/>
          <w:color w:val="auto"/>
          <w:sz w:val="32"/>
          <w:szCs w:val="32"/>
          <w:highlight w:val="none"/>
        </w:rPr>
        <w:t>动能</w:t>
      </w:r>
      <w:r>
        <w:rPr>
          <w:rFonts w:hint="eastAsia" w:ascii="仿宋_GB2312" w:hAnsi="仿宋" w:eastAsia="仿宋_GB2312"/>
          <w:color w:val="auto"/>
          <w:sz w:val="32"/>
          <w:szCs w:val="32"/>
          <w:highlight w:val="none"/>
          <w:lang w:eastAsia="zh-CN"/>
        </w:rPr>
        <w:t>日益强劲，</w:t>
      </w:r>
      <w:r>
        <w:rPr>
          <w:rFonts w:hint="eastAsia" w:ascii="仿宋_GB2312" w:hAnsi="仿宋" w:eastAsia="仿宋_GB2312"/>
          <w:color w:val="auto"/>
          <w:sz w:val="32"/>
          <w:szCs w:val="32"/>
          <w:highlight w:val="none"/>
          <w:lang w:val="en-US" w:eastAsia="zh-CN"/>
        </w:rPr>
        <w:t>有力推动全区绿色高质量转型发展</w:t>
      </w:r>
      <w:r>
        <w:rPr>
          <w:rFonts w:hint="eastAsia" w:ascii="仿宋_GB2312" w:hAnsi="仿宋" w:eastAsia="仿宋_GB2312"/>
          <w:color w:val="auto"/>
          <w:sz w:val="32"/>
          <w:szCs w:val="32"/>
          <w:highlight w:val="none"/>
        </w:rPr>
        <w:t>。</w:t>
      </w:r>
    </w:p>
    <w:p w14:paraId="7BAA9070">
      <w:pPr>
        <w:numPr>
          <w:ilvl w:val="255"/>
          <w:numId w:val="0"/>
        </w:numPr>
        <w:spacing w:line="560" w:lineRule="exact"/>
        <w:ind w:firstLine="643" w:firstLineChars="200"/>
        <w:rPr>
          <w:rFonts w:hint="eastAsia" w:ascii="仿宋_GB2312" w:hAnsi="仿宋" w:eastAsia="仿宋_GB2312"/>
          <w:b/>
          <w:bCs/>
          <w:color w:val="auto"/>
          <w:sz w:val="32"/>
          <w:szCs w:val="32"/>
          <w:highlight w:val="none"/>
        </w:rPr>
      </w:pPr>
      <w:bookmarkStart w:id="128" w:name="_Toc10879"/>
      <w:bookmarkStart w:id="129" w:name="_Toc22595"/>
      <w:bookmarkStart w:id="130" w:name="_Toc24109"/>
      <w:bookmarkStart w:id="131" w:name="_Toc5763"/>
      <w:bookmarkStart w:id="132" w:name="_Toc32002"/>
      <w:bookmarkStart w:id="133" w:name="_Toc9497"/>
      <w:bookmarkStart w:id="134" w:name="_Toc20215"/>
      <w:bookmarkStart w:id="135" w:name="_Toc13130"/>
      <w:bookmarkStart w:id="136" w:name="_Toc13952"/>
      <w:bookmarkStart w:id="137" w:name="_Toc30310"/>
      <w:bookmarkStart w:id="138" w:name="_Toc9748"/>
      <w:bookmarkStart w:id="139" w:name="_Toc23318"/>
      <w:bookmarkStart w:id="140" w:name="_Toc23362"/>
      <w:bookmarkStart w:id="141" w:name="_Toc4900"/>
      <w:bookmarkStart w:id="142" w:name="_Toc28820"/>
      <w:bookmarkStart w:id="143" w:name="_Toc6342"/>
      <w:bookmarkStart w:id="144" w:name="_Toc23410"/>
      <w:bookmarkStart w:id="145" w:name="_Toc12937"/>
      <w:bookmarkStart w:id="146" w:name="_Toc20541"/>
      <w:bookmarkStart w:id="147" w:name="_Toc13071"/>
      <w:bookmarkStart w:id="148" w:name="_Toc17886"/>
      <w:bookmarkStart w:id="149" w:name="_Toc25131"/>
      <w:bookmarkStart w:id="150" w:name="_Toc22557"/>
      <w:bookmarkStart w:id="151" w:name="_Toc19315"/>
      <w:bookmarkStart w:id="152" w:name="_Toc24532"/>
      <w:bookmarkStart w:id="153" w:name="_Toc10191"/>
      <w:bookmarkStart w:id="154" w:name="_Toc14433"/>
      <w:bookmarkStart w:id="155" w:name="_Toc7237"/>
      <w:bookmarkStart w:id="156" w:name="_Toc19610"/>
      <w:bookmarkStart w:id="157" w:name="_Toc8250"/>
      <w:bookmarkStart w:id="158" w:name="_Toc19053"/>
      <w:bookmarkStart w:id="159" w:name="_Toc1395"/>
      <w:bookmarkStart w:id="160" w:name="_Toc11477"/>
      <w:bookmarkStart w:id="161" w:name="_Toc18937"/>
      <w:bookmarkStart w:id="162" w:name="_Toc7709"/>
      <w:bookmarkStart w:id="163" w:name="_Toc27766"/>
      <w:bookmarkStart w:id="164" w:name="_Toc1080"/>
      <w:bookmarkStart w:id="165" w:name="_Toc26908"/>
      <w:bookmarkStart w:id="166" w:name="_Toc9491"/>
      <w:bookmarkStart w:id="167" w:name="_Toc12938"/>
      <w:bookmarkStart w:id="168" w:name="_Toc23743"/>
      <w:bookmarkStart w:id="169" w:name="_Toc214"/>
      <w:bookmarkStart w:id="170" w:name="_Toc16291"/>
      <w:bookmarkStart w:id="171" w:name="_Toc7097"/>
      <w:bookmarkStart w:id="172" w:name="_Toc1793"/>
      <w:bookmarkStart w:id="173" w:name="_Toc4579"/>
      <w:bookmarkStart w:id="174" w:name="_Toc10400"/>
      <w:bookmarkStart w:id="175" w:name="_Toc20605"/>
      <w:bookmarkStart w:id="176" w:name="_Toc28541"/>
      <w:bookmarkStart w:id="177" w:name="_Toc6200"/>
      <w:bookmarkStart w:id="178" w:name="_Toc4020"/>
      <w:bookmarkStart w:id="179" w:name="_Toc32526"/>
      <w:bookmarkStart w:id="180" w:name="_Toc8725"/>
      <w:bookmarkStart w:id="181" w:name="_Toc20996"/>
      <w:bookmarkStart w:id="182" w:name="_Toc3377"/>
      <w:bookmarkStart w:id="183" w:name="_Toc21544"/>
      <w:bookmarkStart w:id="184" w:name="_Toc8103"/>
      <w:bookmarkStart w:id="185" w:name="_Toc18611"/>
      <w:bookmarkStart w:id="186" w:name="_Toc22988"/>
      <w:bookmarkStart w:id="187" w:name="_Toc22089"/>
      <w:bookmarkStart w:id="188" w:name="_Toc16915"/>
      <w:bookmarkStart w:id="189" w:name="_Toc14845"/>
      <w:bookmarkStart w:id="190" w:name="_Toc12367"/>
      <w:bookmarkStart w:id="191" w:name="_Toc14528"/>
      <w:bookmarkStart w:id="192" w:name="_Toc22959"/>
      <w:bookmarkStart w:id="193" w:name="_Toc32196"/>
      <w:bookmarkStart w:id="194" w:name="_Toc19196"/>
      <w:bookmarkStart w:id="195" w:name="_Toc21980"/>
      <w:bookmarkStart w:id="196" w:name="_Toc2948"/>
      <w:bookmarkStart w:id="197" w:name="_Toc28327"/>
      <w:bookmarkStart w:id="198" w:name="_Toc5480"/>
      <w:bookmarkStart w:id="199" w:name="_Toc31391"/>
      <w:bookmarkStart w:id="200" w:name="_Toc18954"/>
      <w:bookmarkStart w:id="201" w:name="_Toc19925"/>
      <w:bookmarkStart w:id="202" w:name="_Toc6753"/>
      <w:bookmarkStart w:id="203" w:name="_Toc24251"/>
      <w:bookmarkStart w:id="204" w:name="_Toc12684"/>
      <w:bookmarkStart w:id="205" w:name="_Toc17315"/>
      <w:bookmarkStart w:id="206" w:name="_Toc14610"/>
      <w:bookmarkStart w:id="207" w:name="_Toc7749"/>
      <w:bookmarkStart w:id="208" w:name="_Toc29982"/>
      <w:bookmarkStart w:id="209" w:name="_Toc9492"/>
      <w:r>
        <w:rPr>
          <w:rFonts w:hint="eastAsia" w:ascii="仿宋_GB2312" w:hAnsi="仿宋_GB2312" w:eastAsia="仿宋_GB2312" w:cs="仿宋_GB2312"/>
          <w:b/>
          <w:bCs/>
          <w:color w:val="auto"/>
          <w:sz w:val="32"/>
          <w:szCs w:val="32"/>
          <w:highlight w:val="none"/>
        </w:rPr>
        <w:t>“三大产业”</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rPr>
          <w:rFonts w:hint="eastAsia" w:ascii="仿宋_GB2312" w:hAnsi="仿宋_GB2312" w:eastAsia="仿宋_GB2312" w:cs="仿宋_GB2312"/>
          <w:b/>
          <w:bCs/>
          <w:color w:val="auto"/>
          <w:sz w:val="32"/>
          <w:szCs w:val="32"/>
          <w:highlight w:val="none"/>
        </w:rPr>
        <w:t>实现“从0到1”的历史性突破。</w:t>
      </w:r>
      <w:r>
        <w:rPr>
          <w:rFonts w:hint="eastAsia" w:ascii="仿宋_GB2312" w:hAnsi="仿宋" w:eastAsia="仿宋_GB2312"/>
          <w:color w:val="auto"/>
          <w:sz w:val="32"/>
          <w:szCs w:val="32"/>
          <w:highlight w:val="none"/>
        </w:rPr>
        <w:t>人工智能、超高清视听（计算视听）、心血管创新药械“三大产业”从无到有，对GDP贡献达到18%。人工智能产业蓄力成势，成为全市人工智能重点布局区，建成900P国产自主创新算力集群，北京算法登记服务中心和京西智谷模型调优工场实体运行，连续举办</w:t>
      </w:r>
      <w:r>
        <w:rPr>
          <w:rFonts w:hint="eastAsia" w:ascii="仿宋_GB2312" w:hAnsi="仿宋" w:eastAsia="仿宋_GB2312"/>
          <w:color w:val="auto"/>
          <w:sz w:val="32"/>
          <w:szCs w:val="32"/>
          <w:highlight w:val="none"/>
          <w:lang w:val="en-US" w:eastAsia="zh-CN"/>
        </w:rPr>
        <w:t>四</w:t>
      </w:r>
      <w:r>
        <w:rPr>
          <w:rFonts w:hint="eastAsia" w:ascii="仿宋_GB2312" w:hAnsi="仿宋" w:eastAsia="仿宋_GB2312"/>
          <w:color w:val="auto"/>
          <w:sz w:val="32"/>
          <w:szCs w:val="32"/>
          <w:highlight w:val="none"/>
        </w:rPr>
        <w:t>届北京人工智能产业创新发展大会。超高清视听</w:t>
      </w:r>
      <w:r>
        <w:rPr>
          <w:rFonts w:hint="eastAsia" w:ascii="仿宋_GB2312" w:hAnsi="仿宋" w:eastAsia="仿宋_GB2312"/>
          <w:color w:val="auto"/>
          <w:sz w:val="32"/>
          <w:szCs w:val="32"/>
          <w:highlight w:val="none"/>
          <w:lang w:val="en-US" w:eastAsia="zh-CN"/>
        </w:rPr>
        <w:t>产业</w:t>
      </w:r>
      <w:r>
        <w:rPr>
          <w:rFonts w:hint="eastAsia" w:ascii="仿宋_GB2312" w:hAnsi="仿宋" w:eastAsia="仿宋_GB2312"/>
          <w:color w:val="auto"/>
          <w:sz w:val="32"/>
          <w:szCs w:val="32"/>
          <w:highlight w:val="none"/>
        </w:rPr>
        <w:t>加速布局，挂牌全市唯一超高清视听（计算视听）创新应用示范区，“AI+计算视听”纳入全市“一区一品”重点产业布局</w:t>
      </w:r>
      <w:r>
        <w:rPr>
          <w:rFonts w:hint="eastAsia" w:ascii="仿宋_GB2312" w:hAnsi="仿宋" w:eastAsia="仿宋_GB2312"/>
          <w:color w:val="auto"/>
          <w:sz w:val="32"/>
          <w:szCs w:val="32"/>
          <w:highlight w:val="none"/>
          <w:lang w:eastAsia="zh-CN"/>
        </w:rPr>
        <w:t>，</w:t>
      </w:r>
      <w:r>
        <w:rPr>
          <w:rFonts w:hint="eastAsia" w:ascii="仿宋_GB2312" w:hAnsi="仿宋" w:eastAsia="仿宋_GB2312"/>
          <w:color w:val="auto"/>
          <w:sz w:val="32"/>
          <w:szCs w:val="32"/>
          <w:highlight w:val="none"/>
          <w:lang w:val="en-US" w:eastAsia="zh-CN"/>
        </w:rPr>
        <w:t>XR沉浸视听联合实验室揭牌运营</w:t>
      </w:r>
      <w:r>
        <w:rPr>
          <w:rFonts w:hint="eastAsia" w:ascii="仿宋_GB2312" w:hAnsi="仿宋" w:eastAsia="仿宋_GB2312"/>
          <w:color w:val="auto"/>
          <w:sz w:val="32"/>
          <w:szCs w:val="32"/>
          <w:highlight w:val="none"/>
        </w:rPr>
        <w:t>。心血管创新药械领域加快培育，成功</w:t>
      </w:r>
      <w:r>
        <w:rPr>
          <w:rFonts w:hint="eastAsia" w:ascii="仿宋_GB2312" w:hAnsi="仿宋" w:eastAsia="仿宋_GB2312"/>
          <w:color w:val="auto"/>
          <w:sz w:val="32"/>
          <w:szCs w:val="32"/>
          <w:highlight w:val="none"/>
          <w:lang w:val="en-US" w:eastAsia="zh-CN"/>
        </w:rPr>
        <w:t>跻身</w:t>
      </w:r>
      <w:r>
        <w:rPr>
          <w:rFonts w:hint="eastAsia" w:ascii="仿宋_GB2312" w:hAnsi="仿宋" w:eastAsia="仿宋_GB2312"/>
          <w:color w:val="auto"/>
          <w:sz w:val="32"/>
          <w:szCs w:val="32"/>
          <w:highlight w:val="none"/>
        </w:rPr>
        <w:t>北京市七个医疗器械产业集聚区之一</w:t>
      </w:r>
      <w:r>
        <w:rPr>
          <w:rFonts w:hint="eastAsia" w:ascii="仿宋_GB2312" w:hAnsi="仿宋" w:eastAsia="仿宋_GB2312"/>
          <w:color w:val="auto"/>
          <w:sz w:val="32"/>
          <w:szCs w:val="32"/>
          <w:highlight w:val="none"/>
          <w:lang w:eastAsia="zh-CN"/>
        </w:rPr>
        <w:t>，</w:t>
      </w:r>
      <w:r>
        <w:rPr>
          <w:rFonts w:hint="eastAsia" w:ascii="仿宋_GB2312" w:hAnsi="仿宋" w:eastAsia="仿宋_GB2312"/>
          <w:color w:val="auto"/>
          <w:sz w:val="32"/>
          <w:szCs w:val="32"/>
          <w:highlight w:val="none"/>
        </w:rPr>
        <w:t>落地心血管疾病全国重点实验室，</w:t>
      </w:r>
      <w:r>
        <w:rPr>
          <w:rFonts w:hint="eastAsia" w:ascii="仿宋_GB2312" w:hAnsi="仿宋" w:eastAsia="仿宋_GB2312"/>
          <w:color w:val="auto"/>
          <w:sz w:val="32"/>
          <w:szCs w:val="32"/>
          <w:highlight w:val="none"/>
          <w:lang w:val="en-US" w:eastAsia="zh-CN"/>
        </w:rPr>
        <w:t>2家实验室获评北京市重点实验室</w:t>
      </w:r>
      <w:r>
        <w:rPr>
          <w:rFonts w:hint="eastAsia" w:ascii="仿宋_GB2312" w:hAnsi="仿宋" w:eastAsia="仿宋_GB2312"/>
          <w:color w:val="auto"/>
          <w:sz w:val="32"/>
          <w:szCs w:val="32"/>
          <w:highlight w:val="none"/>
        </w:rPr>
        <w:t>。</w:t>
      </w:r>
    </w:p>
    <w:p w14:paraId="390C13DC">
      <w:pPr>
        <w:numPr>
          <w:ilvl w:val="255"/>
          <w:numId w:val="0"/>
        </w:numPr>
        <w:spacing w:line="560" w:lineRule="exact"/>
        <w:ind w:firstLine="643" w:firstLineChars="200"/>
        <w:rPr>
          <w:rFonts w:hint="eastAsia" w:ascii="仿宋_GB2312" w:hAnsi="仿宋" w:eastAsia="仿宋_GB2312"/>
          <w:color w:val="auto"/>
          <w:sz w:val="32"/>
          <w:szCs w:val="32"/>
          <w:highlight w:val="none"/>
        </w:rPr>
      </w:pPr>
      <w:r>
        <w:rPr>
          <w:rFonts w:hint="eastAsia" w:ascii="仿宋_GB2312" w:hAnsi="仿宋_GB2312" w:eastAsia="仿宋_GB2312" w:cs="仿宋_GB2312"/>
          <w:b/>
          <w:bCs/>
          <w:color w:val="auto"/>
          <w:sz w:val="32"/>
          <w:szCs w:val="32"/>
          <w:highlight w:val="none"/>
        </w:rPr>
        <w:t>创新发展迈上新台阶。</w:t>
      </w:r>
      <w:r>
        <w:rPr>
          <w:rFonts w:hint="eastAsia" w:ascii="仿宋_GB2312" w:hAnsi="仿宋" w:eastAsia="仿宋_GB2312"/>
          <w:color w:val="auto"/>
          <w:sz w:val="32"/>
          <w:szCs w:val="32"/>
          <w:highlight w:val="none"/>
        </w:rPr>
        <w:t>门头沟园收入规模突破千亿，2025年园区总收入1117.3亿元，是2020年的2.7倍。全区技术合同成交金额144.4亿元，是“十三五”末的4.6倍。优质企业加快培育壮大，专精特新企业</w:t>
      </w:r>
      <w:r>
        <w:rPr>
          <w:rFonts w:hint="eastAsia" w:ascii="仿宋_GB2312" w:hAnsi="仿宋" w:eastAsia="仿宋_GB2312"/>
          <w:color w:val="auto"/>
          <w:sz w:val="32"/>
          <w:szCs w:val="32"/>
          <w:highlight w:val="none"/>
          <w:lang w:val="en-US" w:eastAsia="zh-CN"/>
        </w:rPr>
        <w:t>数</w:t>
      </w:r>
      <w:r>
        <w:rPr>
          <w:rFonts w:hint="eastAsia" w:ascii="仿宋_GB2312" w:hAnsi="仿宋" w:eastAsia="仿宋_GB2312"/>
          <w:color w:val="auto"/>
          <w:sz w:val="32"/>
          <w:szCs w:val="32"/>
          <w:highlight w:val="none"/>
        </w:rPr>
        <w:t>增长24倍、达到225家，国家“小巨人”企业从1家增加到14家，国家高新技术企业达到581家，境内外上市企业增长50%、达到9家</w:t>
      </w:r>
      <w:r>
        <w:rPr>
          <w:rFonts w:hint="eastAsia" w:ascii="仿宋_GB2312" w:hAnsi="仿宋" w:eastAsia="仿宋_GB2312"/>
          <w:color w:val="auto"/>
          <w:sz w:val="32"/>
          <w:szCs w:val="32"/>
          <w:highlight w:val="none"/>
          <w:lang w:eastAsia="zh-CN"/>
        </w:rPr>
        <w:t>。</w:t>
      </w:r>
      <w:r>
        <w:rPr>
          <w:rFonts w:hint="eastAsia" w:ascii="仿宋_GB2312" w:hAnsi="仿宋" w:eastAsia="仿宋_GB2312"/>
          <w:color w:val="auto"/>
          <w:sz w:val="32"/>
          <w:szCs w:val="32"/>
          <w:highlight w:val="none"/>
          <w:lang w:val="en-US" w:eastAsia="zh-CN"/>
        </w:rPr>
        <w:t>市级概念验证平台、</w:t>
      </w:r>
      <w:r>
        <w:rPr>
          <w:rFonts w:hint="eastAsia" w:ascii="仿宋_GB2312" w:hAnsi="仿宋" w:eastAsia="仿宋_GB2312"/>
          <w:color w:val="auto"/>
          <w:sz w:val="32"/>
          <w:szCs w:val="32"/>
          <w:highlight w:val="none"/>
        </w:rPr>
        <w:t>独角兽企业、跨国公司总部</w:t>
      </w:r>
      <w:r>
        <w:rPr>
          <w:rFonts w:hint="eastAsia" w:ascii="仿宋_GB2312" w:hAnsi="仿宋" w:eastAsia="仿宋_GB2312"/>
          <w:color w:val="auto"/>
          <w:sz w:val="32"/>
          <w:szCs w:val="32"/>
          <w:highlight w:val="none"/>
          <w:lang w:eastAsia="zh-CN"/>
        </w:rPr>
        <w:t>、</w:t>
      </w:r>
      <w:r>
        <w:rPr>
          <w:rFonts w:hint="eastAsia" w:ascii="仿宋_GB2312" w:hAnsi="仿宋" w:eastAsia="仿宋_GB2312"/>
          <w:color w:val="auto"/>
          <w:sz w:val="32"/>
          <w:szCs w:val="32"/>
          <w:highlight w:val="none"/>
        </w:rPr>
        <w:t>市级科技企业孵化器实现零突破。中关村（京西）人工智能科技园开园运营，阜外医院西山院区建成投用，</w:t>
      </w:r>
      <w:r>
        <w:rPr>
          <w:rFonts w:ascii="仿宋_GB2312" w:hAnsi="仿宋" w:eastAsia="仿宋_GB2312"/>
          <w:color w:val="auto"/>
          <w:sz w:val="32"/>
          <w:szCs w:val="32"/>
          <w:highlight w:val="none"/>
        </w:rPr>
        <w:t>京西智谷通用人工智能育新基地、百洋心血管创新药械</w:t>
      </w:r>
      <w:r>
        <w:rPr>
          <w:rFonts w:hint="eastAsia" w:ascii="仿宋_GB2312" w:hAnsi="Times New Roman" w:eastAsia="仿宋_GB2312"/>
          <w:snapToGrid w:val="0"/>
          <w:color w:val="auto"/>
          <w:sz w:val="32"/>
          <w:szCs w:val="32"/>
          <w:highlight w:val="none"/>
          <w:shd w:val="clear" w:color="auto" w:fill="FFFFFF"/>
        </w:rPr>
        <w:t>育新基地</w:t>
      </w:r>
      <w:r>
        <w:rPr>
          <w:rFonts w:hint="eastAsia" w:ascii="仿宋_GB2312" w:hAnsi="Times New Roman" w:eastAsia="仿宋_GB2312"/>
          <w:snapToGrid w:val="0"/>
          <w:color w:val="auto"/>
          <w:sz w:val="32"/>
          <w:szCs w:val="32"/>
          <w:highlight w:val="none"/>
        </w:rPr>
        <w:t>入选全市首批未来产业育新基地。</w:t>
      </w:r>
    </w:p>
    <w:p w14:paraId="1F62B252">
      <w:pPr>
        <w:numPr>
          <w:ilvl w:val="255"/>
          <w:numId w:val="0"/>
        </w:numPr>
        <w:spacing w:line="560" w:lineRule="exact"/>
        <w:ind w:firstLine="643"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垂直</w:t>
      </w:r>
      <w:r>
        <w:rPr>
          <w:rFonts w:hint="eastAsia" w:ascii="仿宋_GB2312" w:hAnsi="仿宋_GB2312" w:eastAsia="仿宋_GB2312" w:cs="仿宋_GB2312"/>
          <w:b/>
          <w:bCs/>
          <w:color w:val="auto"/>
          <w:sz w:val="32"/>
          <w:szCs w:val="32"/>
          <w:highlight w:val="none"/>
        </w:rPr>
        <w:t>营商环境不断优化。</w:t>
      </w:r>
      <w:r>
        <w:rPr>
          <w:rFonts w:hint="eastAsia" w:ascii="仿宋_GB2312" w:hAnsi="仿宋_GB2312" w:eastAsia="仿宋_GB2312" w:cs="仿宋_GB2312"/>
          <w:color w:val="auto"/>
          <w:sz w:val="32"/>
          <w:szCs w:val="32"/>
          <w:highlight w:val="none"/>
          <w:lang w:val="en-US" w:eastAsia="zh-CN"/>
        </w:rPr>
        <w:t>发布支持高端药械、信软、工业和高新技术企业高质量发展的政策，</w:t>
      </w:r>
      <w:r>
        <w:rPr>
          <w:rFonts w:hint="eastAsia" w:ascii="仿宋_GB2312" w:hAnsi="仿宋_GB2312" w:eastAsia="仿宋_GB2312" w:cs="仿宋_GB2312"/>
          <w:color w:val="auto"/>
          <w:sz w:val="32"/>
          <w:szCs w:val="32"/>
          <w:highlight w:val="none"/>
        </w:rPr>
        <w:t>构建“大前台”服务体系，成立园区创新发展促进中心，建立“园区服务管家+服务包”体制机制。发布全市首个人工智能算法领域专门人才政策—“算法人才十条”，推出高新产业青年人才“三个一”支持计划。成立京西瑞瓴和百洋铸心科创产业基金，落地全国首笔自然景物数据资产质押融资和全市首单科技企业创业责任险。推动园区法治化营商环境改革，成立京西地区首个跨行政区划、跨服务领域的法律服务团队—京西法律智谷。</w:t>
      </w:r>
    </w:p>
    <w:p w14:paraId="285FADA3">
      <w:pPr>
        <w:spacing w:line="560" w:lineRule="exact"/>
        <w:ind w:firstLine="640" w:firstLineChars="200"/>
        <w:rPr>
          <w:rFonts w:hint="eastAsia" w:ascii="仿宋_GB2312" w:hAnsi="仿宋_GB2312" w:eastAsia="仿宋_GB2312" w:cs="仿宋_GB2312"/>
          <w:color w:val="auto"/>
          <w:sz w:val="32"/>
          <w:szCs w:val="32"/>
          <w:highlight w:val="none"/>
        </w:rPr>
      </w:pPr>
      <w:bookmarkStart w:id="210" w:name="_Toc2027127646"/>
      <w:bookmarkStart w:id="211" w:name="_Toc1296965911"/>
      <w:bookmarkStart w:id="212" w:name="_Toc20482"/>
      <w:bookmarkStart w:id="213" w:name="_Toc1699492085"/>
      <w:bookmarkStart w:id="214" w:name="_Toc1598461473"/>
      <w:bookmarkStart w:id="215" w:name="_Toc11711"/>
      <w:bookmarkStart w:id="216" w:name="_Toc7596"/>
      <w:bookmarkStart w:id="217" w:name="_Toc1866496931"/>
      <w:bookmarkStart w:id="218" w:name="_Toc928978882"/>
      <w:bookmarkStart w:id="219" w:name="_Toc926941378"/>
      <w:bookmarkStart w:id="220" w:name="_Toc1812307697"/>
      <w:bookmarkStart w:id="221" w:name="_Toc414853499"/>
      <w:bookmarkStart w:id="222" w:name="_Toc287712708"/>
      <w:bookmarkStart w:id="223" w:name="_Toc1163514930"/>
      <w:bookmarkStart w:id="224" w:name="_Toc620451017"/>
      <w:r>
        <w:rPr>
          <w:rFonts w:hint="eastAsia" w:ascii="仿宋_GB2312" w:hAnsi="Times New Roman" w:eastAsia="仿宋_GB2312" w:cs="Times New Roman"/>
          <w:color w:val="auto"/>
          <w:sz w:val="32"/>
          <w:szCs w:val="32"/>
          <w:highlight w:val="none"/>
        </w:rPr>
        <w:t>同时，门头沟区产业和园区发展仍然面临许多不足与挑战：创新动能不够强，创新投入和产出效能有待提升；</w:t>
      </w:r>
      <w:r>
        <w:rPr>
          <w:rFonts w:hint="eastAsia" w:ascii="仿宋_GB2312" w:hAnsi="仿宋_GB2312" w:eastAsia="仿宋_GB2312" w:cs="仿宋_GB2312"/>
          <w:color w:val="auto"/>
          <w:sz w:val="32"/>
          <w:szCs w:val="32"/>
          <w:highlight w:val="none"/>
        </w:rPr>
        <w:t>“三大产业”仍处于培育期，规模比较小，聚集效应不突出，对区域的贡献度有待提升；科技领军企业少，优质企业发展梯度仍需培育壮大；营商环境还需持续优化，产城人融合发展水平有待提升，创新</w:t>
      </w:r>
      <w:r>
        <w:rPr>
          <w:rFonts w:ascii="仿宋_GB2312" w:hAnsi="仿宋_GB2312" w:eastAsia="仿宋_GB2312" w:cs="仿宋_GB2312"/>
          <w:color w:val="auto"/>
          <w:sz w:val="32"/>
          <w:szCs w:val="32"/>
          <w:highlight w:val="none"/>
        </w:rPr>
        <w:t>人才</w:t>
      </w:r>
      <w:r>
        <w:rPr>
          <w:rFonts w:hint="eastAsia" w:ascii="仿宋_GB2312" w:hAnsi="仿宋_GB2312" w:eastAsia="仿宋_GB2312" w:cs="仿宋_GB2312"/>
          <w:color w:val="auto"/>
          <w:sz w:val="32"/>
          <w:szCs w:val="32"/>
          <w:highlight w:val="none"/>
        </w:rPr>
        <w:t>吸</w:t>
      </w:r>
      <w:r>
        <w:rPr>
          <w:rFonts w:ascii="仿宋_GB2312" w:hAnsi="仿宋_GB2312" w:eastAsia="仿宋_GB2312" w:cs="仿宋_GB2312"/>
          <w:color w:val="auto"/>
          <w:sz w:val="32"/>
          <w:szCs w:val="32"/>
          <w:highlight w:val="none"/>
        </w:rPr>
        <w:t>引力和活力</w:t>
      </w:r>
      <w:r>
        <w:rPr>
          <w:rFonts w:hint="eastAsia" w:ascii="仿宋_GB2312" w:hAnsi="仿宋_GB2312" w:eastAsia="仿宋_GB2312" w:cs="仿宋_GB2312"/>
          <w:color w:val="auto"/>
          <w:sz w:val="32"/>
          <w:szCs w:val="32"/>
          <w:highlight w:val="none"/>
        </w:rPr>
        <w:t>需进一步增强。</w:t>
      </w:r>
    </w:p>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14:paraId="79950261">
      <w:pPr>
        <w:numPr>
          <w:ilvl w:val="0"/>
          <w:numId w:val="0"/>
        </w:numPr>
        <w:spacing w:line="560" w:lineRule="exact"/>
        <w:ind w:firstLine="640" w:firstLineChars="200"/>
        <w:outlineLvl w:val="1"/>
        <w:rPr>
          <w:rFonts w:hint="default" w:ascii="楷体_GB2312" w:hAnsi="楷体_GB2312" w:eastAsia="楷体_GB2312" w:cs="楷体_GB2312"/>
          <w:color w:val="auto"/>
          <w:sz w:val="32"/>
          <w:szCs w:val="32"/>
          <w:highlight w:val="none"/>
          <w:lang w:val="en-US"/>
        </w:rPr>
      </w:pPr>
      <w:bookmarkStart w:id="225" w:name="_Toc618"/>
      <w:bookmarkStart w:id="226" w:name="_Toc14497"/>
      <w:bookmarkStart w:id="227" w:name="_Toc27979"/>
      <w:bookmarkStart w:id="228" w:name="_Toc31835"/>
      <w:bookmarkStart w:id="229" w:name="_Toc21883"/>
      <w:bookmarkStart w:id="230" w:name="_Toc9624"/>
      <w:bookmarkStart w:id="231" w:name="_Toc23969"/>
      <w:bookmarkStart w:id="232" w:name="_Toc9115"/>
      <w:bookmarkStart w:id="233" w:name="_Toc10013"/>
      <w:bookmarkStart w:id="234" w:name="_Toc25050"/>
      <w:bookmarkStart w:id="235" w:name="_Toc21563"/>
      <w:bookmarkStart w:id="236" w:name="_Toc32508"/>
      <w:bookmarkStart w:id="237" w:name="_Toc14989"/>
      <w:bookmarkStart w:id="238" w:name="_Toc2197"/>
      <w:bookmarkStart w:id="239" w:name="_Toc21482"/>
      <w:bookmarkStart w:id="240" w:name="_Toc18175"/>
      <w:bookmarkStart w:id="241" w:name="_Toc24339"/>
      <w:bookmarkStart w:id="242" w:name="_Toc24745"/>
      <w:bookmarkStart w:id="243" w:name="_Toc21900"/>
      <w:bookmarkStart w:id="244" w:name="_Toc23948"/>
      <w:bookmarkStart w:id="245" w:name="_Toc4371"/>
      <w:bookmarkStart w:id="246" w:name="_Toc18767"/>
      <w:bookmarkStart w:id="247" w:name="_Toc10514"/>
      <w:bookmarkStart w:id="248" w:name="_Toc8783"/>
      <w:bookmarkStart w:id="249" w:name="_Toc22929"/>
      <w:bookmarkStart w:id="250" w:name="_Toc5797"/>
      <w:bookmarkStart w:id="251" w:name="_Toc8471"/>
      <w:bookmarkStart w:id="252" w:name="_Toc30584"/>
      <w:bookmarkStart w:id="253" w:name="_Toc26727"/>
      <w:bookmarkStart w:id="254" w:name="_Toc7712"/>
      <w:bookmarkStart w:id="255" w:name="_Toc19638"/>
      <w:bookmarkStart w:id="256" w:name="_Toc794"/>
      <w:bookmarkStart w:id="257" w:name="_Toc2442"/>
      <w:bookmarkStart w:id="258" w:name="_Toc20190"/>
      <w:bookmarkStart w:id="259" w:name="_Toc22899"/>
      <w:bookmarkStart w:id="260" w:name="_Toc3887"/>
      <w:bookmarkStart w:id="261" w:name="_Toc2724"/>
      <w:bookmarkStart w:id="262" w:name="_Toc15176"/>
      <w:bookmarkStart w:id="263" w:name="_Toc7369"/>
      <w:bookmarkStart w:id="264" w:name="_Toc2423"/>
      <w:bookmarkStart w:id="265" w:name="_Toc23845"/>
      <w:bookmarkStart w:id="266" w:name="_Toc641581188"/>
      <w:bookmarkStart w:id="267" w:name="_Toc17221"/>
      <w:bookmarkStart w:id="268" w:name="_Toc26491"/>
      <w:bookmarkStart w:id="269" w:name="_Toc25996"/>
      <w:bookmarkStart w:id="270" w:name="_Toc24723"/>
      <w:bookmarkStart w:id="271" w:name="_Toc26293"/>
      <w:bookmarkStart w:id="272" w:name="_Toc30362"/>
      <w:bookmarkStart w:id="273" w:name="_Toc7780"/>
      <w:bookmarkStart w:id="274" w:name="_Toc27089"/>
      <w:bookmarkStart w:id="275" w:name="_Toc1998"/>
      <w:bookmarkStart w:id="276" w:name="_Toc332"/>
      <w:bookmarkStart w:id="277" w:name="_Toc22414"/>
      <w:bookmarkStart w:id="278" w:name="_Toc2095"/>
      <w:bookmarkStart w:id="279" w:name="_Toc2259"/>
      <w:bookmarkStart w:id="280" w:name="_Toc3741"/>
      <w:bookmarkStart w:id="281" w:name="_Toc31521"/>
      <w:bookmarkStart w:id="282" w:name="_Toc2060"/>
      <w:bookmarkStart w:id="283" w:name="_Toc26708"/>
      <w:bookmarkStart w:id="284" w:name="_Toc4888"/>
      <w:bookmarkStart w:id="285" w:name="_Toc17226"/>
      <w:bookmarkStart w:id="286" w:name="_Toc26441"/>
      <w:bookmarkStart w:id="287" w:name="_Toc3415"/>
      <w:bookmarkStart w:id="288" w:name="_Toc24527"/>
      <w:bookmarkStart w:id="289" w:name="_Toc8296"/>
      <w:bookmarkStart w:id="290" w:name="_Toc23016"/>
      <w:bookmarkStart w:id="291" w:name="_Toc4087"/>
      <w:bookmarkStart w:id="292" w:name="_Toc7200"/>
      <w:bookmarkStart w:id="293" w:name="_Toc30903"/>
      <w:bookmarkStart w:id="294" w:name="_Toc32447"/>
      <w:bookmarkStart w:id="295" w:name="_Toc31238"/>
      <w:bookmarkStart w:id="296" w:name="_Toc1234"/>
      <w:bookmarkStart w:id="297" w:name="_Toc7664"/>
      <w:bookmarkStart w:id="298" w:name="_Toc22459"/>
      <w:bookmarkStart w:id="299" w:name="_Toc13958"/>
      <w:bookmarkStart w:id="300" w:name="_Toc4705"/>
      <w:bookmarkStart w:id="301" w:name="_Toc16204"/>
      <w:bookmarkStart w:id="302" w:name="_Toc15014"/>
      <w:bookmarkStart w:id="303" w:name="_Toc29963"/>
      <w:bookmarkStart w:id="304" w:name="_Toc18560"/>
      <w:bookmarkStart w:id="305" w:name="_Toc23060"/>
      <w:bookmarkStart w:id="306" w:name="_Toc3231"/>
      <w:bookmarkStart w:id="307" w:name="_Toc8543"/>
      <w:bookmarkStart w:id="308" w:name="_Toc21179"/>
      <w:bookmarkStart w:id="309" w:name="_Toc26301"/>
      <w:bookmarkStart w:id="310" w:name="_Toc7368"/>
      <w:bookmarkStart w:id="311" w:name="_Toc2392"/>
      <w:bookmarkStart w:id="312" w:name="_Toc652"/>
      <w:bookmarkStart w:id="313" w:name="_Toc30141"/>
      <w:bookmarkStart w:id="314" w:name="_Toc31620"/>
      <w:bookmarkStart w:id="315" w:name="_Toc25929"/>
      <w:bookmarkStart w:id="316" w:name="_Toc20613"/>
      <w:bookmarkStart w:id="317" w:name="_Toc1222"/>
      <w:bookmarkStart w:id="318" w:name="_Toc6873"/>
      <w:bookmarkStart w:id="319" w:name="_Toc12142"/>
      <w:r>
        <w:rPr>
          <w:rFonts w:hint="eastAsia" w:ascii="楷体_GB2312" w:hAnsi="楷体_GB2312" w:eastAsia="楷体_GB2312" w:cs="楷体_GB2312"/>
          <w:color w:val="auto"/>
          <w:kern w:val="2"/>
          <w:sz w:val="32"/>
          <w:szCs w:val="32"/>
          <w:highlight w:val="none"/>
          <w:lang w:val="en-US" w:eastAsia="zh-CN" w:bidi="ar-SA"/>
        </w:rPr>
        <w:t>（二）</w:t>
      </w:r>
      <w:r>
        <w:rPr>
          <w:rFonts w:hint="eastAsia" w:ascii="楷体_GB2312" w:hAnsi="楷体_GB2312" w:eastAsia="楷体_GB2312" w:cs="楷体_GB2312"/>
          <w:color w:val="auto"/>
          <w:sz w:val="32"/>
          <w:szCs w:val="32"/>
          <w:highlight w:val="none"/>
        </w:rPr>
        <w:t>形势</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r>
        <w:rPr>
          <w:rFonts w:hint="eastAsia" w:ascii="楷体_GB2312" w:hAnsi="楷体_GB2312" w:eastAsia="楷体_GB2312" w:cs="楷体_GB2312"/>
          <w:color w:val="auto"/>
          <w:sz w:val="32"/>
          <w:szCs w:val="32"/>
          <w:highlight w:val="none"/>
        </w:rPr>
        <w:t>使命</w:t>
      </w:r>
      <w:bookmarkEnd w:id="311"/>
      <w:bookmarkEnd w:id="312"/>
      <w:bookmarkEnd w:id="313"/>
      <w:bookmarkEnd w:id="314"/>
      <w:bookmarkEnd w:id="315"/>
      <w:bookmarkEnd w:id="316"/>
      <w:bookmarkEnd w:id="317"/>
      <w:bookmarkEnd w:id="318"/>
      <w:bookmarkEnd w:id="319"/>
      <w:r>
        <w:rPr>
          <w:rFonts w:hint="eastAsia" w:ascii="楷体_GB2312" w:hAnsi="楷体_GB2312" w:eastAsia="楷体_GB2312" w:cs="楷体_GB2312"/>
          <w:color w:val="auto"/>
          <w:sz w:val="32"/>
          <w:szCs w:val="32"/>
          <w:highlight w:val="none"/>
          <w:lang w:val="en-US" w:eastAsia="zh-CN"/>
        </w:rPr>
        <w:t xml:space="preserve"> </w:t>
      </w:r>
    </w:p>
    <w:p w14:paraId="06F76BD0">
      <w:pPr>
        <w:widowControl/>
        <w:spacing w:line="560" w:lineRule="exact"/>
        <w:ind w:firstLine="643" w:firstLineChars="200"/>
        <w:outlineLvl w:val="9"/>
        <w:rPr>
          <w:rFonts w:hint="default"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rPr>
        <w:t>产业发展迎来战略跃升期。</w:t>
      </w:r>
      <w:r>
        <w:rPr>
          <w:rFonts w:hint="eastAsia" w:ascii="仿宋_GB2312" w:hAnsi="仿宋_GB2312" w:eastAsia="仿宋_GB2312" w:cs="仿宋_GB2312"/>
          <w:color w:val="auto"/>
          <w:sz w:val="32"/>
          <w:szCs w:val="32"/>
          <w:highlight w:val="none"/>
        </w:rPr>
        <w:t>当前，</w:t>
      </w:r>
      <w:r>
        <w:rPr>
          <w:rFonts w:ascii="仿宋_GB2312" w:hAnsi="Times New Roman" w:eastAsia="仿宋_GB2312"/>
          <w:color w:val="auto"/>
          <w:sz w:val="32"/>
          <w:szCs w:val="32"/>
          <w:highlight w:val="none"/>
        </w:rPr>
        <w:t>以人工智能、生命科学等为代表的新一轮科技革命正在重塑全球</w:t>
      </w:r>
      <w:r>
        <w:rPr>
          <w:rFonts w:hint="eastAsia" w:ascii="仿宋_GB2312" w:hAnsi="Times New Roman" w:eastAsia="仿宋_GB2312"/>
          <w:color w:val="auto"/>
          <w:sz w:val="32"/>
          <w:szCs w:val="32"/>
          <w:highlight w:val="none"/>
        </w:rPr>
        <w:t>竞争</w:t>
      </w:r>
      <w:r>
        <w:rPr>
          <w:rFonts w:ascii="仿宋_GB2312" w:hAnsi="Times New Roman" w:eastAsia="仿宋_GB2312"/>
          <w:color w:val="auto"/>
          <w:sz w:val="32"/>
          <w:szCs w:val="32"/>
          <w:highlight w:val="none"/>
        </w:rPr>
        <w:t>格局、经济形态和治理体系</w:t>
      </w:r>
      <w:r>
        <w:rPr>
          <w:rFonts w:hint="eastAsia" w:ascii="仿宋_GB2312" w:hAnsi="Times New Roman" w:eastAsia="仿宋_GB2312"/>
          <w:color w:val="auto"/>
          <w:sz w:val="32"/>
          <w:szCs w:val="32"/>
          <w:highlight w:val="none"/>
          <w:lang w:eastAsia="zh-CN"/>
        </w:rPr>
        <w:t>，</w:t>
      </w:r>
      <w:r>
        <w:rPr>
          <w:rFonts w:hint="eastAsia" w:ascii="仿宋_GB2312" w:hAnsi="仿宋_GB2312" w:eastAsia="仿宋_GB2312" w:cs="仿宋_GB2312"/>
          <w:bCs/>
          <w:color w:val="auto"/>
          <w:sz w:val="32"/>
          <w:szCs w:val="32"/>
          <w:highlight w:val="none"/>
        </w:rPr>
        <w:t>为</w:t>
      </w:r>
      <w:r>
        <w:rPr>
          <w:rFonts w:hint="eastAsia" w:ascii="仿宋_GB2312" w:hAnsi="仿宋_GB2312" w:eastAsia="仿宋_GB2312" w:cs="仿宋_GB2312"/>
          <w:bCs/>
          <w:color w:val="auto"/>
          <w:sz w:val="32"/>
          <w:szCs w:val="32"/>
          <w:highlight w:val="none"/>
          <w:shd w:val="clear" w:color="auto" w:fill="FFFFFF"/>
        </w:rPr>
        <w:t>培育壮大新质生产力，推动产业智能化</w:t>
      </w:r>
      <w:r>
        <w:rPr>
          <w:rFonts w:hint="eastAsia" w:ascii="仿宋_GB2312" w:hAnsi="仿宋_GB2312" w:eastAsia="仿宋_GB2312" w:cs="仿宋_GB2312"/>
          <w:bCs/>
          <w:color w:val="auto"/>
          <w:sz w:val="32"/>
          <w:szCs w:val="32"/>
          <w:highlight w:val="none"/>
        </w:rPr>
        <w:t>融合化</w:t>
      </w:r>
      <w:r>
        <w:rPr>
          <w:rFonts w:hint="eastAsia" w:ascii="仿宋_GB2312" w:hAnsi="仿宋_GB2312" w:eastAsia="仿宋_GB2312" w:cs="仿宋_GB2312"/>
          <w:bCs/>
          <w:color w:val="auto"/>
          <w:sz w:val="32"/>
          <w:szCs w:val="32"/>
          <w:highlight w:val="none"/>
          <w:shd w:val="clear" w:color="auto" w:fill="FFFFFF"/>
        </w:rPr>
        <w:t>绿色化发展</w:t>
      </w:r>
      <w:r>
        <w:rPr>
          <w:rFonts w:hint="eastAsia" w:ascii="仿宋_GB2312" w:hAnsi="仿宋_GB2312" w:eastAsia="仿宋_GB2312" w:cs="仿宋_GB2312"/>
          <w:bCs/>
          <w:color w:val="auto"/>
          <w:sz w:val="32"/>
          <w:szCs w:val="32"/>
          <w:highlight w:val="none"/>
        </w:rPr>
        <w:t>带来重大战略机遇。面对战略窗口期</w:t>
      </w:r>
      <w:r>
        <w:rPr>
          <w:rFonts w:hint="eastAsia" w:ascii="仿宋_GB2312" w:hAnsi="仿宋_GB2312" w:eastAsia="仿宋_GB2312" w:cs="仿宋_GB2312"/>
          <w:bCs/>
          <w:color w:val="auto"/>
          <w:sz w:val="32"/>
          <w:szCs w:val="32"/>
          <w:highlight w:val="none"/>
          <w:lang w:eastAsia="zh-CN"/>
        </w:rPr>
        <w:t>，门头沟区要</w:t>
      </w:r>
      <w:r>
        <w:rPr>
          <w:rFonts w:hint="eastAsia" w:ascii="仿宋_GB2312" w:hAnsi="仿宋_GB2312" w:eastAsia="仿宋_GB2312" w:cs="仿宋_GB2312"/>
          <w:bCs/>
          <w:color w:val="auto"/>
          <w:sz w:val="32"/>
          <w:szCs w:val="32"/>
          <w:highlight w:val="none"/>
        </w:rPr>
        <w:t>以中关村科技园区门头沟园为主阵地，</w:t>
      </w:r>
      <w:r>
        <w:rPr>
          <w:rFonts w:hint="eastAsia" w:ascii="仿宋_GB2312" w:hAnsi="仿宋_GB2312" w:eastAsia="仿宋_GB2312" w:cs="仿宋_GB2312"/>
          <w:bCs/>
          <w:color w:val="auto"/>
          <w:sz w:val="32"/>
          <w:szCs w:val="32"/>
          <w:highlight w:val="none"/>
          <w:lang w:eastAsia="zh-CN"/>
        </w:rPr>
        <w:t>加快</w:t>
      </w:r>
      <w:r>
        <w:rPr>
          <w:rFonts w:hint="eastAsia" w:ascii="仿宋_GB2312" w:hAnsi="仿宋_GB2312" w:eastAsia="仿宋_GB2312" w:cs="仿宋_GB2312"/>
          <w:bCs/>
          <w:color w:val="auto"/>
          <w:sz w:val="32"/>
          <w:szCs w:val="32"/>
          <w:highlight w:val="none"/>
        </w:rPr>
        <w:t>做大做强“三大产业”，推动科技创新与产业创新深度融合，加速科技成果转化落地，高标准打造长安街西延线上的专精特新园区，加快构建</w:t>
      </w:r>
      <w:r>
        <w:rPr>
          <w:rFonts w:hint="eastAsia" w:ascii="仿宋_GB2312" w:hAnsi="仿宋_GB2312" w:eastAsia="仿宋_GB2312" w:cs="仿宋_GB2312"/>
          <w:bCs/>
          <w:color w:val="auto"/>
          <w:sz w:val="32"/>
          <w:szCs w:val="32"/>
          <w:highlight w:val="none"/>
          <w:lang w:eastAsia="zh-CN"/>
        </w:rPr>
        <w:t>青山绿水间</w:t>
      </w:r>
      <w:r>
        <w:rPr>
          <w:rFonts w:hint="eastAsia" w:ascii="仿宋_GB2312" w:hAnsi="仿宋_GB2312" w:eastAsia="仿宋_GB2312" w:cs="仿宋_GB2312"/>
          <w:bCs/>
          <w:color w:val="auto"/>
          <w:sz w:val="32"/>
          <w:szCs w:val="32"/>
          <w:highlight w:val="none"/>
        </w:rPr>
        <w:t>的现代化产业体系，以高新产业加速增长实现经济动能历史性更迭</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lang w:val="en-US" w:eastAsia="zh-CN"/>
        </w:rPr>
        <w:t>力争</w:t>
      </w:r>
      <w:r>
        <w:rPr>
          <w:rFonts w:hint="eastAsia" w:ascii="仿宋_GB2312" w:hAnsi="仿宋_GB2312" w:eastAsia="仿宋_GB2312" w:cs="仿宋_GB2312"/>
          <w:bCs/>
          <w:color w:val="auto"/>
          <w:sz w:val="32"/>
          <w:szCs w:val="32"/>
          <w:highlight w:val="none"/>
          <w:lang w:eastAsia="zh-CN"/>
        </w:rPr>
        <w:t>成为北京参与全球科技创新竞争的重要力量、重要节点和重要引擎。</w:t>
      </w:r>
      <w:r>
        <w:rPr>
          <w:rFonts w:hint="eastAsia" w:ascii="仿宋_GB2312" w:hAnsi="Times New Roman" w:eastAsia="仿宋_GB2312" w:cs="Times New Roman"/>
          <w:color w:val="auto"/>
          <w:kern w:val="2"/>
          <w:sz w:val="32"/>
          <w:szCs w:val="32"/>
          <w:highlight w:val="none"/>
          <w:lang w:val="en-US" w:eastAsia="zh-CN" w:bidi="ar"/>
        </w:rPr>
        <w:t>门头沟园要靶向攻坚短板弱项，纵深</w:t>
      </w:r>
      <w:r>
        <w:rPr>
          <w:rFonts w:hint="eastAsia" w:ascii="仿宋_GB2312" w:hAnsi="Times New Roman" w:eastAsia="仿宋_GB2312" w:cs="Times New Roman"/>
          <w:i w:val="0"/>
          <w:iCs w:val="0"/>
          <w:caps w:val="0"/>
          <w:color w:val="auto"/>
          <w:spacing w:val="0"/>
          <w:sz w:val="32"/>
          <w:szCs w:val="32"/>
          <w:highlight w:val="none"/>
          <w:shd w:val="clear"/>
          <w:lang w:val="en-US" w:eastAsia="zh-CN" w:bidi="ar"/>
        </w:rPr>
        <w:t>推进</w:t>
      </w:r>
      <w:r>
        <w:rPr>
          <w:rFonts w:hint="eastAsia" w:ascii="仿宋_GB2312" w:hAnsi="Times New Roman" w:eastAsia="仿宋_GB2312" w:cs="Times New Roman"/>
          <w:i w:val="0"/>
          <w:iCs w:val="0"/>
          <w:caps w:val="0"/>
          <w:color w:val="auto"/>
          <w:spacing w:val="0"/>
          <w:sz w:val="32"/>
          <w:szCs w:val="32"/>
          <w:highlight w:val="none"/>
          <w:shd w:val="clear" w:fill="FFFFFF"/>
          <w:lang w:bidi="ar"/>
        </w:rPr>
        <w:t>产业提质、园区提级、创新提效，</w:t>
      </w:r>
      <w:r>
        <w:rPr>
          <w:rFonts w:hint="eastAsia" w:ascii="仿宋_GB2312" w:hAnsi="Times New Roman" w:eastAsia="仿宋_GB2312" w:cs="Times New Roman"/>
          <w:i w:val="0"/>
          <w:iCs w:val="0"/>
          <w:caps w:val="0"/>
          <w:color w:val="auto"/>
          <w:spacing w:val="0"/>
          <w:sz w:val="32"/>
          <w:szCs w:val="32"/>
          <w:highlight w:val="none"/>
          <w:shd w:val="clear"/>
          <w:lang w:val="en-US" w:eastAsia="zh-CN" w:bidi="ar"/>
        </w:rPr>
        <w:t>持续</w:t>
      </w:r>
      <w:r>
        <w:rPr>
          <w:rFonts w:hint="eastAsia" w:ascii="仿宋_GB2312" w:hAnsi="Times New Roman" w:eastAsia="仿宋_GB2312" w:cs="Times New Roman"/>
          <w:i w:val="0"/>
          <w:iCs w:val="0"/>
          <w:caps w:val="0"/>
          <w:color w:val="auto"/>
          <w:spacing w:val="0"/>
          <w:sz w:val="32"/>
          <w:szCs w:val="32"/>
          <w:highlight w:val="none"/>
          <w:shd w:val="clear"/>
          <w:lang w:bidi="ar"/>
        </w:rPr>
        <w:t>厚植发展新优势</w:t>
      </w:r>
      <w:r>
        <w:rPr>
          <w:rFonts w:hint="eastAsia" w:ascii="仿宋_GB2312" w:hAnsi="Times New Roman" w:eastAsia="仿宋_GB2312" w:cs="Times New Roman"/>
          <w:i w:val="0"/>
          <w:iCs w:val="0"/>
          <w:caps w:val="0"/>
          <w:color w:val="auto"/>
          <w:spacing w:val="0"/>
          <w:sz w:val="32"/>
          <w:szCs w:val="32"/>
          <w:highlight w:val="none"/>
          <w:shd w:val="clear"/>
          <w:lang w:val="en-US" w:eastAsia="zh-CN" w:bidi="ar"/>
        </w:rPr>
        <w:t>，</w:t>
      </w:r>
      <w:r>
        <w:rPr>
          <w:rFonts w:hint="eastAsia" w:ascii="仿宋_GB2312" w:hAnsi="Times New Roman" w:eastAsia="仿宋_GB2312" w:cs="Times New Roman"/>
          <w:i w:val="0"/>
          <w:iCs w:val="0"/>
          <w:caps w:val="0"/>
          <w:color w:val="auto"/>
          <w:spacing w:val="0"/>
          <w:sz w:val="32"/>
          <w:szCs w:val="32"/>
          <w:highlight w:val="none"/>
          <w:shd w:val="clear"/>
          <w:lang w:bidi="ar"/>
        </w:rPr>
        <w:t>加快实现从“蓄势发</w:t>
      </w:r>
      <w:r>
        <w:rPr>
          <w:rFonts w:hint="eastAsia" w:ascii="仿宋_GB2312" w:hAnsi="Times New Roman" w:eastAsia="仿宋_GB2312" w:cs="Times New Roman"/>
          <w:i w:val="0"/>
          <w:iCs w:val="0"/>
          <w:caps w:val="0"/>
          <w:color w:val="auto"/>
          <w:spacing w:val="0"/>
          <w:sz w:val="32"/>
          <w:szCs w:val="32"/>
          <w:highlight w:val="none"/>
          <w:shd w:val="clear"/>
        </w:rPr>
        <w:t>力”向“聚势跃升”的根本性跨越，</w:t>
      </w:r>
      <w:r>
        <w:rPr>
          <w:rFonts w:hint="eastAsia" w:ascii="仿宋_GB2312" w:hAnsi="Times New Roman" w:eastAsia="仿宋_GB2312" w:cs="Times New Roman"/>
          <w:i w:val="0"/>
          <w:iCs w:val="0"/>
          <w:caps w:val="0"/>
          <w:color w:val="auto"/>
          <w:spacing w:val="0"/>
          <w:sz w:val="32"/>
          <w:szCs w:val="32"/>
          <w:highlight w:val="none"/>
          <w:shd w:val="clear"/>
          <w:lang w:val="en-US" w:eastAsia="zh-CN"/>
        </w:rPr>
        <w:t>奋力在京西高质量发展中走在前、做示范。</w:t>
      </w:r>
    </w:p>
    <w:p w14:paraId="5813BF57">
      <w:pPr>
        <w:widowControl/>
        <w:spacing w:line="560" w:lineRule="exact"/>
        <w:ind w:firstLine="643" w:firstLineChars="200"/>
        <w:rPr>
          <w:rFonts w:hint="eastAsia" w:ascii="仿宋_GB2312" w:hAnsi="Times New Roman" w:eastAsia="仿宋_GB2312" w:cs="Times New Roman"/>
          <w:color w:val="auto"/>
          <w:sz w:val="32"/>
          <w:szCs w:val="32"/>
          <w:highlight w:val="none"/>
        </w:rPr>
      </w:pPr>
      <w:r>
        <w:rPr>
          <w:rFonts w:hint="eastAsia" w:ascii="仿宋_GB2312" w:hAnsi="仿宋_GB2312" w:eastAsia="仿宋_GB2312" w:cs="仿宋_GB2312"/>
          <w:b/>
          <w:bCs/>
          <w:color w:val="auto"/>
          <w:sz w:val="32"/>
          <w:szCs w:val="32"/>
          <w:highlight w:val="none"/>
        </w:rPr>
        <w:t>服务融入首都大局使命在肩。</w:t>
      </w:r>
      <w:r>
        <w:rPr>
          <w:rFonts w:hint="eastAsia" w:ascii="仿宋_GB2312" w:hAnsi="Times New Roman" w:eastAsia="仿宋_GB2312" w:cs="Times New Roman"/>
          <w:i w:val="0"/>
          <w:iCs w:val="0"/>
          <w:caps w:val="0"/>
          <w:color w:val="auto"/>
          <w:spacing w:val="0"/>
          <w:sz w:val="32"/>
          <w:szCs w:val="32"/>
          <w:highlight w:val="none"/>
          <w:shd w:val="clear"/>
          <w:lang w:val="en-US" w:eastAsia="zh-CN"/>
        </w:rPr>
        <w:t>从国家战略来看，统筹推进教育科技人才一体发展，加快发展新质生产力，推动科技创新和产业创新融合发展，全面推进科技强国建设，为门头沟区创新发展指明了方向。从</w:t>
      </w:r>
      <w:r>
        <w:rPr>
          <w:rFonts w:hint="eastAsia" w:ascii="仿宋_GB2312" w:hAnsi="Times New Roman" w:eastAsia="仿宋_GB2312" w:cs="Times New Roman"/>
          <w:b w:val="0"/>
          <w:bCs w:val="0"/>
          <w:color w:val="auto"/>
          <w:sz w:val="32"/>
          <w:szCs w:val="32"/>
          <w:highlight w:val="none"/>
          <w:lang w:val="en-US" w:eastAsia="zh-CN"/>
        </w:rPr>
        <w:t>首都发展来看，北京国际科技创新中心扩围至京津冀，中关村加速迈向世界领先科技园区，“两园一河”市级重大战略落地赋能，为京西区域产业转型升级、动能转换重塑带来了历史性、战略性机遇。立足新发展阶段，门头沟必须深入落实国家战略、融入首都发展大局，借势借力、乘势突破，</w:t>
      </w:r>
      <w:r>
        <w:rPr>
          <w:rFonts w:hint="eastAsia" w:ascii="仿宋_GB2312" w:hAnsi="Times New Roman" w:eastAsia="仿宋_GB2312" w:cs="Times New Roman"/>
          <w:color w:val="auto"/>
          <w:sz w:val="32"/>
          <w:szCs w:val="32"/>
          <w:highlight w:val="none"/>
        </w:rPr>
        <w:t>在加速推动地区绿色高质量转型发展取得决定性进展、高水平建设首都西大门中展现新作为、作出新贡献。</w:t>
      </w:r>
    </w:p>
    <w:p w14:paraId="30A57B52">
      <w:pPr>
        <w:pStyle w:val="2"/>
        <w:spacing w:line="560" w:lineRule="exact"/>
        <w:ind w:firstLine="640"/>
        <w:rPr>
          <w:rFonts w:hint="default" w:ascii="黑体" w:hAnsi="黑体" w:eastAsia="黑体" w:cs="黑体"/>
          <w:color w:val="auto"/>
          <w:szCs w:val="32"/>
          <w:highlight w:val="none"/>
          <w:lang w:val="en-US" w:eastAsia="zh-CN"/>
        </w:rPr>
      </w:pPr>
      <w:bookmarkStart w:id="320" w:name="_Toc29845"/>
      <w:bookmarkStart w:id="321" w:name="_Toc24739"/>
      <w:bookmarkStart w:id="322" w:name="_Toc17816"/>
      <w:bookmarkStart w:id="323" w:name="_Toc7436"/>
      <w:bookmarkStart w:id="324" w:name="_Toc27605"/>
      <w:bookmarkStart w:id="325" w:name="_Toc16591"/>
      <w:bookmarkStart w:id="326" w:name="_Toc30173"/>
      <w:bookmarkStart w:id="327" w:name="_Toc8040"/>
      <w:bookmarkStart w:id="328" w:name="_Toc24567"/>
      <w:bookmarkStart w:id="329" w:name="_Toc28537"/>
      <w:bookmarkStart w:id="330" w:name="_Toc16675"/>
      <w:bookmarkStart w:id="331" w:name="_Toc27500"/>
      <w:bookmarkStart w:id="332" w:name="_Toc32098"/>
      <w:bookmarkStart w:id="333" w:name="_Toc2290"/>
      <w:bookmarkStart w:id="334" w:name="_Toc18131"/>
      <w:bookmarkStart w:id="335" w:name="_Toc4616"/>
      <w:bookmarkStart w:id="336" w:name="_Toc27186"/>
      <w:bookmarkStart w:id="337" w:name="_Toc22323"/>
      <w:bookmarkStart w:id="338" w:name="_Toc19116"/>
      <w:bookmarkStart w:id="339" w:name="_Toc24840"/>
      <w:bookmarkStart w:id="340" w:name="_Toc6416"/>
      <w:bookmarkStart w:id="341" w:name="_Toc31030"/>
      <w:bookmarkStart w:id="342" w:name="_Toc11702"/>
      <w:bookmarkStart w:id="343" w:name="_Toc16376"/>
      <w:bookmarkStart w:id="344" w:name="_Toc30768"/>
      <w:bookmarkStart w:id="345" w:name="_Toc31093"/>
      <w:bookmarkStart w:id="346" w:name="_Toc6622"/>
      <w:bookmarkStart w:id="347" w:name="_Toc4636"/>
      <w:bookmarkStart w:id="348" w:name="_Toc24762"/>
      <w:bookmarkStart w:id="349" w:name="_Toc24531"/>
      <w:bookmarkStart w:id="350" w:name="_Toc27400"/>
      <w:bookmarkStart w:id="351" w:name="_Toc29502"/>
      <w:bookmarkStart w:id="352" w:name="_Toc22174"/>
      <w:bookmarkStart w:id="353" w:name="_Toc11737"/>
      <w:bookmarkStart w:id="354" w:name="_Toc22362"/>
      <w:bookmarkStart w:id="355" w:name="_Toc27725"/>
      <w:bookmarkStart w:id="356" w:name="_Toc16041"/>
      <w:bookmarkStart w:id="357" w:name="_Toc5532"/>
      <w:bookmarkStart w:id="358" w:name="_Toc29335"/>
      <w:bookmarkStart w:id="359" w:name="_Toc1762"/>
      <w:bookmarkStart w:id="360" w:name="_Toc16878"/>
      <w:bookmarkStart w:id="361" w:name="_Toc2042"/>
      <w:bookmarkStart w:id="362" w:name="_Toc6137"/>
      <w:bookmarkStart w:id="363" w:name="_Toc17896"/>
      <w:bookmarkStart w:id="364" w:name="_Toc19012"/>
      <w:bookmarkStart w:id="365" w:name="_Toc28277"/>
      <w:bookmarkStart w:id="366" w:name="_Toc7772"/>
      <w:bookmarkStart w:id="367" w:name="_Toc19795"/>
      <w:bookmarkStart w:id="368" w:name="_Toc15767"/>
      <w:bookmarkStart w:id="369" w:name="_Toc28212"/>
      <w:bookmarkStart w:id="370" w:name="_Toc22475"/>
      <w:bookmarkStart w:id="371" w:name="_Toc8331"/>
      <w:bookmarkStart w:id="372" w:name="_Toc1496"/>
      <w:bookmarkStart w:id="373" w:name="_Toc22821"/>
      <w:bookmarkStart w:id="374" w:name="_Toc11874"/>
      <w:bookmarkStart w:id="375" w:name="_Toc10680"/>
      <w:bookmarkStart w:id="376" w:name="_Toc29465"/>
      <w:bookmarkStart w:id="377" w:name="_Toc5997"/>
      <w:bookmarkStart w:id="378" w:name="_Toc26038"/>
      <w:bookmarkStart w:id="379" w:name="_Toc22858"/>
      <w:bookmarkStart w:id="380" w:name="_Toc1150"/>
      <w:bookmarkStart w:id="381" w:name="_Toc28941"/>
      <w:bookmarkStart w:id="382" w:name="_Toc2318"/>
      <w:bookmarkStart w:id="383" w:name="_Toc18743"/>
      <w:bookmarkStart w:id="384" w:name="_Toc31792"/>
      <w:bookmarkStart w:id="385" w:name="_Toc12785"/>
      <w:bookmarkStart w:id="386" w:name="_Toc32677"/>
      <w:bookmarkStart w:id="387" w:name="_Toc25841"/>
      <w:bookmarkStart w:id="388" w:name="_Toc3167"/>
      <w:bookmarkStart w:id="389" w:name="_Toc30257"/>
      <w:bookmarkStart w:id="390" w:name="_Toc20383"/>
      <w:bookmarkStart w:id="391" w:name="_Toc12680"/>
      <w:bookmarkStart w:id="392" w:name="_Toc5926"/>
      <w:bookmarkStart w:id="393" w:name="_Toc7949"/>
      <w:bookmarkStart w:id="394" w:name="_Toc5114"/>
      <w:bookmarkStart w:id="395" w:name="_Toc24345"/>
      <w:bookmarkStart w:id="396" w:name="_Toc12580"/>
      <w:bookmarkStart w:id="397" w:name="_Toc18340"/>
      <w:bookmarkStart w:id="398" w:name="_Toc3548"/>
      <w:bookmarkStart w:id="399" w:name="_Toc32502"/>
      <w:bookmarkStart w:id="400" w:name="_Toc25672"/>
      <w:bookmarkStart w:id="401" w:name="_Toc27360"/>
      <w:bookmarkStart w:id="402" w:name="_Toc18599"/>
      <w:bookmarkStart w:id="403" w:name="_Toc6295"/>
      <w:bookmarkStart w:id="404" w:name="_Toc19431"/>
      <w:bookmarkStart w:id="405" w:name="_Toc8937"/>
      <w:bookmarkStart w:id="406" w:name="_Toc16895"/>
      <w:bookmarkStart w:id="407" w:name="_Toc13153"/>
      <w:bookmarkStart w:id="408" w:name="_Toc10741"/>
      <w:bookmarkStart w:id="409" w:name="_Toc539635129"/>
      <w:bookmarkStart w:id="410" w:name="_Toc11458"/>
      <w:bookmarkStart w:id="411" w:name="_Toc28738"/>
      <w:bookmarkStart w:id="412" w:name="_Toc31460"/>
      <w:bookmarkStart w:id="413" w:name="_Toc12475"/>
      <w:bookmarkStart w:id="414" w:name="_Toc20324"/>
      <w:r>
        <w:rPr>
          <w:rFonts w:hint="eastAsia" w:ascii="黑体" w:hAnsi="黑体" w:eastAsia="黑体" w:cs="黑体"/>
          <w:color w:val="auto"/>
          <w:szCs w:val="32"/>
          <w:highlight w:val="none"/>
        </w:rPr>
        <w:t>二、</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r>
        <w:rPr>
          <w:rFonts w:hint="eastAsia" w:ascii="黑体" w:hAnsi="黑体" w:eastAsia="黑体" w:cs="黑体"/>
          <w:color w:val="auto"/>
          <w:szCs w:val="32"/>
          <w:highlight w:val="none"/>
        </w:rPr>
        <w:t>总体要求和发展目标</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r>
        <w:rPr>
          <w:rFonts w:hint="eastAsia" w:ascii="黑体" w:hAnsi="黑体" w:eastAsia="黑体" w:cs="黑体"/>
          <w:color w:val="auto"/>
          <w:szCs w:val="32"/>
          <w:highlight w:val="none"/>
          <w:lang w:val="en-US" w:eastAsia="zh-CN"/>
        </w:rPr>
        <w:t xml:space="preserve"> </w:t>
      </w:r>
    </w:p>
    <w:p w14:paraId="5778C9C9">
      <w:pPr>
        <w:spacing w:line="560" w:lineRule="exact"/>
        <w:ind w:firstLine="640" w:firstLineChars="200"/>
        <w:outlineLvl w:val="1"/>
        <w:rPr>
          <w:rFonts w:hint="eastAsia" w:ascii="楷体_GB2312" w:hAnsi="楷体_GB2312" w:eastAsia="楷体_GB2312" w:cs="楷体_GB2312"/>
          <w:color w:val="auto"/>
          <w:sz w:val="32"/>
          <w:szCs w:val="32"/>
          <w:highlight w:val="none"/>
        </w:rPr>
      </w:pPr>
      <w:bookmarkStart w:id="415" w:name="_Toc807435207"/>
      <w:bookmarkStart w:id="416" w:name="_Toc31829"/>
      <w:bookmarkStart w:id="417" w:name="_Toc10863"/>
      <w:bookmarkStart w:id="418" w:name="_Toc30100"/>
      <w:bookmarkStart w:id="419" w:name="_Toc31295"/>
      <w:bookmarkStart w:id="420" w:name="_Toc12662"/>
      <w:bookmarkStart w:id="421" w:name="_Toc14463"/>
      <w:bookmarkStart w:id="422" w:name="_Toc16473"/>
      <w:bookmarkStart w:id="423" w:name="_Toc7259"/>
      <w:bookmarkStart w:id="424" w:name="_Toc10222"/>
      <w:bookmarkStart w:id="425" w:name="_Toc1461213401"/>
      <w:bookmarkStart w:id="426" w:name="_Toc16362"/>
      <w:bookmarkStart w:id="427" w:name="_Toc22791"/>
      <w:bookmarkStart w:id="428" w:name="_Toc25761"/>
      <w:bookmarkStart w:id="429" w:name="_Toc8214"/>
      <w:bookmarkStart w:id="430" w:name="_Toc20962"/>
      <w:bookmarkStart w:id="431" w:name="_Toc1691143609"/>
      <w:bookmarkStart w:id="432" w:name="_Toc2120010390"/>
      <w:bookmarkStart w:id="433" w:name="_Toc295"/>
      <w:bookmarkStart w:id="434" w:name="_Toc26596"/>
      <w:bookmarkStart w:id="435" w:name="_Toc1323246050"/>
      <w:bookmarkStart w:id="436" w:name="_Toc838113082"/>
      <w:bookmarkStart w:id="437" w:name="_Toc2332"/>
      <w:bookmarkStart w:id="438" w:name="_Toc16697"/>
      <w:bookmarkStart w:id="439" w:name="_Toc21792"/>
      <w:bookmarkStart w:id="440" w:name="_Toc28118"/>
      <w:bookmarkStart w:id="441" w:name="_Toc32587"/>
      <w:bookmarkStart w:id="442" w:name="_Toc30895"/>
      <w:bookmarkStart w:id="443" w:name="_Toc12363"/>
      <w:bookmarkStart w:id="444" w:name="_Toc14067"/>
      <w:bookmarkStart w:id="445" w:name="_Toc100008022"/>
      <w:bookmarkStart w:id="446" w:name="_Toc2917"/>
      <w:bookmarkStart w:id="447" w:name="_Toc23160"/>
      <w:bookmarkStart w:id="448" w:name="_Toc13458"/>
      <w:bookmarkStart w:id="449" w:name="_Toc18615"/>
      <w:bookmarkStart w:id="450" w:name="_Toc11062"/>
      <w:bookmarkStart w:id="451" w:name="_Toc4695"/>
      <w:bookmarkStart w:id="452" w:name="_Toc14035"/>
      <w:bookmarkStart w:id="453" w:name="_Toc15026"/>
      <w:bookmarkStart w:id="454" w:name="_Toc10481"/>
      <w:bookmarkStart w:id="455" w:name="_Toc2961"/>
      <w:bookmarkStart w:id="456" w:name="_Toc24112"/>
      <w:bookmarkStart w:id="457" w:name="_Toc30636"/>
      <w:bookmarkStart w:id="458" w:name="_Toc226883329"/>
      <w:bookmarkStart w:id="459" w:name="_Toc11995"/>
      <w:bookmarkStart w:id="460" w:name="_Toc29541"/>
      <w:bookmarkStart w:id="461" w:name="_Toc18518"/>
      <w:bookmarkStart w:id="462" w:name="_Toc18789"/>
      <w:bookmarkStart w:id="463" w:name="_Toc27368"/>
      <w:bookmarkStart w:id="464" w:name="_Toc32292"/>
      <w:bookmarkStart w:id="465" w:name="_Toc5957"/>
      <w:bookmarkStart w:id="466" w:name="_Toc10452"/>
      <w:bookmarkStart w:id="467" w:name="_Toc29991"/>
      <w:bookmarkStart w:id="468" w:name="_Toc9326"/>
      <w:bookmarkStart w:id="469" w:name="_Toc13974"/>
      <w:bookmarkStart w:id="470" w:name="_Toc28600"/>
      <w:bookmarkStart w:id="471" w:name="_Toc2747"/>
      <w:bookmarkStart w:id="472" w:name="_Toc17364"/>
      <w:bookmarkStart w:id="473" w:name="_Toc11360"/>
      <w:bookmarkStart w:id="474" w:name="_Toc20885"/>
      <w:bookmarkStart w:id="475" w:name="_Toc25140"/>
      <w:bookmarkStart w:id="476" w:name="_Toc32674"/>
      <w:bookmarkStart w:id="477" w:name="_Toc29670"/>
      <w:bookmarkStart w:id="478" w:name="_Toc14285"/>
      <w:bookmarkStart w:id="479" w:name="_Toc19286"/>
      <w:bookmarkStart w:id="480" w:name="_Toc17995"/>
      <w:bookmarkStart w:id="481" w:name="_Toc19640"/>
      <w:bookmarkStart w:id="482" w:name="_Toc15129"/>
      <w:bookmarkStart w:id="483" w:name="_Toc421142"/>
      <w:bookmarkStart w:id="484" w:name="_Toc9329"/>
      <w:bookmarkStart w:id="485" w:name="_Toc10081"/>
      <w:bookmarkStart w:id="486" w:name="_Toc13723"/>
      <w:bookmarkStart w:id="487" w:name="_Toc19201"/>
      <w:bookmarkStart w:id="488" w:name="_Toc15508"/>
      <w:bookmarkStart w:id="489" w:name="_Toc691"/>
      <w:bookmarkStart w:id="490" w:name="_Toc21740"/>
      <w:bookmarkStart w:id="491" w:name="_Toc29199"/>
      <w:bookmarkStart w:id="492" w:name="_Toc29390"/>
      <w:bookmarkStart w:id="493" w:name="_Toc13021"/>
      <w:bookmarkStart w:id="494" w:name="_Toc4162"/>
      <w:bookmarkStart w:id="495" w:name="_Toc21546"/>
      <w:bookmarkStart w:id="496" w:name="_Toc4723"/>
      <w:bookmarkStart w:id="497" w:name="_Toc590714385"/>
      <w:bookmarkStart w:id="498" w:name="_Toc12249"/>
      <w:bookmarkStart w:id="499" w:name="_Toc4866"/>
      <w:bookmarkStart w:id="500" w:name="_Toc1297021901"/>
      <w:bookmarkStart w:id="501" w:name="_Toc10797"/>
      <w:bookmarkStart w:id="502" w:name="_Toc32206"/>
      <w:bookmarkStart w:id="503" w:name="_Toc3582"/>
      <w:bookmarkStart w:id="504" w:name="_Toc11247"/>
      <w:bookmarkStart w:id="505" w:name="_Toc5543"/>
      <w:bookmarkStart w:id="506" w:name="_Toc5382"/>
      <w:bookmarkStart w:id="507" w:name="_Toc26186"/>
      <w:bookmarkStart w:id="508" w:name="_Toc24480"/>
      <w:bookmarkStart w:id="509" w:name="_Toc17451"/>
      <w:bookmarkStart w:id="510" w:name="_Toc31786"/>
      <w:bookmarkStart w:id="511" w:name="_Toc21925"/>
      <w:bookmarkStart w:id="512" w:name="_Toc27283"/>
      <w:bookmarkStart w:id="513" w:name="_Toc11582"/>
      <w:bookmarkStart w:id="514" w:name="_Toc1256"/>
      <w:bookmarkStart w:id="515" w:name="_Toc21880"/>
      <w:bookmarkStart w:id="516" w:name="_Toc27357"/>
      <w:bookmarkStart w:id="517" w:name="_Toc20778"/>
      <w:bookmarkStart w:id="518" w:name="_Toc24394"/>
      <w:bookmarkStart w:id="519" w:name="_Toc12732"/>
      <w:bookmarkStart w:id="520" w:name="_Toc3092"/>
      <w:bookmarkStart w:id="521" w:name="_Toc8524"/>
      <w:bookmarkStart w:id="522" w:name="_Toc1140157430"/>
      <w:bookmarkStart w:id="523" w:name="_Toc5060"/>
      <w:bookmarkStart w:id="524" w:name="_Toc21131"/>
      <w:bookmarkStart w:id="525" w:name="_Toc31273"/>
      <w:bookmarkStart w:id="526" w:name="_Toc402502099"/>
      <w:bookmarkStart w:id="527" w:name="_Toc13575"/>
      <w:bookmarkStart w:id="528" w:name="_Toc23442"/>
      <w:bookmarkStart w:id="529" w:name="_Toc9668"/>
      <w:bookmarkStart w:id="530" w:name="_Toc824171822"/>
      <w:bookmarkStart w:id="531" w:name="_Toc6253"/>
      <w:bookmarkStart w:id="532" w:name="_Toc4974"/>
      <w:r>
        <w:rPr>
          <w:rFonts w:hint="eastAsia" w:ascii="楷体_GB2312" w:hAnsi="楷体_GB2312" w:eastAsia="楷体_GB2312" w:cs="楷体_GB2312"/>
          <w:color w:val="auto"/>
          <w:sz w:val="32"/>
          <w:szCs w:val="32"/>
          <w:highlight w:val="none"/>
        </w:rPr>
        <w:t>（一）总体思路</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14:paraId="4FE219CE">
      <w:pPr>
        <w:spacing w:line="560" w:lineRule="exact"/>
        <w:ind w:firstLine="640" w:firstLineChars="200"/>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以习近平新时代中国特色社会主义思想为指导，深入贯彻党的二十大和二十届历次全会精神，贯彻落实习近平总书记对北京</w:t>
      </w:r>
      <w:r>
        <w:rPr>
          <w:rFonts w:hint="eastAsia" w:ascii="仿宋_GB2312" w:hAnsi="仿宋_GB2312" w:eastAsia="仿宋_GB2312" w:cs="仿宋_GB2312"/>
          <w:color w:val="auto"/>
          <w:sz w:val="32"/>
          <w:szCs w:val="32"/>
          <w:highlight w:val="none"/>
        </w:rPr>
        <w:t>（京津冀）</w:t>
      </w:r>
      <w:r>
        <w:rPr>
          <w:rFonts w:hint="eastAsia" w:ascii="仿宋_GB2312" w:hAnsi="仿宋_GB2312" w:eastAsia="仿宋_GB2312" w:cs="仿宋_GB2312"/>
          <w:bCs/>
          <w:color w:val="auto"/>
          <w:sz w:val="32"/>
          <w:szCs w:val="32"/>
          <w:highlight w:val="none"/>
        </w:rPr>
        <w:t>国际科技创新中心和中关村世界领先科技园区建设重要指示批示精神，坚持以新时代首都发展为统领，</w:t>
      </w:r>
      <w:r>
        <w:rPr>
          <w:rFonts w:hint="eastAsia" w:ascii="仿宋_GB2312" w:hAnsi="仿宋_GB2312" w:eastAsia="仿宋_GB2312" w:cs="仿宋_GB2312"/>
          <w:color w:val="auto"/>
          <w:sz w:val="32"/>
          <w:szCs w:val="32"/>
          <w:highlight w:val="none"/>
        </w:rPr>
        <w:t>一张蓝图绘到底、一棒接着一棒干，</w:t>
      </w:r>
      <w:r>
        <w:rPr>
          <w:rFonts w:hint="eastAsia" w:ascii="仿宋_GB2312" w:hAnsi="仿宋_GB2312" w:eastAsia="仿宋_GB2312" w:cs="仿宋_GB2312"/>
          <w:bCs/>
          <w:color w:val="auto"/>
          <w:sz w:val="32"/>
          <w:szCs w:val="32"/>
          <w:highlight w:val="none"/>
        </w:rPr>
        <w:t>紧扣门头沟区功能定位，深入实施“科技强区”战略，聚焦“三横四纵一牵引”发展主线，做强人工智能、超高清视听</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lang w:val="en-US" w:eastAsia="zh-CN"/>
        </w:rPr>
        <w:t>计算视听</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rPr>
        <w:t>、心血管创新药械产业集群，全力打造“京西智谷”“京西剧谷”“中国心谷”三大产业IP，高水平建设长安街上的专精特新园区，打造京西转型增长极、科创智能新引擎、产城融合新典范，为高水平建设首都西大门提供更强动能，为北京（京津冀）国际科技创新中心建设贡献更大力量。</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FAF8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3004E25B">
            <w:pPr>
              <w:numPr>
                <w:ilvl w:val="255"/>
                <w:numId w:val="0"/>
              </w:numPr>
              <w:spacing w:line="440" w:lineRule="exact"/>
              <w:jc w:val="center"/>
              <w:rPr>
                <w:rFonts w:hint="eastAsia" w:ascii="楷体_GB2312" w:hAnsi="楷体_GB2312" w:eastAsia="楷体_GB2312" w:cs="楷体_GB2312"/>
                <w:b/>
                <w:color w:val="auto"/>
                <w:sz w:val="28"/>
                <w:szCs w:val="28"/>
                <w:highlight w:val="none"/>
              </w:rPr>
            </w:pPr>
            <w:r>
              <w:rPr>
                <w:rFonts w:hint="eastAsia" w:ascii="楷体_GB2312" w:hAnsi="楷体_GB2312" w:eastAsia="楷体_GB2312" w:cs="楷体_GB2312"/>
                <w:b/>
                <w:color w:val="auto"/>
                <w:sz w:val="28"/>
                <w:szCs w:val="28"/>
                <w:highlight w:val="none"/>
              </w:rPr>
              <w:t>专栏：三横四纵一牵引</w:t>
            </w:r>
          </w:p>
          <w:p w14:paraId="466C93D3">
            <w:pPr>
              <w:pStyle w:val="4"/>
              <w:spacing w:line="440" w:lineRule="exact"/>
              <w:ind w:firstLine="560"/>
              <w:rPr>
                <w:rFonts w:hint="eastAsia" w:ascii="仿宋_GB2312" w:hAnsi="仿宋_GB2312" w:cs="仿宋_GB2312"/>
                <w:color w:val="auto"/>
                <w:sz w:val="28"/>
                <w:szCs w:val="28"/>
                <w:highlight w:val="none"/>
              </w:rPr>
            </w:pPr>
            <w:r>
              <w:rPr>
                <w:rFonts w:hint="eastAsia" w:ascii="仿宋_GB2312" w:hAnsi="仿宋_GB2312" w:cs="仿宋_GB2312"/>
                <w:color w:val="auto"/>
                <w:sz w:val="28"/>
                <w:szCs w:val="28"/>
                <w:highlight w:val="none"/>
              </w:rPr>
              <w:t>坚持“三横四纵一牵引”发展主线，夯根基、通链条、强牵引，激活科创产业澎湃动能，全面驱动产业能级跃升与园区高质量发展。</w:t>
            </w:r>
          </w:p>
          <w:p w14:paraId="4E6FEC87">
            <w:pPr>
              <w:pStyle w:val="4"/>
              <w:spacing w:line="440" w:lineRule="exact"/>
              <w:ind w:firstLine="562"/>
              <w:rPr>
                <w:rFonts w:hint="eastAsia" w:ascii="仿宋_GB2312" w:hAnsi="仿宋_GB2312" w:cs="仿宋_GB2312"/>
                <w:color w:val="auto"/>
                <w:sz w:val="28"/>
                <w:szCs w:val="28"/>
                <w:highlight w:val="none"/>
              </w:rPr>
            </w:pPr>
            <w:r>
              <w:rPr>
                <w:rFonts w:hint="eastAsia" w:ascii="仿宋_GB2312" w:hAnsi="仿宋_GB2312" w:cs="仿宋_GB2312"/>
                <w:b/>
                <w:bCs/>
                <w:color w:val="auto"/>
                <w:sz w:val="28"/>
                <w:szCs w:val="28"/>
                <w:highlight w:val="none"/>
              </w:rPr>
              <w:t>“三横”筑牢根基。</w:t>
            </w:r>
            <w:r>
              <w:rPr>
                <w:rFonts w:hint="eastAsia" w:ascii="仿宋_GB2312" w:hAnsi="仿宋_GB2312" w:cs="仿宋_GB2312"/>
                <w:color w:val="auto"/>
                <w:sz w:val="28"/>
                <w:szCs w:val="28"/>
                <w:highlight w:val="none"/>
              </w:rPr>
              <w:t>一是高品质的产业空间。坚持产城人融合发展，打造职住平衡、功能复合、生态宜居的产业社区，以空间重构牵引要素集聚。二是高水准的营商环境。坚持需求导向，构建分层分类、全周期“</w:t>
            </w:r>
            <w:r>
              <w:rPr>
                <w:rFonts w:hint="eastAsia" w:ascii="仿宋_GB2312" w:hAnsi="仿宋_GB2312" w:cs="仿宋_GB2312"/>
                <w:color w:val="auto"/>
                <w:sz w:val="28"/>
                <w:szCs w:val="28"/>
                <w:highlight w:val="none"/>
                <w:lang w:val="en-US" w:eastAsia="zh-CN"/>
              </w:rPr>
              <w:t>伙伴</w:t>
            </w:r>
            <w:r>
              <w:rPr>
                <w:rFonts w:hint="eastAsia" w:ascii="仿宋_GB2312" w:hAnsi="仿宋_GB2312" w:cs="仿宋_GB2312"/>
                <w:color w:val="auto"/>
                <w:sz w:val="28"/>
                <w:szCs w:val="28"/>
                <w:highlight w:val="none"/>
              </w:rPr>
              <w:t>式”服务体系，以精准服务增强市场主体获得感。三是高效能的管理运营。坚持有效市场和有为政府相结合，完善园区管理运营机制，提升资源配置效率和专业化服务水平。</w:t>
            </w:r>
          </w:p>
          <w:p w14:paraId="36D1DFF2">
            <w:pPr>
              <w:pStyle w:val="4"/>
              <w:spacing w:line="440" w:lineRule="exact"/>
              <w:ind w:firstLine="562"/>
              <w:rPr>
                <w:rFonts w:hint="eastAsia" w:ascii="仿宋_GB2312" w:hAnsi="仿宋_GB2312" w:cs="仿宋_GB2312"/>
                <w:color w:val="auto"/>
                <w:sz w:val="28"/>
                <w:szCs w:val="28"/>
                <w:highlight w:val="none"/>
              </w:rPr>
            </w:pPr>
            <w:r>
              <w:rPr>
                <w:rFonts w:hint="eastAsia" w:ascii="仿宋_GB2312" w:hAnsi="仿宋_GB2312" w:cs="仿宋_GB2312"/>
                <w:b/>
                <w:bCs/>
                <w:color w:val="auto"/>
                <w:sz w:val="28"/>
                <w:szCs w:val="28"/>
                <w:highlight w:val="none"/>
              </w:rPr>
              <w:t>“四纵”育强动能。</w:t>
            </w:r>
            <w:r>
              <w:rPr>
                <w:rFonts w:hint="eastAsia" w:ascii="仿宋_GB2312" w:hAnsi="仿宋_GB2312" w:cs="仿宋_GB2312"/>
                <w:color w:val="auto"/>
                <w:sz w:val="28"/>
                <w:szCs w:val="28"/>
                <w:highlight w:val="none"/>
              </w:rPr>
              <w:t>一是创新链。强化企业创新主体地位，聚力发展硬科技，打通从“实验室”到“应用场”的成果转化通道。二是产业链。坚持龙头带动、聚链强群，做强“三大产业”，打造具有国际竞争力的产业集群。三是人才链。完善“引育用留”全链条，打造近悦远来的人才发展生态。四是资金链。构建覆盖种子期、成长期、成熟期的科技金融体系，加快建设京西科技金融试验区。</w:t>
            </w:r>
          </w:p>
          <w:p w14:paraId="2C8905C8">
            <w:pPr>
              <w:pStyle w:val="4"/>
              <w:spacing w:line="440" w:lineRule="exact"/>
              <w:ind w:firstLine="562"/>
              <w:rPr>
                <w:rFonts w:hint="eastAsia" w:ascii="仿宋_GB2312" w:hAnsi="仿宋_GB2312" w:cs="仿宋_GB2312"/>
                <w:b/>
                <w:color w:val="auto"/>
                <w:sz w:val="28"/>
                <w:szCs w:val="28"/>
                <w:highlight w:val="none"/>
              </w:rPr>
            </w:pPr>
            <w:r>
              <w:rPr>
                <w:rFonts w:hint="eastAsia" w:ascii="仿宋_GB2312" w:hAnsi="仿宋_GB2312" w:cs="仿宋_GB2312"/>
                <w:b/>
                <w:bCs/>
                <w:color w:val="auto"/>
                <w:sz w:val="28"/>
                <w:szCs w:val="28"/>
                <w:highlight w:val="none"/>
              </w:rPr>
              <w:t>“一牵引”塑造优势。</w:t>
            </w:r>
            <w:r>
              <w:rPr>
                <w:rFonts w:hint="eastAsia" w:ascii="仿宋_GB2312" w:hAnsi="仿宋_GB2312" w:cs="仿宋_GB2312"/>
                <w:color w:val="auto"/>
                <w:sz w:val="28"/>
                <w:szCs w:val="28"/>
                <w:highlight w:val="none"/>
              </w:rPr>
              <w:t>坚持党建引领改革创新，持续激发产业内生发展动力，锻造园区核心竞争优势，为区域转型升级提供根本保障。</w:t>
            </w:r>
          </w:p>
        </w:tc>
      </w:tr>
    </w:tbl>
    <w:p w14:paraId="2CA7D8C6">
      <w:pPr>
        <w:spacing w:line="560" w:lineRule="exact"/>
        <w:ind w:firstLine="640" w:firstLineChars="200"/>
        <w:outlineLvl w:val="1"/>
        <w:rPr>
          <w:rFonts w:hint="eastAsia" w:ascii="楷体_GB2312" w:hAnsi="楷体_GB2312" w:eastAsia="楷体_GB2312" w:cs="楷体_GB2312"/>
          <w:color w:val="auto"/>
          <w:sz w:val="32"/>
          <w:szCs w:val="32"/>
          <w:highlight w:val="none"/>
        </w:rPr>
      </w:pPr>
      <w:bookmarkStart w:id="533" w:name="_Toc25577"/>
      <w:bookmarkStart w:id="534" w:name="_Toc6856"/>
      <w:bookmarkStart w:id="535" w:name="_Toc27600"/>
      <w:bookmarkStart w:id="536" w:name="_Toc16833"/>
      <w:bookmarkStart w:id="537" w:name="_Toc25021"/>
      <w:bookmarkStart w:id="538" w:name="_Toc29211"/>
      <w:bookmarkStart w:id="539" w:name="_Toc16968"/>
      <w:bookmarkStart w:id="540" w:name="_Toc19620"/>
      <w:bookmarkStart w:id="541" w:name="_Toc22335"/>
      <w:bookmarkStart w:id="542" w:name="_Toc8994"/>
      <w:bookmarkStart w:id="543" w:name="_Toc26413"/>
      <w:bookmarkStart w:id="544" w:name="_Toc13173"/>
      <w:bookmarkStart w:id="545" w:name="_Toc10611"/>
      <w:bookmarkStart w:id="546" w:name="_Toc24026"/>
      <w:bookmarkStart w:id="547" w:name="_Toc7991"/>
      <w:bookmarkStart w:id="548" w:name="_Toc14175"/>
      <w:bookmarkStart w:id="549" w:name="_Toc686"/>
      <w:bookmarkStart w:id="550" w:name="_Toc12528"/>
      <w:bookmarkStart w:id="551" w:name="_Toc1225"/>
      <w:bookmarkStart w:id="552" w:name="OLE_LINK1"/>
      <w:bookmarkStart w:id="553" w:name="_Toc25258"/>
      <w:bookmarkStart w:id="554" w:name="_Toc1876"/>
      <w:bookmarkStart w:id="555" w:name="_Toc14711"/>
      <w:bookmarkStart w:id="556" w:name="_Toc3952"/>
      <w:bookmarkStart w:id="557" w:name="_Toc9826"/>
      <w:bookmarkStart w:id="558" w:name="_Toc1107679192"/>
      <w:bookmarkStart w:id="559" w:name="_Toc16016"/>
      <w:bookmarkStart w:id="560" w:name="_Toc23116"/>
      <w:bookmarkStart w:id="561" w:name="_Toc1776"/>
      <w:bookmarkStart w:id="562" w:name="_Toc15253"/>
      <w:bookmarkStart w:id="563" w:name="_Toc21028"/>
      <w:bookmarkStart w:id="564" w:name="_Toc1965"/>
      <w:bookmarkStart w:id="565" w:name="_Toc1515"/>
      <w:bookmarkStart w:id="566" w:name="_Toc19449"/>
      <w:bookmarkStart w:id="567" w:name="_Toc20250"/>
      <w:bookmarkStart w:id="568" w:name="_Toc23546"/>
      <w:bookmarkStart w:id="569" w:name="_Toc8512"/>
      <w:bookmarkStart w:id="570" w:name="_Toc22183"/>
      <w:bookmarkStart w:id="571" w:name="_Toc4252"/>
      <w:bookmarkStart w:id="572" w:name="_Toc25959"/>
      <w:bookmarkStart w:id="573" w:name="_Toc22187"/>
      <w:bookmarkStart w:id="574" w:name="_Toc429"/>
      <w:bookmarkStart w:id="575" w:name="_Toc30736"/>
      <w:bookmarkStart w:id="576" w:name="_Toc22327"/>
      <w:bookmarkStart w:id="577" w:name="_Toc23120"/>
      <w:bookmarkStart w:id="578" w:name="_Toc27504"/>
      <w:bookmarkStart w:id="579" w:name="_Toc28623"/>
      <w:bookmarkStart w:id="580" w:name="_Toc1446"/>
      <w:bookmarkStart w:id="581" w:name="_Toc3747"/>
      <w:bookmarkStart w:id="582" w:name="_Toc5209"/>
      <w:bookmarkStart w:id="583" w:name="_Toc28340"/>
      <w:bookmarkStart w:id="584" w:name="_Toc32007"/>
      <w:bookmarkStart w:id="585" w:name="_Toc4951"/>
      <w:bookmarkStart w:id="586" w:name="_Toc31478"/>
      <w:bookmarkStart w:id="587" w:name="_Toc4970"/>
      <w:bookmarkStart w:id="588" w:name="_Toc1245"/>
      <w:bookmarkStart w:id="589" w:name="_Toc25675"/>
      <w:bookmarkStart w:id="590" w:name="_Toc32723"/>
      <w:bookmarkStart w:id="591" w:name="_Toc1371"/>
      <w:bookmarkStart w:id="592" w:name="_Toc16425"/>
      <w:bookmarkStart w:id="593" w:name="_Toc28166"/>
      <w:bookmarkStart w:id="594" w:name="_Toc574"/>
      <w:bookmarkStart w:id="595" w:name="_Toc4062"/>
      <w:bookmarkStart w:id="596" w:name="_Toc27874"/>
      <w:bookmarkStart w:id="597" w:name="_Toc15404"/>
      <w:bookmarkStart w:id="598" w:name="_Toc17581"/>
      <w:bookmarkStart w:id="599" w:name="_Toc24829"/>
      <w:bookmarkStart w:id="600" w:name="_Toc5877"/>
      <w:bookmarkStart w:id="601" w:name="_Toc21587"/>
      <w:bookmarkStart w:id="602" w:name="_Toc26236"/>
      <w:bookmarkStart w:id="603" w:name="_Toc4156"/>
      <w:bookmarkStart w:id="604" w:name="_Toc13432"/>
      <w:bookmarkStart w:id="605" w:name="_Toc32736"/>
      <w:bookmarkStart w:id="606" w:name="_Toc21461"/>
      <w:bookmarkStart w:id="607" w:name="_Toc7719"/>
      <w:bookmarkStart w:id="608" w:name="_Toc26623"/>
      <w:bookmarkStart w:id="609" w:name="_Toc9000"/>
      <w:bookmarkStart w:id="610" w:name="_Toc6346"/>
      <w:bookmarkStart w:id="611" w:name="_Toc9887"/>
      <w:bookmarkStart w:id="612" w:name="_Toc29505"/>
      <w:bookmarkStart w:id="613" w:name="_Toc768"/>
      <w:bookmarkStart w:id="614" w:name="_Toc19077"/>
      <w:bookmarkStart w:id="615" w:name="_Toc18255"/>
      <w:bookmarkStart w:id="616" w:name="_Toc13991"/>
      <w:bookmarkStart w:id="617" w:name="_Toc11555"/>
      <w:bookmarkStart w:id="618" w:name="_Toc22361"/>
      <w:bookmarkStart w:id="619" w:name="_Toc24821"/>
      <w:bookmarkStart w:id="620" w:name="_Toc3447"/>
      <w:bookmarkStart w:id="621" w:name="_Toc18391"/>
      <w:bookmarkStart w:id="622" w:name="_Toc25356"/>
      <w:bookmarkStart w:id="623" w:name="_Toc27"/>
      <w:bookmarkStart w:id="624" w:name="_Toc24410"/>
      <w:bookmarkStart w:id="625" w:name="_Toc5734"/>
      <w:bookmarkStart w:id="626" w:name="_Toc28370"/>
      <w:bookmarkStart w:id="627" w:name="_Toc6773"/>
      <w:bookmarkStart w:id="628" w:name="_Toc21160"/>
      <w:bookmarkStart w:id="629" w:name="_Toc7335"/>
      <w:bookmarkStart w:id="630" w:name="_Toc10266"/>
      <w:r>
        <w:rPr>
          <w:rFonts w:hint="eastAsia" w:ascii="楷体_GB2312" w:hAnsi="楷体_GB2312" w:eastAsia="楷体_GB2312" w:cs="楷体_GB2312"/>
          <w:color w:val="auto"/>
          <w:sz w:val="32"/>
          <w:szCs w:val="32"/>
          <w:highlight w:val="none"/>
        </w:rPr>
        <w:t>（二）主要目标</w:t>
      </w:r>
      <w:bookmarkEnd w:id="533"/>
      <w:bookmarkEnd w:id="534"/>
      <w:bookmarkEnd w:id="535"/>
      <w:bookmarkEnd w:id="536"/>
      <w:bookmarkEnd w:id="537"/>
      <w:bookmarkEnd w:id="538"/>
      <w:bookmarkEnd w:id="539"/>
      <w:bookmarkEnd w:id="540"/>
      <w:bookmarkEnd w:id="541"/>
    </w:p>
    <w:p w14:paraId="61F4E449">
      <w:pPr>
        <w:spacing w:line="560" w:lineRule="exact"/>
        <w:ind w:firstLine="640" w:firstLineChars="200"/>
        <w:rPr>
          <w:rFonts w:hint="eastAsia" w:ascii="仿宋_GB2312" w:hAnsi="仿宋_GB2312" w:eastAsia="仿宋_GB2312" w:cs="仿宋_GB2312"/>
          <w:bCs/>
          <w:color w:val="auto"/>
          <w:sz w:val="32"/>
          <w:szCs w:val="32"/>
          <w:highlight w:val="none"/>
          <w:lang w:eastAsia="zh-CN" w:bidi="ar"/>
        </w:rPr>
      </w:pPr>
      <w:r>
        <w:rPr>
          <w:rFonts w:hint="eastAsia" w:ascii="仿宋_GB2312" w:hAnsi="仿宋_GB2312" w:eastAsia="仿宋_GB2312" w:cs="仿宋_GB2312"/>
          <w:bCs/>
          <w:color w:val="auto"/>
          <w:sz w:val="32"/>
          <w:szCs w:val="32"/>
          <w:highlight w:val="none"/>
        </w:rPr>
        <w:t>到2030年，“三大产业”发展能级</w:t>
      </w:r>
      <w:r>
        <w:rPr>
          <w:rFonts w:hint="eastAsia" w:ascii="仿宋_GB2312" w:hAnsi="仿宋_GB2312" w:eastAsia="仿宋_GB2312" w:cs="仿宋_GB2312"/>
          <w:bCs/>
          <w:color w:val="auto"/>
          <w:sz w:val="32"/>
          <w:szCs w:val="32"/>
          <w:highlight w:val="none"/>
          <w:lang w:eastAsia="zh-CN"/>
        </w:rPr>
        <w:t>显著提升，</w:t>
      </w:r>
      <w:r>
        <w:rPr>
          <w:rFonts w:hint="eastAsia" w:ascii="仿宋_GB2312" w:hAnsi="仿宋_GB2312" w:eastAsia="仿宋_GB2312" w:cs="仿宋_GB2312"/>
          <w:bCs/>
          <w:color w:val="auto"/>
          <w:sz w:val="32"/>
          <w:szCs w:val="32"/>
          <w:highlight w:val="none"/>
          <w:lang w:bidi="ar"/>
        </w:rPr>
        <w:t>全面打</w:t>
      </w:r>
      <w:r>
        <w:rPr>
          <w:rFonts w:hint="eastAsia" w:ascii="仿宋_GB2312" w:hAnsi="仿宋_GB2312" w:eastAsia="仿宋_GB2312" w:cs="仿宋_GB2312"/>
          <w:bCs/>
          <w:color w:val="auto"/>
          <w:sz w:val="32"/>
          <w:szCs w:val="32"/>
          <w:highlight w:val="none"/>
          <w:lang w:eastAsia="zh-CN" w:bidi="ar"/>
        </w:rPr>
        <w:t>响</w:t>
      </w:r>
      <w:r>
        <w:rPr>
          <w:rFonts w:hint="eastAsia" w:ascii="仿宋_GB2312" w:hAnsi="仿宋_GB2312" w:eastAsia="仿宋_GB2312" w:cs="仿宋_GB2312"/>
          <w:bCs/>
          <w:color w:val="auto"/>
          <w:sz w:val="32"/>
          <w:szCs w:val="32"/>
          <w:highlight w:val="none"/>
          <w:lang w:bidi="ar"/>
        </w:rPr>
        <w:t>“京西智谷”“京西剧谷”“中国心谷”产业品牌</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rPr>
        <w:t>高新产业发展要素更加完备，产业生态更加完善</w:t>
      </w:r>
      <w:r>
        <w:rPr>
          <w:rFonts w:hint="eastAsia" w:ascii="仿宋_GB2312" w:hAnsi="仿宋_GB2312" w:eastAsia="仿宋_GB2312" w:cs="仿宋_GB2312"/>
          <w:bCs/>
          <w:color w:val="auto"/>
          <w:sz w:val="32"/>
          <w:szCs w:val="32"/>
          <w:highlight w:val="none"/>
          <w:lang w:eastAsia="zh-CN"/>
        </w:rPr>
        <w:t>，对</w:t>
      </w:r>
      <w:r>
        <w:rPr>
          <w:rFonts w:hint="eastAsia" w:ascii="仿宋_GB2312" w:hAnsi="仿宋_GB2312" w:eastAsia="仿宋_GB2312" w:cs="仿宋_GB2312"/>
          <w:bCs/>
          <w:color w:val="auto"/>
          <w:sz w:val="32"/>
          <w:szCs w:val="32"/>
          <w:highlight w:val="none"/>
        </w:rPr>
        <w:t>经济发展贡献度</w:t>
      </w:r>
      <w:r>
        <w:rPr>
          <w:rFonts w:hint="eastAsia" w:ascii="仿宋_GB2312" w:hAnsi="仿宋_GB2312" w:eastAsia="仿宋_GB2312" w:cs="仿宋_GB2312"/>
          <w:bCs/>
          <w:color w:val="auto"/>
          <w:sz w:val="32"/>
          <w:szCs w:val="32"/>
          <w:highlight w:val="none"/>
          <w:lang w:eastAsia="zh-CN"/>
        </w:rPr>
        <w:t>大幅</w:t>
      </w:r>
      <w:r>
        <w:rPr>
          <w:rFonts w:hint="eastAsia" w:ascii="仿宋_GB2312" w:hAnsi="仿宋_GB2312" w:eastAsia="仿宋_GB2312" w:cs="仿宋_GB2312"/>
          <w:bCs/>
          <w:color w:val="auto"/>
          <w:sz w:val="32"/>
          <w:szCs w:val="32"/>
          <w:highlight w:val="none"/>
        </w:rPr>
        <w:t>提升</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lang w:val="en-US" w:eastAsia="zh-CN"/>
        </w:rPr>
        <w:t>中关村门头沟园</w:t>
      </w:r>
      <w:r>
        <w:rPr>
          <w:rFonts w:hint="eastAsia" w:ascii="仿宋_GB2312" w:hAnsi="仿宋_GB2312" w:eastAsia="仿宋_GB2312" w:cs="仿宋_GB2312"/>
          <w:bCs/>
          <w:color w:val="auto"/>
          <w:sz w:val="32"/>
          <w:szCs w:val="32"/>
          <w:highlight w:val="none"/>
        </w:rPr>
        <w:t>建成产业集聚、创新活跃、绿色低碳、智慧活力的高品质科技园区</w:t>
      </w:r>
      <w:r>
        <w:rPr>
          <w:rFonts w:hint="eastAsia" w:ascii="仿宋_GB2312" w:hAnsi="仿宋_GB2312" w:eastAsia="仿宋_GB2312" w:cs="仿宋_GB2312"/>
          <w:bCs/>
          <w:color w:val="auto"/>
          <w:sz w:val="32"/>
          <w:szCs w:val="32"/>
          <w:highlight w:val="none"/>
          <w:lang w:bidi="ar"/>
        </w:rPr>
        <w:t>，</w:t>
      </w:r>
      <w:r>
        <w:rPr>
          <w:rFonts w:hint="eastAsia" w:ascii="仿宋_GB2312" w:hAnsi="仿宋_GB2312" w:eastAsia="仿宋_GB2312" w:cs="仿宋_GB2312"/>
          <w:bCs/>
          <w:color w:val="auto"/>
          <w:sz w:val="32"/>
          <w:szCs w:val="32"/>
          <w:highlight w:val="none"/>
          <w:lang w:val="en-US" w:eastAsia="zh-CN" w:bidi="ar"/>
        </w:rPr>
        <w:t>成为门头沟区绿色高质量发展的主引擎，发展成</w:t>
      </w:r>
      <w:r>
        <w:rPr>
          <w:rFonts w:hint="eastAsia" w:ascii="仿宋_GB2312" w:hAnsi="仿宋_GB2312" w:eastAsia="仿宋_GB2312" w:cs="仿宋_GB2312"/>
          <w:bCs/>
          <w:color w:val="auto"/>
          <w:sz w:val="32"/>
          <w:szCs w:val="32"/>
          <w:highlight w:val="none"/>
          <w:lang w:bidi="ar"/>
        </w:rPr>
        <w:t>首都西部高质量发展的重要增长极</w:t>
      </w:r>
      <w:r>
        <w:rPr>
          <w:rFonts w:hint="eastAsia" w:ascii="仿宋_GB2312" w:hAnsi="仿宋_GB2312" w:eastAsia="仿宋_GB2312" w:cs="仿宋_GB2312"/>
          <w:bCs/>
          <w:color w:val="auto"/>
          <w:sz w:val="32"/>
          <w:szCs w:val="32"/>
          <w:highlight w:val="none"/>
          <w:lang w:eastAsia="zh-CN" w:bidi="ar"/>
        </w:rPr>
        <w:t>，</w:t>
      </w:r>
      <w:r>
        <w:rPr>
          <w:rFonts w:hint="eastAsia" w:ascii="仿宋_GB2312" w:hAnsi="仿宋_GB2312" w:eastAsia="仿宋_GB2312" w:cs="仿宋_GB2312"/>
          <w:bCs/>
          <w:color w:val="auto"/>
          <w:sz w:val="32"/>
          <w:szCs w:val="32"/>
          <w:highlight w:val="none"/>
          <w:lang w:bidi="ar"/>
        </w:rPr>
        <w:t>在支撑北京</w:t>
      </w:r>
      <w:r>
        <w:rPr>
          <w:rFonts w:hint="eastAsia" w:ascii="仿宋_GB2312" w:hAnsi="仿宋_GB2312" w:eastAsia="仿宋_GB2312" w:cs="仿宋_GB2312"/>
          <w:bCs/>
          <w:color w:val="auto"/>
          <w:sz w:val="32"/>
          <w:szCs w:val="32"/>
          <w:highlight w:val="none"/>
          <w:lang w:eastAsia="zh-CN" w:bidi="ar"/>
        </w:rPr>
        <w:t>（</w:t>
      </w:r>
      <w:r>
        <w:rPr>
          <w:rFonts w:hint="eastAsia" w:ascii="仿宋_GB2312" w:hAnsi="仿宋_GB2312" w:eastAsia="仿宋_GB2312" w:cs="仿宋_GB2312"/>
          <w:bCs/>
          <w:color w:val="auto"/>
          <w:sz w:val="32"/>
          <w:szCs w:val="32"/>
          <w:highlight w:val="none"/>
          <w:lang w:val="en-US" w:eastAsia="zh-CN" w:bidi="ar"/>
        </w:rPr>
        <w:t>京津冀</w:t>
      </w:r>
      <w:r>
        <w:rPr>
          <w:rFonts w:hint="eastAsia" w:ascii="仿宋_GB2312" w:hAnsi="仿宋_GB2312" w:eastAsia="仿宋_GB2312" w:cs="仿宋_GB2312"/>
          <w:bCs/>
          <w:color w:val="auto"/>
          <w:sz w:val="32"/>
          <w:szCs w:val="32"/>
          <w:highlight w:val="none"/>
          <w:lang w:eastAsia="zh-CN" w:bidi="ar"/>
        </w:rPr>
        <w:t>）</w:t>
      </w:r>
      <w:r>
        <w:rPr>
          <w:rFonts w:hint="eastAsia" w:ascii="仿宋_GB2312" w:hAnsi="仿宋_GB2312" w:eastAsia="仿宋_GB2312" w:cs="仿宋_GB2312"/>
          <w:bCs/>
          <w:color w:val="auto"/>
          <w:sz w:val="32"/>
          <w:szCs w:val="32"/>
          <w:highlight w:val="none"/>
          <w:lang w:bidi="ar"/>
        </w:rPr>
        <w:t>国际科技创新中心建设中展现新作为</w:t>
      </w:r>
      <w:r>
        <w:rPr>
          <w:rFonts w:hint="eastAsia" w:ascii="仿宋_GB2312" w:hAnsi="仿宋_GB2312" w:eastAsia="仿宋_GB2312" w:cs="仿宋_GB2312"/>
          <w:bCs/>
          <w:color w:val="auto"/>
          <w:sz w:val="32"/>
          <w:szCs w:val="32"/>
          <w:highlight w:val="none"/>
          <w:lang w:eastAsia="zh-CN" w:bidi="ar"/>
        </w:rPr>
        <w:t>。</w:t>
      </w:r>
    </w:p>
    <w:p w14:paraId="66E6D66C">
      <w:pPr>
        <w:spacing w:line="560" w:lineRule="exact"/>
        <w:ind w:firstLine="643" w:firstLineChars="200"/>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
          <w:color w:val="auto"/>
          <w:sz w:val="32"/>
          <w:szCs w:val="32"/>
          <w:highlight w:val="none"/>
        </w:rPr>
        <w:t>产业集群筑牢新优势。</w:t>
      </w:r>
      <w:r>
        <w:rPr>
          <w:rFonts w:hint="eastAsia" w:ascii="仿宋_GB2312" w:hAnsi="仿宋_GB2312" w:eastAsia="仿宋_GB2312" w:cs="仿宋_GB2312"/>
          <w:bCs/>
          <w:color w:val="auto"/>
          <w:sz w:val="32"/>
          <w:szCs w:val="32"/>
          <w:highlight w:val="none"/>
        </w:rPr>
        <w:t>高新技术产业实现“从1到10”的跃升发展，人工智能、超高清视听</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lang w:val="en-US" w:eastAsia="zh-CN"/>
        </w:rPr>
        <w:t>计算视听</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rPr>
        <w:t>、心血管创新药械三大百亿级产业集群全面成势，形成龙头企业引领、大中小企业融通发展的产业梯队，门头沟园</w:t>
      </w:r>
      <w:r>
        <w:rPr>
          <w:rFonts w:hint="eastAsia" w:ascii="仿宋_GB2312" w:hAnsi="仿宋_GB2312" w:eastAsia="仿宋_GB2312" w:cs="仿宋_GB2312"/>
          <w:bCs/>
          <w:color w:val="auto"/>
          <w:sz w:val="32"/>
          <w:szCs w:val="32"/>
          <w:highlight w:val="none"/>
          <w:lang w:val="en-US" w:eastAsia="zh-CN"/>
        </w:rPr>
        <w:t>的</w:t>
      </w:r>
      <w:r>
        <w:rPr>
          <w:rFonts w:hint="eastAsia" w:ascii="仿宋_GB2312" w:hAnsi="仿宋_GB2312" w:eastAsia="仿宋_GB2312" w:cs="仿宋_GB2312"/>
          <w:bCs/>
          <w:color w:val="auto"/>
          <w:sz w:val="32"/>
          <w:szCs w:val="32"/>
          <w:highlight w:val="none"/>
        </w:rPr>
        <w:t>园区收入达到2000亿元。</w:t>
      </w:r>
    </w:p>
    <w:p w14:paraId="40BCED5D">
      <w:pPr>
        <w:snapToGrid w:val="0"/>
        <w:spacing w:line="560" w:lineRule="exact"/>
        <w:ind w:firstLine="643" w:firstLineChars="200"/>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
          <w:color w:val="auto"/>
          <w:sz w:val="32"/>
          <w:szCs w:val="32"/>
          <w:highlight w:val="none"/>
        </w:rPr>
        <w:t>创新能级实现新提升。</w:t>
      </w:r>
      <w:r>
        <w:rPr>
          <w:rFonts w:hint="eastAsia" w:ascii="仿宋_GB2312" w:hAnsi="仿宋_GB2312" w:eastAsia="仿宋_GB2312" w:cs="仿宋_GB2312"/>
          <w:bCs/>
          <w:color w:val="auto"/>
          <w:sz w:val="32"/>
          <w:szCs w:val="32"/>
          <w:highlight w:val="none"/>
        </w:rPr>
        <w:t>引进一批高能级科研创新平台，技术合同成交额突破200亿元。科技金融服务体系更加完善，创新孵化能力大幅提升，努力实现国家级孵化器零的突破。创新创业活力不断释放，园区研发人员占从业人员比重提升至20%左右。</w:t>
      </w:r>
    </w:p>
    <w:p w14:paraId="2AEAD37E">
      <w:pPr>
        <w:suppressAutoHyphens/>
        <w:snapToGrid w:val="0"/>
        <w:spacing w:line="560" w:lineRule="exact"/>
        <w:ind w:firstLine="643" w:firstLineChars="200"/>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
          <w:color w:val="auto"/>
          <w:sz w:val="32"/>
          <w:szCs w:val="32"/>
          <w:highlight w:val="none"/>
        </w:rPr>
        <w:t>产城融合构筑新格局</w:t>
      </w:r>
      <w:r>
        <w:rPr>
          <w:rFonts w:hint="eastAsia" w:ascii="仿宋_GB2312" w:hAnsi="仿宋_GB2312" w:eastAsia="仿宋_GB2312" w:cs="仿宋_GB2312"/>
          <w:b/>
          <w:bCs w:val="0"/>
          <w:color w:val="auto"/>
          <w:sz w:val="32"/>
          <w:szCs w:val="32"/>
          <w:highlight w:val="none"/>
        </w:rPr>
        <w:t>。</w:t>
      </w:r>
      <w:r>
        <w:rPr>
          <w:rFonts w:hint="eastAsia" w:ascii="仿宋_GB2312" w:hAnsi="仿宋_GB2312" w:eastAsia="仿宋_GB2312" w:cs="仿宋_GB2312"/>
          <w:bCs/>
          <w:color w:val="auto"/>
          <w:sz w:val="32"/>
          <w:szCs w:val="32"/>
          <w:highlight w:val="none"/>
        </w:rPr>
        <w:t>生活配套持续扩容提质，绿色低碳发展形成示范，职住平衡水平明显提升，建成青年发展友好型园区，30岁以下从业人员占比提升至25%左右，产城人实现深度融合，中关村门头沟园加快向综合型未来科技小镇转型。</w:t>
      </w:r>
    </w:p>
    <w:p w14:paraId="0DC03FED">
      <w:pPr>
        <w:snapToGrid w:val="0"/>
        <w:spacing w:line="560" w:lineRule="exact"/>
        <w:ind w:firstLine="643" w:firstLineChars="200"/>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
          <w:color w:val="auto"/>
          <w:sz w:val="32"/>
          <w:szCs w:val="32"/>
          <w:highlight w:val="none"/>
        </w:rPr>
        <w:t>营商环境彰显新效能。</w:t>
      </w:r>
      <w:r>
        <w:rPr>
          <w:rFonts w:hint="eastAsia" w:ascii="仿宋_GB2312" w:hAnsi="仿宋_GB2312" w:eastAsia="仿宋_GB2312" w:cs="仿宋_GB2312"/>
          <w:bCs/>
          <w:color w:val="auto"/>
          <w:sz w:val="32"/>
          <w:szCs w:val="32"/>
          <w:highlight w:val="none"/>
        </w:rPr>
        <w:t>营商环境持续优化，形成统筹有力、协同高效的园区管理体制。数智化管理效能明显提高，企业服务响应更加精准高效，市场主体获得感全面提升，高质量发展内生动力不断增强。</w:t>
      </w:r>
    </w:p>
    <w:p w14:paraId="2E7F9B37">
      <w:pPr>
        <w:snapToGrid w:val="0"/>
        <w:spacing w:line="560" w:lineRule="exact"/>
        <w:ind w:firstLine="643" w:firstLineChars="200"/>
        <w:rPr>
          <w:rFonts w:hint="eastAsia" w:ascii="仿宋_GB2312" w:hAnsi="仿宋_GB2312" w:eastAsia="仿宋_GB2312" w:cs="仿宋_GB2312"/>
          <w:b w:val="0"/>
          <w:bCs/>
          <w:color w:val="auto"/>
          <w:sz w:val="32"/>
          <w:szCs w:val="32"/>
          <w:highlight w:val="none"/>
          <w:lang w:eastAsia="zh-CN"/>
        </w:rPr>
      </w:pPr>
      <w:r>
        <w:rPr>
          <w:rFonts w:hint="eastAsia" w:ascii="仿宋_GB2312" w:hAnsi="仿宋_GB2312" w:eastAsia="仿宋_GB2312" w:cs="仿宋_GB2312"/>
          <w:b/>
          <w:bCs w:val="0"/>
          <w:color w:val="auto"/>
          <w:sz w:val="32"/>
          <w:szCs w:val="32"/>
          <w:highlight w:val="none"/>
        </w:rPr>
        <w:t>核心支撑彰显新作为</w:t>
      </w:r>
      <w:r>
        <w:rPr>
          <w:rFonts w:hint="eastAsia" w:ascii="仿宋_GB2312" w:hAnsi="仿宋_GB2312" w:eastAsia="仿宋_GB2312" w:cs="仿宋_GB2312"/>
          <w:b/>
          <w:bCs w:val="0"/>
          <w:color w:val="auto"/>
          <w:sz w:val="32"/>
          <w:szCs w:val="32"/>
          <w:highlight w:val="none"/>
          <w:lang w:eastAsia="zh-CN"/>
        </w:rPr>
        <w:t>。</w:t>
      </w:r>
      <w:r>
        <w:rPr>
          <w:rFonts w:hint="eastAsia" w:ascii="仿宋_GB2312" w:hAnsi="仿宋_GB2312" w:eastAsia="仿宋_GB2312" w:cs="仿宋_GB2312"/>
          <w:b w:val="0"/>
          <w:bCs/>
          <w:color w:val="auto"/>
          <w:sz w:val="32"/>
          <w:szCs w:val="32"/>
          <w:highlight w:val="none"/>
          <w:lang w:eastAsia="zh-CN"/>
        </w:rPr>
        <w:t>园区经济增长引擎作用</w:t>
      </w:r>
      <w:r>
        <w:rPr>
          <w:rFonts w:hint="eastAsia" w:ascii="仿宋_GB2312" w:hAnsi="仿宋_GB2312" w:eastAsia="仿宋_GB2312" w:cs="仿宋_GB2312"/>
          <w:b w:val="0"/>
          <w:bCs/>
          <w:color w:val="auto"/>
          <w:sz w:val="32"/>
          <w:szCs w:val="32"/>
          <w:highlight w:val="none"/>
          <w:lang w:val="en-US" w:eastAsia="zh-CN"/>
        </w:rPr>
        <w:t>进一步</w:t>
      </w:r>
      <w:r>
        <w:rPr>
          <w:rFonts w:hint="eastAsia" w:ascii="仿宋_GB2312" w:hAnsi="仿宋_GB2312" w:eastAsia="仿宋_GB2312" w:cs="仿宋_GB2312"/>
          <w:b w:val="0"/>
          <w:bCs/>
          <w:color w:val="auto"/>
          <w:sz w:val="32"/>
          <w:szCs w:val="32"/>
          <w:highlight w:val="none"/>
          <w:lang w:eastAsia="zh-CN"/>
        </w:rPr>
        <w:t>凸显，主要经济指标领跑全区，对全区地区生产总值、税收收入</w:t>
      </w:r>
      <w:r>
        <w:rPr>
          <w:rFonts w:hint="eastAsia" w:ascii="仿宋_GB2312" w:hAnsi="仿宋_GB2312" w:eastAsia="仿宋_GB2312" w:cs="仿宋_GB2312"/>
          <w:b w:val="0"/>
          <w:bCs/>
          <w:color w:val="auto"/>
          <w:sz w:val="32"/>
          <w:szCs w:val="32"/>
          <w:highlight w:val="none"/>
          <w:lang w:val="en-US" w:eastAsia="zh-CN"/>
        </w:rPr>
        <w:t>等</w:t>
      </w:r>
      <w:r>
        <w:rPr>
          <w:rFonts w:hint="eastAsia" w:ascii="仿宋_GB2312" w:hAnsi="仿宋_GB2312" w:eastAsia="仿宋_GB2312" w:cs="仿宋_GB2312"/>
          <w:b w:val="0"/>
          <w:bCs/>
          <w:color w:val="auto"/>
          <w:sz w:val="32"/>
          <w:szCs w:val="32"/>
          <w:highlight w:val="none"/>
          <w:lang w:eastAsia="zh-CN"/>
        </w:rPr>
        <w:t>贡献率稳步</w:t>
      </w:r>
      <w:r>
        <w:rPr>
          <w:rFonts w:hint="eastAsia" w:ascii="仿宋_GB2312" w:hAnsi="仿宋_GB2312" w:eastAsia="仿宋_GB2312" w:cs="仿宋_GB2312"/>
          <w:b w:val="0"/>
          <w:bCs/>
          <w:color w:val="auto"/>
          <w:sz w:val="32"/>
          <w:szCs w:val="32"/>
          <w:highlight w:val="none"/>
          <w:lang w:val="en-US" w:eastAsia="zh-CN"/>
        </w:rPr>
        <w:t>上升</w:t>
      </w:r>
      <w:r>
        <w:rPr>
          <w:rFonts w:hint="eastAsia" w:ascii="仿宋_GB2312" w:hAnsi="仿宋_GB2312" w:eastAsia="仿宋_GB2312" w:cs="仿宋_GB2312"/>
          <w:b w:val="0"/>
          <w:bCs/>
          <w:color w:val="auto"/>
          <w:sz w:val="32"/>
          <w:szCs w:val="32"/>
          <w:highlight w:val="none"/>
          <w:lang w:eastAsia="zh-CN"/>
        </w:rPr>
        <w:t>。产业引领、创新策源、人才集聚、生态宜居的综合效能充分释放，推动区域产业升级、</w:t>
      </w:r>
      <w:r>
        <w:rPr>
          <w:rFonts w:hint="eastAsia" w:ascii="仿宋_GB2312" w:hAnsi="仿宋_GB2312" w:eastAsia="仿宋_GB2312" w:cs="仿宋_GB2312"/>
          <w:b w:val="0"/>
          <w:bCs/>
          <w:color w:val="auto"/>
          <w:sz w:val="32"/>
          <w:szCs w:val="32"/>
          <w:highlight w:val="none"/>
          <w:lang w:val="en-US" w:eastAsia="zh-CN"/>
        </w:rPr>
        <w:t>创新发展</w:t>
      </w:r>
      <w:r>
        <w:rPr>
          <w:rFonts w:hint="eastAsia" w:ascii="仿宋_GB2312" w:hAnsi="仿宋_GB2312" w:eastAsia="仿宋_GB2312" w:cs="仿宋_GB2312"/>
          <w:b w:val="0"/>
          <w:bCs/>
          <w:color w:val="auto"/>
          <w:sz w:val="32"/>
          <w:szCs w:val="32"/>
          <w:highlight w:val="none"/>
          <w:lang w:eastAsia="zh-CN"/>
        </w:rPr>
        <w:t>，为全区经济社会高质量发展提供硬核支撑。</w:t>
      </w:r>
    </w:p>
    <w:p w14:paraId="23610E96">
      <w:pPr>
        <w:pStyle w:val="16"/>
        <w:jc w:val="center"/>
        <w:rPr>
          <w:rFonts w:hint="eastAsia" w:ascii="仿宋_GB2312" w:hAnsi="仿宋_GB2312" w:eastAsia="仿宋_GB2312" w:cs="仿宋_GB2312"/>
          <w:b/>
          <w:bCs/>
          <w:color w:val="auto"/>
          <w:sz w:val="28"/>
          <w:szCs w:val="36"/>
          <w:highlight w:val="none"/>
        </w:rPr>
      </w:pPr>
      <w:r>
        <w:rPr>
          <w:rFonts w:hint="eastAsia" w:ascii="仿宋_GB2312" w:hAnsi="仿宋_GB2312" w:eastAsia="仿宋_GB2312" w:cs="仿宋_GB2312"/>
          <w:b/>
          <w:bCs/>
          <w:color w:val="auto"/>
          <w:sz w:val="28"/>
          <w:szCs w:val="36"/>
          <w:highlight w:val="none"/>
        </w:rPr>
        <w:t>表1：“十五五”门头沟区“三大产业”和园区发展指标体系</w:t>
      </w:r>
    </w:p>
    <w:tbl>
      <w:tblPr>
        <w:tblStyle w:val="12"/>
        <w:tblW w:w="87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83"/>
        <w:gridCol w:w="601"/>
        <w:gridCol w:w="3744"/>
        <w:gridCol w:w="922"/>
        <w:gridCol w:w="1125"/>
        <w:gridCol w:w="1243"/>
      </w:tblGrid>
      <w:tr w14:paraId="22CEA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0" w:hRule="atLeast"/>
          <w:tblHeader/>
        </w:trPr>
        <w:tc>
          <w:tcPr>
            <w:tcW w:w="1083" w:type="dxa"/>
            <w:tcMar>
              <w:top w:w="10" w:type="dxa"/>
              <w:left w:w="40" w:type="dxa"/>
              <w:bottom w:w="10" w:type="dxa"/>
              <w:right w:w="40" w:type="dxa"/>
            </w:tcMar>
            <w:vAlign w:val="center"/>
          </w:tcPr>
          <w:p w14:paraId="5D795FC4">
            <w:pPr>
              <w:pStyle w:val="11"/>
              <w:widowControl/>
              <w:spacing w:beforeAutospacing="0" w:afterAutospacing="0"/>
              <w:jc w:val="center"/>
              <w:rPr>
                <w:rFonts w:hint="eastAsia" w:ascii="黑体" w:hAnsi="黑体" w:eastAsia="黑体" w:cs="黑体"/>
                <w:b/>
                <w:bCs/>
                <w:color w:val="auto"/>
                <w:highlight w:val="none"/>
              </w:rPr>
            </w:pPr>
            <w:r>
              <w:rPr>
                <w:rFonts w:hint="eastAsia" w:ascii="黑体" w:hAnsi="黑体" w:eastAsia="黑体" w:cs="黑体"/>
                <w:b/>
                <w:bCs/>
                <w:color w:val="auto"/>
                <w:highlight w:val="none"/>
              </w:rPr>
              <w:t>类别</w:t>
            </w:r>
          </w:p>
        </w:tc>
        <w:tc>
          <w:tcPr>
            <w:tcW w:w="601" w:type="dxa"/>
            <w:tcMar>
              <w:top w:w="10" w:type="dxa"/>
              <w:left w:w="40" w:type="dxa"/>
              <w:bottom w:w="10" w:type="dxa"/>
              <w:right w:w="40" w:type="dxa"/>
            </w:tcMar>
            <w:vAlign w:val="center"/>
          </w:tcPr>
          <w:p w14:paraId="145BC2CA">
            <w:pPr>
              <w:pStyle w:val="11"/>
              <w:widowControl/>
              <w:spacing w:beforeAutospacing="0" w:afterAutospacing="0"/>
              <w:jc w:val="center"/>
              <w:rPr>
                <w:rFonts w:hint="eastAsia" w:ascii="黑体" w:hAnsi="黑体" w:eastAsia="黑体" w:cs="黑体"/>
                <w:b/>
                <w:bCs/>
                <w:color w:val="auto"/>
                <w:highlight w:val="none"/>
              </w:rPr>
            </w:pPr>
            <w:r>
              <w:rPr>
                <w:rFonts w:hint="eastAsia" w:ascii="黑体" w:hAnsi="黑体" w:eastAsia="黑体" w:cs="黑体"/>
                <w:b/>
                <w:bCs/>
                <w:color w:val="auto"/>
                <w:highlight w:val="none"/>
              </w:rPr>
              <w:t>序号</w:t>
            </w:r>
          </w:p>
        </w:tc>
        <w:tc>
          <w:tcPr>
            <w:tcW w:w="3744" w:type="dxa"/>
            <w:tcMar>
              <w:top w:w="10" w:type="dxa"/>
              <w:left w:w="40" w:type="dxa"/>
              <w:bottom w:w="10" w:type="dxa"/>
              <w:right w:w="40" w:type="dxa"/>
            </w:tcMar>
            <w:vAlign w:val="center"/>
          </w:tcPr>
          <w:p w14:paraId="1F4C7808">
            <w:pPr>
              <w:pStyle w:val="11"/>
              <w:widowControl/>
              <w:spacing w:beforeAutospacing="0" w:afterAutospacing="0"/>
              <w:jc w:val="center"/>
              <w:rPr>
                <w:rFonts w:hint="eastAsia" w:ascii="黑体" w:hAnsi="黑体" w:eastAsia="黑体" w:cs="黑体"/>
                <w:b/>
                <w:bCs/>
                <w:color w:val="auto"/>
                <w:highlight w:val="none"/>
              </w:rPr>
            </w:pPr>
            <w:r>
              <w:rPr>
                <w:rFonts w:hint="eastAsia" w:ascii="黑体" w:hAnsi="黑体" w:eastAsia="黑体" w:cs="黑体"/>
                <w:b/>
                <w:bCs/>
                <w:color w:val="auto"/>
                <w:highlight w:val="none"/>
              </w:rPr>
              <w:t>指标</w:t>
            </w:r>
          </w:p>
        </w:tc>
        <w:tc>
          <w:tcPr>
            <w:tcW w:w="922" w:type="dxa"/>
            <w:tcMar>
              <w:top w:w="10" w:type="dxa"/>
              <w:left w:w="40" w:type="dxa"/>
              <w:bottom w:w="10" w:type="dxa"/>
              <w:right w:w="40" w:type="dxa"/>
            </w:tcMar>
            <w:vAlign w:val="center"/>
          </w:tcPr>
          <w:p w14:paraId="53A58AAB">
            <w:pPr>
              <w:pStyle w:val="11"/>
              <w:widowControl/>
              <w:spacing w:beforeAutospacing="0" w:afterAutospacing="0"/>
              <w:jc w:val="center"/>
              <w:rPr>
                <w:rFonts w:hint="eastAsia" w:ascii="黑体" w:hAnsi="黑体" w:eastAsia="黑体" w:cs="黑体"/>
                <w:b/>
                <w:bCs/>
                <w:color w:val="auto"/>
                <w:highlight w:val="none"/>
              </w:rPr>
            </w:pPr>
            <w:r>
              <w:rPr>
                <w:rFonts w:hint="eastAsia" w:ascii="黑体" w:hAnsi="黑体" w:eastAsia="黑体" w:cs="黑体"/>
                <w:b/>
                <w:bCs/>
                <w:color w:val="auto"/>
                <w:highlight w:val="none"/>
              </w:rPr>
              <w:t>现状值</w:t>
            </w:r>
          </w:p>
        </w:tc>
        <w:tc>
          <w:tcPr>
            <w:tcW w:w="1125" w:type="dxa"/>
            <w:tcMar>
              <w:top w:w="10" w:type="dxa"/>
              <w:left w:w="40" w:type="dxa"/>
              <w:bottom w:w="10" w:type="dxa"/>
              <w:right w:w="40" w:type="dxa"/>
            </w:tcMar>
            <w:vAlign w:val="center"/>
          </w:tcPr>
          <w:p w14:paraId="10C5B211">
            <w:pPr>
              <w:pStyle w:val="11"/>
              <w:widowControl/>
              <w:spacing w:beforeAutospacing="0" w:afterAutospacing="0"/>
              <w:jc w:val="center"/>
              <w:rPr>
                <w:rFonts w:hint="eastAsia" w:ascii="黑体" w:hAnsi="黑体" w:eastAsia="黑体" w:cs="黑体"/>
                <w:b/>
                <w:bCs/>
                <w:color w:val="auto"/>
                <w:highlight w:val="none"/>
              </w:rPr>
            </w:pPr>
            <w:r>
              <w:rPr>
                <w:rFonts w:hint="eastAsia" w:ascii="黑体" w:hAnsi="黑体" w:eastAsia="黑体" w:cs="黑体"/>
                <w:b/>
                <w:bCs/>
                <w:color w:val="auto"/>
                <w:highlight w:val="none"/>
              </w:rPr>
              <w:t>2030年目标值</w:t>
            </w:r>
          </w:p>
        </w:tc>
        <w:tc>
          <w:tcPr>
            <w:tcW w:w="1243" w:type="dxa"/>
            <w:tcMar>
              <w:top w:w="10" w:type="dxa"/>
              <w:left w:w="40" w:type="dxa"/>
              <w:bottom w:w="10" w:type="dxa"/>
              <w:right w:w="40" w:type="dxa"/>
            </w:tcMar>
            <w:vAlign w:val="center"/>
          </w:tcPr>
          <w:p w14:paraId="0B4CF7E4">
            <w:pPr>
              <w:pStyle w:val="11"/>
              <w:widowControl/>
              <w:spacing w:beforeAutospacing="0" w:afterAutospacing="0"/>
              <w:jc w:val="center"/>
              <w:rPr>
                <w:rFonts w:hint="eastAsia" w:ascii="黑体" w:hAnsi="黑体" w:eastAsia="黑体" w:cs="黑体"/>
                <w:b/>
                <w:bCs/>
                <w:color w:val="auto"/>
                <w:highlight w:val="none"/>
              </w:rPr>
            </w:pPr>
            <w:r>
              <w:rPr>
                <w:rFonts w:hint="eastAsia" w:ascii="黑体" w:hAnsi="黑体" w:eastAsia="黑体" w:cs="黑体"/>
                <w:b/>
                <w:bCs/>
                <w:color w:val="auto"/>
                <w:highlight w:val="none"/>
              </w:rPr>
              <w:t>指标统计口径</w:t>
            </w:r>
          </w:p>
        </w:tc>
      </w:tr>
      <w:tr w14:paraId="6CE72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083" w:type="dxa"/>
            <w:vMerge w:val="restart"/>
            <w:tcMar>
              <w:top w:w="10" w:type="dxa"/>
              <w:left w:w="40" w:type="dxa"/>
              <w:bottom w:w="10" w:type="dxa"/>
              <w:right w:w="40" w:type="dxa"/>
            </w:tcMar>
            <w:vAlign w:val="center"/>
          </w:tcPr>
          <w:p w14:paraId="6C93E338">
            <w:pPr>
              <w:pStyle w:val="11"/>
              <w:widowControl/>
              <w:spacing w:beforeAutospacing="0" w:afterAutospacing="0"/>
              <w:jc w:val="center"/>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产业集群</w:t>
            </w:r>
          </w:p>
        </w:tc>
        <w:tc>
          <w:tcPr>
            <w:tcW w:w="601" w:type="dxa"/>
            <w:tcMar>
              <w:top w:w="10" w:type="dxa"/>
              <w:left w:w="40" w:type="dxa"/>
              <w:bottom w:w="10" w:type="dxa"/>
              <w:right w:w="40" w:type="dxa"/>
            </w:tcMar>
            <w:vAlign w:val="center"/>
          </w:tcPr>
          <w:p w14:paraId="0080CA64">
            <w:pPr>
              <w:widowControl/>
              <w:jc w:val="center"/>
              <w:rPr>
                <w:rFonts w:hint="eastAsia" w:ascii="仿宋_GB2312" w:hAnsi="仿宋_GB2312" w:eastAsia="仿宋_GB2312" w:cs="仿宋_GB2312"/>
                <w:color w:val="auto"/>
                <w:sz w:val="24"/>
                <w:highlight w:val="none"/>
              </w:rPr>
            </w:pPr>
            <w:r>
              <w:rPr>
                <w:rFonts w:ascii="仿宋_GB2312" w:hAnsi="仿宋_GB2312" w:eastAsia="仿宋_GB2312" w:cs="仿宋_GB2312"/>
                <w:color w:val="auto"/>
                <w:sz w:val="24"/>
                <w:highlight w:val="none"/>
              </w:rPr>
              <w:t>1</w:t>
            </w:r>
          </w:p>
        </w:tc>
        <w:tc>
          <w:tcPr>
            <w:tcW w:w="3744" w:type="dxa"/>
            <w:tcMar>
              <w:top w:w="10" w:type="dxa"/>
              <w:left w:w="40" w:type="dxa"/>
              <w:bottom w:w="10" w:type="dxa"/>
              <w:right w:w="40" w:type="dxa"/>
            </w:tcMar>
            <w:vAlign w:val="center"/>
          </w:tcPr>
          <w:p w14:paraId="67E1194B">
            <w:pPr>
              <w:pStyle w:val="11"/>
              <w:widowControl/>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园区营业总收入（亿元）</w:t>
            </w:r>
            <w:r>
              <w:rPr>
                <w:rFonts w:hint="eastAsia" w:ascii="楷体_GB2312" w:hAnsi="楷体_GB2312" w:eastAsia="楷体_GB2312" w:cs="楷体_GB2312"/>
                <w:color w:val="auto"/>
                <w:sz w:val="22"/>
                <w:szCs w:val="22"/>
                <w:highlight w:val="none"/>
              </w:rPr>
              <w:t>▲●■</w:t>
            </w:r>
          </w:p>
        </w:tc>
        <w:tc>
          <w:tcPr>
            <w:tcW w:w="922" w:type="dxa"/>
            <w:tcMar>
              <w:top w:w="10" w:type="dxa"/>
              <w:left w:w="40" w:type="dxa"/>
              <w:bottom w:w="10" w:type="dxa"/>
              <w:right w:w="40" w:type="dxa"/>
            </w:tcMar>
            <w:vAlign w:val="center"/>
          </w:tcPr>
          <w:p w14:paraId="41945094">
            <w:pPr>
              <w:pStyle w:val="11"/>
              <w:widowControl/>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1117.3</w:t>
            </w:r>
          </w:p>
        </w:tc>
        <w:tc>
          <w:tcPr>
            <w:tcW w:w="1125" w:type="dxa"/>
            <w:tcMar>
              <w:top w:w="10" w:type="dxa"/>
              <w:left w:w="40" w:type="dxa"/>
              <w:bottom w:w="10" w:type="dxa"/>
              <w:right w:w="40" w:type="dxa"/>
            </w:tcMar>
            <w:vAlign w:val="center"/>
          </w:tcPr>
          <w:p w14:paraId="71E40625">
            <w:pPr>
              <w:pStyle w:val="11"/>
              <w:widowControl/>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2000</w:t>
            </w:r>
          </w:p>
        </w:tc>
        <w:tc>
          <w:tcPr>
            <w:tcW w:w="1243" w:type="dxa"/>
            <w:tcMar>
              <w:top w:w="10" w:type="dxa"/>
              <w:left w:w="40" w:type="dxa"/>
              <w:bottom w:w="10" w:type="dxa"/>
              <w:right w:w="40" w:type="dxa"/>
            </w:tcMar>
            <w:vAlign w:val="center"/>
          </w:tcPr>
          <w:p w14:paraId="53CCA51D">
            <w:pPr>
              <w:pStyle w:val="11"/>
              <w:widowControl/>
              <w:numPr>
                <w:ilvl w:val="255"/>
                <w:numId w:val="0"/>
              </w:numPr>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园区</w:t>
            </w:r>
          </w:p>
        </w:tc>
      </w:tr>
      <w:tr w14:paraId="220E4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trPr>
        <w:tc>
          <w:tcPr>
            <w:tcW w:w="1083" w:type="dxa"/>
            <w:vMerge w:val="continue"/>
            <w:tcMar>
              <w:top w:w="10" w:type="dxa"/>
              <w:left w:w="40" w:type="dxa"/>
              <w:bottom w:w="10" w:type="dxa"/>
              <w:right w:w="40" w:type="dxa"/>
            </w:tcMar>
            <w:vAlign w:val="center"/>
          </w:tcPr>
          <w:p w14:paraId="7A61AA40">
            <w:pPr>
              <w:pStyle w:val="11"/>
              <w:widowControl/>
              <w:spacing w:beforeAutospacing="0" w:afterAutospacing="0"/>
              <w:jc w:val="center"/>
              <w:rPr>
                <w:rFonts w:hint="eastAsia" w:ascii="仿宋_GB2312" w:hAnsi="仿宋_GB2312" w:eastAsia="仿宋_GB2312" w:cs="仿宋_GB2312"/>
                <w:b/>
                <w:bCs/>
                <w:color w:val="auto"/>
                <w:highlight w:val="none"/>
              </w:rPr>
            </w:pPr>
          </w:p>
        </w:tc>
        <w:tc>
          <w:tcPr>
            <w:tcW w:w="601" w:type="dxa"/>
            <w:tcMar>
              <w:top w:w="10" w:type="dxa"/>
              <w:left w:w="40" w:type="dxa"/>
              <w:bottom w:w="10" w:type="dxa"/>
              <w:right w:w="40" w:type="dxa"/>
            </w:tcMar>
            <w:vAlign w:val="center"/>
          </w:tcPr>
          <w:p w14:paraId="0FCD5629">
            <w:pPr>
              <w:widowControl/>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3744" w:type="dxa"/>
            <w:tcMar>
              <w:top w:w="10" w:type="dxa"/>
              <w:left w:w="40" w:type="dxa"/>
              <w:bottom w:w="10" w:type="dxa"/>
              <w:right w:w="40" w:type="dxa"/>
            </w:tcMar>
            <w:vAlign w:val="center"/>
          </w:tcPr>
          <w:p w14:paraId="536F0E94">
            <w:pPr>
              <w:pStyle w:val="11"/>
              <w:widowControl/>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“三大产业”总收入（亿元）</w:t>
            </w:r>
            <w:r>
              <w:rPr>
                <w:rFonts w:hint="eastAsia" w:ascii="楷体_GB2312" w:hAnsi="楷体_GB2312" w:eastAsia="楷体_GB2312" w:cs="楷体_GB2312"/>
                <w:color w:val="auto"/>
                <w:sz w:val="22"/>
                <w:szCs w:val="22"/>
                <w:highlight w:val="none"/>
              </w:rPr>
              <w:t>◆</w:t>
            </w:r>
          </w:p>
        </w:tc>
        <w:tc>
          <w:tcPr>
            <w:tcW w:w="922" w:type="dxa"/>
            <w:tcMar>
              <w:top w:w="10" w:type="dxa"/>
              <w:left w:w="40" w:type="dxa"/>
              <w:bottom w:w="10" w:type="dxa"/>
              <w:right w:w="40" w:type="dxa"/>
            </w:tcMar>
            <w:vAlign w:val="center"/>
          </w:tcPr>
          <w:p w14:paraId="668F19A2">
            <w:pPr>
              <w:pStyle w:val="11"/>
              <w:widowControl/>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210.3</w:t>
            </w:r>
          </w:p>
        </w:tc>
        <w:tc>
          <w:tcPr>
            <w:tcW w:w="1125" w:type="dxa"/>
            <w:tcMar>
              <w:top w:w="10" w:type="dxa"/>
              <w:left w:w="40" w:type="dxa"/>
              <w:bottom w:w="10" w:type="dxa"/>
              <w:right w:w="40" w:type="dxa"/>
            </w:tcMar>
            <w:vAlign w:val="center"/>
          </w:tcPr>
          <w:p w14:paraId="1AD73BD6">
            <w:pPr>
              <w:pStyle w:val="11"/>
              <w:widowControl/>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450</w:t>
            </w:r>
          </w:p>
        </w:tc>
        <w:tc>
          <w:tcPr>
            <w:tcW w:w="1243" w:type="dxa"/>
            <w:tcMar>
              <w:top w:w="10" w:type="dxa"/>
              <w:left w:w="40" w:type="dxa"/>
              <w:bottom w:w="10" w:type="dxa"/>
              <w:right w:w="40" w:type="dxa"/>
            </w:tcMar>
            <w:vAlign w:val="center"/>
          </w:tcPr>
          <w:p w14:paraId="4E1F4E5E">
            <w:pPr>
              <w:pStyle w:val="11"/>
              <w:widowControl/>
              <w:numPr>
                <w:ilvl w:val="255"/>
                <w:numId w:val="0"/>
              </w:numPr>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全区</w:t>
            </w:r>
          </w:p>
        </w:tc>
      </w:tr>
      <w:tr w14:paraId="09D72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trPr>
        <w:tc>
          <w:tcPr>
            <w:tcW w:w="1083" w:type="dxa"/>
            <w:vMerge w:val="continue"/>
            <w:tcMar>
              <w:top w:w="10" w:type="dxa"/>
              <w:left w:w="40" w:type="dxa"/>
              <w:bottom w:w="10" w:type="dxa"/>
              <w:right w:w="40" w:type="dxa"/>
            </w:tcMar>
            <w:vAlign w:val="center"/>
          </w:tcPr>
          <w:p w14:paraId="19A840B0">
            <w:pPr>
              <w:pStyle w:val="11"/>
              <w:widowControl/>
              <w:spacing w:beforeAutospacing="0" w:afterAutospacing="0"/>
              <w:jc w:val="center"/>
              <w:rPr>
                <w:rFonts w:hint="eastAsia" w:ascii="仿宋_GB2312" w:hAnsi="仿宋_GB2312" w:eastAsia="仿宋_GB2312" w:cs="仿宋_GB2312"/>
                <w:b/>
                <w:bCs/>
                <w:color w:val="auto"/>
                <w:highlight w:val="none"/>
              </w:rPr>
            </w:pPr>
          </w:p>
        </w:tc>
        <w:tc>
          <w:tcPr>
            <w:tcW w:w="601" w:type="dxa"/>
            <w:tcMar>
              <w:top w:w="10" w:type="dxa"/>
              <w:left w:w="40" w:type="dxa"/>
              <w:bottom w:w="10" w:type="dxa"/>
              <w:right w:w="40" w:type="dxa"/>
            </w:tcMar>
            <w:vAlign w:val="center"/>
          </w:tcPr>
          <w:p w14:paraId="66C65775">
            <w:pPr>
              <w:widowControl/>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3744" w:type="dxa"/>
            <w:tcMar>
              <w:top w:w="10" w:type="dxa"/>
              <w:left w:w="40" w:type="dxa"/>
              <w:bottom w:w="10" w:type="dxa"/>
              <w:right w:w="40" w:type="dxa"/>
            </w:tcMar>
            <w:vAlign w:val="center"/>
          </w:tcPr>
          <w:p w14:paraId="62161432">
            <w:pPr>
              <w:pStyle w:val="11"/>
              <w:widowControl/>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数字经济增加值年均增速（%）</w:t>
            </w:r>
            <w:r>
              <w:rPr>
                <w:rFonts w:hint="eastAsia" w:ascii="楷体_GB2312" w:hAnsi="楷体_GB2312" w:eastAsia="楷体_GB2312" w:cs="楷体_GB2312"/>
                <w:color w:val="auto"/>
                <w:sz w:val="22"/>
                <w:szCs w:val="22"/>
                <w:highlight w:val="none"/>
              </w:rPr>
              <w:t>★●</w:t>
            </w:r>
          </w:p>
        </w:tc>
        <w:tc>
          <w:tcPr>
            <w:tcW w:w="922" w:type="dxa"/>
            <w:tcMar>
              <w:top w:w="10" w:type="dxa"/>
              <w:left w:w="40" w:type="dxa"/>
              <w:bottom w:w="10" w:type="dxa"/>
              <w:right w:w="40" w:type="dxa"/>
            </w:tcMar>
            <w:vAlign w:val="center"/>
          </w:tcPr>
          <w:p w14:paraId="0411A333">
            <w:pPr>
              <w:pStyle w:val="11"/>
              <w:widowControl/>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w:t>
            </w:r>
          </w:p>
        </w:tc>
        <w:tc>
          <w:tcPr>
            <w:tcW w:w="1125" w:type="dxa"/>
            <w:tcMar>
              <w:top w:w="10" w:type="dxa"/>
              <w:left w:w="40" w:type="dxa"/>
              <w:bottom w:w="10" w:type="dxa"/>
              <w:right w:w="40" w:type="dxa"/>
            </w:tcMar>
            <w:vAlign w:val="center"/>
          </w:tcPr>
          <w:p w14:paraId="33AE979F">
            <w:pPr>
              <w:pStyle w:val="11"/>
              <w:widowControl/>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8左右</w:t>
            </w:r>
          </w:p>
        </w:tc>
        <w:tc>
          <w:tcPr>
            <w:tcW w:w="1243" w:type="dxa"/>
            <w:tcMar>
              <w:top w:w="10" w:type="dxa"/>
              <w:left w:w="40" w:type="dxa"/>
              <w:bottom w:w="10" w:type="dxa"/>
              <w:right w:w="40" w:type="dxa"/>
            </w:tcMar>
            <w:vAlign w:val="center"/>
          </w:tcPr>
          <w:p w14:paraId="4BFB7C2A">
            <w:pPr>
              <w:pStyle w:val="11"/>
              <w:widowControl/>
              <w:numPr>
                <w:ilvl w:val="255"/>
                <w:numId w:val="0"/>
              </w:numPr>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全区</w:t>
            </w:r>
          </w:p>
        </w:tc>
      </w:tr>
      <w:tr w14:paraId="7E9CE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trPr>
        <w:tc>
          <w:tcPr>
            <w:tcW w:w="1083" w:type="dxa"/>
            <w:vMerge w:val="restart"/>
            <w:tcMar>
              <w:top w:w="10" w:type="dxa"/>
              <w:left w:w="40" w:type="dxa"/>
              <w:bottom w:w="10" w:type="dxa"/>
              <w:right w:w="40" w:type="dxa"/>
            </w:tcMar>
            <w:vAlign w:val="center"/>
          </w:tcPr>
          <w:p w14:paraId="1D69D5F1">
            <w:pPr>
              <w:pStyle w:val="11"/>
              <w:widowControl/>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创新能力</w:t>
            </w:r>
          </w:p>
        </w:tc>
        <w:tc>
          <w:tcPr>
            <w:tcW w:w="601" w:type="dxa"/>
            <w:tcMar>
              <w:top w:w="10" w:type="dxa"/>
              <w:left w:w="40" w:type="dxa"/>
              <w:bottom w:w="10" w:type="dxa"/>
              <w:right w:w="40" w:type="dxa"/>
            </w:tcMar>
            <w:vAlign w:val="center"/>
          </w:tcPr>
          <w:p w14:paraId="004134F4">
            <w:pPr>
              <w:widowControl/>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3744" w:type="dxa"/>
            <w:tcMar>
              <w:top w:w="10" w:type="dxa"/>
              <w:left w:w="40" w:type="dxa"/>
              <w:bottom w:w="10" w:type="dxa"/>
              <w:right w:w="40" w:type="dxa"/>
            </w:tcMar>
            <w:vAlign w:val="center"/>
          </w:tcPr>
          <w:p w14:paraId="6099232B">
            <w:pPr>
              <w:pStyle w:val="11"/>
              <w:widowControl/>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全社会研究与试验发展经费支出占地区生产总值比重（%）</w:t>
            </w:r>
            <w:r>
              <w:rPr>
                <w:rFonts w:hint="eastAsia" w:ascii="楷体_GB2312" w:hAnsi="楷体_GB2312" w:eastAsia="楷体_GB2312" w:cs="楷体_GB2312"/>
                <w:color w:val="auto"/>
                <w:sz w:val="22"/>
                <w:szCs w:val="22"/>
                <w:highlight w:val="none"/>
              </w:rPr>
              <w:t>★●■</w:t>
            </w:r>
          </w:p>
        </w:tc>
        <w:tc>
          <w:tcPr>
            <w:tcW w:w="922" w:type="dxa"/>
            <w:tcMar>
              <w:top w:w="10" w:type="dxa"/>
              <w:left w:w="40" w:type="dxa"/>
              <w:bottom w:w="10" w:type="dxa"/>
              <w:right w:w="40" w:type="dxa"/>
            </w:tcMar>
            <w:vAlign w:val="center"/>
          </w:tcPr>
          <w:p w14:paraId="6DE7211B">
            <w:pPr>
              <w:pStyle w:val="11"/>
              <w:widowControl/>
              <w:spacing w:beforeAutospacing="0" w:afterAutospacing="0"/>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1.5</w:t>
            </w:r>
          </w:p>
        </w:tc>
        <w:tc>
          <w:tcPr>
            <w:tcW w:w="1125" w:type="dxa"/>
            <w:tcMar>
              <w:top w:w="10" w:type="dxa"/>
              <w:left w:w="40" w:type="dxa"/>
              <w:bottom w:w="10" w:type="dxa"/>
              <w:right w:w="40" w:type="dxa"/>
            </w:tcMar>
            <w:vAlign w:val="center"/>
          </w:tcPr>
          <w:p w14:paraId="56EDF408">
            <w:pPr>
              <w:pStyle w:val="11"/>
              <w:widowControl/>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1.5</w:t>
            </w:r>
          </w:p>
        </w:tc>
        <w:tc>
          <w:tcPr>
            <w:tcW w:w="1243" w:type="dxa"/>
            <w:tcMar>
              <w:top w:w="10" w:type="dxa"/>
              <w:left w:w="40" w:type="dxa"/>
              <w:bottom w:w="10" w:type="dxa"/>
              <w:right w:w="40" w:type="dxa"/>
            </w:tcMar>
            <w:vAlign w:val="center"/>
          </w:tcPr>
          <w:p w14:paraId="01B7AE0D">
            <w:pPr>
              <w:pStyle w:val="11"/>
              <w:widowControl/>
              <w:numPr>
                <w:ilvl w:val="255"/>
                <w:numId w:val="0"/>
              </w:numPr>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全区</w:t>
            </w:r>
          </w:p>
        </w:tc>
      </w:tr>
      <w:tr w14:paraId="78AB0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trPr>
        <w:tc>
          <w:tcPr>
            <w:tcW w:w="1083" w:type="dxa"/>
            <w:vMerge w:val="continue"/>
            <w:tcMar>
              <w:top w:w="10" w:type="dxa"/>
              <w:left w:w="40" w:type="dxa"/>
              <w:bottom w:w="10" w:type="dxa"/>
              <w:right w:w="40" w:type="dxa"/>
            </w:tcMar>
            <w:vAlign w:val="center"/>
          </w:tcPr>
          <w:p w14:paraId="642571C6">
            <w:pPr>
              <w:widowControl/>
              <w:rPr>
                <w:rFonts w:hint="eastAsia" w:ascii="仿宋_GB2312" w:hAnsi="仿宋_GB2312" w:eastAsia="仿宋_GB2312" w:cs="仿宋_GB2312"/>
                <w:color w:val="auto"/>
                <w:sz w:val="24"/>
                <w:highlight w:val="none"/>
              </w:rPr>
            </w:pPr>
          </w:p>
        </w:tc>
        <w:tc>
          <w:tcPr>
            <w:tcW w:w="601" w:type="dxa"/>
            <w:tcMar>
              <w:top w:w="10" w:type="dxa"/>
              <w:left w:w="40" w:type="dxa"/>
              <w:bottom w:w="10" w:type="dxa"/>
              <w:right w:w="40" w:type="dxa"/>
            </w:tcMar>
            <w:vAlign w:val="center"/>
          </w:tcPr>
          <w:p w14:paraId="0B8AB70A">
            <w:pPr>
              <w:widowControl/>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3744" w:type="dxa"/>
            <w:tcMar>
              <w:top w:w="10" w:type="dxa"/>
              <w:left w:w="40" w:type="dxa"/>
              <w:bottom w:w="10" w:type="dxa"/>
              <w:right w:w="40" w:type="dxa"/>
            </w:tcMar>
            <w:vAlign w:val="center"/>
          </w:tcPr>
          <w:p w14:paraId="639CA2A5">
            <w:pPr>
              <w:pStyle w:val="11"/>
              <w:widowControl/>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技术合同成交额（亿元）</w:t>
            </w:r>
            <w:r>
              <w:rPr>
                <w:rFonts w:hint="eastAsia" w:ascii="楷体_GB2312" w:hAnsi="楷体_GB2312" w:eastAsia="楷体_GB2312" w:cs="楷体_GB2312"/>
                <w:color w:val="auto"/>
                <w:sz w:val="22"/>
                <w:szCs w:val="22"/>
                <w:highlight w:val="none"/>
              </w:rPr>
              <w:t>●■</w:t>
            </w:r>
          </w:p>
        </w:tc>
        <w:tc>
          <w:tcPr>
            <w:tcW w:w="922" w:type="dxa"/>
            <w:tcMar>
              <w:top w:w="10" w:type="dxa"/>
              <w:left w:w="40" w:type="dxa"/>
              <w:bottom w:w="10" w:type="dxa"/>
              <w:right w:w="40" w:type="dxa"/>
            </w:tcMar>
            <w:vAlign w:val="center"/>
          </w:tcPr>
          <w:p w14:paraId="0B186DA2">
            <w:pPr>
              <w:pStyle w:val="11"/>
              <w:widowControl/>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144.4</w:t>
            </w:r>
          </w:p>
        </w:tc>
        <w:tc>
          <w:tcPr>
            <w:tcW w:w="1125" w:type="dxa"/>
            <w:tcMar>
              <w:top w:w="10" w:type="dxa"/>
              <w:left w:w="40" w:type="dxa"/>
              <w:bottom w:w="10" w:type="dxa"/>
              <w:right w:w="40" w:type="dxa"/>
            </w:tcMar>
            <w:vAlign w:val="center"/>
          </w:tcPr>
          <w:p w14:paraId="4332A396">
            <w:pPr>
              <w:pStyle w:val="11"/>
              <w:widowControl/>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200</w:t>
            </w:r>
          </w:p>
        </w:tc>
        <w:tc>
          <w:tcPr>
            <w:tcW w:w="1243" w:type="dxa"/>
            <w:tcMar>
              <w:top w:w="10" w:type="dxa"/>
              <w:left w:w="40" w:type="dxa"/>
              <w:bottom w:w="10" w:type="dxa"/>
              <w:right w:w="40" w:type="dxa"/>
            </w:tcMar>
            <w:vAlign w:val="center"/>
          </w:tcPr>
          <w:p w14:paraId="08BA9321">
            <w:pPr>
              <w:pStyle w:val="11"/>
              <w:widowControl/>
              <w:numPr>
                <w:ilvl w:val="255"/>
                <w:numId w:val="0"/>
              </w:numPr>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全区</w:t>
            </w:r>
          </w:p>
        </w:tc>
      </w:tr>
      <w:tr w14:paraId="3A9CB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trPr>
        <w:tc>
          <w:tcPr>
            <w:tcW w:w="1083" w:type="dxa"/>
            <w:vMerge w:val="continue"/>
            <w:tcMar>
              <w:top w:w="10" w:type="dxa"/>
              <w:left w:w="40" w:type="dxa"/>
              <w:bottom w:w="10" w:type="dxa"/>
              <w:right w:w="40" w:type="dxa"/>
            </w:tcMar>
            <w:vAlign w:val="center"/>
          </w:tcPr>
          <w:p w14:paraId="532FB83E">
            <w:pPr>
              <w:widowControl/>
              <w:rPr>
                <w:rFonts w:hint="eastAsia" w:ascii="仿宋_GB2312" w:hAnsi="仿宋_GB2312" w:eastAsia="仿宋_GB2312" w:cs="仿宋_GB2312"/>
                <w:color w:val="auto"/>
                <w:sz w:val="24"/>
                <w:highlight w:val="none"/>
              </w:rPr>
            </w:pPr>
          </w:p>
        </w:tc>
        <w:tc>
          <w:tcPr>
            <w:tcW w:w="601" w:type="dxa"/>
            <w:tcMar>
              <w:top w:w="10" w:type="dxa"/>
              <w:left w:w="40" w:type="dxa"/>
              <w:bottom w:w="10" w:type="dxa"/>
              <w:right w:w="40" w:type="dxa"/>
            </w:tcMar>
            <w:vAlign w:val="center"/>
          </w:tcPr>
          <w:p w14:paraId="68BBF16C">
            <w:pPr>
              <w:widowControl/>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w:t>
            </w:r>
          </w:p>
        </w:tc>
        <w:tc>
          <w:tcPr>
            <w:tcW w:w="3744" w:type="dxa"/>
            <w:tcMar>
              <w:top w:w="10" w:type="dxa"/>
              <w:left w:w="40" w:type="dxa"/>
              <w:bottom w:w="10" w:type="dxa"/>
              <w:right w:w="40" w:type="dxa"/>
            </w:tcMar>
            <w:vAlign w:val="center"/>
          </w:tcPr>
          <w:p w14:paraId="0D29A058">
            <w:pPr>
              <w:pStyle w:val="11"/>
              <w:widowControl/>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部级（市级）科技企业孵化器数量（个）</w:t>
            </w:r>
            <w:r>
              <w:rPr>
                <w:rFonts w:hint="eastAsia" w:ascii="楷体_GB2312" w:hAnsi="楷体_GB2312" w:eastAsia="楷体_GB2312" w:cs="楷体_GB2312"/>
                <w:color w:val="auto"/>
                <w:sz w:val="22"/>
                <w:szCs w:val="22"/>
                <w:highlight w:val="none"/>
              </w:rPr>
              <w:t>■</w:t>
            </w:r>
          </w:p>
        </w:tc>
        <w:tc>
          <w:tcPr>
            <w:tcW w:w="922" w:type="dxa"/>
            <w:tcMar>
              <w:top w:w="10" w:type="dxa"/>
              <w:left w:w="40" w:type="dxa"/>
              <w:bottom w:w="10" w:type="dxa"/>
              <w:right w:w="40" w:type="dxa"/>
            </w:tcMar>
            <w:vAlign w:val="center"/>
          </w:tcPr>
          <w:p w14:paraId="10F8F6DC">
            <w:pPr>
              <w:pStyle w:val="11"/>
              <w:widowControl/>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0(5)</w:t>
            </w:r>
          </w:p>
        </w:tc>
        <w:tc>
          <w:tcPr>
            <w:tcW w:w="1125" w:type="dxa"/>
            <w:tcMar>
              <w:top w:w="10" w:type="dxa"/>
              <w:left w:w="40" w:type="dxa"/>
              <w:bottom w:w="10" w:type="dxa"/>
              <w:right w:w="40" w:type="dxa"/>
            </w:tcMar>
            <w:vAlign w:val="center"/>
          </w:tcPr>
          <w:p w14:paraId="3A2313D0">
            <w:pPr>
              <w:pStyle w:val="11"/>
              <w:widowControl/>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2(10)</w:t>
            </w:r>
          </w:p>
        </w:tc>
        <w:tc>
          <w:tcPr>
            <w:tcW w:w="1243" w:type="dxa"/>
            <w:tcMar>
              <w:top w:w="10" w:type="dxa"/>
              <w:left w:w="40" w:type="dxa"/>
              <w:bottom w:w="10" w:type="dxa"/>
              <w:right w:w="40" w:type="dxa"/>
            </w:tcMar>
            <w:vAlign w:val="center"/>
          </w:tcPr>
          <w:p w14:paraId="6EBBEDBF">
            <w:pPr>
              <w:pStyle w:val="11"/>
              <w:numPr>
                <w:ilvl w:val="255"/>
                <w:numId w:val="0"/>
              </w:numPr>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全区</w:t>
            </w:r>
          </w:p>
        </w:tc>
      </w:tr>
      <w:tr w14:paraId="01088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trPr>
        <w:tc>
          <w:tcPr>
            <w:tcW w:w="1083" w:type="dxa"/>
            <w:vMerge w:val="restart"/>
            <w:tcMar>
              <w:top w:w="10" w:type="dxa"/>
              <w:left w:w="40" w:type="dxa"/>
              <w:bottom w:w="10" w:type="dxa"/>
              <w:right w:w="40" w:type="dxa"/>
            </w:tcMar>
            <w:vAlign w:val="center"/>
          </w:tcPr>
          <w:p w14:paraId="29B5A6C7">
            <w:pPr>
              <w:pStyle w:val="11"/>
              <w:widowControl/>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企业培育</w:t>
            </w:r>
          </w:p>
        </w:tc>
        <w:tc>
          <w:tcPr>
            <w:tcW w:w="601" w:type="dxa"/>
            <w:tcMar>
              <w:top w:w="10" w:type="dxa"/>
              <w:left w:w="40" w:type="dxa"/>
              <w:bottom w:w="10" w:type="dxa"/>
              <w:right w:w="40" w:type="dxa"/>
            </w:tcMar>
            <w:vAlign w:val="center"/>
          </w:tcPr>
          <w:p w14:paraId="38CBF543">
            <w:pPr>
              <w:widowControl/>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w:t>
            </w:r>
          </w:p>
        </w:tc>
        <w:tc>
          <w:tcPr>
            <w:tcW w:w="3744" w:type="dxa"/>
            <w:tcMar>
              <w:top w:w="10" w:type="dxa"/>
              <w:left w:w="40" w:type="dxa"/>
              <w:bottom w:w="10" w:type="dxa"/>
              <w:right w:w="40" w:type="dxa"/>
            </w:tcMar>
            <w:vAlign w:val="center"/>
          </w:tcPr>
          <w:p w14:paraId="038CE46F">
            <w:pPr>
              <w:pStyle w:val="11"/>
              <w:widowControl/>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国家高新技术企业数量（家）</w:t>
            </w:r>
            <w:r>
              <w:rPr>
                <w:rFonts w:hint="eastAsia" w:ascii="楷体_GB2312" w:hAnsi="楷体_GB2312" w:eastAsia="楷体_GB2312" w:cs="楷体_GB2312"/>
                <w:color w:val="auto"/>
                <w:sz w:val="22"/>
                <w:szCs w:val="22"/>
                <w:highlight w:val="none"/>
              </w:rPr>
              <w:t>■</w:t>
            </w:r>
          </w:p>
        </w:tc>
        <w:tc>
          <w:tcPr>
            <w:tcW w:w="922" w:type="dxa"/>
            <w:tcMar>
              <w:top w:w="10" w:type="dxa"/>
              <w:left w:w="40" w:type="dxa"/>
              <w:bottom w:w="10" w:type="dxa"/>
              <w:right w:w="40" w:type="dxa"/>
            </w:tcMar>
            <w:vAlign w:val="center"/>
          </w:tcPr>
          <w:p w14:paraId="4F2428AD">
            <w:pPr>
              <w:pStyle w:val="11"/>
              <w:widowControl/>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581</w:t>
            </w:r>
          </w:p>
        </w:tc>
        <w:tc>
          <w:tcPr>
            <w:tcW w:w="1125" w:type="dxa"/>
            <w:tcMar>
              <w:top w:w="10" w:type="dxa"/>
              <w:left w:w="40" w:type="dxa"/>
              <w:bottom w:w="10" w:type="dxa"/>
              <w:right w:w="40" w:type="dxa"/>
            </w:tcMar>
            <w:vAlign w:val="center"/>
          </w:tcPr>
          <w:p w14:paraId="39395116">
            <w:pPr>
              <w:pStyle w:val="11"/>
              <w:widowControl/>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1000</w:t>
            </w:r>
          </w:p>
        </w:tc>
        <w:tc>
          <w:tcPr>
            <w:tcW w:w="1243" w:type="dxa"/>
            <w:tcMar>
              <w:top w:w="10" w:type="dxa"/>
              <w:left w:w="40" w:type="dxa"/>
              <w:bottom w:w="10" w:type="dxa"/>
              <w:right w:w="40" w:type="dxa"/>
            </w:tcMar>
            <w:vAlign w:val="center"/>
          </w:tcPr>
          <w:p w14:paraId="66E88378">
            <w:pPr>
              <w:pStyle w:val="11"/>
              <w:widowControl/>
              <w:numPr>
                <w:ilvl w:val="255"/>
                <w:numId w:val="0"/>
              </w:numPr>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全区</w:t>
            </w:r>
          </w:p>
        </w:tc>
      </w:tr>
      <w:tr w14:paraId="3346D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3" w:hRule="atLeast"/>
        </w:trPr>
        <w:tc>
          <w:tcPr>
            <w:tcW w:w="1083" w:type="dxa"/>
            <w:vMerge w:val="continue"/>
            <w:tcMar>
              <w:top w:w="10" w:type="dxa"/>
              <w:left w:w="40" w:type="dxa"/>
              <w:bottom w:w="10" w:type="dxa"/>
              <w:right w:w="40" w:type="dxa"/>
            </w:tcMar>
            <w:vAlign w:val="center"/>
          </w:tcPr>
          <w:p w14:paraId="6EDEBDFA">
            <w:pPr>
              <w:widowControl/>
              <w:rPr>
                <w:rFonts w:hint="eastAsia" w:ascii="仿宋_GB2312" w:hAnsi="仿宋_GB2312" w:eastAsia="仿宋_GB2312" w:cs="仿宋_GB2312"/>
                <w:color w:val="auto"/>
                <w:sz w:val="24"/>
                <w:highlight w:val="none"/>
              </w:rPr>
            </w:pPr>
          </w:p>
        </w:tc>
        <w:tc>
          <w:tcPr>
            <w:tcW w:w="601" w:type="dxa"/>
            <w:tcMar>
              <w:top w:w="10" w:type="dxa"/>
              <w:left w:w="40" w:type="dxa"/>
              <w:bottom w:w="10" w:type="dxa"/>
              <w:right w:w="40" w:type="dxa"/>
            </w:tcMar>
            <w:vAlign w:val="center"/>
          </w:tcPr>
          <w:p w14:paraId="722B2471">
            <w:pPr>
              <w:widowControl/>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8</w:t>
            </w:r>
          </w:p>
        </w:tc>
        <w:tc>
          <w:tcPr>
            <w:tcW w:w="3744" w:type="dxa"/>
            <w:tcMar>
              <w:top w:w="10" w:type="dxa"/>
              <w:left w:w="40" w:type="dxa"/>
              <w:bottom w:w="10" w:type="dxa"/>
              <w:right w:w="40" w:type="dxa"/>
            </w:tcMar>
            <w:vAlign w:val="center"/>
          </w:tcPr>
          <w:p w14:paraId="7C21F05E">
            <w:pPr>
              <w:widowControl/>
              <w:snapToGrid w:val="0"/>
              <w:jc w:val="center"/>
              <w:textAlignment w:val="center"/>
              <w:rPr>
                <w:rFonts w:hint="eastAsia" w:ascii="仿宋_GB2312" w:hAnsi="仿宋_GB2312" w:eastAsia="仿宋_GB2312" w:cs="仿宋_GB2312"/>
                <w:color w:val="auto"/>
                <w:highlight w:val="none"/>
              </w:rPr>
            </w:pPr>
            <w:r>
              <w:rPr>
                <w:rFonts w:hint="eastAsia" w:ascii="仿宋_GB2312" w:hAnsi="宋体" w:eastAsia="仿宋_GB2312" w:cs="仿宋_GB2312"/>
                <w:color w:val="auto"/>
                <w:kern w:val="0"/>
                <w:sz w:val="24"/>
                <w:highlight w:val="none"/>
                <w:lang w:bidi="ar"/>
              </w:rPr>
              <w:t>国家级专精特新“小巨人”企业数量（家）</w:t>
            </w:r>
            <w:r>
              <w:rPr>
                <w:rFonts w:hint="eastAsia" w:ascii="楷体_GB2312" w:hAnsi="楷体_GB2312" w:eastAsia="楷体_GB2312" w:cs="楷体_GB2312"/>
                <w:color w:val="auto"/>
                <w:sz w:val="22"/>
                <w:szCs w:val="22"/>
                <w:highlight w:val="none"/>
              </w:rPr>
              <w:t>■</w:t>
            </w:r>
          </w:p>
        </w:tc>
        <w:tc>
          <w:tcPr>
            <w:tcW w:w="922" w:type="dxa"/>
            <w:tcMar>
              <w:top w:w="10" w:type="dxa"/>
              <w:left w:w="40" w:type="dxa"/>
              <w:bottom w:w="10" w:type="dxa"/>
              <w:right w:w="40" w:type="dxa"/>
            </w:tcMar>
            <w:vAlign w:val="center"/>
          </w:tcPr>
          <w:p w14:paraId="3D0F46F3">
            <w:pPr>
              <w:pStyle w:val="11"/>
              <w:widowControl/>
              <w:snapToGrid w:val="0"/>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bidi="ar"/>
              </w:rPr>
              <w:t>14</w:t>
            </w:r>
          </w:p>
        </w:tc>
        <w:tc>
          <w:tcPr>
            <w:tcW w:w="1125" w:type="dxa"/>
            <w:tcMar>
              <w:top w:w="10" w:type="dxa"/>
              <w:left w:w="40" w:type="dxa"/>
              <w:bottom w:w="10" w:type="dxa"/>
              <w:right w:w="40" w:type="dxa"/>
            </w:tcMar>
            <w:vAlign w:val="center"/>
          </w:tcPr>
          <w:p w14:paraId="0E21BB69">
            <w:pPr>
              <w:widowControl/>
              <w:snapToGrid w:val="0"/>
              <w:jc w:val="center"/>
              <w:rPr>
                <w:rFonts w:hint="eastAsia" w:ascii="仿宋_GB2312" w:hAnsi="仿宋_GB2312" w:eastAsia="仿宋_GB2312" w:cs="仿宋_GB2312"/>
                <w:color w:val="auto"/>
                <w:highlight w:val="none"/>
              </w:rPr>
            </w:pPr>
            <w:r>
              <w:rPr>
                <w:rFonts w:hint="eastAsia" w:ascii="仿宋_GB2312" w:hAnsi="Times New Roman" w:eastAsia="仿宋_GB2312" w:cs="仿宋_GB2312"/>
                <w:color w:val="auto"/>
                <w:kern w:val="0"/>
                <w:sz w:val="24"/>
                <w:highlight w:val="none"/>
                <w:lang w:bidi="ar"/>
              </w:rPr>
              <w:t>20</w:t>
            </w:r>
          </w:p>
        </w:tc>
        <w:tc>
          <w:tcPr>
            <w:tcW w:w="1243" w:type="dxa"/>
            <w:tcMar>
              <w:top w:w="10" w:type="dxa"/>
              <w:left w:w="40" w:type="dxa"/>
              <w:bottom w:w="10" w:type="dxa"/>
              <w:right w:w="40" w:type="dxa"/>
            </w:tcMar>
            <w:vAlign w:val="center"/>
          </w:tcPr>
          <w:p w14:paraId="3F1F6A89">
            <w:pPr>
              <w:pStyle w:val="11"/>
              <w:numPr>
                <w:ilvl w:val="255"/>
                <w:numId w:val="0"/>
              </w:numPr>
              <w:spacing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全区</w:t>
            </w:r>
          </w:p>
        </w:tc>
      </w:tr>
      <w:tr w14:paraId="4EDE7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trPr>
        <w:tc>
          <w:tcPr>
            <w:tcW w:w="1083" w:type="dxa"/>
            <w:vMerge w:val="continue"/>
            <w:tcMar>
              <w:top w:w="10" w:type="dxa"/>
              <w:left w:w="40" w:type="dxa"/>
              <w:bottom w:w="10" w:type="dxa"/>
              <w:right w:w="40" w:type="dxa"/>
            </w:tcMar>
            <w:vAlign w:val="center"/>
          </w:tcPr>
          <w:p w14:paraId="3FADFF54">
            <w:pPr>
              <w:widowControl/>
              <w:rPr>
                <w:rFonts w:hint="eastAsia" w:ascii="仿宋_GB2312" w:hAnsi="仿宋_GB2312" w:eastAsia="仿宋_GB2312" w:cs="仿宋_GB2312"/>
                <w:color w:val="auto"/>
                <w:sz w:val="24"/>
                <w:highlight w:val="none"/>
              </w:rPr>
            </w:pPr>
          </w:p>
        </w:tc>
        <w:tc>
          <w:tcPr>
            <w:tcW w:w="601" w:type="dxa"/>
            <w:tcMar>
              <w:top w:w="10" w:type="dxa"/>
              <w:left w:w="40" w:type="dxa"/>
              <w:bottom w:w="10" w:type="dxa"/>
              <w:right w:w="40" w:type="dxa"/>
            </w:tcMar>
            <w:vAlign w:val="center"/>
          </w:tcPr>
          <w:p w14:paraId="11291CF3">
            <w:pPr>
              <w:widowControl/>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9</w:t>
            </w:r>
          </w:p>
        </w:tc>
        <w:tc>
          <w:tcPr>
            <w:tcW w:w="3744" w:type="dxa"/>
            <w:tcMar>
              <w:top w:w="10" w:type="dxa"/>
              <w:left w:w="40" w:type="dxa"/>
              <w:bottom w:w="10" w:type="dxa"/>
              <w:right w:w="40" w:type="dxa"/>
            </w:tcMar>
            <w:vAlign w:val="center"/>
          </w:tcPr>
          <w:p w14:paraId="71484B2D">
            <w:pPr>
              <w:widowControl/>
              <w:snapToGrid w:val="0"/>
              <w:jc w:val="center"/>
              <w:textAlignment w:val="center"/>
              <w:rPr>
                <w:rFonts w:hint="eastAsia" w:ascii="仿宋_GB2312" w:hAnsi="仿宋_GB2312" w:eastAsia="仿宋_GB2312" w:cs="仿宋_GB2312"/>
                <w:color w:val="auto"/>
                <w:highlight w:val="none"/>
              </w:rPr>
            </w:pPr>
            <w:r>
              <w:rPr>
                <w:rFonts w:hint="eastAsia" w:ascii="仿宋_GB2312" w:hAnsi="宋体" w:eastAsia="仿宋_GB2312" w:cs="仿宋_GB2312"/>
                <w:color w:val="auto"/>
                <w:kern w:val="0"/>
                <w:sz w:val="24"/>
                <w:highlight w:val="none"/>
                <w:lang w:bidi="ar"/>
              </w:rPr>
              <w:t>独角兽企业数量（家）</w:t>
            </w:r>
            <w:r>
              <w:rPr>
                <w:rFonts w:hint="eastAsia" w:ascii="楷体_GB2312" w:hAnsi="楷体_GB2312" w:eastAsia="楷体_GB2312" w:cs="楷体_GB2312"/>
                <w:color w:val="auto"/>
                <w:sz w:val="22"/>
                <w:szCs w:val="22"/>
                <w:highlight w:val="none"/>
              </w:rPr>
              <w:t>★▲■</w:t>
            </w:r>
          </w:p>
        </w:tc>
        <w:tc>
          <w:tcPr>
            <w:tcW w:w="922" w:type="dxa"/>
            <w:tcMar>
              <w:top w:w="10" w:type="dxa"/>
              <w:left w:w="40" w:type="dxa"/>
              <w:bottom w:w="10" w:type="dxa"/>
              <w:right w:w="40" w:type="dxa"/>
            </w:tcMar>
            <w:vAlign w:val="center"/>
          </w:tcPr>
          <w:p w14:paraId="7D78E053">
            <w:pPr>
              <w:pStyle w:val="11"/>
              <w:widowControl/>
              <w:snapToGrid w:val="0"/>
              <w:jc w:val="center"/>
              <w:rPr>
                <w:rFonts w:hint="eastAsia" w:ascii="仿宋_GB2312" w:hAnsi="仿宋_GB2312" w:eastAsia="仿宋_GB2312" w:cs="仿宋_GB2312"/>
                <w:color w:val="auto"/>
                <w:highlight w:val="none"/>
                <w:lang w:bidi="ar"/>
              </w:rPr>
            </w:pPr>
            <w:r>
              <w:rPr>
                <w:rFonts w:hint="eastAsia" w:ascii="仿宋_GB2312" w:hAnsi="仿宋_GB2312" w:eastAsia="仿宋_GB2312" w:cs="仿宋_GB2312"/>
                <w:color w:val="auto"/>
                <w:highlight w:val="none"/>
                <w:lang w:bidi="ar"/>
              </w:rPr>
              <w:t>2</w:t>
            </w:r>
          </w:p>
        </w:tc>
        <w:tc>
          <w:tcPr>
            <w:tcW w:w="1125" w:type="dxa"/>
            <w:tcMar>
              <w:top w:w="10" w:type="dxa"/>
              <w:left w:w="40" w:type="dxa"/>
              <w:bottom w:w="10" w:type="dxa"/>
              <w:right w:w="40" w:type="dxa"/>
            </w:tcMar>
            <w:vAlign w:val="center"/>
          </w:tcPr>
          <w:p w14:paraId="2142CE69">
            <w:pPr>
              <w:widowControl/>
              <w:snapToGrid w:val="0"/>
              <w:jc w:val="center"/>
              <w:rPr>
                <w:rFonts w:hint="eastAsia" w:ascii="仿宋_GB2312" w:hAnsi="仿宋_GB2312" w:eastAsia="仿宋_GB2312" w:cs="仿宋_GB2312"/>
                <w:color w:val="auto"/>
                <w:highlight w:val="none"/>
              </w:rPr>
            </w:pPr>
            <w:r>
              <w:rPr>
                <w:rFonts w:hint="eastAsia" w:ascii="仿宋_GB2312" w:hAnsi="Times New Roman" w:eastAsia="仿宋_GB2312" w:cs="仿宋_GB2312"/>
                <w:color w:val="auto"/>
                <w:kern w:val="0"/>
                <w:sz w:val="24"/>
                <w:highlight w:val="none"/>
                <w:lang w:bidi="ar"/>
              </w:rPr>
              <w:t>3</w:t>
            </w:r>
          </w:p>
        </w:tc>
        <w:tc>
          <w:tcPr>
            <w:tcW w:w="1243" w:type="dxa"/>
            <w:tcMar>
              <w:top w:w="10" w:type="dxa"/>
              <w:left w:w="40" w:type="dxa"/>
              <w:bottom w:w="10" w:type="dxa"/>
              <w:right w:w="40" w:type="dxa"/>
            </w:tcMar>
            <w:vAlign w:val="center"/>
          </w:tcPr>
          <w:p w14:paraId="1AF5482C">
            <w:pPr>
              <w:pStyle w:val="11"/>
              <w:numPr>
                <w:ilvl w:val="255"/>
                <w:numId w:val="0"/>
              </w:numPr>
              <w:spacing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全区</w:t>
            </w:r>
          </w:p>
        </w:tc>
      </w:tr>
      <w:tr w14:paraId="06A73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trPr>
        <w:tc>
          <w:tcPr>
            <w:tcW w:w="1083" w:type="dxa"/>
            <w:vMerge w:val="continue"/>
            <w:tcMar>
              <w:top w:w="10" w:type="dxa"/>
              <w:left w:w="40" w:type="dxa"/>
              <w:bottom w:w="10" w:type="dxa"/>
              <w:right w:w="40" w:type="dxa"/>
            </w:tcMar>
            <w:vAlign w:val="center"/>
          </w:tcPr>
          <w:p w14:paraId="46C9A9FF">
            <w:pPr>
              <w:widowControl/>
              <w:rPr>
                <w:rFonts w:hint="eastAsia" w:ascii="仿宋_GB2312" w:hAnsi="仿宋_GB2312" w:eastAsia="仿宋_GB2312" w:cs="仿宋_GB2312"/>
                <w:color w:val="auto"/>
                <w:sz w:val="24"/>
                <w:highlight w:val="none"/>
              </w:rPr>
            </w:pPr>
          </w:p>
        </w:tc>
        <w:tc>
          <w:tcPr>
            <w:tcW w:w="601" w:type="dxa"/>
            <w:tcMar>
              <w:top w:w="10" w:type="dxa"/>
              <w:left w:w="40" w:type="dxa"/>
              <w:bottom w:w="10" w:type="dxa"/>
              <w:right w:w="40" w:type="dxa"/>
            </w:tcMar>
            <w:vAlign w:val="center"/>
          </w:tcPr>
          <w:p w14:paraId="418B769A">
            <w:pPr>
              <w:widowControl/>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0</w:t>
            </w:r>
          </w:p>
        </w:tc>
        <w:tc>
          <w:tcPr>
            <w:tcW w:w="3744" w:type="dxa"/>
            <w:tcMar>
              <w:top w:w="10" w:type="dxa"/>
              <w:left w:w="40" w:type="dxa"/>
              <w:bottom w:w="10" w:type="dxa"/>
              <w:right w:w="40" w:type="dxa"/>
            </w:tcMar>
            <w:vAlign w:val="center"/>
          </w:tcPr>
          <w:p w14:paraId="1E51B90E">
            <w:pPr>
              <w:pStyle w:val="11"/>
              <w:widowControl/>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上市企业数量（家）</w:t>
            </w:r>
            <w:r>
              <w:rPr>
                <w:rFonts w:hint="eastAsia" w:ascii="楷体_GB2312" w:hAnsi="楷体_GB2312" w:eastAsia="楷体_GB2312" w:cs="楷体_GB2312"/>
                <w:color w:val="auto"/>
                <w:sz w:val="22"/>
                <w:szCs w:val="22"/>
                <w:highlight w:val="none"/>
              </w:rPr>
              <w:t>■</w:t>
            </w:r>
          </w:p>
        </w:tc>
        <w:tc>
          <w:tcPr>
            <w:tcW w:w="922" w:type="dxa"/>
            <w:tcMar>
              <w:top w:w="10" w:type="dxa"/>
              <w:left w:w="40" w:type="dxa"/>
              <w:bottom w:w="10" w:type="dxa"/>
              <w:right w:w="40" w:type="dxa"/>
            </w:tcMar>
            <w:vAlign w:val="center"/>
          </w:tcPr>
          <w:p w14:paraId="40351006">
            <w:pPr>
              <w:pStyle w:val="11"/>
              <w:widowControl/>
              <w:spacing w:beforeAutospacing="0" w:afterAutospacing="0"/>
              <w:jc w:val="center"/>
              <w:rPr>
                <w:rFonts w:hint="eastAsia" w:ascii="仿宋_GB2312" w:hAnsi="仿宋_GB2312" w:eastAsia="仿宋_GB2312" w:cs="仿宋_GB2312"/>
                <w:color w:val="auto"/>
                <w:highlight w:val="none"/>
                <w:lang w:bidi="ar"/>
              </w:rPr>
            </w:pPr>
            <w:r>
              <w:rPr>
                <w:rFonts w:hint="eastAsia" w:ascii="仿宋_GB2312" w:hAnsi="仿宋_GB2312" w:eastAsia="仿宋_GB2312" w:cs="仿宋_GB2312"/>
                <w:color w:val="auto"/>
                <w:highlight w:val="none"/>
                <w:lang w:bidi="ar"/>
              </w:rPr>
              <w:t>6</w:t>
            </w:r>
          </w:p>
        </w:tc>
        <w:tc>
          <w:tcPr>
            <w:tcW w:w="1125" w:type="dxa"/>
            <w:tcMar>
              <w:top w:w="10" w:type="dxa"/>
              <w:left w:w="40" w:type="dxa"/>
              <w:bottom w:w="10" w:type="dxa"/>
              <w:right w:w="40" w:type="dxa"/>
            </w:tcMar>
            <w:vAlign w:val="center"/>
          </w:tcPr>
          <w:p w14:paraId="4EB48A06">
            <w:pPr>
              <w:pStyle w:val="11"/>
              <w:widowControl/>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9</w:t>
            </w:r>
          </w:p>
        </w:tc>
        <w:tc>
          <w:tcPr>
            <w:tcW w:w="1243" w:type="dxa"/>
            <w:tcMar>
              <w:top w:w="10" w:type="dxa"/>
              <w:left w:w="40" w:type="dxa"/>
              <w:bottom w:w="10" w:type="dxa"/>
              <w:right w:w="40" w:type="dxa"/>
            </w:tcMar>
            <w:vAlign w:val="center"/>
          </w:tcPr>
          <w:p w14:paraId="7F1FEBD5">
            <w:pPr>
              <w:pStyle w:val="11"/>
              <w:numPr>
                <w:ilvl w:val="255"/>
                <w:numId w:val="0"/>
              </w:numPr>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园区</w:t>
            </w:r>
          </w:p>
        </w:tc>
      </w:tr>
      <w:tr w14:paraId="6C798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trPr>
        <w:tc>
          <w:tcPr>
            <w:tcW w:w="1083" w:type="dxa"/>
            <w:vMerge w:val="restart"/>
            <w:tcMar>
              <w:top w:w="10" w:type="dxa"/>
              <w:left w:w="40" w:type="dxa"/>
              <w:bottom w:w="10" w:type="dxa"/>
              <w:right w:w="40" w:type="dxa"/>
            </w:tcMar>
            <w:vAlign w:val="center"/>
          </w:tcPr>
          <w:p w14:paraId="587DE38D">
            <w:pPr>
              <w:pStyle w:val="11"/>
              <w:widowControl/>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人才活力</w:t>
            </w:r>
          </w:p>
        </w:tc>
        <w:tc>
          <w:tcPr>
            <w:tcW w:w="601" w:type="dxa"/>
            <w:tcMar>
              <w:top w:w="10" w:type="dxa"/>
              <w:left w:w="40" w:type="dxa"/>
              <w:bottom w:w="10" w:type="dxa"/>
              <w:right w:w="40" w:type="dxa"/>
            </w:tcMar>
            <w:vAlign w:val="center"/>
          </w:tcPr>
          <w:p w14:paraId="708F7821">
            <w:pPr>
              <w:widowControl/>
              <w:jc w:val="center"/>
              <w:rPr>
                <w:rFonts w:hint="eastAsia" w:ascii="仿宋_GB2312" w:hAnsi="仿宋_GB2312" w:eastAsia="仿宋_GB2312" w:cs="仿宋_GB2312"/>
                <w:color w:val="auto"/>
                <w:sz w:val="24"/>
                <w:highlight w:val="none"/>
                <w:lang w:eastAsia="zh-CN"/>
              </w:rPr>
            </w:pPr>
            <w:r>
              <w:rPr>
                <w:rFonts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1</w:t>
            </w:r>
          </w:p>
        </w:tc>
        <w:tc>
          <w:tcPr>
            <w:tcW w:w="3744" w:type="dxa"/>
            <w:tcMar>
              <w:top w:w="10" w:type="dxa"/>
              <w:left w:w="40" w:type="dxa"/>
              <w:bottom w:w="10" w:type="dxa"/>
              <w:right w:w="40" w:type="dxa"/>
            </w:tcMar>
            <w:vAlign w:val="center"/>
          </w:tcPr>
          <w:p w14:paraId="4B007702">
            <w:pPr>
              <w:pStyle w:val="11"/>
              <w:widowControl/>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园区研发人员占从业人员比重（%）</w:t>
            </w:r>
            <w:r>
              <w:rPr>
                <w:rFonts w:hint="eastAsia" w:ascii="楷体_GB2312" w:hAnsi="楷体_GB2312" w:eastAsia="楷体_GB2312" w:cs="楷体_GB2312"/>
                <w:color w:val="auto"/>
                <w:sz w:val="22"/>
                <w:szCs w:val="22"/>
                <w:highlight w:val="none"/>
              </w:rPr>
              <w:t>★■</w:t>
            </w:r>
          </w:p>
        </w:tc>
        <w:tc>
          <w:tcPr>
            <w:tcW w:w="922" w:type="dxa"/>
            <w:tcMar>
              <w:top w:w="10" w:type="dxa"/>
              <w:left w:w="40" w:type="dxa"/>
              <w:bottom w:w="10" w:type="dxa"/>
              <w:right w:w="40" w:type="dxa"/>
            </w:tcMar>
            <w:vAlign w:val="center"/>
          </w:tcPr>
          <w:p w14:paraId="6BE26CA7">
            <w:pPr>
              <w:pStyle w:val="11"/>
              <w:widowControl/>
              <w:spacing w:beforeAutospacing="0" w:afterAutospacing="0"/>
              <w:jc w:val="center"/>
              <w:rPr>
                <w:rFonts w:hint="eastAsia" w:ascii="仿宋_GB2312" w:hAnsi="仿宋_GB2312" w:eastAsia="仿宋_GB2312" w:cs="仿宋_GB2312"/>
                <w:color w:val="auto"/>
                <w:highlight w:val="none"/>
                <w:lang w:bidi="ar"/>
              </w:rPr>
            </w:pPr>
            <w:r>
              <w:rPr>
                <w:rFonts w:hint="eastAsia" w:ascii="仿宋_GB2312" w:hAnsi="仿宋_GB2312" w:eastAsia="仿宋_GB2312" w:cs="仿宋_GB2312"/>
                <w:color w:val="auto"/>
                <w:highlight w:val="none"/>
                <w:lang w:bidi="ar"/>
              </w:rPr>
              <w:t>16.6</w:t>
            </w:r>
          </w:p>
        </w:tc>
        <w:tc>
          <w:tcPr>
            <w:tcW w:w="1125" w:type="dxa"/>
            <w:tcMar>
              <w:top w:w="10" w:type="dxa"/>
              <w:left w:w="40" w:type="dxa"/>
              <w:bottom w:w="10" w:type="dxa"/>
              <w:right w:w="40" w:type="dxa"/>
            </w:tcMar>
            <w:vAlign w:val="center"/>
          </w:tcPr>
          <w:p w14:paraId="686F3635">
            <w:pPr>
              <w:pStyle w:val="11"/>
              <w:widowControl/>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20左右</w:t>
            </w:r>
          </w:p>
        </w:tc>
        <w:tc>
          <w:tcPr>
            <w:tcW w:w="1243" w:type="dxa"/>
            <w:tcMar>
              <w:top w:w="10" w:type="dxa"/>
              <w:left w:w="40" w:type="dxa"/>
              <w:bottom w:w="10" w:type="dxa"/>
              <w:right w:w="40" w:type="dxa"/>
            </w:tcMar>
            <w:vAlign w:val="center"/>
          </w:tcPr>
          <w:p w14:paraId="0D7F6CB1">
            <w:pPr>
              <w:pStyle w:val="11"/>
              <w:widowControl/>
              <w:numPr>
                <w:ilvl w:val="255"/>
                <w:numId w:val="0"/>
              </w:numPr>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园区</w:t>
            </w:r>
          </w:p>
        </w:tc>
      </w:tr>
      <w:tr w14:paraId="563B6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083" w:type="dxa"/>
            <w:vMerge w:val="continue"/>
            <w:tcMar>
              <w:top w:w="10" w:type="dxa"/>
              <w:left w:w="40" w:type="dxa"/>
              <w:bottom w:w="10" w:type="dxa"/>
              <w:right w:w="40" w:type="dxa"/>
            </w:tcMar>
            <w:vAlign w:val="center"/>
          </w:tcPr>
          <w:p w14:paraId="0D90A379">
            <w:pPr>
              <w:widowControl/>
              <w:rPr>
                <w:rFonts w:hint="eastAsia" w:ascii="仿宋_GB2312" w:hAnsi="仿宋_GB2312" w:eastAsia="仿宋_GB2312" w:cs="仿宋_GB2312"/>
                <w:color w:val="auto"/>
                <w:sz w:val="24"/>
                <w:highlight w:val="none"/>
              </w:rPr>
            </w:pPr>
          </w:p>
        </w:tc>
        <w:tc>
          <w:tcPr>
            <w:tcW w:w="601" w:type="dxa"/>
            <w:tcMar>
              <w:top w:w="10" w:type="dxa"/>
              <w:left w:w="40" w:type="dxa"/>
              <w:bottom w:w="10" w:type="dxa"/>
              <w:right w:w="40" w:type="dxa"/>
            </w:tcMar>
            <w:vAlign w:val="center"/>
          </w:tcPr>
          <w:p w14:paraId="00DC12E1">
            <w:pPr>
              <w:widowControl/>
              <w:jc w:val="center"/>
              <w:rPr>
                <w:rFonts w:hint="eastAsia" w:ascii="仿宋_GB2312" w:hAnsi="仿宋_GB2312" w:eastAsia="仿宋_GB2312" w:cs="仿宋_GB2312"/>
                <w:color w:val="auto"/>
                <w:sz w:val="24"/>
                <w:highlight w:val="none"/>
                <w:lang w:eastAsia="zh-CN"/>
              </w:rPr>
            </w:pPr>
            <w:r>
              <w:rPr>
                <w:rFonts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2</w:t>
            </w:r>
          </w:p>
        </w:tc>
        <w:tc>
          <w:tcPr>
            <w:tcW w:w="3744" w:type="dxa"/>
            <w:tcMar>
              <w:top w:w="10" w:type="dxa"/>
              <w:left w:w="40" w:type="dxa"/>
              <w:bottom w:w="10" w:type="dxa"/>
              <w:right w:w="40" w:type="dxa"/>
            </w:tcMar>
            <w:vAlign w:val="center"/>
          </w:tcPr>
          <w:p w14:paraId="15CD04E0">
            <w:pPr>
              <w:pStyle w:val="11"/>
              <w:widowControl/>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园区本科及以上学历从业人员占比（%）</w:t>
            </w:r>
            <w:r>
              <w:rPr>
                <w:rFonts w:hint="eastAsia" w:ascii="楷体_GB2312" w:hAnsi="楷体_GB2312" w:eastAsia="楷体_GB2312" w:cs="楷体_GB2312"/>
                <w:color w:val="auto"/>
                <w:sz w:val="22"/>
                <w:szCs w:val="22"/>
                <w:highlight w:val="none"/>
              </w:rPr>
              <w:t>■▲</w:t>
            </w:r>
          </w:p>
        </w:tc>
        <w:tc>
          <w:tcPr>
            <w:tcW w:w="922" w:type="dxa"/>
            <w:tcMar>
              <w:top w:w="10" w:type="dxa"/>
              <w:left w:w="40" w:type="dxa"/>
              <w:bottom w:w="10" w:type="dxa"/>
              <w:right w:w="40" w:type="dxa"/>
            </w:tcMar>
            <w:vAlign w:val="center"/>
          </w:tcPr>
          <w:p w14:paraId="7540D59F">
            <w:pPr>
              <w:pStyle w:val="11"/>
              <w:widowControl/>
              <w:spacing w:beforeAutospacing="0" w:afterAutospacing="0"/>
              <w:jc w:val="center"/>
              <w:rPr>
                <w:rFonts w:hint="eastAsia" w:ascii="仿宋_GB2312" w:hAnsi="仿宋_GB2312" w:eastAsia="仿宋_GB2312" w:cs="仿宋_GB2312"/>
                <w:color w:val="auto"/>
                <w:highlight w:val="none"/>
                <w:lang w:bidi="ar"/>
              </w:rPr>
            </w:pPr>
            <w:r>
              <w:rPr>
                <w:rFonts w:hint="eastAsia" w:ascii="仿宋_GB2312" w:hAnsi="仿宋_GB2312" w:eastAsia="仿宋_GB2312" w:cs="仿宋_GB2312"/>
                <w:color w:val="auto"/>
                <w:highlight w:val="none"/>
                <w:lang w:bidi="ar"/>
              </w:rPr>
              <w:t>53.2</w:t>
            </w:r>
          </w:p>
        </w:tc>
        <w:tc>
          <w:tcPr>
            <w:tcW w:w="1125" w:type="dxa"/>
            <w:tcMar>
              <w:top w:w="10" w:type="dxa"/>
              <w:left w:w="40" w:type="dxa"/>
              <w:bottom w:w="10" w:type="dxa"/>
              <w:right w:w="40" w:type="dxa"/>
            </w:tcMar>
            <w:vAlign w:val="center"/>
          </w:tcPr>
          <w:p w14:paraId="53502EB5">
            <w:pPr>
              <w:pStyle w:val="11"/>
              <w:widowControl/>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55左右</w:t>
            </w:r>
          </w:p>
        </w:tc>
        <w:tc>
          <w:tcPr>
            <w:tcW w:w="1243" w:type="dxa"/>
            <w:tcMar>
              <w:top w:w="10" w:type="dxa"/>
              <w:left w:w="40" w:type="dxa"/>
              <w:bottom w:w="10" w:type="dxa"/>
              <w:right w:w="40" w:type="dxa"/>
            </w:tcMar>
            <w:vAlign w:val="center"/>
          </w:tcPr>
          <w:p w14:paraId="461CB43D">
            <w:pPr>
              <w:pStyle w:val="11"/>
              <w:widowControl/>
              <w:numPr>
                <w:ilvl w:val="255"/>
                <w:numId w:val="0"/>
              </w:numPr>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园区</w:t>
            </w:r>
          </w:p>
        </w:tc>
      </w:tr>
      <w:tr w14:paraId="18079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083" w:type="dxa"/>
            <w:vMerge w:val="continue"/>
          </w:tcPr>
          <w:p w14:paraId="3F734870">
            <w:pPr>
              <w:widowControl/>
              <w:rPr>
                <w:rFonts w:hint="eastAsia" w:ascii="仿宋_GB2312" w:hAnsi="仿宋_GB2312" w:eastAsia="仿宋_GB2312" w:cs="仿宋_GB2312"/>
                <w:color w:val="auto"/>
                <w:sz w:val="24"/>
                <w:highlight w:val="none"/>
              </w:rPr>
            </w:pPr>
          </w:p>
        </w:tc>
        <w:tc>
          <w:tcPr>
            <w:tcW w:w="601" w:type="dxa"/>
            <w:vAlign w:val="center"/>
          </w:tcPr>
          <w:p w14:paraId="44AED624">
            <w:pPr>
              <w:widowControl/>
              <w:jc w:val="center"/>
              <w:rPr>
                <w:rFonts w:hint="eastAsia" w:ascii="仿宋_GB2312" w:hAnsi="仿宋_GB2312" w:eastAsia="仿宋_GB2312" w:cs="仿宋_GB2312"/>
                <w:color w:val="auto"/>
                <w:sz w:val="24"/>
                <w:highlight w:val="none"/>
                <w:lang w:eastAsia="zh-CN"/>
              </w:rPr>
            </w:pPr>
            <w:r>
              <w:rPr>
                <w:rFonts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3</w:t>
            </w:r>
          </w:p>
        </w:tc>
        <w:tc>
          <w:tcPr>
            <w:tcW w:w="3744" w:type="dxa"/>
            <w:vAlign w:val="center"/>
          </w:tcPr>
          <w:p w14:paraId="0259FAAC">
            <w:pPr>
              <w:pStyle w:val="11"/>
              <w:widowControl/>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园区30岁以下从业人员占比（%）</w:t>
            </w:r>
            <w:r>
              <w:rPr>
                <w:rFonts w:hint="eastAsia" w:ascii="楷体_GB2312" w:hAnsi="楷体_GB2312" w:eastAsia="楷体_GB2312" w:cs="楷体_GB2312"/>
                <w:color w:val="auto"/>
                <w:sz w:val="22"/>
                <w:szCs w:val="22"/>
                <w:highlight w:val="none"/>
              </w:rPr>
              <w:t>■</w:t>
            </w:r>
          </w:p>
        </w:tc>
        <w:tc>
          <w:tcPr>
            <w:tcW w:w="922" w:type="dxa"/>
            <w:vAlign w:val="center"/>
          </w:tcPr>
          <w:p w14:paraId="50F258EC">
            <w:pPr>
              <w:pStyle w:val="11"/>
              <w:widowControl/>
              <w:spacing w:beforeAutospacing="0" w:afterAutospacing="0"/>
              <w:jc w:val="center"/>
              <w:rPr>
                <w:rFonts w:hint="eastAsia" w:ascii="仿宋_GB2312" w:hAnsi="仿宋_GB2312" w:eastAsia="仿宋_GB2312" w:cs="仿宋_GB2312"/>
                <w:color w:val="auto"/>
                <w:highlight w:val="none"/>
                <w:lang w:bidi="ar"/>
              </w:rPr>
            </w:pPr>
            <w:r>
              <w:rPr>
                <w:rFonts w:hint="eastAsia" w:ascii="仿宋_GB2312" w:hAnsi="仿宋_GB2312" w:eastAsia="仿宋_GB2312" w:cs="仿宋_GB2312"/>
                <w:color w:val="auto"/>
                <w:highlight w:val="none"/>
                <w:lang w:bidi="ar"/>
              </w:rPr>
              <w:t>21.8</w:t>
            </w:r>
          </w:p>
        </w:tc>
        <w:tc>
          <w:tcPr>
            <w:tcW w:w="1125" w:type="dxa"/>
            <w:vAlign w:val="center"/>
          </w:tcPr>
          <w:p w14:paraId="7C4A37AA">
            <w:pPr>
              <w:pStyle w:val="11"/>
              <w:widowControl/>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25左右</w:t>
            </w:r>
          </w:p>
        </w:tc>
        <w:tc>
          <w:tcPr>
            <w:tcW w:w="1243" w:type="dxa"/>
            <w:vAlign w:val="center"/>
          </w:tcPr>
          <w:p w14:paraId="4646751C">
            <w:pPr>
              <w:pStyle w:val="11"/>
              <w:widowControl/>
              <w:numPr>
                <w:ilvl w:val="255"/>
                <w:numId w:val="0"/>
              </w:numPr>
              <w:spacing w:beforeAutospacing="0" w:afterAutospacing="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园区</w:t>
            </w:r>
          </w:p>
        </w:tc>
      </w:tr>
    </w:tbl>
    <w:p w14:paraId="7599B3AC">
      <w:pPr>
        <w:rPr>
          <w:b/>
          <w:bCs/>
          <w:color w:val="auto"/>
          <w:highlight w:val="none"/>
        </w:rPr>
        <w:sectPr>
          <w:footerReference r:id="rId10" w:type="default"/>
          <w:pgSz w:w="11906" w:h="16838"/>
          <w:pgMar w:top="1440" w:right="1800" w:bottom="1440" w:left="1800" w:header="851" w:footer="992" w:gutter="0"/>
          <w:pgNumType w:fmt="decimal" w:start="1"/>
          <w:cols w:space="425" w:num="1"/>
          <w:docGrid w:type="lines" w:linePitch="312" w:charSpace="0"/>
        </w:sectPr>
      </w:pPr>
      <w:r>
        <w:rPr>
          <w:rFonts w:hint="eastAsia" w:ascii="楷体_GB2312" w:hAnsi="楷体_GB2312" w:eastAsia="楷体_GB2312" w:cs="楷体_GB2312"/>
          <w:color w:val="auto"/>
          <w:sz w:val="22"/>
          <w:szCs w:val="22"/>
          <w:highlight w:val="none"/>
        </w:rPr>
        <w:t>注：★</w:t>
      </w:r>
      <w:r>
        <w:rPr>
          <w:rFonts w:hint="eastAsia" w:ascii="楷体_GB2312" w:hAnsi="楷体_GB2312" w:eastAsia="楷体_GB2312" w:cs="楷体_GB2312"/>
          <w:color w:val="auto"/>
          <w:sz w:val="22"/>
          <w:szCs w:val="22"/>
          <w:highlight w:val="none"/>
          <w:lang w:val="en-US" w:eastAsia="zh-CN"/>
        </w:rPr>
        <w:t>为</w:t>
      </w:r>
      <w:r>
        <w:rPr>
          <w:rFonts w:hint="eastAsia" w:ascii="楷体_GB2312" w:hAnsi="楷体_GB2312" w:eastAsia="楷体_GB2312" w:cs="楷体_GB2312"/>
          <w:color w:val="auto"/>
          <w:sz w:val="22"/>
          <w:szCs w:val="22"/>
          <w:highlight w:val="none"/>
        </w:rPr>
        <w:t>《“十五五”时期北京推进国际科技创新中心建设规划》指标；▲为《“十五五”时期中关村世界领先科技园区建设规划》指标；●为《北京市门头沟区国民经济和社会发展第十五个五年规划纲要》指标；■</w:t>
      </w:r>
      <w:r>
        <w:rPr>
          <w:rFonts w:hint="eastAsia" w:ascii="楷体_GB2312" w:hAnsi="楷体_GB2312" w:eastAsia="楷体_GB2312" w:cs="楷体_GB2312"/>
          <w:color w:val="auto"/>
          <w:sz w:val="22"/>
          <w:szCs w:val="22"/>
          <w:highlight w:val="none"/>
          <w:lang w:val="en-US" w:eastAsia="zh-CN"/>
        </w:rPr>
        <w:t>为</w:t>
      </w:r>
      <w:r>
        <w:rPr>
          <w:rFonts w:hint="eastAsia" w:ascii="楷体_GB2312" w:hAnsi="楷体_GB2312" w:eastAsia="楷体_GB2312" w:cs="楷体_GB2312"/>
          <w:color w:val="auto"/>
          <w:sz w:val="22"/>
          <w:szCs w:val="22"/>
          <w:highlight w:val="none"/>
        </w:rPr>
        <w:t>中关村示范区分园创新发展综合评价指标。</w:t>
      </w:r>
    </w:p>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p w14:paraId="248EBEB4">
      <w:pPr>
        <w:pStyle w:val="2"/>
        <w:ind w:firstLine="640" w:firstLineChars="200"/>
        <w:rPr>
          <w:rFonts w:hint="default" w:ascii="黑体" w:hAnsi="黑体" w:eastAsia="黑体" w:cs="黑体"/>
          <w:color w:val="auto"/>
          <w:szCs w:val="32"/>
          <w:highlight w:val="none"/>
          <w:lang w:val="en-US" w:eastAsia="zh-CN"/>
        </w:rPr>
      </w:pPr>
      <w:bookmarkStart w:id="631" w:name="_Toc13398"/>
      <w:bookmarkStart w:id="632" w:name="_Toc7880"/>
      <w:bookmarkStart w:id="633" w:name="_Toc8932"/>
      <w:bookmarkStart w:id="634" w:name="_Toc24728"/>
      <w:bookmarkStart w:id="635" w:name="_Toc9926"/>
      <w:bookmarkStart w:id="636" w:name="_Toc13283"/>
      <w:bookmarkStart w:id="637" w:name="_Toc8109"/>
      <w:bookmarkStart w:id="638" w:name="_Toc558"/>
      <w:bookmarkStart w:id="639" w:name="_Toc16785"/>
      <w:bookmarkStart w:id="640" w:name="_Toc1940"/>
      <w:bookmarkStart w:id="641" w:name="_Toc30753"/>
      <w:bookmarkStart w:id="642" w:name="_Toc4366"/>
      <w:bookmarkStart w:id="643" w:name="_Toc724"/>
      <w:bookmarkStart w:id="644" w:name="_Toc2377"/>
      <w:bookmarkStart w:id="645" w:name="_Toc9297"/>
      <w:bookmarkStart w:id="646" w:name="_Toc5012"/>
      <w:bookmarkStart w:id="647" w:name="_Toc27622"/>
      <w:bookmarkStart w:id="648" w:name="_Toc1906728318"/>
      <w:bookmarkStart w:id="649" w:name="_Toc18017"/>
      <w:bookmarkStart w:id="650" w:name="_Toc15882"/>
      <w:bookmarkStart w:id="651" w:name="_Toc11591"/>
      <w:bookmarkStart w:id="652" w:name="_Toc12116"/>
      <w:bookmarkStart w:id="653" w:name="_Toc32713"/>
      <w:bookmarkStart w:id="654" w:name="_Toc27250"/>
      <w:bookmarkStart w:id="655" w:name="_Toc17639"/>
      <w:bookmarkStart w:id="656" w:name="_Toc7145"/>
      <w:bookmarkStart w:id="657" w:name="_Toc21162"/>
      <w:bookmarkStart w:id="658" w:name="_Toc25981"/>
      <w:bookmarkStart w:id="659" w:name="_Toc17000"/>
      <w:bookmarkStart w:id="660" w:name="_Toc8617"/>
      <w:bookmarkStart w:id="661" w:name="_Toc29236"/>
      <w:bookmarkStart w:id="662" w:name="_Toc29338"/>
      <w:bookmarkStart w:id="663" w:name="_Toc733"/>
      <w:bookmarkStart w:id="664" w:name="_Toc32578"/>
      <w:bookmarkStart w:id="665" w:name="_Toc31386"/>
      <w:bookmarkStart w:id="666" w:name="_Toc28123"/>
      <w:bookmarkStart w:id="667" w:name="_Toc3989"/>
      <w:bookmarkStart w:id="668" w:name="_Toc17855"/>
      <w:bookmarkStart w:id="669" w:name="_Toc24958"/>
      <w:bookmarkStart w:id="670" w:name="_Toc25136"/>
      <w:bookmarkStart w:id="671" w:name="_Toc30090"/>
      <w:bookmarkStart w:id="672" w:name="_Toc1255"/>
      <w:bookmarkStart w:id="673" w:name="_Toc2064"/>
      <w:bookmarkStart w:id="674" w:name="_Toc30045"/>
      <w:bookmarkStart w:id="675" w:name="_Toc28661"/>
      <w:bookmarkStart w:id="676" w:name="_Toc25534"/>
      <w:bookmarkStart w:id="677" w:name="_Toc18304"/>
      <w:bookmarkStart w:id="678" w:name="_Toc13007"/>
      <w:bookmarkStart w:id="679" w:name="_Toc25310"/>
      <w:bookmarkStart w:id="680" w:name="_Toc29743"/>
      <w:bookmarkStart w:id="681" w:name="_Toc4638"/>
      <w:bookmarkStart w:id="682" w:name="_Toc3110"/>
      <w:bookmarkStart w:id="683" w:name="_Toc11009"/>
      <w:bookmarkStart w:id="684" w:name="_Toc18669"/>
      <w:bookmarkStart w:id="685" w:name="_Toc8946"/>
      <w:bookmarkStart w:id="686" w:name="_Toc4527"/>
      <w:bookmarkStart w:id="687" w:name="_Toc4461"/>
      <w:bookmarkStart w:id="688" w:name="_Toc31072"/>
      <w:bookmarkStart w:id="689" w:name="_Toc6710"/>
      <w:bookmarkStart w:id="690" w:name="_Toc27451"/>
      <w:bookmarkStart w:id="691" w:name="_Toc15199"/>
      <w:bookmarkStart w:id="692" w:name="_Toc22124"/>
      <w:bookmarkStart w:id="693" w:name="_Toc31267"/>
      <w:bookmarkStart w:id="694" w:name="_Toc19558"/>
      <w:bookmarkStart w:id="695" w:name="_Toc2929"/>
      <w:bookmarkStart w:id="696" w:name="_Toc26341"/>
      <w:bookmarkStart w:id="697" w:name="_Toc25585"/>
      <w:bookmarkStart w:id="698" w:name="_Toc23365"/>
      <w:bookmarkStart w:id="699" w:name="_Toc19899"/>
      <w:bookmarkStart w:id="700" w:name="_Toc20249"/>
      <w:bookmarkStart w:id="701" w:name="_Toc10480"/>
      <w:bookmarkStart w:id="702" w:name="_Toc17921"/>
      <w:bookmarkStart w:id="703" w:name="_Toc29098"/>
      <w:bookmarkStart w:id="704" w:name="_Toc12358"/>
      <w:bookmarkStart w:id="705" w:name="_Toc17688"/>
      <w:bookmarkStart w:id="706" w:name="_Toc7202"/>
      <w:bookmarkStart w:id="707" w:name="_Toc9240"/>
      <w:bookmarkStart w:id="708" w:name="_Toc28877"/>
      <w:bookmarkStart w:id="709" w:name="_Toc4813"/>
      <w:bookmarkStart w:id="710" w:name="_Toc17313"/>
      <w:bookmarkStart w:id="711" w:name="_Toc22221"/>
      <w:bookmarkStart w:id="712" w:name="_Toc9470"/>
      <w:bookmarkStart w:id="713" w:name="_Toc14012"/>
      <w:bookmarkStart w:id="714" w:name="_Toc26095"/>
      <w:bookmarkStart w:id="715" w:name="_Toc23971"/>
      <w:bookmarkStart w:id="716" w:name="_Toc14262"/>
      <w:bookmarkStart w:id="717" w:name="_Toc20703"/>
      <w:bookmarkStart w:id="718" w:name="_Toc11464"/>
      <w:bookmarkStart w:id="719" w:name="_Toc10647"/>
      <w:bookmarkStart w:id="720" w:name="_Toc23959"/>
      <w:bookmarkStart w:id="721" w:name="_Toc29824"/>
      <w:bookmarkStart w:id="722" w:name="_Toc15714"/>
      <w:bookmarkStart w:id="723" w:name="_Toc8054"/>
      <w:bookmarkStart w:id="724" w:name="_Toc17983"/>
      <w:bookmarkStart w:id="725" w:name="_Toc29349"/>
      <w:r>
        <w:rPr>
          <w:rFonts w:hint="eastAsia" w:ascii="黑体" w:hAnsi="黑体" w:eastAsia="黑体" w:cs="黑体"/>
          <w:color w:val="auto"/>
          <w:szCs w:val="32"/>
          <w:highlight w:val="none"/>
        </w:rPr>
        <w:t>三、完善创新链，</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r>
        <w:rPr>
          <w:rFonts w:hint="eastAsia" w:ascii="黑体" w:hAnsi="黑体" w:eastAsia="黑体" w:cs="黑体"/>
          <w:color w:val="auto"/>
          <w:szCs w:val="32"/>
          <w:highlight w:val="none"/>
        </w:rPr>
        <w:t>提升创新孵化和转化能力</w:t>
      </w:r>
      <w:bookmarkEnd w:id="693"/>
      <w:bookmarkEnd w:id="694"/>
      <w:bookmarkEnd w:id="695"/>
      <w:bookmarkEnd w:id="696"/>
      <w:bookmarkEnd w:id="697"/>
      <w:bookmarkEnd w:id="698"/>
      <w:bookmarkEnd w:id="699"/>
      <w:bookmarkEnd w:id="700"/>
      <w:bookmarkEnd w:id="701"/>
      <w:r>
        <w:rPr>
          <w:rFonts w:hint="eastAsia" w:ascii="黑体" w:hAnsi="黑体" w:eastAsia="黑体" w:cs="黑体"/>
          <w:color w:val="auto"/>
          <w:szCs w:val="32"/>
          <w:highlight w:val="none"/>
          <w:lang w:val="en-US" w:eastAsia="zh-CN"/>
        </w:rPr>
        <w:t xml:space="preserve"> </w:t>
      </w:r>
    </w:p>
    <w:p w14:paraId="1336C48D">
      <w:pPr>
        <w:keepNext/>
        <w:keepLines/>
        <w:spacing w:line="560" w:lineRule="exact"/>
        <w:ind w:firstLine="640" w:firstLineChars="200"/>
        <w:outlineLvl w:val="1"/>
        <w:rPr>
          <w:rFonts w:hint="eastAsia" w:ascii="楷体_GB2312" w:hAnsi="楷体_GB2312" w:eastAsia="楷体_GB2312" w:cs="楷体_GB2312"/>
          <w:b w:val="0"/>
          <w:bCs w:val="0"/>
          <w:color w:val="auto"/>
          <w:sz w:val="32"/>
          <w:szCs w:val="32"/>
          <w:highlight w:val="none"/>
        </w:rPr>
      </w:pPr>
      <w:bookmarkStart w:id="726" w:name="_Toc1631860092"/>
      <w:bookmarkStart w:id="727" w:name="_Toc10668"/>
      <w:bookmarkStart w:id="728" w:name="_Toc13519"/>
      <w:bookmarkStart w:id="729" w:name="_Toc25704"/>
      <w:bookmarkStart w:id="730" w:name="_Toc9975"/>
      <w:bookmarkStart w:id="731" w:name="_Toc24183"/>
      <w:bookmarkStart w:id="732" w:name="_Toc12604"/>
      <w:bookmarkStart w:id="733" w:name="_Toc20118"/>
      <w:bookmarkStart w:id="734" w:name="_Toc12912"/>
      <w:bookmarkStart w:id="735" w:name="_Toc9113"/>
      <w:bookmarkStart w:id="736" w:name="_Toc25319"/>
      <w:bookmarkStart w:id="737" w:name="_Toc26953"/>
      <w:bookmarkStart w:id="738" w:name="_Toc4519"/>
      <w:bookmarkStart w:id="739" w:name="_Toc13883"/>
      <w:bookmarkStart w:id="740" w:name="_Toc26834"/>
      <w:bookmarkStart w:id="741" w:name="_Toc26828"/>
      <w:bookmarkStart w:id="742" w:name="_Toc18114"/>
      <w:bookmarkStart w:id="743" w:name="_Toc32374"/>
      <w:bookmarkStart w:id="744" w:name="_Toc1650"/>
      <w:bookmarkStart w:id="745" w:name="_Toc30340"/>
      <w:bookmarkStart w:id="746" w:name="_Toc25132"/>
      <w:bookmarkStart w:id="747" w:name="_Toc29734"/>
      <w:bookmarkStart w:id="748" w:name="_Toc15795"/>
      <w:bookmarkStart w:id="749" w:name="_Toc29814"/>
      <w:bookmarkStart w:id="750" w:name="_Toc13999"/>
      <w:bookmarkStart w:id="751" w:name="_Toc10974"/>
      <w:bookmarkStart w:id="752" w:name="_Toc14376"/>
      <w:bookmarkStart w:id="753" w:name="_Toc7925"/>
      <w:bookmarkStart w:id="754" w:name="_Toc9848"/>
      <w:bookmarkStart w:id="755" w:name="_Toc24982"/>
      <w:bookmarkStart w:id="756" w:name="_Toc19926"/>
      <w:bookmarkStart w:id="757" w:name="_Toc25880"/>
      <w:bookmarkStart w:id="758" w:name="_Toc24043"/>
      <w:bookmarkStart w:id="759" w:name="_Toc22105"/>
      <w:bookmarkStart w:id="760" w:name="_Toc6498"/>
      <w:bookmarkStart w:id="761" w:name="_Toc12460"/>
      <w:bookmarkStart w:id="762" w:name="_Toc23812"/>
      <w:bookmarkStart w:id="763" w:name="_Toc27205"/>
      <w:bookmarkStart w:id="764" w:name="_Toc21034"/>
      <w:bookmarkStart w:id="765" w:name="_Toc24227"/>
      <w:bookmarkStart w:id="766" w:name="_Toc32735"/>
      <w:bookmarkStart w:id="767" w:name="_Toc29649"/>
      <w:bookmarkStart w:id="768" w:name="_Toc9592"/>
      <w:bookmarkStart w:id="769" w:name="_Toc8481"/>
      <w:bookmarkStart w:id="770" w:name="_Toc30319"/>
      <w:bookmarkStart w:id="771" w:name="_Toc18882"/>
      <w:bookmarkStart w:id="772" w:name="_Toc23127"/>
      <w:bookmarkStart w:id="773" w:name="_Toc27070"/>
      <w:bookmarkStart w:id="774" w:name="_Toc18848"/>
      <w:bookmarkStart w:id="775" w:name="_Toc10780"/>
      <w:bookmarkStart w:id="776" w:name="_Toc32178"/>
      <w:bookmarkStart w:id="777" w:name="_Toc32305"/>
      <w:bookmarkStart w:id="778" w:name="_Toc10366"/>
      <w:bookmarkStart w:id="779" w:name="_Toc546"/>
      <w:bookmarkStart w:id="780" w:name="_Toc29177"/>
      <w:bookmarkStart w:id="781" w:name="_Toc13025"/>
      <w:bookmarkStart w:id="782" w:name="_Toc17756"/>
      <w:bookmarkStart w:id="783" w:name="_Toc27662"/>
      <w:bookmarkStart w:id="784" w:name="_Toc9679"/>
      <w:bookmarkStart w:id="785" w:name="_Toc14720"/>
      <w:bookmarkStart w:id="786" w:name="_Toc25271"/>
      <w:bookmarkStart w:id="787" w:name="_Toc19987"/>
      <w:bookmarkStart w:id="788" w:name="_Toc31892"/>
      <w:bookmarkStart w:id="789" w:name="_Toc24753"/>
      <w:bookmarkStart w:id="790" w:name="_Toc26550"/>
      <w:bookmarkStart w:id="791" w:name="_Toc24094"/>
      <w:bookmarkStart w:id="792" w:name="_Toc30406"/>
      <w:bookmarkStart w:id="793" w:name="_Toc5772"/>
      <w:bookmarkStart w:id="794" w:name="_Toc22020"/>
      <w:bookmarkStart w:id="795" w:name="_Toc7595"/>
      <w:bookmarkStart w:id="796" w:name="_Toc13726"/>
      <w:r>
        <w:rPr>
          <w:rFonts w:hint="eastAsia" w:ascii="楷体_GB2312" w:hAnsi="楷体_GB2312" w:eastAsia="楷体_GB2312" w:cs="楷体_GB2312"/>
          <w:b w:val="0"/>
          <w:bCs w:val="0"/>
          <w:color w:val="auto"/>
          <w:sz w:val="32"/>
          <w:szCs w:val="32"/>
          <w:highlight w:val="none"/>
        </w:rPr>
        <w:t>（一）</w:t>
      </w:r>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r>
        <w:rPr>
          <w:rFonts w:hint="eastAsia" w:ascii="楷体_GB2312" w:hAnsi="楷体_GB2312" w:eastAsia="楷体_GB2312" w:cs="楷体_GB2312"/>
          <w:b w:val="0"/>
          <w:bCs w:val="0"/>
          <w:color w:val="auto"/>
          <w:sz w:val="32"/>
          <w:szCs w:val="32"/>
          <w:highlight w:val="none"/>
          <w:lang w:val="en-US" w:eastAsia="zh-CN"/>
        </w:rPr>
        <w:t>提升产业技术创新能力</w:t>
      </w:r>
      <w:bookmarkEnd w:id="788"/>
      <w:bookmarkEnd w:id="789"/>
      <w:bookmarkEnd w:id="790"/>
      <w:bookmarkEnd w:id="791"/>
      <w:bookmarkEnd w:id="792"/>
      <w:bookmarkEnd w:id="793"/>
      <w:bookmarkEnd w:id="794"/>
      <w:bookmarkEnd w:id="795"/>
      <w:bookmarkEnd w:id="796"/>
    </w:p>
    <w:p w14:paraId="1100286C">
      <w:pPr>
        <w:widowControl/>
        <w:spacing w:line="560" w:lineRule="exact"/>
        <w:ind w:firstLine="643" w:firstLineChars="200"/>
        <w:jc w:val="both"/>
        <w:rPr>
          <w:rFonts w:hint="eastAsia" w:ascii="楷体_GB2312" w:hAnsi="楷体_GB2312" w:eastAsia="楷体_GB2312" w:cs="楷体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加快建设</w:t>
      </w:r>
      <w:r>
        <w:rPr>
          <w:rFonts w:hint="eastAsia" w:ascii="仿宋_GB2312" w:hAnsi="仿宋_GB2312" w:eastAsia="仿宋_GB2312" w:cs="仿宋_GB2312"/>
          <w:b/>
          <w:bCs/>
          <w:color w:val="auto"/>
          <w:sz w:val="32"/>
          <w:szCs w:val="32"/>
          <w:highlight w:val="none"/>
        </w:rPr>
        <w:t>高能级</w:t>
      </w:r>
      <w:r>
        <w:rPr>
          <w:rFonts w:hint="eastAsia" w:ascii="仿宋_GB2312" w:hAnsi="仿宋_GB2312" w:eastAsia="仿宋_GB2312" w:cs="仿宋_GB2312"/>
          <w:b/>
          <w:bCs/>
          <w:color w:val="auto"/>
          <w:sz w:val="32"/>
          <w:szCs w:val="32"/>
          <w:highlight w:val="none"/>
          <w:lang w:val="en-US" w:eastAsia="zh-CN"/>
        </w:rPr>
        <w:t>产业</w:t>
      </w:r>
      <w:r>
        <w:rPr>
          <w:rFonts w:hint="eastAsia" w:ascii="仿宋_GB2312" w:hAnsi="仿宋_GB2312" w:eastAsia="仿宋_GB2312" w:cs="仿宋_GB2312"/>
          <w:b/>
          <w:bCs/>
          <w:color w:val="auto"/>
          <w:sz w:val="32"/>
          <w:szCs w:val="32"/>
          <w:highlight w:val="none"/>
        </w:rPr>
        <w:t>创新平台。</w:t>
      </w:r>
      <w:r>
        <w:rPr>
          <w:rFonts w:hint="eastAsia" w:ascii="Times New Roman" w:hAnsi="Times New Roman" w:eastAsia="仿宋_GB2312" w:cstheme="minorBidi"/>
          <w:b w:val="0"/>
          <w:bCs/>
          <w:color w:val="auto"/>
          <w:sz w:val="32"/>
          <w:szCs w:val="36"/>
          <w:highlight w:val="none"/>
        </w:rPr>
        <w:t>积极对接国家、市级重大战略，争取国家级实验室、创新中心等高能级创新平台在门头沟区布局。</w:t>
      </w:r>
      <w:r>
        <w:rPr>
          <w:rFonts w:hint="eastAsia" w:ascii="Times New Roman" w:hAnsi="Times New Roman" w:eastAsia="仿宋_GB2312"/>
          <w:b w:val="0"/>
          <w:bCs/>
          <w:color w:val="auto"/>
          <w:sz w:val="32"/>
          <w:szCs w:val="36"/>
          <w:highlight w:val="none"/>
          <w:lang w:val="en-US" w:eastAsia="zh-CN"/>
        </w:rPr>
        <w:t>服务支持心血管疾病全国重点实验室建设，积极推动器官芯片及</w:t>
      </w:r>
      <w:r>
        <w:rPr>
          <w:rFonts w:hint="eastAsia" w:ascii="仿宋_GB2312" w:hAnsi="仿宋_GB2312" w:eastAsia="仿宋_GB2312" w:cs="仿宋_GB2312"/>
          <w:b w:val="0"/>
          <w:bCs/>
          <w:color w:val="auto"/>
          <w:sz w:val="32"/>
          <w:szCs w:val="36"/>
          <w:highlight w:val="none"/>
          <w:lang w:val="en-US" w:eastAsia="zh-CN"/>
        </w:rPr>
        <w:t>3D</w:t>
      </w:r>
      <w:r>
        <w:rPr>
          <w:rFonts w:hint="eastAsia" w:ascii="Times New Roman" w:hAnsi="Times New Roman" w:eastAsia="仿宋_GB2312"/>
          <w:b w:val="0"/>
          <w:bCs/>
          <w:color w:val="auto"/>
          <w:sz w:val="32"/>
          <w:szCs w:val="36"/>
          <w:highlight w:val="none"/>
          <w:lang w:val="en-US" w:eastAsia="zh-CN"/>
        </w:rPr>
        <w:t>疾病模型联合实验室、神经网络疾病协同创新联合实验室、胸部疾病联合实验室等平台建设。</w:t>
      </w:r>
      <w:r>
        <w:rPr>
          <w:rFonts w:ascii="仿宋_GB2312" w:eastAsia="仿宋_GB2312"/>
          <w:color w:val="auto"/>
          <w:sz w:val="32"/>
          <w:szCs w:val="32"/>
          <w:highlight w:val="none"/>
        </w:rPr>
        <w:t>加大区级科技专项培育支持力度，</w:t>
      </w:r>
      <w:r>
        <w:rPr>
          <w:rFonts w:hint="eastAsia" w:ascii="仿宋_GB2312" w:hAnsi="仿宋_GB2312" w:eastAsia="仿宋_GB2312" w:cs="仿宋_GB2312"/>
          <w:color w:val="auto"/>
          <w:sz w:val="32"/>
          <w:szCs w:val="32"/>
          <w:highlight w:val="none"/>
        </w:rPr>
        <w:t>支持龙头企业牵头，联合高校院所、产业链上下游企业等组建创新联合体，以产业需求为导向开展体系化、任务型攻关。引导高新技术企业建设企业研发中心、工程技术研究中心、企业技术中心等创新平台，力争“十五五”末高能级创新平台达到8家，引进外资研发中心2-3家。</w:t>
      </w:r>
    </w:p>
    <w:p w14:paraId="2D6B00B5">
      <w:pPr>
        <w:widowControl/>
        <w:spacing w:line="560" w:lineRule="exact"/>
        <w:ind w:firstLine="643" w:firstLineChars="200"/>
        <w:jc w:val="left"/>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着力攻关人工智能安全底座。</w:t>
      </w:r>
      <w:r>
        <w:rPr>
          <w:rFonts w:hint="eastAsia" w:ascii="仿宋_GB2312" w:hAnsi="仿宋_GB2312" w:eastAsia="仿宋_GB2312" w:cs="仿宋_GB2312"/>
          <w:b w:val="0"/>
          <w:bCs w:val="0"/>
          <w:color w:val="auto"/>
          <w:sz w:val="32"/>
          <w:szCs w:val="32"/>
          <w:highlight w:val="none"/>
        </w:rPr>
        <w:t>筑牢人工智能安全底线与治理标准，</w:t>
      </w:r>
      <w:r>
        <w:rPr>
          <w:rFonts w:hint="eastAsia" w:ascii="仿宋_GB2312" w:hAnsi="仿宋_GB2312" w:eastAsia="仿宋_GB2312" w:cs="仿宋_GB2312"/>
          <w:b w:val="0"/>
          <w:bCs w:val="0"/>
          <w:color w:val="auto"/>
          <w:sz w:val="32"/>
          <w:szCs w:val="32"/>
          <w:highlight w:val="none"/>
          <w:lang w:val="en-US" w:eastAsia="zh-CN"/>
        </w:rPr>
        <w:t>着力</w:t>
      </w:r>
      <w:r>
        <w:rPr>
          <w:rFonts w:hint="eastAsia" w:ascii="仿宋_GB2312" w:hAnsi="仿宋_GB2312" w:eastAsia="仿宋_GB2312" w:cs="仿宋_GB2312"/>
          <w:b w:val="0"/>
          <w:bCs w:val="0"/>
          <w:color w:val="auto"/>
          <w:sz w:val="32"/>
          <w:szCs w:val="32"/>
          <w:highlight w:val="none"/>
        </w:rPr>
        <w:t>构建可信AI评测与治理体系</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打造可信AI“北京标杆”</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支持企业研发生成式AI内容安全、价值观对齐及鲁棒性检测工具，出台大模型安全分级分类标准，搭建通用人工智能风险自动化评测平台。</w:t>
      </w:r>
      <w:r>
        <w:rPr>
          <w:rFonts w:hint="eastAsia" w:ascii="仿宋_GB2312" w:hAnsi="仿宋_GB2312" w:eastAsia="仿宋_GB2312" w:cs="仿宋_GB2312"/>
          <w:b w:val="0"/>
          <w:bCs w:val="0"/>
          <w:color w:val="auto"/>
          <w:sz w:val="32"/>
          <w:szCs w:val="32"/>
          <w:highlight w:val="none"/>
          <w:lang w:val="en-US" w:eastAsia="zh-CN"/>
        </w:rPr>
        <w:t>支持科研机构攻</w:t>
      </w:r>
      <w:r>
        <w:rPr>
          <w:rFonts w:hint="eastAsia" w:ascii="仿宋_GB2312" w:hAnsi="仿宋_GB2312" w:eastAsia="仿宋_GB2312" w:cs="仿宋_GB2312"/>
          <w:b w:val="0"/>
          <w:bCs w:val="0"/>
          <w:color w:val="auto"/>
          <w:sz w:val="32"/>
          <w:szCs w:val="32"/>
          <w:highlight w:val="none"/>
        </w:rPr>
        <w:t>坚数据安全流通与隐私计算技术</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研发高性能加密、多方安全计算及联邦学习工具，保障高价值数据在训练、推理环节实现“可用不可见”。重点突破模型逆向、对抗样本、后门植入等防御手段，搭建覆盖模型全生命周期的安全防护体系。</w:t>
      </w:r>
    </w:p>
    <w:p w14:paraId="716355A6">
      <w:pPr>
        <w:snapToGrid/>
        <w:spacing w:line="560" w:lineRule="exact"/>
        <w:ind w:firstLine="643" w:firstLineChars="200"/>
        <w:jc w:val="both"/>
        <w:rPr>
          <w:rFonts w:hint="eastAsia" w:ascii="仿宋_GB2312" w:hAnsi="仿宋_GB2312" w:eastAsia="仿宋_GB2312" w:cs="仿宋_GB2312"/>
          <w:b w:val="0"/>
          <w:bCs/>
          <w:color w:val="auto"/>
          <w:sz w:val="32"/>
          <w:szCs w:val="36"/>
          <w:highlight w:val="none"/>
        </w:rPr>
      </w:pPr>
      <w:r>
        <w:rPr>
          <w:rFonts w:hint="eastAsia" w:ascii="仿宋_GB2312" w:hAnsi="仿宋_GB2312" w:eastAsia="仿宋_GB2312" w:cs="仿宋_GB2312"/>
          <w:b/>
          <w:bCs/>
          <w:color w:val="auto"/>
          <w:sz w:val="32"/>
          <w:szCs w:val="32"/>
          <w:highlight w:val="none"/>
          <w:lang w:val="en-US" w:eastAsia="zh-CN"/>
        </w:rPr>
        <w:t>支持计算视听关键技术应用创新。</w:t>
      </w:r>
      <w:r>
        <w:rPr>
          <w:rFonts w:hint="eastAsia" w:ascii="仿宋_GB2312" w:hAnsi="仿宋_GB2312" w:eastAsia="仿宋_GB2312" w:cs="仿宋_GB2312"/>
          <w:b w:val="0"/>
          <w:bCs/>
          <w:color w:val="auto"/>
          <w:sz w:val="32"/>
          <w:szCs w:val="36"/>
          <w:highlight w:val="none"/>
          <w:lang w:val="en-US" w:eastAsia="zh-CN"/>
        </w:rPr>
        <w:t>支持围绕超高清摄像、智能导播、超低延时传输、沉浸式音频处理等方向开展技术攻关。建设AIGC技术平台，为内容创作、制播、传输分发及智能监管等环节提供智能化工具与服务。支持构建覆盖基础研究、工具研发、应用验证到产业化推广的影视全链条技术支撑体系。</w:t>
      </w:r>
      <w:r>
        <w:rPr>
          <w:rFonts w:hint="eastAsia" w:ascii="仿宋_GB2312" w:hAnsi="仿宋_GB2312" w:eastAsia="仿宋_GB2312" w:cs="仿宋_GB2312"/>
          <w:bCs/>
          <w:color w:val="auto"/>
          <w:sz w:val="32"/>
          <w:szCs w:val="36"/>
          <w:highlight w:val="none"/>
          <w:lang w:val="en-US" w:eastAsia="zh-CN"/>
        </w:rPr>
        <w:t>发展有机半导体材料及器件，推进OLED导电掺杂材料以及红光、绿光、蓝光掺杂材料等发光层材料的创新迭代，前瞻布局新兴应用场景的材料品类。强化关键光学组件自主供给能力，支持基于衍射光栅和微纳光学元件等光学元件，研发高精度、高性能AR衍射光波导光学显示模组。</w:t>
      </w:r>
    </w:p>
    <w:p w14:paraId="4B17ECA3">
      <w:pPr>
        <w:snapToGrid w:val="0"/>
        <w:spacing w:line="560" w:lineRule="exact"/>
        <w:ind w:firstLine="643" w:firstLineChars="200"/>
        <w:jc w:val="both"/>
        <w:rPr>
          <w:rFonts w:hint="default" w:ascii="Times New Roman" w:hAnsi="Times New Roman" w:eastAsia="仿宋_GB2312"/>
          <w:b w:val="0"/>
          <w:bCs/>
          <w:color w:val="auto"/>
          <w:sz w:val="32"/>
          <w:szCs w:val="36"/>
          <w:highlight w:val="none"/>
          <w:lang w:val="en-US" w:eastAsia="zh-CN"/>
        </w:rPr>
      </w:pPr>
      <w:r>
        <w:rPr>
          <w:rFonts w:hint="eastAsia" w:ascii="Times New Roman" w:hAnsi="Times New Roman" w:eastAsia="仿宋_GB2312"/>
          <w:b/>
          <w:bCs w:val="0"/>
          <w:color w:val="auto"/>
          <w:sz w:val="32"/>
          <w:szCs w:val="36"/>
          <w:highlight w:val="none"/>
          <w:lang w:val="en-US" w:eastAsia="zh-CN"/>
        </w:rPr>
        <w:t>夯实心血管药械基础研究优势。</w:t>
      </w:r>
      <w:r>
        <w:rPr>
          <w:rFonts w:hint="eastAsia" w:ascii="仿宋_GB2312" w:hAnsi="仿宋_GB2312" w:eastAsia="仿宋_GB2312" w:cs="仿宋_GB2312"/>
          <w:color w:val="auto"/>
          <w:sz w:val="32"/>
          <w:szCs w:val="32"/>
          <w:highlight w:val="none"/>
        </w:rPr>
        <w:t>发挥好“北京市自然科学基金—百洋医药创新联合基金”的作用，采用“企业出题、政府搭台、院所答题”的方式促进产学研协同攻关</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力争5年内支持200多项心血管药械领域基础课题研究</w:t>
      </w:r>
      <w:r>
        <w:rPr>
          <w:rFonts w:hint="eastAsia" w:ascii="仿宋_GB2312" w:hAnsi="仿宋_GB2312" w:eastAsia="仿宋_GB2312" w:cs="仿宋_GB2312"/>
          <w:color w:val="auto"/>
          <w:sz w:val="32"/>
          <w:szCs w:val="32"/>
          <w:highlight w:val="none"/>
        </w:rPr>
        <w:t>。</w:t>
      </w:r>
      <w:r>
        <w:rPr>
          <w:rFonts w:hint="eastAsia" w:ascii="Times New Roman" w:hAnsi="Times New Roman" w:eastAsia="仿宋_GB2312"/>
          <w:b w:val="0"/>
          <w:bCs/>
          <w:color w:val="auto"/>
          <w:sz w:val="32"/>
          <w:szCs w:val="36"/>
          <w:highlight w:val="none"/>
          <w:lang w:val="en-US" w:eastAsia="zh-CN"/>
        </w:rPr>
        <w:t>重点支持国家心血管病中心攻关心血管高端医疗器械关键核心技术，聚力突破多模态实时影像引导、心脏无创运动追踪、亚毫米级精准定位等制约产业发展的“卡脖子”技术，夯实高端心血管医疗器械自主创新能力。支持全国重点实验室协同上下游企业开展心血管疾病基础研究与转化研究，围绕疾病发病分子机制解析、关键治疗靶点筛选鉴定与功能验证等核心方向开展系统性科研布局，攻克精准靶向药物分子设计核心技术，推动心血管创新药原始创新与技术迭代升级。支持重点企业聚焦器官芯片、高端诊断设备自主可控核心部件、原研核药等前沿技术攻关，加快实现市场化、全球化布局。</w:t>
      </w:r>
    </w:p>
    <w:p w14:paraId="5C66061C">
      <w:pPr>
        <w:snapToGrid w:val="0"/>
        <w:spacing w:line="560" w:lineRule="exact"/>
        <w:ind w:firstLine="643" w:firstLineChars="200"/>
        <w:jc w:val="both"/>
        <w:rPr>
          <w:rFonts w:hint="eastAsia" w:ascii="仿宋_GB2312" w:hAnsi="仿宋_GB2312" w:eastAsia="仿宋_GB2312" w:cs="仿宋_GB2312"/>
          <w:b/>
          <w:bCs w:val="0"/>
          <w:color w:val="auto"/>
          <w:sz w:val="32"/>
          <w:szCs w:val="36"/>
          <w:highlight w:val="none"/>
          <w:lang w:val="en-US" w:eastAsia="zh-CN"/>
        </w:rPr>
      </w:pPr>
      <w:r>
        <w:rPr>
          <w:rFonts w:hint="eastAsia" w:ascii="Times New Roman" w:hAnsi="Times New Roman" w:eastAsia="仿宋_GB2312" w:cstheme="minorBidi"/>
          <w:b/>
          <w:bCs w:val="0"/>
          <w:color w:val="auto"/>
          <w:sz w:val="32"/>
          <w:szCs w:val="36"/>
          <w:highlight w:val="none"/>
        </w:rPr>
        <w:t>加大高端智能制造技术研发力度。</w:t>
      </w:r>
      <w:r>
        <w:rPr>
          <w:rFonts w:hint="eastAsia" w:ascii="Times New Roman" w:hAnsi="Times New Roman" w:eastAsia="仿宋_GB2312" w:cstheme="minorBidi"/>
          <w:b w:val="0"/>
          <w:bCs/>
          <w:color w:val="auto"/>
          <w:sz w:val="32"/>
          <w:szCs w:val="36"/>
          <w:highlight w:val="none"/>
          <w:lang w:val="en-US" w:eastAsia="zh-CN"/>
        </w:rPr>
        <w:t>支</w:t>
      </w:r>
      <w:r>
        <w:rPr>
          <w:rFonts w:hint="eastAsia" w:ascii="仿宋_GB2312" w:hAnsi="仿宋_GB2312" w:eastAsia="仿宋_GB2312" w:cs="仿宋_GB2312"/>
          <w:b w:val="0"/>
          <w:bCs/>
          <w:color w:val="auto"/>
          <w:sz w:val="32"/>
          <w:szCs w:val="36"/>
          <w:highlight w:val="none"/>
          <w:lang w:val="en-US" w:eastAsia="zh-CN"/>
        </w:rPr>
        <w:t>持国家级领军企业</w:t>
      </w:r>
      <w:r>
        <w:rPr>
          <w:rFonts w:hint="eastAsia" w:ascii="仿宋_GB2312" w:hAnsi="仿宋_GB2312" w:eastAsia="仿宋_GB2312" w:cs="仿宋_GB2312"/>
          <w:b w:val="0"/>
          <w:bCs/>
          <w:color w:val="auto"/>
          <w:sz w:val="32"/>
          <w:szCs w:val="36"/>
          <w:highlight w:val="none"/>
        </w:rPr>
        <w:t>发挥工业母机链主优势，打造具备核心竞争力的国家级工业母机创新与中试验证高地</w:t>
      </w:r>
      <w:r>
        <w:rPr>
          <w:rFonts w:hint="eastAsia" w:ascii="仿宋_GB2312" w:hAnsi="仿宋_GB2312" w:eastAsia="仿宋_GB2312" w:cs="仿宋_GB2312"/>
          <w:b w:val="0"/>
          <w:bCs/>
          <w:color w:val="auto"/>
          <w:sz w:val="32"/>
          <w:szCs w:val="36"/>
          <w:highlight w:val="none"/>
          <w:lang w:eastAsia="zh-CN"/>
        </w:rPr>
        <w:t>。</w:t>
      </w:r>
      <w:r>
        <w:rPr>
          <w:rFonts w:hint="eastAsia" w:ascii="仿宋_GB2312" w:hAnsi="仿宋_GB2312" w:eastAsia="仿宋_GB2312" w:cs="仿宋_GB2312"/>
          <w:b w:val="0"/>
          <w:bCs/>
          <w:color w:val="auto"/>
          <w:sz w:val="32"/>
          <w:szCs w:val="36"/>
          <w:highlight w:val="none"/>
        </w:rPr>
        <w:t>持续攻关数控系统、CAM软件、超精密加工等核心技术</w:t>
      </w:r>
      <w:r>
        <w:rPr>
          <w:rFonts w:hint="eastAsia" w:ascii="仿宋_GB2312" w:hAnsi="仿宋_GB2312" w:eastAsia="仿宋_GB2312" w:cs="仿宋_GB2312"/>
          <w:b w:val="0"/>
          <w:bCs/>
          <w:color w:val="auto"/>
          <w:sz w:val="32"/>
          <w:szCs w:val="36"/>
          <w:highlight w:val="none"/>
          <w:lang w:eastAsia="zh-CN"/>
        </w:rPr>
        <w:t>，</w:t>
      </w:r>
      <w:r>
        <w:rPr>
          <w:rFonts w:hint="eastAsia" w:ascii="仿宋_GB2312" w:hAnsi="仿宋_GB2312" w:eastAsia="仿宋_GB2312" w:cs="仿宋_GB2312"/>
          <w:b w:val="0"/>
          <w:bCs/>
          <w:color w:val="auto"/>
          <w:sz w:val="32"/>
          <w:szCs w:val="36"/>
          <w:highlight w:val="none"/>
        </w:rPr>
        <w:t>推进伺服电机、主轴、转台、刀库等核心功能部件的全链条技术攻关与国产化替代工作，打通从核心工艺到批量应用的关键堵点，全面补齐产业链关键环节短板，稳步提升产业链供应链自主可控能力。支持研制具有自感知、自决策、自执行功能的高端数控机床、工业机器人、检测装配等数字化智能制造装备及所需工业级芯片，并实现在重点行业的规模化应用。</w:t>
      </w:r>
    </w:p>
    <w:p w14:paraId="3223FDC8">
      <w:pPr>
        <w:snapToGrid w:val="0"/>
        <w:spacing w:line="560" w:lineRule="exact"/>
        <w:ind w:firstLine="643" w:firstLineChars="200"/>
        <w:jc w:val="both"/>
        <w:rPr>
          <w:rFonts w:hint="default" w:ascii="Times New Roman" w:hAnsi="Times New Roman" w:eastAsia="仿宋_GB2312"/>
          <w:bCs/>
          <w:color w:val="auto"/>
          <w:sz w:val="32"/>
          <w:szCs w:val="36"/>
          <w:highlight w:val="none"/>
          <w:lang w:val="en-US" w:eastAsia="zh-CN"/>
        </w:rPr>
      </w:pPr>
      <w:r>
        <w:rPr>
          <w:rFonts w:hint="eastAsia" w:ascii="仿宋_GB2312" w:hAnsi="仿宋_GB2312" w:eastAsia="仿宋_GB2312" w:cs="仿宋_GB2312"/>
          <w:b/>
          <w:bCs w:val="0"/>
          <w:color w:val="auto"/>
          <w:sz w:val="32"/>
          <w:szCs w:val="36"/>
          <w:highlight w:val="none"/>
          <w:lang w:val="en-US" w:eastAsia="zh-CN"/>
        </w:rPr>
        <w:t>前瞻性布局具身智能底层技术。</w:t>
      </w:r>
      <w:r>
        <w:rPr>
          <w:rFonts w:hint="eastAsia" w:ascii="Times New Roman" w:hAnsi="Times New Roman" w:eastAsia="仿宋_GB2312" w:cstheme="minorBidi"/>
          <w:bCs/>
          <w:color w:val="auto"/>
          <w:sz w:val="32"/>
          <w:szCs w:val="36"/>
          <w:highlight w:val="none"/>
          <w:lang w:val="en-US" w:eastAsia="zh-CN"/>
        </w:rPr>
        <w:t>支持建设开源芯片与机器人融合创新中心，打造开源芯片智能机器人开发板社区，推动具身智能产业关键核心技术自主可控。</w:t>
      </w:r>
      <w:r>
        <w:rPr>
          <w:rFonts w:hint="eastAsia" w:ascii="Times New Roman" w:hAnsi="Times New Roman" w:eastAsia="仿宋_GB2312"/>
          <w:bCs/>
          <w:color w:val="auto"/>
          <w:sz w:val="32"/>
          <w:szCs w:val="36"/>
          <w:highlight w:val="none"/>
          <w:lang w:val="en-US" w:eastAsia="zh-CN"/>
        </w:rPr>
        <w:t>支持研发新一代具身智能“世界模型”，突破端到端多模态融合算法，搭建具备物理世界常识的基础模型，让智能体实现对物理规律的深度理解。鼓励搭建自主认知与群体协同技术体系，突破大模型驱动的自主任务规划与推理技术，支撑机器人在突发场景下自主决策。研究创新数据采集与合成数据技术，研发低成本高效能的具身智能数据采集设备，破解具身智能训练数据匮乏的行业瓶颈。</w:t>
      </w:r>
    </w:p>
    <w:p w14:paraId="5FA2D453">
      <w:pPr>
        <w:snapToGrid w:val="0"/>
        <w:spacing w:line="560" w:lineRule="exact"/>
        <w:ind w:firstLine="643" w:firstLineChars="200"/>
        <w:jc w:val="both"/>
        <w:rPr>
          <w:rFonts w:hint="eastAsia" w:ascii="Times New Roman" w:hAnsi="Times New Roman" w:eastAsia="仿宋_GB2312" w:cstheme="minorBidi"/>
          <w:b w:val="0"/>
          <w:bCs/>
          <w:color w:val="auto"/>
          <w:sz w:val="32"/>
          <w:szCs w:val="36"/>
          <w:highlight w:val="none"/>
          <w:lang w:val="en-US" w:eastAsia="zh-CN"/>
        </w:rPr>
      </w:pPr>
      <w:r>
        <w:rPr>
          <w:rFonts w:hint="eastAsia" w:ascii="仿宋_GB2312" w:hAnsi="Times New Roman" w:eastAsia="仿宋_GB2312" w:cs="仿宋_GB2312"/>
          <w:b/>
          <w:bCs/>
          <w:color w:val="auto"/>
          <w:kern w:val="0"/>
          <w:sz w:val="32"/>
          <w:szCs w:val="32"/>
          <w:highlight w:val="none"/>
          <w:lang w:bidi="ar"/>
        </w:rPr>
        <w:t>开展绿色高效农业技术集成创新。</w:t>
      </w:r>
      <w:r>
        <w:rPr>
          <w:rFonts w:hint="eastAsia" w:ascii="仿宋_GB2312" w:hAnsi="仿宋_GB2312" w:eastAsia="仿宋_GB2312" w:cs="仿宋_GB2312"/>
          <w:color w:val="auto"/>
          <w:sz w:val="32"/>
          <w:szCs w:val="32"/>
          <w:highlight w:val="none"/>
          <w:u w:val="none"/>
          <w:lang w:val="en-US" w:eastAsia="zh-CN"/>
        </w:rPr>
        <w:t>依托</w:t>
      </w:r>
      <w:r>
        <w:rPr>
          <w:rFonts w:hint="eastAsia" w:ascii="仿宋_GB2312" w:hAnsi="仿宋_GB2312" w:eastAsia="仿宋_GB2312" w:cs="仿宋_GB2312"/>
          <w:color w:val="auto"/>
          <w:sz w:val="32"/>
          <w:szCs w:val="32"/>
          <w:highlight w:val="none"/>
          <w:u w:val="none"/>
        </w:rPr>
        <w:t>孟悟现代农业科技示范园，</w:t>
      </w:r>
      <w:r>
        <w:rPr>
          <w:rFonts w:hint="eastAsia" w:ascii="仿宋_GB2312" w:hAnsi="仿宋_GB2312" w:eastAsia="仿宋_GB2312" w:cs="仿宋_GB2312"/>
          <w:color w:val="auto"/>
          <w:sz w:val="32"/>
          <w:szCs w:val="32"/>
          <w:highlight w:val="none"/>
          <w:u w:val="none"/>
          <w:lang w:val="en-US" w:eastAsia="zh-CN"/>
        </w:rPr>
        <w:t>围绕农业生物技术、特色果品引种等重点领域，</w:t>
      </w:r>
      <w:r>
        <w:rPr>
          <w:rFonts w:hint="eastAsia" w:ascii="仿宋_GB2312" w:hAnsi="仿宋_GB2312" w:eastAsia="仿宋_GB2312" w:cs="仿宋_GB2312"/>
          <w:color w:val="auto"/>
          <w:sz w:val="32"/>
          <w:szCs w:val="32"/>
          <w:highlight w:val="none"/>
          <w:u w:val="none"/>
        </w:rPr>
        <w:t>深化与中国农业大学、北京市农林科学院等高校院所合作，培育更多具有自主知识产权的优良品种。</w:t>
      </w:r>
      <w:r>
        <w:rPr>
          <w:rFonts w:hint="eastAsia" w:ascii="仿宋_GB2312" w:hAnsi="Times New Roman" w:eastAsia="仿宋_GB2312" w:cs="仿宋_GB2312"/>
          <w:b w:val="0"/>
          <w:bCs w:val="0"/>
          <w:color w:val="auto"/>
          <w:kern w:val="0"/>
          <w:sz w:val="32"/>
          <w:szCs w:val="32"/>
          <w:highlight w:val="none"/>
          <w:lang w:bidi="ar"/>
        </w:rPr>
        <w:t>加大有机农业、生态农业、绿色农业技术集成创新</w:t>
      </w:r>
      <w:r>
        <w:rPr>
          <w:rFonts w:hint="eastAsia" w:ascii="仿宋_GB2312" w:hAnsi="Times New Roman" w:eastAsia="仿宋_GB2312" w:cs="仿宋_GB2312"/>
          <w:b w:val="0"/>
          <w:bCs w:val="0"/>
          <w:color w:val="auto"/>
          <w:kern w:val="0"/>
          <w:sz w:val="32"/>
          <w:szCs w:val="32"/>
          <w:highlight w:val="none"/>
          <w:lang w:val="en-US" w:eastAsia="zh-CN" w:bidi="ar"/>
        </w:rPr>
        <w:t>力度</w:t>
      </w:r>
      <w:r>
        <w:rPr>
          <w:rFonts w:hint="eastAsia" w:ascii="仿宋_GB2312" w:hAnsi="Times New Roman" w:eastAsia="仿宋_GB2312" w:cs="仿宋_GB2312"/>
          <w:b w:val="0"/>
          <w:bCs w:val="0"/>
          <w:color w:val="auto"/>
          <w:kern w:val="0"/>
          <w:sz w:val="32"/>
          <w:szCs w:val="32"/>
          <w:highlight w:val="none"/>
          <w:lang w:bidi="ar"/>
        </w:rPr>
        <w:t>，立足区域地形条件优化粮经作物与蔬菜种植结构，推广智能温室管控、精准水肥一体化、病虫害智能监测等先进技术，提升农业生产数字化、信息化水平。支持科技小院等创新模式落地，打造农业全产业链智慧应用场景，培育一批可参与、可体验的农业文化展示载体。</w:t>
      </w:r>
    </w:p>
    <w:p w14:paraId="515019CA">
      <w:pPr>
        <w:keepNext/>
        <w:keepLines/>
        <w:spacing w:line="560" w:lineRule="exact"/>
        <w:ind w:firstLine="640" w:firstLineChars="200"/>
        <w:outlineLvl w:val="1"/>
        <w:rPr>
          <w:rFonts w:hint="eastAsia" w:ascii="楷体_GB2312" w:hAnsi="楷体_GB2312" w:eastAsia="楷体_GB2312" w:cs="楷体_GB2312"/>
          <w:color w:val="auto"/>
          <w:sz w:val="32"/>
          <w:szCs w:val="32"/>
          <w:highlight w:val="none"/>
        </w:rPr>
      </w:pPr>
      <w:bookmarkStart w:id="797" w:name="_Toc1158910407"/>
      <w:bookmarkStart w:id="798" w:name="_Toc8591"/>
      <w:bookmarkStart w:id="799" w:name="_Toc10673"/>
      <w:bookmarkStart w:id="800" w:name="_Toc28562"/>
      <w:bookmarkStart w:id="801" w:name="_Toc28432"/>
      <w:bookmarkStart w:id="802" w:name="_Toc24984"/>
      <w:bookmarkStart w:id="803" w:name="_Toc23761"/>
      <w:bookmarkStart w:id="804" w:name="_Toc5392"/>
      <w:bookmarkStart w:id="805" w:name="_Toc27861"/>
      <w:bookmarkStart w:id="806" w:name="_Toc26557"/>
      <w:bookmarkStart w:id="807" w:name="_Toc26791"/>
      <w:bookmarkStart w:id="808" w:name="_Toc9500"/>
      <w:bookmarkStart w:id="809" w:name="_Toc12550"/>
      <w:bookmarkStart w:id="810" w:name="_Toc24017"/>
      <w:bookmarkStart w:id="811" w:name="_Toc29407"/>
      <w:bookmarkStart w:id="812" w:name="_Toc29728"/>
      <w:bookmarkStart w:id="813" w:name="_Toc26579"/>
      <w:bookmarkStart w:id="814" w:name="_Toc7257"/>
      <w:bookmarkStart w:id="815" w:name="_Toc20024"/>
      <w:bookmarkStart w:id="816" w:name="_Toc1403"/>
      <w:bookmarkStart w:id="817" w:name="_Toc27454"/>
      <w:bookmarkStart w:id="818" w:name="_Toc9809"/>
      <w:bookmarkStart w:id="819" w:name="_Toc31924"/>
      <w:bookmarkStart w:id="820" w:name="_Toc11279"/>
      <w:bookmarkStart w:id="821" w:name="_Toc7791"/>
      <w:bookmarkStart w:id="822" w:name="_Toc10744"/>
      <w:bookmarkStart w:id="823" w:name="_Toc16097"/>
      <w:bookmarkStart w:id="824" w:name="_Toc23813"/>
      <w:bookmarkStart w:id="825" w:name="_Toc12325"/>
      <w:bookmarkStart w:id="826" w:name="_Toc14186"/>
      <w:bookmarkStart w:id="827" w:name="_Toc21433"/>
      <w:bookmarkStart w:id="828" w:name="_Toc7784"/>
      <w:bookmarkStart w:id="829" w:name="_Toc11218"/>
      <w:bookmarkStart w:id="830" w:name="_Toc4737"/>
      <w:bookmarkStart w:id="831" w:name="_Toc13622"/>
      <w:bookmarkStart w:id="832" w:name="_Toc3480"/>
      <w:bookmarkStart w:id="833" w:name="_Toc26233"/>
      <w:bookmarkStart w:id="834" w:name="_Toc8264"/>
      <w:bookmarkStart w:id="835" w:name="_Toc15424"/>
      <w:bookmarkStart w:id="836" w:name="_Toc9666"/>
      <w:bookmarkStart w:id="837" w:name="_Toc12372"/>
      <w:bookmarkStart w:id="838" w:name="_Toc8656"/>
      <w:bookmarkStart w:id="839" w:name="_Toc19890"/>
      <w:bookmarkStart w:id="840" w:name="_Toc7903"/>
      <w:bookmarkStart w:id="841" w:name="_Toc7172"/>
      <w:bookmarkStart w:id="842" w:name="_Toc29757"/>
      <w:bookmarkStart w:id="843" w:name="_Toc30783"/>
      <w:bookmarkStart w:id="844" w:name="_Toc32509"/>
      <w:bookmarkStart w:id="845" w:name="_Toc11900"/>
      <w:bookmarkStart w:id="846" w:name="_Toc10860"/>
      <w:bookmarkStart w:id="847" w:name="_Toc26610"/>
      <w:bookmarkStart w:id="848" w:name="_Toc1335"/>
      <w:bookmarkStart w:id="849" w:name="_Toc31725"/>
      <w:bookmarkStart w:id="850" w:name="_Toc28733"/>
      <w:bookmarkStart w:id="851" w:name="_Toc2989"/>
      <w:bookmarkStart w:id="852" w:name="_Toc9266"/>
      <w:bookmarkStart w:id="853" w:name="_Toc23026"/>
      <w:bookmarkStart w:id="854" w:name="_Toc25886"/>
      <w:bookmarkStart w:id="855" w:name="_Toc23802"/>
      <w:bookmarkStart w:id="856" w:name="_Toc13909"/>
      <w:bookmarkStart w:id="857" w:name="_Toc20349"/>
      <w:bookmarkStart w:id="858" w:name="_Toc28801"/>
      <w:bookmarkStart w:id="859" w:name="_Toc20451"/>
      <w:bookmarkStart w:id="860" w:name="_Toc8533"/>
      <w:bookmarkStart w:id="861" w:name="_Toc22292"/>
      <w:bookmarkStart w:id="862" w:name="_Toc15681"/>
      <w:bookmarkStart w:id="863" w:name="_Toc13730"/>
      <w:bookmarkStart w:id="864" w:name="_Toc2166"/>
      <w:bookmarkStart w:id="865" w:name="_Toc5517"/>
      <w:bookmarkStart w:id="866" w:name="_Toc11658"/>
      <w:bookmarkStart w:id="867" w:name="_Toc14486"/>
      <w:r>
        <w:rPr>
          <w:rFonts w:hint="eastAsia" w:ascii="楷体_GB2312" w:hAnsi="楷体_GB2312" w:eastAsia="楷体_GB2312" w:cs="楷体_GB2312"/>
          <w:color w:val="auto"/>
          <w:sz w:val="32"/>
          <w:szCs w:val="32"/>
          <w:highlight w:val="none"/>
        </w:rPr>
        <w:t>（二）培育壮大创新企业梯队</w:t>
      </w:r>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p>
    <w:p w14:paraId="08FA3307">
      <w:pPr>
        <w:spacing w:line="560" w:lineRule="exact"/>
        <w:ind w:firstLine="643" w:firstLineChars="200"/>
        <w:rPr>
          <w:rFonts w:ascii="仿宋_GB2312" w:eastAsia="仿宋_GB2312"/>
          <w:color w:val="auto"/>
          <w:sz w:val="32"/>
          <w:szCs w:val="32"/>
          <w:highlight w:val="none"/>
        </w:rPr>
      </w:pPr>
      <w:r>
        <w:rPr>
          <w:rFonts w:hint="eastAsia" w:ascii="仿宋_GB2312" w:hAnsi="仿宋_GB2312" w:eastAsia="仿宋_GB2312" w:cs="仿宋_GB2312"/>
          <w:b/>
          <w:bCs/>
          <w:color w:val="auto"/>
          <w:sz w:val="32"/>
          <w:szCs w:val="32"/>
          <w:highlight w:val="none"/>
        </w:rPr>
        <w:t>大力引进科技领军企业。</w:t>
      </w:r>
      <w:r>
        <w:rPr>
          <w:rFonts w:hint="eastAsia" w:ascii="仿宋_GB2312" w:eastAsia="仿宋_GB2312"/>
          <w:color w:val="auto"/>
          <w:sz w:val="32"/>
          <w:szCs w:val="32"/>
          <w:highlight w:val="none"/>
        </w:rPr>
        <w:t>聚焦“三大产业”，建立“重点产业链+重点链主”双清单管理机制，精准绘制产业招商图谱，加快引进一批产出规模大、创新水平高、核心竞争力突出的链主型领军企业。大力引进科技型总部、跨国企业总部等，支持总部企业将研发中心等功能板块布局门头沟。支持龙头企业建设开放创新平台，引导大企业通过生态构建、内部孵化等模式，带动上下游配套企业集聚落地，构建大中小企业融通发展的产业生态。</w:t>
      </w:r>
    </w:p>
    <w:p w14:paraId="1A735C62">
      <w:pPr>
        <w:spacing w:line="560" w:lineRule="exact"/>
        <w:ind w:firstLine="643" w:firstLineChars="200"/>
        <w:rPr>
          <w:rFonts w:ascii="仿宋_GB2312" w:eastAsia="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梯队</w:t>
      </w:r>
      <w:r>
        <w:rPr>
          <w:rFonts w:hint="eastAsia" w:ascii="仿宋_GB2312" w:hAnsi="仿宋_GB2312" w:eastAsia="仿宋_GB2312" w:cs="仿宋_GB2312"/>
          <w:b/>
          <w:bCs/>
          <w:color w:val="auto"/>
          <w:sz w:val="32"/>
          <w:szCs w:val="32"/>
          <w:highlight w:val="none"/>
        </w:rPr>
        <w:t>培育</w:t>
      </w:r>
      <w:r>
        <w:rPr>
          <w:rFonts w:hint="eastAsia" w:ascii="仿宋_GB2312" w:hAnsi="仿宋_GB2312" w:eastAsia="仿宋_GB2312" w:cs="仿宋_GB2312"/>
          <w:b/>
          <w:bCs/>
          <w:color w:val="auto"/>
          <w:sz w:val="32"/>
          <w:szCs w:val="32"/>
          <w:highlight w:val="none"/>
          <w:lang w:val="en-US" w:eastAsia="zh-CN"/>
        </w:rPr>
        <w:t>创新型</w:t>
      </w:r>
      <w:r>
        <w:rPr>
          <w:rFonts w:hint="eastAsia" w:ascii="仿宋_GB2312" w:hAnsi="仿宋_GB2312" w:eastAsia="仿宋_GB2312" w:cs="仿宋_GB2312"/>
          <w:b/>
          <w:bCs/>
          <w:color w:val="auto"/>
          <w:sz w:val="32"/>
          <w:szCs w:val="32"/>
          <w:highlight w:val="none"/>
        </w:rPr>
        <w:t>高成长企业。</w:t>
      </w:r>
      <w:r>
        <w:rPr>
          <w:rFonts w:hint="eastAsia" w:ascii="仿宋_GB2312" w:eastAsia="仿宋_GB2312"/>
          <w:color w:val="auto"/>
          <w:sz w:val="32"/>
          <w:szCs w:val="32"/>
          <w:highlight w:val="none"/>
        </w:rPr>
        <w:t>实施高新技术企业“筑基扩容”“小升规”“规升强”工程，到“十五五”末</w:t>
      </w:r>
      <w:r>
        <w:rPr>
          <w:rFonts w:hint="eastAsia" w:ascii="仿宋_GB2312" w:hAnsi="仿宋_GB2312" w:eastAsia="仿宋_GB2312" w:cs="仿宋_GB2312"/>
          <w:bCs/>
          <w:color w:val="auto"/>
          <w:sz w:val="32"/>
          <w:szCs w:val="32"/>
          <w:highlight w:val="none"/>
        </w:rPr>
        <w:t>全区国家高新技术企业数量突破1000家、</w:t>
      </w:r>
      <w:r>
        <w:rPr>
          <w:rFonts w:hint="eastAsia" w:ascii="仿宋_GB2312" w:eastAsia="仿宋_GB2312"/>
          <w:color w:val="auto"/>
          <w:sz w:val="32"/>
          <w:szCs w:val="32"/>
          <w:highlight w:val="none"/>
        </w:rPr>
        <w:t>规上企业达到200家以上。</w:t>
      </w:r>
      <w:r>
        <w:rPr>
          <w:rFonts w:ascii="仿宋_GB2312" w:eastAsia="仿宋_GB2312"/>
          <w:color w:val="auto"/>
          <w:sz w:val="32"/>
          <w:szCs w:val="32"/>
          <w:highlight w:val="none"/>
        </w:rPr>
        <w:t>出台专精特新企业成长方案</w:t>
      </w:r>
      <w:r>
        <w:rPr>
          <w:rFonts w:hint="eastAsia" w:ascii="仿宋_GB2312" w:eastAsia="仿宋_GB2312"/>
          <w:color w:val="auto"/>
          <w:sz w:val="32"/>
          <w:szCs w:val="32"/>
          <w:highlight w:val="none"/>
        </w:rPr>
        <w:t>，建立专精特新企业创新发展能力评价机制，实行分级分类动态管理，在技术攻关、应用场景、数据开放、融资对接等方面提供精准支持，到“十五五”末专精特新中小企业达到400家。大力培育独角兽企业，建立独角兽企业储备库，在资本对接、上市辅导、市场拓展等方面给予专项支持。聚焦未来产业前沿赛道，建立“发现—遴选—培育—跟踪”全周期服务机制，加速培育一批掌握核心技术、具备爆发潜质的高成长新锐企业。</w:t>
      </w:r>
    </w:p>
    <w:p w14:paraId="49F60460">
      <w:pPr>
        <w:keepNext/>
        <w:keepLines/>
        <w:spacing w:line="560" w:lineRule="exact"/>
        <w:ind w:firstLine="640" w:firstLineChars="200"/>
        <w:outlineLvl w:val="1"/>
        <w:rPr>
          <w:rFonts w:hint="eastAsia" w:ascii="楷体_GB2312" w:hAnsi="楷体_GB2312" w:eastAsia="楷体_GB2312" w:cs="楷体_GB2312"/>
          <w:color w:val="auto"/>
          <w:sz w:val="32"/>
          <w:szCs w:val="32"/>
          <w:highlight w:val="none"/>
        </w:rPr>
      </w:pPr>
      <w:bookmarkStart w:id="868" w:name="_Toc524"/>
      <w:bookmarkStart w:id="869" w:name="_Toc7139"/>
      <w:bookmarkStart w:id="870" w:name="_Toc20193"/>
      <w:bookmarkStart w:id="871" w:name="_Toc10985"/>
      <w:bookmarkStart w:id="872" w:name="_Toc678"/>
      <w:bookmarkStart w:id="873" w:name="_Toc28350"/>
      <w:bookmarkStart w:id="874" w:name="_Toc18375"/>
      <w:bookmarkStart w:id="875" w:name="_Toc26209"/>
      <w:bookmarkStart w:id="876" w:name="_Toc25861"/>
      <w:bookmarkStart w:id="877" w:name="_Toc23213"/>
      <w:bookmarkStart w:id="878" w:name="_Toc19452"/>
      <w:bookmarkStart w:id="879" w:name="_Toc5641"/>
      <w:bookmarkStart w:id="880" w:name="_Toc11287"/>
      <w:bookmarkStart w:id="881" w:name="_Toc17722"/>
      <w:bookmarkStart w:id="882" w:name="_Toc32538"/>
      <w:bookmarkStart w:id="883" w:name="_Toc325"/>
      <w:bookmarkStart w:id="884" w:name="_Toc23043"/>
      <w:bookmarkStart w:id="885" w:name="_Toc23118"/>
      <w:bookmarkStart w:id="886" w:name="_Toc5158"/>
      <w:bookmarkStart w:id="887" w:name="_Toc27859"/>
      <w:bookmarkStart w:id="888" w:name="_Toc24638"/>
      <w:bookmarkStart w:id="889" w:name="_Toc16856"/>
      <w:bookmarkStart w:id="890" w:name="_Toc411"/>
      <w:bookmarkStart w:id="891" w:name="_Toc29853"/>
      <w:bookmarkStart w:id="892" w:name="_Toc22964"/>
      <w:bookmarkStart w:id="893" w:name="_Toc10994"/>
      <w:bookmarkStart w:id="894" w:name="_Toc11715"/>
      <w:bookmarkStart w:id="895" w:name="_Toc1434"/>
      <w:bookmarkStart w:id="896" w:name="_Toc1654"/>
      <w:bookmarkStart w:id="897" w:name="_Toc15261"/>
      <w:bookmarkStart w:id="898" w:name="_Toc27253"/>
      <w:bookmarkStart w:id="899" w:name="_Toc20109"/>
      <w:bookmarkStart w:id="900" w:name="_Toc3947"/>
      <w:bookmarkStart w:id="901" w:name="_Toc14370"/>
      <w:bookmarkStart w:id="902" w:name="_Toc20838"/>
      <w:bookmarkStart w:id="903" w:name="_Toc31823"/>
      <w:bookmarkStart w:id="904" w:name="_Toc10382"/>
      <w:bookmarkStart w:id="905" w:name="_Toc11659"/>
      <w:bookmarkStart w:id="906" w:name="_Toc28354"/>
      <w:bookmarkStart w:id="907" w:name="_Toc5379"/>
      <w:bookmarkStart w:id="908" w:name="_Toc13337"/>
      <w:bookmarkStart w:id="909" w:name="_Toc25341"/>
      <w:bookmarkStart w:id="910" w:name="_Toc13086"/>
      <w:bookmarkStart w:id="911" w:name="_Toc6472"/>
      <w:bookmarkStart w:id="912" w:name="_Toc32452"/>
      <w:bookmarkStart w:id="913" w:name="_Toc31861"/>
      <w:bookmarkStart w:id="914" w:name="_Toc16974"/>
      <w:bookmarkStart w:id="915" w:name="_Toc836"/>
      <w:bookmarkStart w:id="916" w:name="_Toc10250"/>
      <w:bookmarkStart w:id="917" w:name="_Toc130532159"/>
      <w:bookmarkStart w:id="918" w:name="_Toc7866"/>
      <w:bookmarkStart w:id="919" w:name="_Toc32754"/>
      <w:bookmarkStart w:id="920" w:name="_Toc21327"/>
      <w:bookmarkStart w:id="921" w:name="_Toc25986"/>
      <w:bookmarkStart w:id="922" w:name="_Toc62"/>
      <w:bookmarkStart w:id="923" w:name="_Toc17518"/>
      <w:bookmarkStart w:id="924" w:name="_Toc30995"/>
      <w:bookmarkStart w:id="925" w:name="_Toc11782"/>
      <w:bookmarkStart w:id="926" w:name="_Toc31081"/>
      <w:bookmarkStart w:id="927" w:name="_Toc9844"/>
      <w:bookmarkStart w:id="928" w:name="_Toc10646"/>
      <w:bookmarkStart w:id="929" w:name="_Toc24360"/>
      <w:bookmarkStart w:id="930" w:name="_Toc15030"/>
      <w:bookmarkStart w:id="931" w:name="_Toc28069"/>
      <w:bookmarkStart w:id="932" w:name="_Toc23422"/>
      <w:bookmarkStart w:id="933" w:name="_Toc26363"/>
      <w:bookmarkStart w:id="934" w:name="_Toc22275"/>
      <w:bookmarkStart w:id="935" w:name="_Toc26518"/>
      <w:bookmarkStart w:id="936" w:name="_Toc3512"/>
      <w:bookmarkStart w:id="937" w:name="_Toc17517"/>
      <w:bookmarkStart w:id="938" w:name="_Toc25437"/>
      <w:r>
        <w:rPr>
          <w:rFonts w:hint="eastAsia" w:ascii="楷体_GB2312" w:hAnsi="楷体_GB2312" w:eastAsia="楷体_GB2312" w:cs="楷体_GB2312"/>
          <w:color w:val="auto"/>
          <w:sz w:val="32"/>
          <w:szCs w:val="32"/>
          <w:highlight w:val="none"/>
        </w:rPr>
        <w:t>（三）</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r>
        <w:rPr>
          <w:rFonts w:hint="eastAsia" w:ascii="楷体_GB2312" w:hAnsi="楷体_GB2312" w:eastAsia="楷体_GB2312" w:cs="楷体_GB2312"/>
          <w:color w:val="auto"/>
          <w:sz w:val="32"/>
          <w:szCs w:val="32"/>
          <w:highlight w:val="none"/>
        </w:rPr>
        <w:t>促进科技成果孵化转化</w:t>
      </w:r>
      <w:bookmarkEnd w:id="930"/>
      <w:bookmarkEnd w:id="931"/>
      <w:bookmarkEnd w:id="932"/>
      <w:bookmarkEnd w:id="933"/>
      <w:bookmarkEnd w:id="934"/>
      <w:bookmarkEnd w:id="935"/>
      <w:bookmarkEnd w:id="936"/>
      <w:bookmarkEnd w:id="937"/>
      <w:bookmarkEnd w:id="938"/>
    </w:p>
    <w:p w14:paraId="7E12C578">
      <w:pPr>
        <w:pStyle w:val="5"/>
        <w:spacing w:line="560" w:lineRule="exact"/>
        <w:ind w:firstLine="643"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bCs/>
          <w:color w:val="auto"/>
          <w:sz w:val="32"/>
          <w:szCs w:val="32"/>
          <w:highlight w:val="none"/>
          <w:lang w:eastAsia="zh-CN"/>
        </w:rPr>
        <w:t>建立科技成果发现和</w:t>
      </w:r>
      <w:r>
        <w:rPr>
          <w:rFonts w:hint="eastAsia" w:ascii="仿宋_GB2312" w:hAnsi="仿宋_GB2312" w:eastAsia="仿宋_GB2312" w:cs="仿宋_GB2312"/>
          <w:b/>
          <w:bCs/>
          <w:color w:val="auto"/>
          <w:sz w:val="32"/>
          <w:szCs w:val="32"/>
          <w:highlight w:val="none"/>
          <w:lang w:val="en-US" w:eastAsia="zh-CN"/>
        </w:rPr>
        <w:t>落地</w:t>
      </w:r>
      <w:r>
        <w:rPr>
          <w:rFonts w:hint="eastAsia" w:ascii="仿宋_GB2312" w:hAnsi="仿宋_GB2312" w:eastAsia="仿宋_GB2312" w:cs="仿宋_GB2312"/>
          <w:b/>
          <w:bCs/>
          <w:color w:val="auto"/>
          <w:sz w:val="32"/>
          <w:szCs w:val="32"/>
          <w:highlight w:val="none"/>
          <w:lang w:eastAsia="zh-CN"/>
        </w:rPr>
        <w:t>机制。</w:t>
      </w:r>
      <w:r>
        <w:rPr>
          <w:rFonts w:hint="eastAsia" w:ascii="仿宋_GB2312" w:hAnsi="仿宋_GB2312" w:eastAsia="仿宋_GB2312" w:cs="仿宋_GB2312"/>
          <w:color w:val="auto"/>
          <w:sz w:val="32"/>
          <w:szCs w:val="32"/>
          <w:highlight w:val="none"/>
          <w:lang w:eastAsia="zh-CN"/>
        </w:rPr>
        <w:t>建立与驻京高校、科研机构等科技成果深度对接机制，常态化开展登“门”（校门）入“室”（实验室）。紧抓在京全国重点实验室向产业园区开放契机，通过“政策扶持+资源对接”，支持企业对接技术需求，引导更多科技成果在门头沟园转化落地。健全科技成果转化储备机制，滚动制定实施技术成果转移转化清单，用好北京科技成果转化智能服务平台“转果果”，遴选优质成果项目进行持续跟踪。</w:t>
      </w:r>
      <w:r>
        <w:rPr>
          <w:rFonts w:hint="eastAsia" w:ascii="仿宋_GB2312" w:hAnsi="仿宋_GB2312" w:eastAsia="仿宋_GB2312" w:cs="仿宋_GB2312"/>
          <w:color w:val="auto"/>
          <w:sz w:val="32"/>
          <w:szCs w:val="32"/>
          <w:highlight w:val="none"/>
          <w:lang w:val="en-US" w:eastAsia="zh-CN"/>
        </w:rPr>
        <w:t>加快研究出台门头沟区促进科技成果转化拨投联动工作方案，支持高校院所、医疗卫生机构等单位科技成果转化新设的科技型企业，对符合条件的高质量科技成果，采取拨投联动方式予以转化落地支持。</w:t>
      </w:r>
    </w:p>
    <w:p w14:paraId="5C159574">
      <w:pPr>
        <w:pStyle w:val="6"/>
        <w:keepLines w:val="0"/>
        <w:spacing w:line="560" w:lineRule="exact"/>
        <w:ind w:firstLine="643" w:firstLineChars="200"/>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bCs/>
          <w:color w:val="auto"/>
          <w:sz w:val="32"/>
          <w:szCs w:val="32"/>
          <w:highlight w:val="none"/>
          <w:lang w:val="en-US" w:eastAsia="zh-CN"/>
        </w:rPr>
        <w:t>健全</w:t>
      </w:r>
      <w:r>
        <w:rPr>
          <w:rFonts w:hint="eastAsia" w:ascii="仿宋_GB2312" w:hAnsi="仿宋_GB2312" w:eastAsia="仿宋_GB2312" w:cs="仿宋_GB2312"/>
          <w:b/>
          <w:bCs/>
          <w:color w:val="auto"/>
          <w:sz w:val="32"/>
          <w:szCs w:val="32"/>
          <w:highlight w:val="none"/>
          <w:lang w:eastAsia="zh-CN"/>
        </w:rPr>
        <w:t>全链条孵化体系。</w:t>
      </w:r>
      <w:r>
        <w:rPr>
          <w:rFonts w:hint="eastAsia" w:ascii="仿宋_GB2312" w:hAnsi="仿宋_GB2312" w:eastAsia="仿宋_GB2312" w:cs="仿宋_GB2312"/>
          <w:b w:val="0"/>
          <w:bCs w:val="0"/>
          <w:color w:val="auto"/>
          <w:sz w:val="32"/>
          <w:szCs w:val="32"/>
          <w:highlight w:val="none"/>
          <w:lang w:val="en-US" w:eastAsia="zh-CN"/>
        </w:rPr>
        <w:t>研究制定区域标杆孵化器发展的支持措施，</w:t>
      </w:r>
      <w:r>
        <w:rPr>
          <w:rFonts w:hint="eastAsia" w:ascii="仿宋_GB2312" w:hAnsi="仿宋_GB2312" w:eastAsia="仿宋_GB2312" w:cs="仿宋_GB2312"/>
          <w:b w:val="0"/>
          <w:bCs w:val="0"/>
          <w:color w:val="auto"/>
          <w:sz w:val="32"/>
          <w:szCs w:val="32"/>
          <w:highlight w:val="none"/>
          <w:lang w:eastAsia="zh-CN"/>
        </w:rPr>
        <w:t>以市场投资为导向，打通“概念验证</w:t>
      </w:r>
      <w:r>
        <w:rPr>
          <w:rFonts w:hint="eastAsia" w:ascii="仿宋_GB2312" w:hAnsi="仿宋_GB2312" w:eastAsia="仿宋_GB2312" w:cs="仿宋_GB2312"/>
          <w:b w:val="0"/>
          <w:bCs w:val="0"/>
          <w:color w:val="auto"/>
          <w:sz w:val="32"/>
          <w:szCs w:val="32"/>
          <w:highlight w:val="none"/>
          <w14:ligatures w14:val="none"/>
        </w:rPr>
        <w:t>—</w:t>
      </w:r>
      <w:r>
        <w:rPr>
          <w:rFonts w:hint="eastAsia" w:ascii="仿宋_GB2312" w:hAnsi="仿宋_GB2312" w:eastAsia="仿宋_GB2312" w:cs="仿宋_GB2312"/>
          <w:b w:val="0"/>
          <w:bCs w:val="0"/>
          <w:color w:val="auto"/>
          <w:sz w:val="32"/>
          <w:szCs w:val="32"/>
          <w:highlight w:val="none"/>
          <w:lang w:eastAsia="zh-CN"/>
        </w:rPr>
        <w:t>创业孵化</w:t>
      </w:r>
      <w:r>
        <w:rPr>
          <w:rFonts w:hint="eastAsia" w:ascii="仿宋_GB2312" w:hAnsi="仿宋_GB2312" w:eastAsia="仿宋_GB2312" w:cs="仿宋_GB2312"/>
          <w:b w:val="0"/>
          <w:bCs w:val="0"/>
          <w:color w:val="auto"/>
          <w:sz w:val="32"/>
          <w:szCs w:val="32"/>
          <w:highlight w:val="none"/>
          <w14:ligatures w14:val="none"/>
        </w:rPr>
        <w:t>—</w:t>
      </w:r>
      <w:r>
        <w:rPr>
          <w:rFonts w:hint="eastAsia" w:ascii="仿宋_GB2312" w:hAnsi="仿宋_GB2312" w:eastAsia="仿宋_GB2312" w:cs="仿宋_GB2312"/>
          <w:b w:val="0"/>
          <w:bCs w:val="0"/>
          <w:color w:val="auto"/>
          <w:sz w:val="32"/>
          <w:szCs w:val="32"/>
          <w:highlight w:val="none"/>
          <w:lang w:eastAsia="zh-CN"/>
        </w:rPr>
        <w:t>中试熟化”链条。建设一批高质量概念验证平台，以市场真实需求牵引商业验证，探索“概念验证+孵化+投资”运营模式。推进京西创客工厂、</w:t>
      </w:r>
      <w:r>
        <w:rPr>
          <w:rFonts w:hint="eastAsia" w:ascii="仿宋_GB2312" w:hAnsi="仿宋_GB2312" w:eastAsia="仿宋_GB2312" w:cs="仿宋_GB2312"/>
          <w:b w:val="0"/>
          <w:bCs w:val="0"/>
          <w:color w:val="auto"/>
          <w:sz w:val="32"/>
          <w:szCs w:val="32"/>
          <w:highlight w:val="none"/>
          <w:lang w:val="en-US" w:eastAsia="zh-CN"/>
        </w:rPr>
        <w:t>利德衡</w:t>
      </w:r>
      <w:r>
        <w:rPr>
          <w:rFonts w:hint="eastAsia" w:ascii="仿宋_GB2312" w:hAnsi="仿宋_GB2312" w:eastAsia="仿宋_GB2312" w:cs="仿宋_GB2312"/>
          <w:b w:val="0"/>
          <w:bCs w:val="0"/>
          <w:color w:val="auto"/>
          <w:sz w:val="32"/>
          <w:szCs w:val="32"/>
          <w:highlight w:val="none"/>
          <w:lang w:eastAsia="zh-CN"/>
        </w:rPr>
        <w:t>等孵化器扩容升级，力争“十五五”末市级孵化器达10家、部级孵化器达2家。围绕</w:t>
      </w:r>
      <w:r>
        <w:rPr>
          <w:rFonts w:hint="eastAsia" w:ascii="仿宋_GB2312" w:hAnsi="仿宋_GB2312" w:eastAsia="仿宋_GB2312" w:cs="仿宋_GB2312"/>
          <w:b w:val="0"/>
          <w:bCs w:val="0"/>
          <w:color w:val="auto"/>
          <w:sz w:val="32"/>
          <w:szCs w:val="32"/>
          <w:highlight w:val="none"/>
          <w:lang w:val="en-US" w:eastAsia="zh-CN"/>
        </w:rPr>
        <w:t>计算视听</w:t>
      </w:r>
      <w:r>
        <w:rPr>
          <w:rFonts w:hint="eastAsia" w:ascii="仿宋_GB2312" w:hAnsi="仿宋_GB2312" w:eastAsia="仿宋_GB2312" w:cs="仿宋_GB2312"/>
          <w:b w:val="0"/>
          <w:bCs w:val="0"/>
          <w:color w:val="auto"/>
          <w:sz w:val="32"/>
          <w:szCs w:val="32"/>
          <w:highlight w:val="none"/>
          <w:lang w:eastAsia="zh-CN"/>
        </w:rPr>
        <w:t>、创新药械、智能机器人等</w:t>
      </w:r>
      <w:r>
        <w:rPr>
          <w:rFonts w:hint="eastAsia" w:ascii="仿宋_GB2312" w:hAnsi="仿宋_GB2312" w:eastAsia="仿宋_GB2312" w:cs="仿宋_GB2312"/>
          <w:b w:val="0"/>
          <w:bCs w:val="0"/>
          <w:color w:val="auto"/>
          <w:sz w:val="32"/>
          <w:szCs w:val="32"/>
          <w:highlight w:val="none"/>
          <w:lang w:val="en-US" w:eastAsia="zh-CN"/>
        </w:rPr>
        <w:t>领域</w:t>
      </w:r>
      <w:r>
        <w:rPr>
          <w:rFonts w:hint="eastAsia" w:ascii="仿宋_GB2312" w:hAnsi="仿宋_GB2312" w:eastAsia="仿宋_GB2312" w:cs="仿宋_GB2312"/>
          <w:b w:val="0"/>
          <w:bCs w:val="0"/>
          <w:color w:val="auto"/>
          <w:sz w:val="32"/>
          <w:szCs w:val="32"/>
          <w:highlight w:val="none"/>
          <w:lang w:eastAsia="zh-CN"/>
        </w:rPr>
        <w:t>，支持龙头企业牵头建设小试中试平台，提升技术熟化、工程化放大和可靠性验证功能，加速科技成果从实验室走向产业化。</w:t>
      </w:r>
    </w:p>
    <w:p w14:paraId="105ADF15">
      <w:pPr>
        <w:keepLines w:val="0"/>
        <w:snapToGrid w:val="0"/>
        <w:spacing w:line="560" w:lineRule="exact"/>
        <w:ind w:firstLine="643"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bCs/>
          <w:color w:val="auto"/>
          <w:sz w:val="32"/>
          <w:szCs w:val="32"/>
          <w:highlight w:val="none"/>
          <w:lang w:eastAsia="zh-CN"/>
        </w:rPr>
        <w:t>大力发展科技服务业。</w:t>
      </w:r>
      <w:r>
        <w:rPr>
          <w:rFonts w:hint="eastAsia" w:ascii="仿宋_GB2312" w:eastAsia="仿宋_GB2312"/>
          <w:color w:val="auto"/>
          <w:sz w:val="32"/>
          <w:szCs w:val="32"/>
          <w:highlight w:val="none"/>
          <w:lang w:val="en-US" w:eastAsia="zh-CN"/>
        </w:rPr>
        <w:t>研究</w:t>
      </w:r>
      <w:r>
        <w:rPr>
          <w:rFonts w:hint="eastAsia" w:ascii="仿宋_GB2312" w:eastAsia="仿宋_GB2312"/>
          <w:color w:val="auto"/>
          <w:sz w:val="32"/>
          <w:szCs w:val="32"/>
          <w:highlight w:val="none"/>
        </w:rPr>
        <w:t>制定实施门头沟区推动科技服务业高质量发展</w:t>
      </w:r>
      <w:r>
        <w:rPr>
          <w:rFonts w:hint="eastAsia" w:ascii="仿宋_GB2312" w:eastAsia="仿宋_GB2312"/>
          <w:color w:val="auto"/>
          <w:sz w:val="32"/>
          <w:szCs w:val="32"/>
          <w:highlight w:val="none"/>
          <w:lang w:val="en-US" w:eastAsia="zh-CN"/>
        </w:rPr>
        <w:t>三年</w:t>
      </w:r>
      <w:r>
        <w:rPr>
          <w:rFonts w:hint="eastAsia" w:ascii="仿宋_GB2312" w:eastAsia="仿宋_GB2312"/>
          <w:color w:val="auto"/>
          <w:sz w:val="32"/>
          <w:szCs w:val="32"/>
          <w:highlight w:val="none"/>
        </w:rPr>
        <w:t>行动计划，</w:t>
      </w:r>
      <w:r>
        <w:rPr>
          <w:rFonts w:hint="eastAsia" w:ascii="仿宋_GB2312" w:hAnsi="仿宋_GB2312" w:eastAsia="仿宋_GB2312" w:cs="仿宋_GB2312"/>
          <w:color w:val="auto"/>
          <w:sz w:val="32"/>
          <w:szCs w:val="32"/>
          <w:highlight w:val="none"/>
          <w:lang w:eastAsia="zh-CN"/>
        </w:rPr>
        <w:t>吸引研发服务、检验检测、技术转移转化等科技服务机构聚集发展，到“十五五”末科技服务业规模突破40亿元。</w:t>
      </w:r>
      <w:r>
        <w:rPr>
          <w:rFonts w:hint="eastAsia" w:ascii="仿宋_GB2312" w:eastAsia="仿宋_GB2312"/>
          <w:color w:val="auto"/>
          <w:sz w:val="32"/>
          <w:szCs w:val="32"/>
          <w:highlight w:val="none"/>
        </w:rPr>
        <w:t>充分运用市区两级工作机制，常态化开展企业走访、政策宣讲，推动惠企政策精准滴灌、直达快享。</w:t>
      </w:r>
      <w:r>
        <w:rPr>
          <w:rFonts w:hint="eastAsia" w:ascii="仿宋_GB2312" w:hAnsi="仿宋_GB2312" w:eastAsia="仿宋_GB2312" w:cs="仿宋_GB2312"/>
          <w:color w:val="auto"/>
          <w:sz w:val="32"/>
          <w:szCs w:val="32"/>
          <w:highlight w:val="none"/>
          <w:lang w:eastAsia="zh-CN"/>
        </w:rPr>
        <w:t>落实门头沟区技术经理人培育三年行动计划，壮大技术经理人队伍，培养技术转移转化人才不少于100人。</w:t>
      </w:r>
    </w:p>
    <w:p w14:paraId="1B16B89D">
      <w:pPr>
        <w:pStyle w:val="2"/>
        <w:ind w:firstLine="640"/>
        <w:rPr>
          <w:rFonts w:hint="eastAsia" w:ascii="黑体" w:hAnsi="黑体" w:eastAsia="黑体" w:cs="黑体"/>
          <w:color w:val="auto"/>
          <w:szCs w:val="32"/>
          <w:highlight w:val="none"/>
        </w:rPr>
      </w:pPr>
      <w:bookmarkStart w:id="939" w:name="_Toc3993"/>
      <w:bookmarkStart w:id="940" w:name="_Toc2876"/>
      <w:bookmarkStart w:id="941" w:name="_Toc5303"/>
      <w:bookmarkStart w:id="942" w:name="_Toc16369"/>
      <w:bookmarkStart w:id="943" w:name="_Toc19323"/>
      <w:bookmarkStart w:id="944" w:name="_Toc18376"/>
      <w:bookmarkStart w:id="945" w:name="_Toc22509"/>
      <w:bookmarkStart w:id="946" w:name="_Toc630"/>
      <w:bookmarkStart w:id="947" w:name="_Toc21062"/>
      <w:r>
        <w:rPr>
          <w:rFonts w:hint="eastAsia" w:ascii="黑体" w:hAnsi="黑体" w:eastAsia="黑体" w:cs="黑体"/>
          <w:color w:val="auto"/>
          <w:szCs w:val="32"/>
          <w:highlight w:val="none"/>
        </w:rPr>
        <w:t>四、做强产业链，聚力打造“三大产业”集群</w:t>
      </w:r>
      <w:bookmarkEnd w:id="939"/>
      <w:bookmarkEnd w:id="940"/>
      <w:bookmarkEnd w:id="941"/>
      <w:bookmarkEnd w:id="942"/>
      <w:bookmarkEnd w:id="943"/>
      <w:bookmarkEnd w:id="944"/>
      <w:bookmarkEnd w:id="945"/>
      <w:bookmarkEnd w:id="946"/>
      <w:bookmarkEnd w:id="947"/>
    </w:p>
    <w:p w14:paraId="51B52D56">
      <w:pPr>
        <w:keepNext/>
        <w:keepLines/>
        <w:spacing w:line="560" w:lineRule="exact"/>
        <w:ind w:firstLine="640" w:firstLineChars="200"/>
        <w:outlineLvl w:val="1"/>
        <w:rPr>
          <w:rFonts w:hint="eastAsia" w:ascii="楷体_GB2312" w:hAnsi="楷体_GB2312" w:eastAsia="楷体_GB2312" w:cs="楷体_GB2312"/>
          <w:color w:val="auto"/>
          <w:sz w:val="32"/>
          <w:szCs w:val="32"/>
          <w:highlight w:val="none"/>
          <w:lang w:eastAsia="zh-CN"/>
        </w:rPr>
      </w:pPr>
      <w:bookmarkStart w:id="948" w:name="_Toc32462"/>
      <w:bookmarkStart w:id="949" w:name="_Toc26789"/>
      <w:bookmarkStart w:id="950" w:name="_Toc30482"/>
      <w:bookmarkStart w:id="951" w:name="_Toc12070"/>
      <w:bookmarkStart w:id="952" w:name="_Toc19869"/>
      <w:bookmarkStart w:id="953" w:name="_Toc29774"/>
      <w:bookmarkStart w:id="954" w:name="_Toc17559"/>
      <w:bookmarkStart w:id="955" w:name="_Toc434"/>
      <w:bookmarkStart w:id="956" w:name="_Toc20284"/>
      <w:r>
        <w:rPr>
          <w:rFonts w:hint="eastAsia" w:ascii="楷体_GB2312" w:hAnsi="楷体_GB2312" w:eastAsia="楷体_GB2312" w:cs="楷体_GB2312"/>
          <w:color w:val="auto"/>
          <w:sz w:val="32"/>
          <w:szCs w:val="32"/>
          <w:highlight w:val="none"/>
        </w:rPr>
        <w:t>（一）</w:t>
      </w:r>
      <w:bookmarkEnd w:id="629"/>
      <w:bookmarkEnd w:id="630"/>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Start w:id="957" w:name="_Toc24076"/>
      <w:bookmarkStart w:id="958" w:name="_Toc26567"/>
      <w:bookmarkStart w:id="959" w:name="_Toc9745"/>
      <w:bookmarkStart w:id="960" w:name="_Toc294123665"/>
      <w:bookmarkStart w:id="961" w:name="_Toc1038744752"/>
      <w:bookmarkStart w:id="962" w:name="_Toc793169089"/>
      <w:bookmarkStart w:id="963" w:name="_Toc858313075"/>
      <w:bookmarkStart w:id="964" w:name="_Toc2690756"/>
      <w:bookmarkStart w:id="965" w:name="_Toc1730475062"/>
      <w:r>
        <w:rPr>
          <w:rFonts w:hint="eastAsia" w:ascii="楷体_GB2312" w:hAnsi="楷体_GB2312" w:eastAsia="楷体_GB2312" w:cs="楷体_GB2312"/>
          <w:color w:val="auto"/>
          <w:sz w:val="32"/>
          <w:szCs w:val="32"/>
          <w:highlight w:val="none"/>
        </w:rPr>
        <w:t>持续做强“京西智谷”，打造京西人工智能产业发展高地</w:t>
      </w:r>
      <w:bookmarkEnd w:id="948"/>
      <w:bookmarkEnd w:id="949"/>
      <w:bookmarkEnd w:id="950"/>
      <w:bookmarkEnd w:id="951"/>
      <w:bookmarkEnd w:id="952"/>
      <w:bookmarkEnd w:id="953"/>
      <w:bookmarkEnd w:id="954"/>
      <w:bookmarkEnd w:id="955"/>
      <w:bookmarkEnd w:id="956"/>
    </w:p>
    <w:p w14:paraId="2E990EF7">
      <w:pPr>
        <w:spacing w:line="560" w:lineRule="exact"/>
        <w:ind w:firstLine="640" w:firstLineChars="200"/>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坚持“强底座、优生态、活数据、筑安全、拓应用”一体推进，统筹中关村（京西）人工智能科技园、京西智谷大厦等产业空间，</w:t>
      </w:r>
      <w:r>
        <w:rPr>
          <w:rFonts w:hint="eastAsia" w:ascii="仿宋_GB2312" w:hAnsi="仿宋_GB2312" w:eastAsia="仿宋_GB2312" w:cs="仿宋_GB2312"/>
          <w:color w:val="auto"/>
          <w:sz w:val="32"/>
          <w:szCs w:val="32"/>
          <w:highlight w:val="none"/>
        </w:rPr>
        <w:t>做强“京西智谷”品牌，</w:t>
      </w:r>
      <w:r>
        <w:rPr>
          <w:rFonts w:hint="eastAsia" w:ascii="仿宋_GB2312" w:hAnsi="仿宋_GB2312" w:eastAsia="仿宋_GB2312" w:cs="仿宋_GB2312"/>
          <w:color w:val="auto"/>
          <w:sz w:val="32"/>
          <w:szCs w:val="32"/>
          <w:highlight w:val="none"/>
          <w:shd w:val="clear" w:color="auto" w:fill="FFFFFF"/>
        </w:rPr>
        <w:t>打造具有全国影响力的人工智能产业高地。到2030年，全区人工智能产业收入规模力争达到250亿元，集聚企业超过500家。</w:t>
      </w:r>
    </w:p>
    <w:p w14:paraId="522161CF">
      <w:pPr>
        <w:spacing w:line="560" w:lineRule="exact"/>
        <w:ind w:firstLine="643" w:firstLineChars="200"/>
        <w:rPr>
          <w:rFonts w:hint="eastAsia" w:ascii="仿宋_GB2312" w:hAnsi="仿宋_GB2312" w:eastAsia="仿宋_GB2312" w:cs="仿宋_GB2312"/>
          <w:b/>
          <w:bCs/>
          <w:color w:val="auto"/>
          <w:sz w:val="32"/>
          <w:szCs w:val="40"/>
          <w:highlight w:val="none"/>
        </w:rPr>
      </w:pPr>
      <w:r>
        <w:rPr>
          <w:rFonts w:hint="eastAsia" w:ascii="仿宋_GB2312" w:hAnsi="仿宋_GB2312" w:eastAsia="仿宋_GB2312" w:cs="仿宋_GB2312"/>
          <w:b/>
          <w:bCs/>
          <w:color w:val="auto"/>
          <w:sz w:val="32"/>
          <w:szCs w:val="32"/>
          <w:highlight w:val="none"/>
        </w:rPr>
        <w:t>筑牢算力基础底座。</w:t>
      </w:r>
      <w:r>
        <w:rPr>
          <w:rStyle w:val="15"/>
          <w:rFonts w:hint="eastAsia" w:ascii="仿宋_GB2312" w:hAnsi="仿宋_GB2312" w:eastAsia="仿宋_GB2312" w:cs="仿宋_GB2312"/>
          <w:b w:val="0"/>
          <w:bCs/>
          <w:color w:val="auto"/>
          <w:kern w:val="0"/>
          <w:sz w:val="32"/>
          <w:szCs w:val="32"/>
          <w:highlight w:val="none"/>
          <w:lang w:bidi="ar"/>
        </w:rPr>
        <w:t>积极探索算电协同发展模式，大力发展绿色算力</w:t>
      </w:r>
      <w:r>
        <w:rPr>
          <w:rFonts w:hint="eastAsia" w:ascii="仿宋_GB2312" w:hAnsi="仿宋_GB2312" w:eastAsia="仿宋_GB2312" w:cs="仿宋_GB2312"/>
          <w:bCs/>
          <w:color w:val="auto"/>
          <w:kern w:val="0"/>
          <w:sz w:val="32"/>
          <w:szCs w:val="32"/>
          <w:highlight w:val="none"/>
          <w:lang w:bidi="ar"/>
        </w:rPr>
        <w:t>。</w:t>
      </w:r>
      <w:r>
        <w:rPr>
          <w:rFonts w:hint="eastAsia" w:ascii="仿宋_GB2312" w:hAnsi="仿宋_GB2312" w:eastAsia="仿宋_GB2312" w:cs="仿宋_GB2312"/>
          <w:color w:val="auto"/>
          <w:kern w:val="0"/>
          <w:sz w:val="32"/>
          <w:szCs w:val="32"/>
          <w:highlight w:val="none"/>
          <w:lang w:bidi="ar"/>
        </w:rPr>
        <w:t>加快推进京西智谷、珠窝水库等算力中心落地，建设万P级算力集群，打造“京西算力池”，构建结构合理、自主可控、绿色发展的算力供给体系，为企业提供“即申即用”算力支持。同步加强5G-A网络建设，推进“双千兆”网络向“双万兆”网络演进升级。</w:t>
      </w:r>
    </w:p>
    <w:p w14:paraId="67DE18BF">
      <w:pPr>
        <w:spacing w:line="560" w:lineRule="exact"/>
        <w:ind w:firstLine="643" w:firstLineChars="200"/>
        <w:rPr>
          <w:rFonts w:hint="eastAsia" w:ascii="仿宋_GB2312" w:hAnsi="仿宋_GB2312" w:eastAsia="仿宋_GB2312" w:cs="仿宋_GB2312"/>
          <w:color w:val="auto"/>
          <w:sz w:val="32"/>
          <w:szCs w:val="40"/>
          <w:highlight w:val="none"/>
          <w:lang w:eastAsia="zh-CN"/>
        </w:rPr>
      </w:pPr>
      <w:r>
        <w:rPr>
          <w:rFonts w:hint="eastAsia" w:ascii="仿宋_GB2312" w:hAnsi="仿宋_GB2312" w:eastAsia="仿宋_GB2312" w:cs="仿宋_GB2312"/>
          <w:b/>
          <w:bCs/>
          <w:color w:val="auto"/>
          <w:sz w:val="32"/>
          <w:szCs w:val="40"/>
          <w:highlight w:val="none"/>
        </w:rPr>
        <w:t>完善算法服务生态。</w:t>
      </w:r>
      <w:r>
        <w:rPr>
          <w:rFonts w:hint="eastAsia" w:ascii="仿宋_GB2312" w:hAnsi="仿宋_GB2312" w:eastAsia="仿宋_GB2312" w:cs="仿宋_GB2312"/>
          <w:color w:val="auto"/>
          <w:sz w:val="32"/>
          <w:szCs w:val="40"/>
          <w:highlight w:val="none"/>
        </w:rPr>
        <w:t>提升北京算法登记服务中心、</w:t>
      </w:r>
      <w:r>
        <w:rPr>
          <w:rFonts w:hint="eastAsia" w:ascii="仿宋_GB2312" w:hAnsi="仿宋" w:eastAsia="仿宋_GB2312"/>
          <w:color w:val="auto"/>
          <w:sz w:val="32"/>
          <w:szCs w:val="32"/>
          <w:highlight w:val="none"/>
        </w:rPr>
        <w:t>大模型备案生态服务站等服务能力</w:t>
      </w:r>
      <w:r>
        <w:rPr>
          <w:rFonts w:hint="eastAsia" w:ascii="仿宋_GB2312" w:hAnsi="仿宋_GB2312" w:eastAsia="仿宋_GB2312" w:cs="仿宋_GB2312"/>
          <w:color w:val="auto"/>
          <w:sz w:val="32"/>
          <w:szCs w:val="40"/>
          <w:highlight w:val="none"/>
        </w:rPr>
        <w:t>，深度运营大模型调优工场，构建面向重点垂直行业的“算法仓”体系，形成10个以上垂类应用模型。推进北京昇腾生态先锋中心建设，打造自主开源技术试验与推广基地，引导开源项目孵化落地。</w:t>
      </w:r>
    </w:p>
    <w:p w14:paraId="4E684EBF">
      <w:pPr>
        <w:spacing w:line="560" w:lineRule="exact"/>
        <w:ind w:firstLine="643" w:firstLineChars="200"/>
        <w:rPr>
          <w:rFonts w:ascii="仿宋_GB2312" w:hAnsi="Times New Roman" w:eastAsia="仿宋_GB2312" w:cs="Times New Roman"/>
          <w:b/>
          <w:bCs/>
          <w:color w:val="auto"/>
          <w:sz w:val="32"/>
          <w:szCs w:val="32"/>
          <w:highlight w:val="none"/>
        </w:rPr>
      </w:pPr>
      <w:r>
        <w:rPr>
          <w:rFonts w:hint="eastAsia" w:ascii="仿宋_GB2312" w:hAnsi="Times New Roman" w:eastAsia="仿宋_GB2312" w:cs="Times New Roman"/>
          <w:b/>
          <w:bCs/>
          <w:color w:val="auto"/>
          <w:sz w:val="32"/>
          <w:szCs w:val="32"/>
          <w:highlight w:val="none"/>
        </w:rPr>
        <w:t>释放数据要素价值。</w:t>
      </w:r>
      <w:r>
        <w:rPr>
          <w:rFonts w:hint="eastAsia" w:ascii="仿宋_GB2312" w:hAnsi="仿宋_GB2312" w:eastAsia="仿宋_GB2312" w:cs="仿宋_GB2312"/>
          <w:color w:val="auto"/>
          <w:sz w:val="32"/>
          <w:szCs w:val="40"/>
          <w:highlight w:val="none"/>
        </w:rPr>
        <w:t>推进数据要素综合试验区建设，强化国际大数据交易所数据资产服务中心功能，开展数据资产登记、评估、交易等创新业务，促进数据资源合规高效流通。强化高质量数据要素供给，支持企业开展数据采集、清洗加工、存储计算、数据分析、数据标注等数据生产服务。</w:t>
      </w:r>
    </w:p>
    <w:p w14:paraId="12A1DCCA">
      <w:pPr>
        <w:spacing w:line="560" w:lineRule="exact"/>
        <w:ind w:firstLine="643" w:firstLineChars="200"/>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b/>
          <w:bCs/>
          <w:color w:val="auto"/>
          <w:sz w:val="32"/>
          <w:szCs w:val="32"/>
          <w:highlight w:val="none"/>
        </w:rPr>
        <w:t>建设数智安全先行区。</w:t>
      </w:r>
      <w:r>
        <w:rPr>
          <w:rFonts w:hint="eastAsia" w:ascii="仿宋_GB2312" w:hAnsi="仿宋_GB2312" w:eastAsia="仿宋_GB2312" w:cs="仿宋_GB2312"/>
          <w:b w:val="0"/>
          <w:bCs w:val="0"/>
          <w:color w:val="auto"/>
          <w:sz w:val="32"/>
          <w:szCs w:val="32"/>
          <w:highlight w:val="none"/>
        </w:rPr>
        <w:t>依托中国电子信息产业发展研究院，</w:t>
      </w:r>
      <w:r>
        <w:rPr>
          <w:rFonts w:hint="eastAsia" w:ascii="仿宋_GB2312" w:hAnsi="仿宋_GB2312" w:eastAsia="仿宋_GB2312" w:cs="仿宋_GB2312"/>
          <w:b w:val="0"/>
          <w:bCs w:val="0"/>
          <w:color w:val="auto"/>
          <w:sz w:val="32"/>
          <w:szCs w:val="40"/>
          <w:highlight w:val="none"/>
        </w:rPr>
        <w:t>推进北京数据和人工智能安全</w:t>
      </w:r>
      <w:r>
        <w:rPr>
          <w:rFonts w:hint="eastAsia" w:ascii="仿宋_GB2312" w:hAnsi="仿宋_GB2312" w:eastAsia="仿宋_GB2312" w:cs="仿宋_GB2312"/>
          <w:color w:val="auto"/>
          <w:sz w:val="32"/>
          <w:szCs w:val="40"/>
          <w:highlight w:val="none"/>
        </w:rPr>
        <w:t>检测中心建设，重点提升大模型与算法系统全生命周期安全检测、AI生成内容鉴伪、数字资产认证等能力，深度参与人工智能安全相关国家标准与行业标准研制。积极培育一批专注于数据安全、算法安全、内容安全等细分领域的专精特新中小企业，构建安全检测、风险评估、应急处置的产业生态。</w:t>
      </w:r>
    </w:p>
    <w:p w14:paraId="669FFE55">
      <w:pPr>
        <w:spacing w:line="560" w:lineRule="exact"/>
        <w:ind w:firstLine="643" w:firstLineChars="200"/>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b/>
          <w:bCs/>
          <w:color w:val="auto"/>
          <w:sz w:val="32"/>
          <w:szCs w:val="40"/>
          <w:highlight w:val="none"/>
        </w:rPr>
        <w:t>深入实施“人工智能+”行动。</w:t>
      </w:r>
      <w:r>
        <w:rPr>
          <w:rFonts w:hint="eastAsia" w:ascii="仿宋_GB2312" w:hAnsi="仿宋_GB2312" w:eastAsia="仿宋_GB2312" w:cs="仿宋_GB2312"/>
          <w:b w:val="0"/>
          <w:bCs w:val="0"/>
          <w:color w:val="auto"/>
          <w:sz w:val="32"/>
          <w:szCs w:val="40"/>
          <w:highlight w:val="none"/>
          <w:lang w:val="en-US" w:eastAsia="zh-CN"/>
        </w:rPr>
        <w:t>研究制定支持人工智能产业发展的专项政策，</w:t>
      </w:r>
      <w:r>
        <w:rPr>
          <w:rFonts w:hint="eastAsia" w:ascii="仿宋_GB2312" w:hAnsi="仿宋_GB2312" w:eastAsia="仿宋_GB2312" w:cs="仿宋_GB2312"/>
          <w:color w:val="auto"/>
          <w:sz w:val="32"/>
          <w:szCs w:val="40"/>
          <w:highlight w:val="none"/>
        </w:rPr>
        <w:t>发挥好门头沟人工智能场景应用促进产业发展引导资金作用，</w:t>
      </w:r>
      <w:r>
        <w:rPr>
          <w:rFonts w:hint="eastAsia" w:ascii="仿宋_GB2312" w:hAnsi="仿宋_GB2312" w:eastAsia="仿宋_GB2312" w:cs="仿宋_GB2312"/>
          <w:color w:val="auto"/>
          <w:sz w:val="32"/>
          <w:szCs w:val="32"/>
          <w:highlight w:val="none"/>
        </w:rPr>
        <w:t>支持人工智能技术在文旅消费、应急安全、交通治理、教育医疗、养老服务、体育运动、政务服务等领域应用，打造一批小切口、特色化的应用示范场景。</w:t>
      </w:r>
      <w:r>
        <w:rPr>
          <w:rFonts w:hint="eastAsia" w:ascii="仿宋_GB2312" w:eastAsia="仿宋_GB2312"/>
          <w:color w:val="auto"/>
          <w:sz w:val="32"/>
          <w:szCs w:val="32"/>
          <w:highlight w:val="none"/>
          <w14:ligatures w14:val="standardContextual"/>
        </w:rPr>
        <w:t>高标准办好北京人工智能产业创新发展大会，持续提升“京西智谷”品牌影响力。</w:t>
      </w:r>
    </w:p>
    <w:bookmarkEnd w:id="957"/>
    <w:bookmarkEnd w:id="958"/>
    <w:bookmarkEnd w:id="959"/>
    <w:p w14:paraId="22ECF1A0">
      <w:pPr>
        <w:spacing w:line="560" w:lineRule="exact"/>
        <w:ind w:firstLine="640" w:firstLineChars="200"/>
        <w:outlineLvl w:val="1"/>
        <w:rPr>
          <w:rFonts w:hint="eastAsia" w:ascii="楷体_GB2312" w:hAnsi="楷体_GB2312" w:eastAsia="楷体_GB2312" w:cs="楷体_GB2312"/>
          <w:color w:val="auto"/>
          <w:sz w:val="32"/>
          <w:szCs w:val="32"/>
          <w:highlight w:val="none"/>
          <w:lang w:eastAsia="zh-CN"/>
        </w:rPr>
      </w:pPr>
      <w:bookmarkStart w:id="966" w:name="_Toc5153"/>
      <w:bookmarkStart w:id="967" w:name="_Toc20060"/>
      <w:bookmarkStart w:id="968" w:name="_Toc11585"/>
      <w:bookmarkStart w:id="969" w:name="_Toc8299"/>
      <w:bookmarkStart w:id="970" w:name="_Toc12304"/>
      <w:bookmarkStart w:id="971" w:name="_Toc3080"/>
      <w:bookmarkStart w:id="972" w:name="_Toc333"/>
      <w:bookmarkStart w:id="973" w:name="_Toc10368"/>
      <w:bookmarkStart w:id="974" w:name="_Toc16320"/>
      <w:bookmarkStart w:id="975" w:name="_Toc10496"/>
      <w:bookmarkStart w:id="976" w:name="_Toc16435"/>
      <w:bookmarkStart w:id="977" w:name="_Toc5741"/>
      <w:bookmarkStart w:id="978" w:name="_Toc29891"/>
      <w:bookmarkStart w:id="979" w:name="_Toc7291"/>
      <w:bookmarkStart w:id="980" w:name="_Toc24267"/>
      <w:bookmarkStart w:id="981" w:name="_Toc8003"/>
      <w:bookmarkStart w:id="982" w:name="_Toc16936"/>
      <w:bookmarkStart w:id="983" w:name="_Toc9924"/>
      <w:bookmarkStart w:id="984" w:name="_Toc30803"/>
      <w:bookmarkStart w:id="985" w:name="_Toc27220"/>
      <w:bookmarkStart w:id="986" w:name="_Toc28584"/>
      <w:bookmarkStart w:id="987" w:name="_Toc4395"/>
      <w:bookmarkStart w:id="988" w:name="_Toc17234"/>
      <w:bookmarkStart w:id="989" w:name="_Toc19798"/>
      <w:bookmarkStart w:id="990" w:name="_Toc9889"/>
      <w:bookmarkStart w:id="991" w:name="_Toc21612"/>
      <w:bookmarkStart w:id="992" w:name="_Toc3716"/>
      <w:bookmarkStart w:id="993" w:name="_Toc26720"/>
      <w:bookmarkStart w:id="994" w:name="_Toc12905"/>
      <w:bookmarkStart w:id="995" w:name="_Toc12376"/>
      <w:bookmarkStart w:id="996" w:name="_Toc27803"/>
      <w:bookmarkStart w:id="997" w:name="_Toc31243"/>
      <w:bookmarkStart w:id="998" w:name="_Toc8747"/>
      <w:bookmarkStart w:id="999" w:name="_Toc26206"/>
      <w:bookmarkStart w:id="1000" w:name="_Toc5921"/>
      <w:bookmarkStart w:id="1001" w:name="_Toc19451"/>
      <w:bookmarkStart w:id="1002" w:name="_Toc3236"/>
      <w:bookmarkStart w:id="1003" w:name="_Toc9388"/>
      <w:bookmarkStart w:id="1004" w:name="_Toc29809"/>
      <w:bookmarkStart w:id="1005" w:name="_Toc15778"/>
      <w:bookmarkStart w:id="1006" w:name="_Toc26023"/>
      <w:bookmarkStart w:id="1007" w:name="_Toc15349"/>
      <w:bookmarkStart w:id="1008" w:name="_Toc15629"/>
      <w:bookmarkStart w:id="1009" w:name="_Toc30333"/>
      <w:bookmarkStart w:id="1010" w:name="_Toc29038"/>
      <w:bookmarkStart w:id="1011" w:name="_Toc5238"/>
      <w:bookmarkStart w:id="1012" w:name="_Toc23684"/>
      <w:bookmarkStart w:id="1013" w:name="_Toc29579"/>
      <w:bookmarkStart w:id="1014" w:name="_Toc2901"/>
      <w:bookmarkStart w:id="1015" w:name="_Toc124571889"/>
      <w:bookmarkStart w:id="1016" w:name="_Toc7213"/>
      <w:bookmarkStart w:id="1017" w:name="_Toc18979"/>
      <w:bookmarkStart w:id="1018" w:name="_Toc74"/>
      <w:bookmarkStart w:id="1019" w:name="_Toc28870"/>
      <w:bookmarkStart w:id="1020" w:name="_Toc22641"/>
      <w:bookmarkStart w:id="1021" w:name="_Toc5729"/>
      <w:bookmarkStart w:id="1022" w:name="_Toc13016"/>
      <w:bookmarkStart w:id="1023" w:name="_Toc18649"/>
      <w:bookmarkStart w:id="1024" w:name="_Toc10283"/>
      <w:bookmarkStart w:id="1025" w:name="_Toc28429"/>
      <w:bookmarkStart w:id="1026" w:name="_Toc30991"/>
      <w:bookmarkStart w:id="1027" w:name="_Toc23255"/>
      <w:bookmarkStart w:id="1028" w:name="_Toc32180"/>
      <w:bookmarkStart w:id="1029" w:name="_Toc12053"/>
      <w:bookmarkStart w:id="1030" w:name="_Toc27674"/>
      <w:bookmarkStart w:id="1031" w:name="_Toc4878"/>
      <w:bookmarkStart w:id="1032" w:name="_Toc12121"/>
      <w:bookmarkStart w:id="1033" w:name="_Toc6654"/>
      <w:bookmarkStart w:id="1034" w:name="_Toc29836"/>
      <w:bookmarkStart w:id="1035" w:name="_Toc8600"/>
      <w:bookmarkStart w:id="1036" w:name="_Toc10405"/>
      <w:bookmarkStart w:id="1037" w:name="_Toc15426"/>
      <w:bookmarkStart w:id="1038" w:name="_Toc16611"/>
      <w:bookmarkStart w:id="1039" w:name="_Toc11199"/>
      <w:bookmarkStart w:id="1040" w:name="_Toc26786"/>
      <w:bookmarkStart w:id="1041" w:name="_Toc13574"/>
      <w:bookmarkStart w:id="1042" w:name="_Toc26148"/>
      <w:bookmarkStart w:id="1043" w:name="_Toc17205"/>
      <w:bookmarkStart w:id="1044" w:name="_Toc13638"/>
      <w:bookmarkStart w:id="1045" w:name="_Toc16977"/>
      <w:bookmarkStart w:id="1046" w:name="_Toc39"/>
      <w:bookmarkStart w:id="1047" w:name="_Toc6763"/>
      <w:bookmarkStart w:id="1048" w:name="_Toc6891"/>
      <w:bookmarkStart w:id="1049" w:name="_Toc24023"/>
      <w:bookmarkStart w:id="1050" w:name="_Toc24275"/>
      <w:bookmarkStart w:id="1051" w:name="_Toc30004"/>
      <w:bookmarkStart w:id="1052" w:name="_Toc12493"/>
      <w:bookmarkStart w:id="1053" w:name="_Toc25575"/>
      <w:bookmarkStart w:id="1054" w:name="_Toc727"/>
      <w:bookmarkStart w:id="1055" w:name="_Toc14458"/>
      <w:bookmarkStart w:id="1056" w:name="_Toc14736"/>
      <w:bookmarkStart w:id="1057" w:name="_Toc12447"/>
      <w:bookmarkStart w:id="1058" w:name="_Toc25051"/>
      <w:bookmarkStart w:id="1059" w:name="_Toc3152"/>
      <w:bookmarkStart w:id="1060" w:name="_Toc29088"/>
      <w:bookmarkStart w:id="1061" w:name="_Toc30465"/>
      <w:bookmarkStart w:id="1062" w:name="_Toc1495"/>
      <w:bookmarkStart w:id="1063" w:name="_Toc29939"/>
      <w:r>
        <w:rPr>
          <w:rFonts w:hint="eastAsia" w:ascii="楷体_GB2312" w:hAnsi="楷体_GB2312" w:eastAsia="楷体_GB2312" w:cs="楷体_GB2312"/>
          <w:color w:val="auto"/>
          <w:sz w:val="32"/>
          <w:szCs w:val="32"/>
          <w:highlight w:val="none"/>
        </w:rPr>
        <w:t>（二）</w:t>
      </w:r>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Start w:id="1064" w:name="_Toc28449"/>
      <w:bookmarkStart w:id="1065" w:name="_Toc2991"/>
      <w:bookmarkStart w:id="1066" w:name="_Toc22492"/>
      <w:r>
        <w:rPr>
          <w:rFonts w:hint="eastAsia" w:ascii="楷体_GB2312" w:hAnsi="楷体_GB2312" w:eastAsia="楷体_GB2312" w:cs="楷体_GB2312"/>
          <w:color w:val="auto"/>
          <w:sz w:val="32"/>
          <w:szCs w:val="32"/>
          <w:highlight w:val="none"/>
        </w:rPr>
        <w:t>聚力打造“京西剧谷”，建设计算视听产业特色集聚区</w:t>
      </w:r>
      <w:bookmarkEnd w:id="1055"/>
      <w:bookmarkEnd w:id="1056"/>
      <w:bookmarkEnd w:id="1057"/>
      <w:bookmarkEnd w:id="1058"/>
      <w:bookmarkEnd w:id="1059"/>
      <w:bookmarkEnd w:id="1060"/>
      <w:bookmarkEnd w:id="1061"/>
      <w:bookmarkEnd w:id="1062"/>
      <w:bookmarkEnd w:id="1063"/>
    </w:p>
    <w:p w14:paraId="0BE0BFC1">
      <w:pPr>
        <w:spacing w:before="0" w:after="0" w:line="560" w:lineRule="exact"/>
        <w:ind w:left="0" w:firstLine="640" w:firstLineChars="200"/>
        <w:jc w:val="left"/>
        <w:rPr>
          <w:rFonts w:hint="eastAsia" w:ascii="仿宋_GB2312" w:eastAsia="仿宋_GB2312"/>
          <w:color w:val="auto"/>
          <w:sz w:val="32"/>
          <w:szCs w:val="32"/>
          <w:highlight w:val="none"/>
          <w14:ligatures w14:val="standardContextual"/>
        </w:rPr>
      </w:pPr>
      <w:r>
        <w:rPr>
          <w:rFonts w:hint="eastAsia" w:ascii="仿宋_GB2312" w:eastAsia="仿宋_GB2312" w:hAnsiTheme="minorHAnsi"/>
          <w:b w:val="0"/>
          <w:color w:val="auto"/>
          <w:sz w:val="32"/>
          <w:szCs w:val="32"/>
          <w:highlight w:val="none"/>
          <w14:ligatures w14:val="standardContextual"/>
        </w:rPr>
        <w:t>坚持AI赋能、内容驱动，强化“</w:t>
      </w:r>
      <w:r>
        <w:rPr>
          <w:rFonts w:hint="eastAsia" w:ascii="仿宋_GB2312" w:eastAsia="仿宋_GB2312"/>
          <w:b w:val="0"/>
          <w:color w:val="auto"/>
          <w:sz w:val="32"/>
          <w:szCs w:val="32"/>
          <w:highlight w:val="none"/>
          <w:lang w:val="en-US" w:eastAsia="zh-CN"/>
          <w14:ligatures w14:val="standardContextual"/>
        </w:rPr>
        <w:t>空间</w:t>
      </w:r>
      <w:r>
        <w:rPr>
          <w:rFonts w:hint="eastAsia" w:ascii="仿宋_GB2312" w:eastAsia="仿宋_GB2312" w:hAnsiTheme="minorHAnsi"/>
          <w:b w:val="0"/>
          <w:color w:val="auto"/>
          <w:sz w:val="32"/>
          <w:szCs w:val="32"/>
          <w:highlight w:val="none"/>
          <w14:ligatures w14:val="standardContextual"/>
        </w:rPr>
        <w:t>端+内容端+场景端”协同发力，大力发展“AI+精品微短剧（动漫剧）”“AI+游戏”等细分赛道，构建“1+2+4+8”产业生态体系（一个产业联盟、两大创作平台、四大特色载体、八条人才政策），打造全国领先、具有国际影响力的计算视听融合创新和内容创制高地。到2030年，产业收入达到100亿元，“十五五”期间累计推出1000部以上精品微短剧。</w:t>
      </w:r>
    </w:p>
    <w:p w14:paraId="162A13A3">
      <w:pPr>
        <w:spacing w:line="560" w:lineRule="exact"/>
        <w:ind w:firstLine="643"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bCs/>
          <w:color w:val="auto"/>
          <w:sz w:val="32"/>
          <w:szCs w:val="32"/>
          <w:highlight w:val="none"/>
        </w:rPr>
        <w:t>推进</w:t>
      </w:r>
      <w:r>
        <w:rPr>
          <w:rFonts w:hint="eastAsia" w:ascii="仿宋_GB2312" w:hAnsi="仿宋_GB2312" w:eastAsia="仿宋_GB2312" w:cs="仿宋_GB2312"/>
          <w:b/>
          <w:bCs/>
          <w:color w:val="auto"/>
          <w:sz w:val="32"/>
          <w:szCs w:val="32"/>
          <w:highlight w:val="none"/>
          <w:lang w:val="en-US" w:eastAsia="zh-CN"/>
        </w:rPr>
        <w:t>空间端</w:t>
      </w:r>
      <w:r>
        <w:rPr>
          <w:rFonts w:hint="eastAsia" w:ascii="仿宋_GB2312" w:hAnsi="仿宋_GB2312" w:eastAsia="仿宋_GB2312" w:cs="仿宋_GB2312"/>
          <w:b/>
          <w:bCs/>
          <w:color w:val="auto"/>
          <w:sz w:val="32"/>
          <w:szCs w:val="32"/>
          <w:highlight w:val="none"/>
        </w:rPr>
        <w:t>央地协同</w:t>
      </w:r>
      <w:r>
        <w:rPr>
          <w:rFonts w:hint="eastAsia" w:ascii="仿宋_GB2312" w:hAnsi="仿宋_GB2312" w:eastAsia="仿宋_GB2312" w:cs="仿宋_GB2312"/>
          <w:b/>
          <w:bCs/>
          <w:color w:val="auto"/>
          <w:sz w:val="32"/>
          <w:szCs w:val="32"/>
          <w:highlight w:val="none"/>
          <w:lang w:val="en-US" w:eastAsia="zh-CN"/>
        </w:rPr>
        <w:t>联动</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全面</w:t>
      </w:r>
      <w:r>
        <w:rPr>
          <w:rFonts w:hint="eastAsia" w:ascii="仿宋_GB2312" w:hAnsi="仿宋_GB2312" w:eastAsia="仿宋_GB2312" w:cs="仿宋_GB2312"/>
          <w:color w:val="auto"/>
          <w:sz w:val="32"/>
          <w:szCs w:val="32"/>
          <w:highlight w:val="none"/>
        </w:rPr>
        <w:t>深化与中央广播电视总台深度战略合作，加快推进央视超高清示范园区“央视界”建设</w:t>
      </w:r>
      <w:r>
        <w:rPr>
          <w:rFonts w:hint="eastAsia" w:ascii="仿宋_GB2312" w:hAnsi="仿宋_GB2312" w:eastAsia="仿宋_GB2312" w:cs="仿宋_GB2312"/>
          <w:color w:val="auto"/>
          <w:sz w:val="32"/>
          <w:szCs w:val="32"/>
          <w:highlight w:val="none"/>
          <w:lang w:val="en-US" w:eastAsia="zh-CN"/>
        </w:rPr>
        <w:t>，支持</w:t>
      </w:r>
      <w:r>
        <w:rPr>
          <w:rFonts w:hint="eastAsia" w:ascii="仿宋_GB2312" w:hAnsi="仿宋_GB2312" w:eastAsia="仿宋_GB2312" w:cs="仿宋_GB2312"/>
          <w:color w:val="auto"/>
          <w:sz w:val="32"/>
          <w:szCs w:val="32"/>
          <w:highlight w:val="none"/>
        </w:rPr>
        <w:t>布局超高清演播平台、超高清系统设备研发及应用平台等，打造京西计算视听产业新地标。推动XR沉浸视听联合实验室</w:t>
      </w:r>
      <w:r>
        <w:rPr>
          <w:rFonts w:hint="eastAsia" w:ascii="仿宋_GB2312" w:hAnsi="仿宋_GB2312" w:eastAsia="仿宋_GB2312" w:cs="仿宋_GB2312"/>
          <w:color w:val="auto"/>
          <w:sz w:val="32"/>
          <w:szCs w:val="32"/>
          <w:highlight w:val="none"/>
          <w:lang w:val="en-US" w:eastAsia="zh-CN"/>
        </w:rPr>
        <w:t>市场化</w:t>
      </w:r>
      <w:r>
        <w:rPr>
          <w:rFonts w:hint="eastAsia" w:ascii="仿宋_GB2312" w:hAnsi="仿宋_GB2312" w:eastAsia="仿宋_GB2312" w:cs="仿宋_GB2312"/>
          <w:color w:val="auto"/>
          <w:sz w:val="32"/>
          <w:szCs w:val="32"/>
          <w:highlight w:val="none"/>
        </w:rPr>
        <w:t>运营，多方共建计算视听共性技术服务平台，为中小企业提供技术验证、设备共享、标准评测等公共服务，推动创新资源开放共享</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支持</w:t>
      </w:r>
      <w:r>
        <w:rPr>
          <w:rFonts w:hint="eastAsia" w:ascii="仿宋_GB2312" w:hAnsi="仿宋_GB2312" w:eastAsia="仿宋_GB2312" w:cs="仿宋_GB2312"/>
          <w:color w:val="auto"/>
          <w:sz w:val="32"/>
          <w:szCs w:val="32"/>
          <w:highlight w:val="none"/>
        </w:rPr>
        <w:t>打造高质量视听数据集，做实AIGC数据资产平台，集数字资产采集、确权、管理、交易、应用于一体。加快内容审核大模型和文生视频大模型商业化应用，提供“改写剧本—图片生成—音视频生成—剪辑成片”一站式生产流程，推动创新资源开放共享</w:t>
      </w:r>
      <w:r>
        <w:rPr>
          <w:rFonts w:hint="eastAsia" w:ascii="仿宋_GB2312" w:hAnsi="仿宋_GB2312" w:eastAsia="仿宋_GB2312" w:cs="仿宋_GB2312"/>
          <w:color w:val="auto"/>
          <w:sz w:val="32"/>
          <w:szCs w:val="32"/>
          <w:highlight w:val="none"/>
          <w:lang w:eastAsia="zh-CN"/>
        </w:rPr>
        <w:t>。</w:t>
      </w:r>
    </w:p>
    <w:p w14:paraId="3510B3C4">
      <w:pPr>
        <w:spacing w:line="560" w:lineRule="exact"/>
        <w:ind w:firstLine="643"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打造</w:t>
      </w:r>
      <w:r>
        <w:rPr>
          <w:rFonts w:hint="eastAsia" w:ascii="仿宋_GB2312" w:hAnsi="仿宋_GB2312" w:eastAsia="仿宋_GB2312" w:cs="仿宋_GB2312"/>
          <w:b/>
          <w:bCs/>
          <w:color w:val="auto"/>
          <w:sz w:val="32"/>
          <w:szCs w:val="32"/>
          <w:highlight w:val="none"/>
          <w:lang w:val="en-US" w:eastAsia="zh-CN"/>
        </w:rPr>
        <w:t>内容端全国</w:t>
      </w:r>
      <w:r>
        <w:rPr>
          <w:rFonts w:hint="eastAsia" w:ascii="仿宋_GB2312" w:hAnsi="仿宋_GB2312" w:eastAsia="仿宋_GB2312" w:cs="仿宋_GB2312"/>
          <w:b/>
          <w:bCs/>
          <w:color w:val="auto"/>
          <w:sz w:val="32"/>
          <w:szCs w:val="32"/>
          <w:highlight w:val="none"/>
        </w:rPr>
        <w:t>创制高地</w:t>
      </w:r>
      <w:r>
        <w:rPr>
          <w:rFonts w:hint="eastAsia" w:ascii="仿宋_GB2312" w:eastAsia="仿宋_GB2312" w:cs="Times New Roman"/>
          <w:b/>
          <w:bCs/>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迭代更新</w:t>
      </w:r>
      <w:r>
        <w:rPr>
          <w:rFonts w:hint="eastAsia" w:ascii="仿宋_GB2312" w:hAnsi="仿宋_GB2312" w:eastAsia="仿宋_GB2312" w:cs="仿宋_GB2312"/>
          <w:color w:val="auto"/>
          <w:sz w:val="32"/>
          <w:szCs w:val="32"/>
          <w:highlight w:val="none"/>
        </w:rPr>
        <w:t>“金钩八条”等创新政策，围绕“技术研发+智能创作+实景拍摄+推广宣发+人才培养”，积极拓展“AI+电竞”“AI+游戏”新赛道。做强AIGC短剧创作平台，推进京西智映影视科创中心、微短剧产业发展联盟等</w:t>
      </w:r>
      <w:r>
        <w:rPr>
          <w:rFonts w:hint="eastAsia" w:ascii="仿宋_GB2312" w:hAnsi="仿宋_GB2312" w:eastAsia="仿宋_GB2312" w:cs="仿宋_GB2312"/>
          <w:color w:val="auto"/>
          <w:sz w:val="32"/>
          <w:szCs w:val="32"/>
          <w:highlight w:val="none"/>
          <w:lang w:val="en-US" w:eastAsia="zh-CN"/>
        </w:rPr>
        <w:t>内容创作</w:t>
      </w:r>
      <w:r>
        <w:rPr>
          <w:rFonts w:hint="eastAsia" w:ascii="仿宋_GB2312" w:hAnsi="仿宋_GB2312" w:eastAsia="仿宋_GB2312" w:cs="仿宋_GB2312"/>
          <w:color w:val="auto"/>
          <w:sz w:val="32"/>
          <w:szCs w:val="32"/>
          <w:highlight w:val="none"/>
        </w:rPr>
        <w:t>平台建设</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打造京西剧谷·叙事堂、AIGC创作基地、星野OPC社区等特色</w:t>
      </w:r>
      <w:r>
        <w:rPr>
          <w:rFonts w:hint="eastAsia" w:ascii="仿宋_GB2312" w:hAnsi="仿宋_GB2312" w:eastAsia="仿宋_GB2312" w:cs="仿宋_GB2312"/>
          <w:color w:val="auto"/>
          <w:sz w:val="32"/>
          <w:szCs w:val="32"/>
          <w:highlight w:val="none"/>
          <w:lang w:val="en-US" w:eastAsia="zh-CN"/>
        </w:rPr>
        <w:t>产业空间</w:t>
      </w:r>
      <w:r>
        <w:rPr>
          <w:rFonts w:hint="eastAsia" w:ascii="仿宋_GB2312" w:hAnsi="仿宋_GB2312" w:eastAsia="仿宋_GB2312" w:cs="仿宋_GB2312"/>
          <w:color w:val="auto"/>
          <w:sz w:val="32"/>
          <w:szCs w:val="32"/>
          <w:highlight w:val="none"/>
        </w:rPr>
        <w:t>载体，构建“创作、拍摄、出品在京西”的产业闭环</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推动精品微短剧“出圈出海”，支持视听内容培训、视听内容审核、视听版权交易等高价值环节发展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探索支持微短剧项目开展版权质押融资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构建AIGC视频创作培训体系，</w:t>
      </w:r>
      <w:r>
        <w:rPr>
          <w:rFonts w:hint="eastAsia" w:ascii="仿宋_GB2312" w:eastAsia="仿宋_GB2312" w:cs="Times New Roman"/>
          <w:color w:val="auto"/>
          <w:sz w:val="32"/>
          <w:szCs w:val="32"/>
          <w:highlight w:val="none"/>
        </w:rPr>
        <w:t>持续举办微短剧行业交流大会、剧创垂域OPC赛事等，</w:t>
      </w:r>
      <w:r>
        <w:rPr>
          <w:rFonts w:hint="eastAsia" w:ascii="仿宋_GB2312" w:hAnsi="仿宋_GB2312" w:eastAsia="仿宋_GB2312" w:cs="仿宋_GB2312"/>
          <w:color w:val="auto"/>
          <w:sz w:val="32"/>
          <w:szCs w:val="32"/>
          <w:highlight w:val="none"/>
        </w:rPr>
        <w:t>加速形成具有全国影响力的“AI+内容”产业生态圈。</w:t>
      </w:r>
    </w:p>
    <w:bookmarkEnd w:id="1064"/>
    <w:bookmarkEnd w:id="1065"/>
    <w:bookmarkEnd w:id="1066"/>
    <w:p w14:paraId="5CCD40DD">
      <w:pPr>
        <w:widowControl/>
        <w:numPr>
          <w:ilvl w:val="255"/>
          <w:numId w:val="0"/>
        </w:numPr>
        <w:spacing w:line="560" w:lineRule="exact"/>
        <w:ind w:firstLine="643" w:firstLineChars="200"/>
        <w:rPr>
          <w:rFonts w:ascii="仿宋_GB2312" w:eastAsia="仿宋_GB2312"/>
          <w:color w:val="auto"/>
          <w:sz w:val="32"/>
          <w:szCs w:val="32"/>
          <w:highlight w:val="none"/>
          <w14:ligatures w14:val="standardContextual"/>
        </w:rPr>
      </w:pPr>
      <w:r>
        <w:rPr>
          <w:rFonts w:hint="eastAsia" w:ascii="仿宋_GB2312" w:hAnsi="仿宋_GB2312" w:eastAsia="仿宋_GB2312" w:cs="仿宋_GB2312"/>
          <w:b/>
          <w:bCs/>
          <w:color w:val="auto"/>
          <w:sz w:val="32"/>
          <w:szCs w:val="32"/>
          <w:highlight w:val="none"/>
          <w:lang w:val="en-US" w:eastAsia="zh-CN"/>
        </w:rPr>
        <w:t>做活场景端“</w:t>
      </w:r>
      <w:r>
        <w:rPr>
          <w:rFonts w:hint="eastAsia" w:ascii="仿宋_GB2312" w:hAnsi="仿宋_GB2312" w:eastAsia="仿宋_GB2312" w:cs="仿宋_GB2312"/>
          <w:b/>
          <w:bCs/>
          <w:color w:val="auto"/>
          <w:sz w:val="32"/>
          <w:szCs w:val="32"/>
          <w:highlight w:val="none"/>
        </w:rPr>
        <w:t>视听</w:t>
      </w:r>
      <w:r>
        <w:rPr>
          <w:rFonts w:hint="eastAsia" w:ascii="仿宋_GB2312" w:hAnsi="仿宋_GB2312" w:eastAsia="仿宋_GB2312" w:cs="仿宋_GB2312"/>
          <w:b/>
          <w:bCs/>
          <w:color w:val="auto"/>
          <w:sz w:val="32"/>
          <w:szCs w:val="32"/>
          <w:highlight w:val="none"/>
          <w:lang w:val="en-US" w:eastAsia="zh-CN"/>
        </w:rPr>
        <w:t>+”应用</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研究制定计算视听产业发展的支持政策，</w:t>
      </w:r>
      <w:r>
        <w:rPr>
          <w:rFonts w:hint="eastAsia" w:ascii="仿宋_GB2312" w:hAnsi="仿宋_GB2312" w:eastAsia="仿宋_GB2312" w:cs="仿宋_GB2312"/>
          <w:color w:val="auto"/>
          <w:sz w:val="32"/>
          <w:szCs w:val="32"/>
          <w:highlight w:val="none"/>
        </w:rPr>
        <w:t>深度联动“北京大视听”“超现场”等市级产业平台，加速推动“AI+视听”技术在影视制作、政务服务、文旅消费、医疗健康等</w:t>
      </w:r>
      <w:r>
        <w:rPr>
          <w:rFonts w:hint="eastAsia" w:ascii="仿宋_GB2312" w:hAnsi="仿宋_GB2312" w:eastAsia="仿宋_GB2312" w:cs="仿宋_GB2312"/>
          <w:color w:val="auto"/>
          <w:sz w:val="32"/>
          <w:szCs w:val="32"/>
          <w:highlight w:val="none"/>
          <w:lang w:val="en-US" w:eastAsia="zh-CN"/>
        </w:rPr>
        <w:t>场景</w:t>
      </w:r>
      <w:r>
        <w:rPr>
          <w:rFonts w:hint="eastAsia" w:ascii="仿宋_GB2312" w:hAnsi="仿宋_GB2312" w:eastAsia="仿宋_GB2312" w:cs="仿宋_GB2312"/>
          <w:color w:val="auto"/>
          <w:sz w:val="32"/>
          <w:szCs w:val="32"/>
          <w:highlight w:val="none"/>
        </w:rPr>
        <w:t>深度落地应用。</w:t>
      </w:r>
      <w:r>
        <w:rPr>
          <w:rFonts w:hint="eastAsia" w:ascii="仿宋_GB2312" w:eastAsia="仿宋_GB2312"/>
          <w:color w:val="auto"/>
          <w:sz w:val="32"/>
          <w:szCs w:val="32"/>
          <w:highlight w:val="none"/>
        </w:rPr>
        <w:t>挖掘潭柘寺、京西古道、古村落等优质</w:t>
      </w:r>
      <w:r>
        <w:rPr>
          <w:rFonts w:hint="eastAsia" w:ascii="仿宋_GB2312" w:eastAsia="仿宋_GB2312"/>
          <w:color w:val="auto"/>
          <w:sz w:val="32"/>
          <w:szCs w:val="32"/>
          <w:highlight w:val="none"/>
          <w:lang w:val="en-US" w:eastAsia="zh-CN"/>
        </w:rPr>
        <w:t>文旅</w:t>
      </w:r>
      <w:r>
        <w:rPr>
          <w:rFonts w:hint="eastAsia" w:ascii="仿宋_GB2312" w:eastAsia="仿宋_GB2312"/>
          <w:color w:val="auto"/>
          <w:sz w:val="32"/>
          <w:szCs w:val="32"/>
          <w:highlight w:val="none"/>
        </w:rPr>
        <w:t>资源</w:t>
      </w:r>
      <w:r>
        <w:rPr>
          <w:rFonts w:hint="eastAsia" w:ascii="仿宋_GB2312" w:eastAsia="仿宋_GB2312"/>
          <w:color w:val="auto"/>
          <w:sz w:val="32"/>
          <w:szCs w:val="32"/>
          <w:highlight w:val="none"/>
          <w14:ligatures w14:val="standardContextual"/>
        </w:rPr>
        <w:t>，通过超高清裸眼3D和AIGC相结合，开发沉浸式旅游、演艺产品和精品微短剧。</w:t>
      </w:r>
      <w:r>
        <w:rPr>
          <w:rFonts w:hint="eastAsia" w:ascii="仿宋_GB2312" w:hAnsi="仿宋_GB2312" w:eastAsia="仿宋_GB2312" w:cs="仿宋_GB2312"/>
          <w:color w:val="auto"/>
          <w:kern w:val="0"/>
          <w:sz w:val="32"/>
          <w:szCs w:val="32"/>
          <w:highlight w:val="none"/>
          <w:lang w:val="en-US" w:eastAsia="zh-CN" w:bidi="ar"/>
        </w:rPr>
        <w:t>支持运用新一代三维建模、空间智能交互、空间计算、数字孪生等技术，开展3D线上游览、游客共创体验、智慧导览等方面的示范应用。</w:t>
      </w:r>
    </w:p>
    <w:p w14:paraId="493E563F">
      <w:pPr>
        <w:spacing w:line="560" w:lineRule="exact"/>
        <w:ind w:firstLine="640" w:firstLineChars="200"/>
        <w:outlineLvl w:val="1"/>
        <w:rPr>
          <w:rFonts w:hint="eastAsia" w:ascii="楷体_GB2312" w:hAnsi="楷体_GB2312" w:eastAsia="楷体_GB2312" w:cs="楷体_GB2312"/>
          <w:color w:val="auto"/>
          <w:sz w:val="32"/>
          <w:szCs w:val="32"/>
          <w:highlight w:val="none"/>
          <w:lang w:eastAsia="zh-CN"/>
        </w:rPr>
      </w:pPr>
      <w:bookmarkStart w:id="1067" w:name="_Toc13450"/>
      <w:bookmarkStart w:id="1068" w:name="_Toc4637"/>
      <w:bookmarkStart w:id="1069" w:name="_Toc31956"/>
      <w:bookmarkStart w:id="1070" w:name="_Toc20695"/>
      <w:bookmarkStart w:id="1071" w:name="_Toc25500"/>
      <w:bookmarkStart w:id="1072" w:name="_Toc22416"/>
      <w:bookmarkStart w:id="1073" w:name="_Toc16623"/>
      <w:bookmarkStart w:id="1074" w:name="_Toc1709"/>
      <w:bookmarkStart w:id="1075" w:name="_Toc27159"/>
      <w:bookmarkStart w:id="1076" w:name="_Toc9983"/>
      <w:bookmarkStart w:id="1077" w:name="_Toc14522"/>
      <w:bookmarkStart w:id="1078" w:name="_Toc453"/>
      <w:bookmarkStart w:id="1079" w:name="_Toc12917"/>
      <w:bookmarkStart w:id="1080" w:name="_Toc12038"/>
      <w:bookmarkStart w:id="1081" w:name="_Toc17240"/>
      <w:bookmarkStart w:id="1082" w:name="_Toc1833"/>
      <w:bookmarkStart w:id="1083" w:name="_Toc25372"/>
      <w:bookmarkStart w:id="1084" w:name="_Toc29735"/>
      <w:bookmarkStart w:id="1085" w:name="_Toc19936"/>
      <w:bookmarkStart w:id="1086" w:name="_Toc1913"/>
      <w:bookmarkStart w:id="1087" w:name="_Toc12170"/>
      <w:bookmarkStart w:id="1088" w:name="_Toc28010"/>
      <w:bookmarkStart w:id="1089" w:name="_Toc19713"/>
      <w:bookmarkStart w:id="1090" w:name="_Toc7902"/>
      <w:bookmarkStart w:id="1091" w:name="_Toc1398"/>
      <w:bookmarkStart w:id="1092" w:name="_Toc13302"/>
      <w:bookmarkStart w:id="1093" w:name="_Toc13953"/>
      <w:bookmarkStart w:id="1094" w:name="_Toc3032"/>
      <w:bookmarkStart w:id="1095" w:name="_Toc10756"/>
      <w:bookmarkStart w:id="1096" w:name="_Toc17051"/>
      <w:bookmarkStart w:id="1097" w:name="_Toc9699"/>
      <w:bookmarkStart w:id="1098" w:name="_Toc22305"/>
      <w:bookmarkStart w:id="1099" w:name="_Toc27708"/>
      <w:bookmarkStart w:id="1100" w:name="_Toc29456"/>
      <w:bookmarkStart w:id="1101" w:name="_Toc8388"/>
      <w:bookmarkStart w:id="1102" w:name="_Toc23059"/>
      <w:bookmarkStart w:id="1103" w:name="_Toc30945"/>
      <w:bookmarkStart w:id="1104" w:name="_Toc25897"/>
      <w:bookmarkStart w:id="1105" w:name="_Toc29057"/>
      <w:bookmarkStart w:id="1106" w:name="_Toc10199"/>
      <w:bookmarkStart w:id="1107" w:name="_Toc4754"/>
      <w:bookmarkStart w:id="1108" w:name="_Toc2686"/>
      <w:bookmarkStart w:id="1109" w:name="_Toc20008"/>
      <w:bookmarkStart w:id="1110" w:name="_Toc13395"/>
      <w:bookmarkStart w:id="1111" w:name="_Toc17169"/>
      <w:bookmarkStart w:id="1112" w:name="_Toc25791"/>
      <w:bookmarkStart w:id="1113" w:name="_Toc15652"/>
      <w:bookmarkStart w:id="1114" w:name="_Toc3494"/>
      <w:bookmarkStart w:id="1115" w:name="_Toc14626"/>
      <w:bookmarkStart w:id="1116" w:name="_Toc1871"/>
      <w:bookmarkStart w:id="1117" w:name="_Toc5007"/>
      <w:bookmarkStart w:id="1118" w:name="_Toc27007"/>
      <w:bookmarkStart w:id="1119" w:name="_Toc17094"/>
      <w:bookmarkStart w:id="1120" w:name="_Toc6551"/>
      <w:bookmarkStart w:id="1121" w:name="_Toc21080"/>
      <w:bookmarkStart w:id="1122" w:name="_Toc2030666245"/>
      <w:bookmarkStart w:id="1123" w:name="_Toc15341"/>
      <w:bookmarkStart w:id="1124" w:name="_Toc14623"/>
      <w:bookmarkStart w:id="1125" w:name="_Toc6788"/>
      <w:bookmarkStart w:id="1126" w:name="_Toc9521"/>
      <w:bookmarkStart w:id="1127" w:name="_Toc2044"/>
      <w:bookmarkStart w:id="1128" w:name="_Toc15258"/>
      <w:bookmarkStart w:id="1129" w:name="_Toc14677"/>
      <w:bookmarkStart w:id="1130" w:name="_Toc31471"/>
      <w:bookmarkStart w:id="1131" w:name="_Toc27834"/>
      <w:bookmarkStart w:id="1132" w:name="_Toc23167"/>
      <w:bookmarkStart w:id="1133" w:name="_Toc24035"/>
      <w:bookmarkStart w:id="1134" w:name="_Toc30137"/>
      <w:bookmarkStart w:id="1135" w:name="_Toc20395"/>
      <w:bookmarkStart w:id="1136" w:name="_Toc12500"/>
      <w:bookmarkStart w:id="1137" w:name="_Toc18192"/>
      <w:bookmarkStart w:id="1138" w:name="_Toc29887"/>
      <w:bookmarkStart w:id="1139" w:name="_Toc27155"/>
      <w:bookmarkStart w:id="1140" w:name="_Toc23585"/>
      <w:bookmarkStart w:id="1141" w:name="_Toc31895"/>
      <w:bookmarkStart w:id="1142" w:name="_Toc25866"/>
      <w:bookmarkStart w:id="1143" w:name="_Toc5673"/>
      <w:bookmarkStart w:id="1144" w:name="_Toc3396"/>
      <w:bookmarkStart w:id="1145" w:name="_Toc26412"/>
      <w:bookmarkStart w:id="1146" w:name="_Toc13342"/>
      <w:bookmarkStart w:id="1147" w:name="_Toc16628"/>
      <w:bookmarkStart w:id="1148" w:name="_Toc29265"/>
      <w:bookmarkStart w:id="1149" w:name="_Toc6694"/>
      <w:bookmarkStart w:id="1150" w:name="_Toc30355"/>
      <w:bookmarkStart w:id="1151" w:name="_Toc494"/>
      <w:bookmarkStart w:id="1152" w:name="_Toc1486"/>
      <w:bookmarkStart w:id="1153" w:name="_Toc24258"/>
      <w:bookmarkStart w:id="1154" w:name="_Toc10840"/>
      <w:bookmarkStart w:id="1155" w:name="_Toc1901"/>
      <w:bookmarkStart w:id="1156" w:name="_Toc31068"/>
      <w:bookmarkStart w:id="1157" w:name="_Toc25218"/>
      <w:bookmarkStart w:id="1158" w:name="_Toc10683"/>
      <w:bookmarkStart w:id="1159" w:name="_Toc31393"/>
      <w:bookmarkStart w:id="1160" w:name="_Toc27415"/>
      <w:bookmarkStart w:id="1161" w:name="_Toc5430"/>
      <w:bookmarkStart w:id="1162" w:name="_Toc10097"/>
      <w:bookmarkStart w:id="1163" w:name="_Toc1922"/>
      <w:bookmarkStart w:id="1164" w:name="_Toc11424"/>
      <w:r>
        <w:rPr>
          <w:rFonts w:hint="eastAsia" w:ascii="楷体_GB2312" w:hAnsi="楷体_GB2312" w:eastAsia="楷体_GB2312" w:cs="楷体_GB2312"/>
          <w:color w:val="auto"/>
          <w:sz w:val="32"/>
          <w:szCs w:val="32"/>
          <w:highlight w:val="none"/>
        </w:rPr>
        <w:t>（三）着力打响“中国心谷”，构筑心血管创新药械产业新引擎</w:t>
      </w:r>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Start w:id="1165" w:name="_Toc5730"/>
      <w:bookmarkStart w:id="1166" w:name="_Toc20077"/>
      <w:bookmarkStart w:id="1167" w:name="_Toc30101"/>
    </w:p>
    <w:bookmarkEnd w:id="1165"/>
    <w:bookmarkEnd w:id="1166"/>
    <w:bookmarkEnd w:id="1167"/>
    <w:p w14:paraId="777F814E">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eastAsia="仿宋_GB2312"/>
          <w:color w:val="auto"/>
          <w:sz w:val="32"/>
          <w:szCs w:val="32"/>
          <w:highlight w:val="none"/>
          <w14:ligatures w14:val="standardContextual"/>
        </w:rPr>
        <w:t>坚持源头创新、医工交叉、研发转化为主的创新驱动发展模式，构建“科研临床中心</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14:ligatures w14:val="standardContextual"/>
        </w:rPr>
        <w:t>创新转化平台</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14:ligatures w14:val="standardContextual"/>
        </w:rPr>
        <w:t>产业集聚基地”</w:t>
      </w:r>
      <w:r>
        <w:rPr>
          <w:rFonts w:hint="eastAsia" w:ascii="仿宋_GB2312" w:eastAsia="仿宋_GB2312"/>
          <w:color w:val="auto"/>
          <w:sz w:val="32"/>
          <w:szCs w:val="32"/>
          <w:highlight w:val="none"/>
          <w:lang w:val="en-US" w:eastAsia="zh-CN"/>
          <w14:ligatures w14:val="standardContextual"/>
        </w:rPr>
        <w:t>的产业发展</w:t>
      </w:r>
      <w:r>
        <w:rPr>
          <w:rFonts w:hint="eastAsia" w:ascii="仿宋_GB2312" w:eastAsia="仿宋_GB2312"/>
          <w:color w:val="auto"/>
          <w:sz w:val="32"/>
          <w:szCs w:val="32"/>
          <w:highlight w:val="none"/>
          <w14:ligatures w14:val="standardContextual"/>
        </w:rPr>
        <w:t>体系，</w:t>
      </w:r>
      <w:r>
        <w:rPr>
          <w:rFonts w:hint="eastAsia" w:ascii="仿宋_GB2312" w:hAnsi="仿宋_GB2312" w:eastAsia="仿宋_GB2312" w:cs="仿宋_GB2312"/>
          <w:color w:val="auto"/>
          <w:sz w:val="32"/>
          <w:szCs w:val="32"/>
          <w:highlight w:val="none"/>
        </w:rPr>
        <w:t>打造京西医药健康产业带。到2030年，全区创新药械产业收入达到100亿元。</w:t>
      </w:r>
    </w:p>
    <w:p w14:paraId="58C3D3B8">
      <w:pPr>
        <w:spacing w:line="560" w:lineRule="exact"/>
        <w:ind w:firstLine="643"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强化医研产协同</w:t>
      </w:r>
      <w:r>
        <w:rPr>
          <w:rFonts w:hint="eastAsia" w:ascii="仿宋_GB2312" w:hAnsi="仿宋_GB2312" w:eastAsia="仿宋_GB2312" w:cs="仿宋_GB2312"/>
          <w:b/>
          <w:bCs/>
          <w:color w:val="auto"/>
          <w:sz w:val="32"/>
          <w:szCs w:val="32"/>
          <w:highlight w:val="none"/>
          <w:lang w:val="en-US" w:eastAsia="zh-CN"/>
        </w:rPr>
        <w:t>联动</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i w:val="0"/>
          <w:iCs w:val="0"/>
          <w:caps w:val="0"/>
          <w:color w:val="auto"/>
          <w:spacing w:val="0"/>
          <w:sz w:val="32"/>
          <w:szCs w:val="32"/>
          <w:highlight w:val="none"/>
          <w:shd w:val="clear"/>
          <w:lang w:val="en-US" w:eastAsia="zh-CN"/>
        </w:rPr>
        <w:t>研究制定心血管创新药械的支持政策，</w:t>
      </w:r>
      <w:r>
        <w:rPr>
          <w:rFonts w:hint="eastAsia" w:ascii="仿宋_GB2312" w:eastAsia="仿宋_GB2312" w:hAnsiTheme="minorHAnsi" w:cstheme="minorBidi"/>
          <w:b w:val="0"/>
          <w:bCs w:val="0"/>
          <w:color w:val="auto"/>
          <w:sz w:val="32"/>
          <w:szCs w:val="32"/>
          <w:highlight w:val="none"/>
          <w14:ligatures w14:val="standardContextual"/>
        </w:rPr>
        <w:t>服务保障国家心血管病中心建设，</w:t>
      </w:r>
      <w:r>
        <w:rPr>
          <w:rFonts w:hint="eastAsia" w:ascii="仿宋_GB2312" w:hAnsi="仿宋_GB2312" w:eastAsia="仿宋_GB2312" w:cs="仿宋_GB2312"/>
          <w:i w:val="0"/>
          <w:iCs w:val="0"/>
          <w:caps w:val="0"/>
          <w:color w:val="auto"/>
          <w:spacing w:val="0"/>
          <w:sz w:val="32"/>
          <w:szCs w:val="32"/>
          <w:highlight w:val="none"/>
          <w:shd w:val="clear"/>
        </w:rPr>
        <w:t>持续拓展产学研医协同网络，导入源头创新资源</w:t>
      </w:r>
      <w:r>
        <w:rPr>
          <w:rFonts w:hint="eastAsia" w:ascii="仿宋_GB2312" w:hAnsi="仿宋_GB2312" w:eastAsia="仿宋_GB2312" w:cs="仿宋_GB2312"/>
          <w:i w:val="0"/>
          <w:iCs w:val="0"/>
          <w:caps w:val="0"/>
          <w:color w:val="auto"/>
          <w:spacing w:val="0"/>
          <w:sz w:val="32"/>
          <w:szCs w:val="32"/>
          <w:highlight w:val="none"/>
          <w:shd w:val="clear"/>
          <w:lang w:eastAsia="zh-CN"/>
        </w:rPr>
        <w:t>，</w:t>
      </w:r>
      <w:r>
        <w:rPr>
          <w:rFonts w:hint="eastAsia" w:ascii="仿宋_GB2312" w:eastAsia="仿宋_GB2312" w:cstheme="minorBidi"/>
          <w:b w:val="0"/>
          <w:bCs w:val="0"/>
          <w:color w:val="auto"/>
          <w:sz w:val="32"/>
          <w:szCs w:val="32"/>
          <w:highlight w:val="none"/>
          <w:lang w:val="en-US" w:eastAsia="zh-CN"/>
          <w14:ligatures w14:val="standardContextual"/>
        </w:rPr>
        <w:t>加快</w:t>
      </w:r>
      <w:r>
        <w:rPr>
          <w:rFonts w:hint="eastAsia" w:ascii="仿宋_GB2312" w:eastAsia="仿宋_GB2312" w:hAnsiTheme="minorHAnsi" w:cstheme="minorBidi"/>
          <w:b w:val="0"/>
          <w:bCs w:val="0"/>
          <w:color w:val="auto"/>
          <w:sz w:val="32"/>
          <w:szCs w:val="32"/>
          <w:highlight w:val="none"/>
          <w14:ligatures w14:val="standardContextual"/>
        </w:rPr>
        <w:t>搭建“四大平台”（临床研究评价中心、数字医学中心、健康生活方式医学中心及研究型病房），</w:t>
      </w:r>
      <w:r>
        <w:rPr>
          <w:rFonts w:hint="eastAsia" w:ascii="仿宋_GB2312" w:hAnsi="仿宋_GB2312" w:eastAsia="仿宋_GB2312" w:cs="仿宋_GB2312"/>
          <w:i w:val="0"/>
          <w:iCs w:val="0"/>
          <w:caps w:val="0"/>
          <w:color w:val="auto"/>
          <w:spacing w:val="0"/>
          <w:sz w:val="32"/>
          <w:szCs w:val="32"/>
          <w:highlight w:val="none"/>
          <w:shd w:val="clear"/>
          <w:lang w:val="en-US" w:eastAsia="zh-CN"/>
        </w:rPr>
        <w:t>打造具有全球影响力的</w:t>
      </w:r>
      <w:r>
        <w:rPr>
          <w:rFonts w:hint="eastAsia" w:ascii="仿宋_GB2312" w:eastAsia="仿宋_GB2312" w:hAnsiTheme="minorHAnsi" w:cstheme="minorBidi"/>
          <w:b w:val="0"/>
          <w:bCs w:val="0"/>
          <w:color w:val="auto"/>
          <w:sz w:val="32"/>
          <w:szCs w:val="32"/>
          <w:highlight w:val="none"/>
          <w14:ligatures w14:val="standardContextual"/>
        </w:rPr>
        <w:t>心血管医学创新药械</w:t>
      </w:r>
      <w:r>
        <w:rPr>
          <w:rFonts w:hint="eastAsia" w:ascii="仿宋_GB2312" w:eastAsia="仿宋_GB2312" w:cstheme="minorBidi"/>
          <w:b w:val="0"/>
          <w:bCs w:val="0"/>
          <w:color w:val="auto"/>
          <w:sz w:val="32"/>
          <w:szCs w:val="32"/>
          <w:highlight w:val="none"/>
          <w:lang w:val="en-US" w:eastAsia="zh-CN"/>
          <w14:ligatures w14:val="standardContextual"/>
        </w:rPr>
        <w:t>产业策源地</w:t>
      </w:r>
      <w:r>
        <w:rPr>
          <w:rFonts w:hint="eastAsia" w:ascii="仿宋_GB2312" w:eastAsia="仿宋_GB2312" w:hAnsiTheme="minorHAnsi" w:cstheme="minorBidi"/>
          <w:b w:val="0"/>
          <w:bCs w:val="0"/>
          <w:color w:val="auto"/>
          <w:sz w:val="32"/>
          <w:szCs w:val="32"/>
          <w:highlight w:val="none"/>
          <w14:ligatures w14:val="standardContextual"/>
        </w:rPr>
        <w:t>。</w:t>
      </w:r>
      <w:r>
        <w:rPr>
          <w:rFonts w:hint="eastAsia" w:ascii="仿宋_GB2312" w:hAnsi="仿宋_GB2312" w:eastAsia="仿宋_GB2312" w:cs="仿宋_GB2312"/>
          <w:b w:val="0"/>
          <w:bCs w:val="0"/>
          <w:color w:val="auto"/>
          <w:sz w:val="32"/>
          <w:szCs w:val="32"/>
          <w:highlight w:val="none"/>
          <w:lang w:val="en-US" w:eastAsia="zh-CN"/>
        </w:rPr>
        <w:t>支持龙头企业协同高等院校、医疗卫生机构、重点实验室等高能级创新平台，</w:t>
      </w:r>
      <w:r>
        <w:rPr>
          <w:rFonts w:hint="eastAsia" w:ascii="仿宋_GB2312" w:hAnsi="仿宋_GB2312" w:eastAsia="仿宋_GB2312" w:cs="仿宋_GB2312"/>
          <w:i w:val="0"/>
          <w:iCs w:val="0"/>
          <w:caps w:val="0"/>
          <w:color w:val="auto"/>
          <w:spacing w:val="0"/>
          <w:sz w:val="32"/>
          <w:szCs w:val="32"/>
          <w:highlight w:val="none"/>
          <w:shd w:val="clear"/>
        </w:rPr>
        <w:t>构建“临床需求—技术攻关—中试生产—注册上市”的创新转化模式，</w:t>
      </w:r>
      <w:r>
        <w:rPr>
          <w:rFonts w:hint="eastAsia" w:ascii="仿宋_GB2312" w:hAnsi="仿宋_GB2312" w:eastAsia="仿宋_GB2312" w:cs="仿宋_GB2312"/>
          <w:b w:val="0"/>
          <w:bCs w:val="0"/>
          <w:color w:val="auto"/>
          <w:sz w:val="32"/>
          <w:szCs w:val="32"/>
          <w:highlight w:val="none"/>
          <w:lang w:val="en-US" w:eastAsia="zh-CN"/>
        </w:rPr>
        <w:t>积极承接科</w:t>
      </w:r>
      <w:r>
        <w:rPr>
          <w:rFonts w:hint="eastAsia" w:ascii="仿宋_GB2312" w:eastAsia="仿宋_GB2312" w:hAnsiTheme="minorHAnsi" w:cstheme="minorBidi"/>
          <w:b w:val="0"/>
          <w:bCs w:val="0"/>
          <w:color w:val="auto"/>
          <w:sz w:val="32"/>
          <w:szCs w:val="32"/>
          <w:highlight w:val="none"/>
          <w:lang w:val="en-US" w:eastAsia="zh-CN"/>
          <w14:ligatures w14:val="standardContextual"/>
        </w:rPr>
        <w:t>技创新成果落地。</w:t>
      </w:r>
      <w:r>
        <w:rPr>
          <w:rFonts w:hint="eastAsia" w:ascii="仿宋_GB2312" w:eastAsia="仿宋_GB2312" w:hAnsiTheme="minorHAnsi" w:cstheme="minorBidi"/>
          <w:color w:val="auto"/>
          <w:sz w:val="32"/>
          <w:szCs w:val="32"/>
          <w:highlight w:val="none"/>
          <w14:ligatures w14:val="standardContextual"/>
        </w:rPr>
        <w:t>大力推进</w:t>
      </w:r>
      <w:r>
        <w:rPr>
          <w:rFonts w:hint="eastAsia" w:ascii="仿宋_GB2312" w:hAnsi="仿宋_GB2312" w:eastAsia="仿宋_GB2312" w:cs="仿宋_GB2312"/>
          <w:color w:val="auto"/>
          <w:sz w:val="32"/>
          <w:szCs w:val="32"/>
          <w:highlight w:val="none"/>
        </w:rPr>
        <w:t>计算医疗融合发展，</w:t>
      </w:r>
      <w:r>
        <w:rPr>
          <w:rFonts w:hint="eastAsia" w:ascii="仿宋_GB2312" w:hAnsi="仿宋_GB2312" w:eastAsia="仿宋_GB2312" w:cs="仿宋_GB2312"/>
          <w:color w:val="auto"/>
          <w:sz w:val="32"/>
          <w:szCs w:val="32"/>
          <w:highlight w:val="none"/>
          <w:lang w:val="en-US" w:eastAsia="zh-CN"/>
        </w:rPr>
        <w:t>支持</w:t>
      </w:r>
      <w:r>
        <w:rPr>
          <w:rFonts w:hint="eastAsia" w:ascii="仿宋_GB2312" w:hAnsi="仿宋_GB2312" w:eastAsia="仿宋_GB2312" w:cs="仿宋_GB2312"/>
          <w:color w:val="auto"/>
          <w:sz w:val="32"/>
          <w:szCs w:val="32"/>
          <w:highlight w:val="none"/>
        </w:rPr>
        <w:t>用AI技术助力创新药械研发、试验仿真、大数据分析，赋能心血管创新药械研发与精准诊疗</w:t>
      </w:r>
      <w:r>
        <w:rPr>
          <w:rFonts w:hint="eastAsia" w:ascii="仿宋_GB2312" w:hAnsi="仿宋_GB2312" w:eastAsia="仿宋_GB2312" w:cs="仿宋_GB2312"/>
          <w:color w:val="auto"/>
          <w:sz w:val="32"/>
          <w:szCs w:val="32"/>
          <w:highlight w:val="none"/>
          <w:lang w:eastAsia="zh-CN"/>
        </w:rPr>
        <w:t>。</w:t>
      </w:r>
    </w:p>
    <w:p w14:paraId="2FE7C238">
      <w:pPr>
        <w:spacing w:line="560" w:lineRule="exact"/>
        <w:ind w:firstLine="643"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加速药械科技成果孵化转化。</w:t>
      </w:r>
      <w:r>
        <w:rPr>
          <w:rFonts w:hint="eastAsia" w:ascii="仿宋_GB2312" w:hAnsi="仿宋_GB2312" w:eastAsia="仿宋_GB2312" w:cs="仿宋_GB2312"/>
          <w:color w:val="auto"/>
          <w:sz w:val="32"/>
          <w:szCs w:val="32"/>
          <w:highlight w:val="none"/>
        </w:rPr>
        <w:t>建设心血管创新药械概念验证平台，提供临床前评价、方法学验证、小样本临床探索等概念验证服务，降低创新项目早期研发风险。高水平建设</w:t>
      </w:r>
      <w:r>
        <w:rPr>
          <w:rFonts w:ascii="仿宋_GB2312" w:hAnsi="仿宋" w:eastAsia="仿宋_GB2312"/>
          <w:color w:val="auto"/>
          <w:sz w:val="32"/>
          <w:szCs w:val="32"/>
          <w:highlight w:val="none"/>
        </w:rPr>
        <w:t>百洋心血管创新药械</w:t>
      </w:r>
      <w:r>
        <w:rPr>
          <w:rFonts w:hint="eastAsia" w:ascii="仿宋_GB2312" w:hAnsi="Times New Roman" w:eastAsia="仿宋_GB2312"/>
          <w:snapToGrid w:val="0"/>
          <w:color w:val="auto"/>
          <w:sz w:val="32"/>
          <w:szCs w:val="32"/>
          <w:highlight w:val="none"/>
          <w:shd w:val="clear" w:color="auto" w:fill="FFFFFF"/>
        </w:rPr>
        <w:t>育新基地，</w:t>
      </w:r>
      <w:r>
        <w:rPr>
          <w:rFonts w:hint="eastAsia" w:ascii="仿宋_GB2312" w:hAnsi="仿宋_GB2312" w:eastAsia="仿宋_GB2312" w:cs="仿宋_GB2312"/>
          <w:color w:val="auto"/>
          <w:sz w:val="32"/>
          <w:szCs w:val="32"/>
          <w:highlight w:val="none"/>
        </w:rPr>
        <w:t>支持阜外与百洋集团共建“心血管科技成果转化与创新中心”，依托百洋诚创、百洋智合等平台提供研发加速与孵化服务，支持百洋智心、百洋国心等专业主体开展心血管创新药械的临床研究与中试转化</w:t>
      </w:r>
      <w:r>
        <w:rPr>
          <w:rFonts w:hint="eastAsia" w:ascii="仿宋_GB2312" w:hAnsi="Times New Roman" w:eastAsia="仿宋_GB2312"/>
          <w:snapToGrid w:val="0"/>
          <w:color w:val="auto"/>
          <w:sz w:val="32"/>
          <w:szCs w:val="32"/>
          <w:highlight w:val="none"/>
          <w:shd w:val="clear" w:color="auto" w:fill="FFFFFF"/>
        </w:rPr>
        <w:t>。</w:t>
      </w:r>
      <w:r>
        <w:rPr>
          <w:rFonts w:hint="eastAsia" w:ascii="仿宋_GB2312" w:hAnsi="仿宋_GB2312" w:eastAsia="仿宋_GB2312" w:cs="仿宋_GB2312"/>
          <w:color w:val="auto"/>
          <w:sz w:val="32"/>
          <w:szCs w:val="32"/>
          <w:highlight w:val="none"/>
        </w:rPr>
        <w:t>盘活闲置工业用地，规划打造符合GLP标准的检验检测公共服务平台、医疗器械中试放大与工程化验证基地。</w:t>
      </w:r>
      <w:r>
        <w:rPr>
          <w:rFonts w:hint="eastAsia" w:ascii="仿宋_GB2312" w:hAnsi="Times New Roman" w:eastAsia="仿宋_GB2312"/>
          <w:snapToGrid w:val="0"/>
          <w:color w:val="auto"/>
          <w:sz w:val="32"/>
          <w:szCs w:val="32"/>
          <w:highlight w:val="none"/>
          <w:shd w:val="clear" w:color="auto" w:fill="FFFFFF"/>
        </w:rPr>
        <w:t>落地吉伦泰创新药研发中心，</w:t>
      </w:r>
      <w:r>
        <w:rPr>
          <w:rFonts w:hint="eastAsia" w:ascii="仿宋_GB2312" w:hAnsi="仿宋_GB2312" w:eastAsia="仿宋_GB2312" w:cs="仿宋_GB2312"/>
          <w:color w:val="auto"/>
          <w:sz w:val="32"/>
          <w:szCs w:val="32"/>
          <w:highlight w:val="none"/>
        </w:rPr>
        <w:t>推进房颤无创放疗机器人产业化项目、液态金属DSA/CT高端球管国产化量产项目、超小型全磁悬浮人工心脏项目等一批重大创新转化项目，推动更多高精尖药械创新成果从门头沟走向全国。</w:t>
      </w:r>
    </w:p>
    <w:p w14:paraId="42164360">
      <w:pPr>
        <w:spacing w:line="560" w:lineRule="exact"/>
        <w:ind w:firstLine="643"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健全全链条</w:t>
      </w:r>
      <w:r>
        <w:rPr>
          <w:rFonts w:hint="eastAsia" w:ascii="仿宋_GB2312" w:hAnsi="仿宋_GB2312" w:eastAsia="仿宋_GB2312" w:cs="仿宋_GB2312"/>
          <w:b/>
          <w:bCs/>
          <w:color w:val="auto"/>
          <w:sz w:val="32"/>
          <w:szCs w:val="32"/>
          <w:highlight w:val="none"/>
        </w:rPr>
        <w:t>服务</w:t>
      </w:r>
      <w:r>
        <w:rPr>
          <w:rFonts w:hint="eastAsia" w:ascii="仿宋_GB2312" w:hAnsi="仿宋_GB2312" w:eastAsia="仿宋_GB2312" w:cs="仿宋_GB2312"/>
          <w:b/>
          <w:bCs/>
          <w:color w:val="auto"/>
          <w:sz w:val="32"/>
          <w:szCs w:val="32"/>
          <w:highlight w:val="none"/>
          <w:lang w:val="en-US" w:eastAsia="zh-CN"/>
        </w:rPr>
        <w:t>机制</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val="0"/>
          <w:bCs w:val="0"/>
          <w:color w:val="auto"/>
          <w:sz w:val="32"/>
          <w:szCs w:val="32"/>
          <w:highlight w:val="none"/>
        </w:rPr>
        <w:t>依托中国（北京）自由贸易试验区门头沟联动发展区制度创新优势，</w:t>
      </w:r>
      <w:r>
        <w:rPr>
          <w:rFonts w:hint="eastAsia" w:ascii="仿宋_GB2312" w:hAnsi="仿宋_GB2312" w:eastAsia="仿宋_GB2312" w:cs="仿宋_GB2312"/>
          <w:b w:val="0"/>
          <w:bCs w:val="0"/>
          <w:color w:val="auto"/>
          <w:sz w:val="32"/>
          <w:szCs w:val="32"/>
          <w:highlight w:val="none"/>
          <w:lang w:val="en-US" w:eastAsia="zh-CN"/>
        </w:rPr>
        <w:t>借鉴</w:t>
      </w:r>
      <w:r>
        <w:rPr>
          <w:rFonts w:hint="eastAsia" w:ascii="仿宋_GB2312" w:hAnsi="仿宋_GB2312" w:eastAsia="仿宋_GB2312" w:cs="仿宋_GB2312"/>
          <w:b w:val="0"/>
          <w:bCs w:val="0"/>
          <w:color w:val="auto"/>
          <w:sz w:val="32"/>
          <w:szCs w:val="32"/>
          <w:highlight w:val="none"/>
        </w:rPr>
        <w:t>亦庄、昌平组团产业</w:t>
      </w:r>
      <w:r>
        <w:rPr>
          <w:rFonts w:hint="eastAsia" w:ascii="仿宋_GB2312" w:hAnsi="仿宋_GB2312" w:eastAsia="仿宋_GB2312" w:cs="仿宋_GB2312"/>
          <w:b w:val="0"/>
          <w:bCs w:val="0"/>
          <w:color w:val="auto"/>
          <w:sz w:val="32"/>
          <w:szCs w:val="32"/>
          <w:highlight w:val="none"/>
          <w:lang w:val="en-US" w:eastAsia="zh-CN"/>
        </w:rPr>
        <w:t>服务机制</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color w:val="auto"/>
          <w:sz w:val="32"/>
          <w:szCs w:val="32"/>
          <w:highlight w:val="none"/>
        </w:rPr>
        <w:t>加强与国家医疗器械技术审评机构北京服务站、北京药品医疗器械创新服务站对接</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有效拓宽评审渠道</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支持龙头企业</w:t>
      </w:r>
      <w:r>
        <w:rPr>
          <w:rFonts w:hint="eastAsia" w:ascii="仿宋_GB2312" w:hAnsi="仿宋_GB2312" w:eastAsia="仿宋_GB2312" w:cs="仿宋_GB2312"/>
          <w:i w:val="0"/>
          <w:iCs w:val="0"/>
          <w:caps w:val="0"/>
          <w:color w:val="auto"/>
          <w:spacing w:val="0"/>
          <w:sz w:val="32"/>
          <w:szCs w:val="32"/>
          <w:highlight w:val="none"/>
          <w:shd w:val="clear"/>
        </w:rPr>
        <w:t>提供</w:t>
      </w:r>
      <w:r>
        <w:rPr>
          <w:rFonts w:hint="eastAsia" w:ascii="仿宋_GB2312" w:hAnsi="仿宋_GB2312" w:eastAsia="仿宋_GB2312" w:cs="仿宋_GB2312"/>
          <w:i w:val="0"/>
          <w:iCs w:val="0"/>
          <w:caps w:val="0"/>
          <w:color w:val="auto"/>
          <w:spacing w:val="0"/>
          <w:sz w:val="32"/>
          <w:szCs w:val="32"/>
          <w:highlight w:val="none"/>
          <w:shd w:val="clear"/>
          <w:lang w:val="en-US" w:eastAsia="zh-CN"/>
        </w:rPr>
        <w:t>验证</w:t>
      </w:r>
      <w:r>
        <w:rPr>
          <w:rFonts w:hint="eastAsia" w:ascii="仿宋_GB2312" w:hAnsi="仿宋_GB2312" w:eastAsia="仿宋_GB2312" w:cs="仿宋_GB2312"/>
          <w:i w:val="0"/>
          <w:iCs w:val="0"/>
          <w:caps w:val="0"/>
          <w:color w:val="auto"/>
          <w:spacing w:val="0"/>
          <w:sz w:val="32"/>
          <w:szCs w:val="32"/>
          <w:highlight w:val="none"/>
          <w:shd w:val="clear"/>
        </w:rPr>
        <w:t>研发、伦理审查、动物实验、临床研究</w:t>
      </w:r>
      <w:r>
        <w:rPr>
          <w:rFonts w:hint="eastAsia" w:ascii="仿宋_GB2312" w:hAnsi="仿宋_GB2312" w:eastAsia="仿宋_GB2312" w:cs="仿宋_GB2312"/>
          <w:i w:val="0"/>
          <w:iCs w:val="0"/>
          <w:caps w:val="0"/>
          <w:color w:val="auto"/>
          <w:spacing w:val="0"/>
          <w:sz w:val="32"/>
          <w:szCs w:val="32"/>
          <w:highlight w:val="none"/>
          <w:shd w:val="clear"/>
          <w:lang w:eastAsia="zh-CN"/>
        </w:rPr>
        <w:t>、</w:t>
      </w:r>
      <w:r>
        <w:rPr>
          <w:rFonts w:hint="eastAsia" w:ascii="仿宋_GB2312" w:hAnsi="仿宋_GB2312" w:eastAsia="仿宋_GB2312" w:cs="仿宋_GB2312"/>
          <w:i w:val="0"/>
          <w:iCs w:val="0"/>
          <w:caps w:val="0"/>
          <w:color w:val="auto"/>
          <w:spacing w:val="0"/>
          <w:sz w:val="32"/>
          <w:szCs w:val="32"/>
          <w:highlight w:val="none"/>
          <w:shd w:val="clear"/>
          <w:lang w:val="en-US" w:eastAsia="zh-CN"/>
        </w:rPr>
        <w:t>注册上市</w:t>
      </w:r>
      <w:r>
        <w:rPr>
          <w:rFonts w:hint="eastAsia" w:ascii="仿宋_GB2312" w:hAnsi="仿宋_GB2312" w:eastAsia="仿宋_GB2312" w:cs="仿宋_GB2312"/>
          <w:i w:val="0"/>
          <w:iCs w:val="0"/>
          <w:caps w:val="0"/>
          <w:color w:val="auto"/>
          <w:spacing w:val="0"/>
          <w:sz w:val="32"/>
          <w:szCs w:val="32"/>
          <w:highlight w:val="none"/>
          <w:shd w:val="clear"/>
        </w:rPr>
        <w:t>一站式</w:t>
      </w:r>
      <w:r>
        <w:rPr>
          <w:rFonts w:hint="eastAsia" w:ascii="仿宋_GB2312" w:hAnsi="仿宋_GB2312" w:eastAsia="仿宋_GB2312" w:cs="仿宋_GB2312"/>
          <w:i w:val="0"/>
          <w:iCs w:val="0"/>
          <w:caps w:val="0"/>
          <w:color w:val="auto"/>
          <w:spacing w:val="0"/>
          <w:sz w:val="32"/>
          <w:szCs w:val="32"/>
          <w:highlight w:val="none"/>
          <w:shd w:val="clear"/>
          <w:lang w:val="en-US" w:eastAsia="zh-CN"/>
        </w:rPr>
        <w:t>服务</w:t>
      </w:r>
      <w:r>
        <w:rPr>
          <w:rFonts w:hint="eastAsia" w:ascii="仿宋_GB2312" w:hAnsi="仿宋_GB2312" w:eastAsia="仿宋_GB2312" w:cs="仿宋_GB2312"/>
          <w:i w:val="0"/>
          <w:iCs w:val="0"/>
          <w:caps w:val="0"/>
          <w:color w:val="auto"/>
          <w:spacing w:val="0"/>
          <w:sz w:val="32"/>
          <w:szCs w:val="32"/>
          <w:highlight w:val="none"/>
          <w:shd w:val="clear"/>
        </w:rPr>
        <w:t>，加速创新药械研发落地</w:t>
      </w:r>
      <w:r>
        <w:rPr>
          <w:rFonts w:hint="eastAsia" w:ascii="仿宋_GB2312" w:hAnsi="仿宋_GB2312" w:eastAsia="仿宋_GB2312" w:cs="仿宋_GB2312"/>
          <w:i w:val="0"/>
          <w:iCs w:val="0"/>
          <w:caps w:val="0"/>
          <w:color w:val="auto"/>
          <w:spacing w:val="0"/>
          <w:sz w:val="32"/>
          <w:szCs w:val="32"/>
          <w:highlight w:val="none"/>
          <w:shd w:val="clear"/>
          <w:lang w:eastAsia="zh-CN"/>
        </w:rPr>
        <w:t>，</w:t>
      </w:r>
      <w:r>
        <w:rPr>
          <w:rFonts w:hint="eastAsia" w:ascii="仿宋_GB2312" w:hAnsi="仿宋_GB2312" w:eastAsia="仿宋_GB2312" w:cs="仿宋_GB2312"/>
          <w:i w:val="0"/>
          <w:iCs w:val="0"/>
          <w:caps w:val="0"/>
          <w:color w:val="auto"/>
          <w:spacing w:val="0"/>
          <w:sz w:val="32"/>
          <w:szCs w:val="32"/>
          <w:highlight w:val="none"/>
          <w:shd w:val="clear"/>
        </w:rPr>
        <w:t>缩短上市周期</w:t>
      </w:r>
      <w:r>
        <w:rPr>
          <w:rFonts w:hint="eastAsia" w:ascii="仿宋_GB2312" w:hAnsi="仿宋_GB2312" w:eastAsia="仿宋_GB2312" w:cs="仿宋_GB2312"/>
          <w:i w:val="0"/>
          <w:iCs w:val="0"/>
          <w:caps w:val="0"/>
          <w:color w:val="auto"/>
          <w:spacing w:val="0"/>
          <w:sz w:val="32"/>
          <w:szCs w:val="32"/>
          <w:highlight w:val="none"/>
          <w:shd w:val="clear"/>
          <w:lang w:eastAsia="zh-CN"/>
        </w:rPr>
        <w:t>。</w:t>
      </w:r>
      <w:r>
        <w:rPr>
          <w:rFonts w:hint="eastAsia" w:ascii="仿宋_GB2312" w:hAnsi="仿宋_GB2312" w:eastAsia="仿宋_GB2312" w:cs="仿宋_GB2312"/>
          <w:b w:val="0"/>
          <w:bCs w:val="0"/>
          <w:snapToGrid/>
          <w:color w:val="auto"/>
          <w:sz w:val="32"/>
          <w:szCs w:val="32"/>
          <w:highlight w:val="none"/>
          <w:shd w:val="clear"/>
          <w:lang w:val="en-US" w:eastAsia="zh-CN"/>
        </w:rPr>
        <w:t>加快</w:t>
      </w:r>
      <w:r>
        <w:rPr>
          <w:rFonts w:hint="eastAsia" w:ascii="仿宋_GB2312" w:hAnsi="仿宋_GB2312" w:eastAsia="仿宋_GB2312" w:cs="仿宋_GB2312"/>
          <w:b w:val="0"/>
          <w:bCs w:val="0"/>
          <w:snapToGrid/>
          <w:color w:val="auto"/>
          <w:sz w:val="32"/>
          <w:szCs w:val="32"/>
          <w:highlight w:val="none"/>
          <w:shd w:val="clear"/>
          <w:lang w:eastAsia="zh-CN"/>
        </w:rPr>
        <w:t>推进超群检测、同心医疗、</w:t>
      </w:r>
      <w:r>
        <w:rPr>
          <w:rFonts w:hint="eastAsia" w:ascii="仿宋_GB2312" w:hAnsi="仿宋_GB2312" w:eastAsia="仿宋_GB2312" w:cs="仿宋_GB2312"/>
          <w:b w:val="0"/>
          <w:bCs w:val="0"/>
          <w:snapToGrid/>
          <w:color w:val="auto"/>
          <w:sz w:val="32"/>
          <w:szCs w:val="32"/>
          <w:highlight w:val="none"/>
          <w:shd w:val="clear"/>
          <w:lang w:val="en-US" w:eastAsia="zh-CN"/>
        </w:rPr>
        <w:t>华科先锋等重大项目落地</w:t>
      </w:r>
      <w:r>
        <w:rPr>
          <w:rFonts w:hint="eastAsia" w:ascii="仿宋_GB2312" w:hAnsi="仿宋_GB2312" w:eastAsia="仿宋_GB2312" w:cs="仿宋_GB2312"/>
          <w:b w:val="0"/>
          <w:bCs w:val="0"/>
          <w:snapToGrid/>
          <w:color w:val="auto"/>
          <w:sz w:val="32"/>
          <w:szCs w:val="32"/>
          <w:highlight w:val="none"/>
          <w:shd w:val="clear"/>
          <w:lang w:eastAsia="zh-CN"/>
        </w:rPr>
        <w:t>。</w:t>
      </w:r>
      <w:r>
        <w:rPr>
          <w:rFonts w:hint="eastAsia" w:ascii="仿宋_GB2312" w:hAnsi="仿宋_GB2312" w:eastAsia="仿宋_GB2312" w:cs="仿宋_GB2312"/>
          <w:b w:val="0"/>
          <w:bCs w:val="0"/>
          <w:snapToGrid/>
          <w:color w:val="auto"/>
          <w:sz w:val="32"/>
          <w:szCs w:val="32"/>
          <w:highlight w:val="none"/>
          <w:shd w:val="clear"/>
          <w:lang w:val="en-US" w:eastAsia="zh-CN"/>
        </w:rPr>
        <w:t>支持召开</w:t>
      </w:r>
      <w:r>
        <w:rPr>
          <w:rFonts w:hint="eastAsia" w:ascii="仿宋_GB2312" w:hAnsi="仿宋_GB2312" w:eastAsia="仿宋_GB2312" w:cs="仿宋_GB2312"/>
          <w:color w:val="auto"/>
          <w:sz w:val="32"/>
          <w:szCs w:val="32"/>
          <w:highlight w:val="none"/>
        </w:rPr>
        <w:t>“中国心脏大会”</w:t>
      </w:r>
      <w:r>
        <w:rPr>
          <w:rFonts w:hint="eastAsia" w:ascii="仿宋_GB2312" w:hAnsi="仿宋_GB2312" w:eastAsia="仿宋_GB2312" w:cs="仿宋_GB2312"/>
          <w:color w:val="auto"/>
          <w:sz w:val="32"/>
          <w:szCs w:val="32"/>
          <w:highlight w:val="none"/>
          <w:lang w:val="en-US" w:eastAsia="zh-CN"/>
        </w:rPr>
        <w:t>等特色</w:t>
      </w:r>
      <w:r>
        <w:rPr>
          <w:rFonts w:hint="eastAsia" w:ascii="仿宋_GB2312" w:hAnsi="仿宋_GB2312" w:eastAsia="仿宋_GB2312" w:cs="仿宋_GB2312"/>
          <w:color w:val="auto"/>
          <w:sz w:val="32"/>
          <w:szCs w:val="32"/>
          <w:highlight w:val="none"/>
        </w:rPr>
        <w:t>产业活动，持续放大“中国心谷”产业品牌效应。</w:t>
      </w:r>
    </w:p>
    <w:bookmarkEnd w:id="960"/>
    <w:bookmarkEnd w:id="961"/>
    <w:bookmarkEnd w:id="962"/>
    <w:bookmarkEnd w:id="963"/>
    <w:bookmarkEnd w:id="964"/>
    <w:bookmarkEnd w:id="965"/>
    <w:p w14:paraId="41CBC4C8">
      <w:pPr>
        <w:pStyle w:val="2"/>
        <w:ind w:firstLine="640"/>
        <w:rPr>
          <w:rFonts w:hint="eastAsia" w:ascii="黑体" w:hAnsi="黑体" w:eastAsia="黑体" w:cs="黑体"/>
          <w:color w:val="auto"/>
          <w:szCs w:val="32"/>
          <w:highlight w:val="none"/>
        </w:rPr>
      </w:pPr>
      <w:bookmarkStart w:id="1168" w:name="_Toc17970"/>
      <w:bookmarkStart w:id="1169" w:name="_Toc3581"/>
      <w:bookmarkStart w:id="1170" w:name="_Toc3458"/>
      <w:bookmarkStart w:id="1171" w:name="_Toc16338"/>
      <w:bookmarkStart w:id="1172" w:name="_Toc1115"/>
      <w:bookmarkStart w:id="1173" w:name="_Toc8785"/>
      <w:bookmarkStart w:id="1174" w:name="_Toc31468"/>
      <w:bookmarkStart w:id="1175" w:name="_Toc29285"/>
      <w:bookmarkStart w:id="1176" w:name="_Toc801"/>
      <w:bookmarkStart w:id="1177" w:name="_Toc21394"/>
      <w:bookmarkStart w:id="1178" w:name="_Toc31671"/>
      <w:bookmarkStart w:id="1179" w:name="_Toc3203"/>
      <w:bookmarkStart w:id="1180" w:name="_Toc2844"/>
      <w:bookmarkStart w:id="1181" w:name="_Toc25390"/>
      <w:bookmarkStart w:id="1182" w:name="_Toc20832"/>
      <w:bookmarkStart w:id="1183" w:name="_Toc21609"/>
      <w:bookmarkStart w:id="1184" w:name="_Toc26361"/>
      <w:bookmarkStart w:id="1185" w:name="_Toc27057"/>
      <w:bookmarkStart w:id="1186" w:name="_Toc11743"/>
      <w:bookmarkStart w:id="1187" w:name="_Toc8718"/>
      <w:bookmarkStart w:id="1188" w:name="_Toc20458"/>
      <w:bookmarkStart w:id="1189" w:name="_Toc237"/>
      <w:bookmarkStart w:id="1190" w:name="_Toc20296"/>
      <w:bookmarkStart w:id="1191" w:name="_Toc12130"/>
      <w:bookmarkStart w:id="1192" w:name="_Toc10076"/>
      <w:bookmarkStart w:id="1193" w:name="_Toc26519"/>
      <w:bookmarkStart w:id="1194" w:name="_Toc25121"/>
      <w:bookmarkStart w:id="1195" w:name="_Toc30125"/>
      <w:bookmarkStart w:id="1196" w:name="_Toc15158"/>
      <w:bookmarkStart w:id="1197" w:name="_Toc15550"/>
      <w:bookmarkStart w:id="1198" w:name="_Toc24559"/>
      <w:bookmarkStart w:id="1199" w:name="_Toc3562"/>
      <w:bookmarkStart w:id="1200" w:name="_Toc15892"/>
      <w:bookmarkStart w:id="1201" w:name="_Toc14466"/>
      <w:bookmarkStart w:id="1202" w:name="_Toc7008"/>
      <w:bookmarkStart w:id="1203" w:name="_Toc18198"/>
      <w:bookmarkStart w:id="1204" w:name="_Toc6221"/>
      <w:bookmarkStart w:id="1205" w:name="_Toc29206"/>
      <w:bookmarkStart w:id="1206" w:name="_Toc22714"/>
      <w:bookmarkStart w:id="1207" w:name="_Toc26784"/>
      <w:bookmarkStart w:id="1208" w:name="_Toc19762"/>
      <w:bookmarkStart w:id="1209" w:name="_Toc6544"/>
      <w:bookmarkStart w:id="1210" w:name="_Toc12113"/>
      <w:bookmarkStart w:id="1211" w:name="_Toc3027"/>
      <w:bookmarkStart w:id="1212" w:name="_Toc19996"/>
      <w:bookmarkStart w:id="1213" w:name="_Toc2682"/>
      <w:bookmarkStart w:id="1214" w:name="_Toc4110"/>
      <w:bookmarkStart w:id="1215" w:name="_Toc19541"/>
      <w:bookmarkStart w:id="1216" w:name="_Toc169"/>
      <w:bookmarkStart w:id="1217" w:name="_Toc28726"/>
      <w:bookmarkStart w:id="1218" w:name="_Toc28312"/>
      <w:bookmarkStart w:id="1219" w:name="_Toc21779"/>
      <w:bookmarkStart w:id="1220" w:name="_Toc26336"/>
      <w:bookmarkStart w:id="1221" w:name="_Toc26420"/>
      <w:bookmarkStart w:id="1222" w:name="_Toc26548"/>
      <w:bookmarkStart w:id="1223" w:name="_Toc15745"/>
      <w:bookmarkStart w:id="1224" w:name="_Toc6357"/>
      <w:bookmarkStart w:id="1225" w:name="_Toc9459"/>
      <w:bookmarkStart w:id="1226" w:name="_Toc6338"/>
      <w:bookmarkStart w:id="1227" w:name="_Toc29491"/>
      <w:bookmarkStart w:id="1228" w:name="_Toc28001"/>
      <w:bookmarkStart w:id="1229" w:name="_Toc26134"/>
      <w:bookmarkStart w:id="1230" w:name="_Toc8427"/>
      <w:bookmarkStart w:id="1231" w:name="_Toc23352"/>
      <w:bookmarkStart w:id="1232" w:name="_Toc3936"/>
      <w:bookmarkStart w:id="1233" w:name="_Toc16752"/>
      <w:bookmarkStart w:id="1234" w:name="_Toc28147"/>
      <w:bookmarkStart w:id="1235" w:name="_Toc5714"/>
      <w:bookmarkStart w:id="1236" w:name="_Toc19656"/>
      <w:bookmarkStart w:id="1237" w:name="_Toc30017"/>
      <w:bookmarkStart w:id="1238" w:name="_Toc10060"/>
      <w:bookmarkStart w:id="1239" w:name="_Toc7243"/>
      <w:bookmarkStart w:id="1240" w:name="_Toc17802"/>
      <w:bookmarkStart w:id="1241" w:name="_Toc21540"/>
      <w:bookmarkStart w:id="1242" w:name="_Toc14878"/>
      <w:bookmarkStart w:id="1243" w:name="_Toc409"/>
      <w:bookmarkStart w:id="1244" w:name="_Toc30881"/>
      <w:bookmarkStart w:id="1245" w:name="_Toc11579"/>
      <w:bookmarkStart w:id="1246" w:name="_Toc4940"/>
      <w:bookmarkStart w:id="1247" w:name="_Toc29616"/>
      <w:bookmarkStart w:id="1248" w:name="_Toc18096"/>
      <w:bookmarkStart w:id="1249" w:name="_Toc18471"/>
      <w:bookmarkStart w:id="1250" w:name="_Toc22465"/>
      <w:bookmarkStart w:id="1251" w:name="_Toc26505"/>
      <w:bookmarkStart w:id="1252" w:name="_Toc24377"/>
      <w:bookmarkStart w:id="1253" w:name="_Toc14721"/>
      <w:bookmarkStart w:id="1254" w:name="_Toc9682"/>
      <w:bookmarkStart w:id="1255" w:name="_Toc1597461591"/>
      <w:bookmarkStart w:id="1256" w:name="_Toc6699"/>
      <w:bookmarkStart w:id="1257" w:name="_Toc28643"/>
      <w:bookmarkStart w:id="1258" w:name="_Toc15768"/>
      <w:bookmarkStart w:id="1259" w:name="_Toc20042"/>
      <w:bookmarkStart w:id="1260" w:name="_Toc117"/>
      <w:bookmarkStart w:id="1261" w:name="_Toc9457"/>
      <w:bookmarkStart w:id="1262" w:name="_Toc19335"/>
      <w:bookmarkStart w:id="1263" w:name="_Toc12247"/>
      <w:bookmarkStart w:id="1264" w:name="_Toc1042921278"/>
      <w:bookmarkStart w:id="1265" w:name="_Toc690186973"/>
      <w:bookmarkStart w:id="1266" w:name="_Toc296932543"/>
      <w:bookmarkStart w:id="1267" w:name="_Toc9374"/>
      <w:bookmarkStart w:id="1268" w:name="_Toc1108140870"/>
      <w:bookmarkStart w:id="1269" w:name="_Toc14519"/>
      <w:bookmarkStart w:id="1270" w:name="_Toc26390"/>
      <w:bookmarkStart w:id="1271" w:name="_Toc22214"/>
      <w:bookmarkStart w:id="1272" w:name="_Toc14021"/>
      <w:bookmarkStart w:id="1273" w:name="_Toc1860625263"/>
      <w:bookmarkStart w:id="1274" w:name="_Toc857295991"/>
      <w:bookmarkStart w:id="1275" w:name="_Toc27702"/>
      <w:bookmarkStart w:id="1276" w:name="_Toc2018432596"/>
      <w:bookmarkStart w:id="1277" w:name="_Toc23620"/>
      <w:bookmarkStart w:id="1278" w:name="_Toc17845"/>
      <w:bookmarkStart w:id="1279" w:name="_Toc17754"/>
      <w:bookmarkStart w:id="1280" w:name="_Toc715828102"/>
      <w:bookmarkStart w:id="1281" w:name="_Toc1216402308"/>
      <w:bookmarkStart w:id="1282" w:name="_Toc1633765943"/>
      <w:bookmarkStart w:id="1283" w:name="_Toc32566"/>
      <w:bookmarkStart w:id="1284" w:name="_Toc432"/>
      <w:bookmarkStart w:id="1285" w:name="_Toc27232"/>
      <w:bookmarkStart w:id="1286" w:name="_Toc63430944"/>
      <w:bookmarkStart w:id="1287" w:name="_Toc7377"/>
      <w:bookmarkStart w:id="1288" w:name="_Toc2012993619"/>
      <w:bookmarkStart w:id="1289" w:name="_Toc234609205"/>
      <w:bookmarkStart w:id="1290" w:name="_Toc26401"/>
      <w:bookmarkStart w:id="1291" w:name="_Toc802490690"/>
      <w:bookmarkStart w:id="1292" w:name="_Toc928226689"/>
      <w:bookmarkStart w:id="1293" w:name="_Toc21531"/>
      <w:bookmarkStart w:id="1294" w:name="_Toc29851"/>
      <w:r>
        <w:rPr>
          <w:rFonts w:hint="eastAsia" w:ascii="黑体" w:hAnsi="黑体" w:eastAsia="黑体" w:cs="黑体"/>
          <w:color w:val="auto"/>
          <w:szCs w:val="32"/>
          <w:highlight w:val="none"/>
        </w:rPr>
        <w:t>五、</w:t>
      </w:r>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r>
        <w:rPr>
          <w:rFonts w:hint="eastAsia" w:ascii="黑体" w:hAnsi="黑体" w:eastAsia="黑体" w:cs="黑体"/>
          <w:color w:val="auto"/>
          <w:szCs w:val="32"/>
          <w:highlight w:val="none"/>
        </w:rPr>
        <w:t>优化人才链，完善</w:t>
      </w:r>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r>
        <w:rPr>
          <w:rFonts w:hint="eastAsia" w:ascii="黑体" w:hAnsi="黑体" w:eastAsia="黑体" w:cs="黑体"/>
          <w:color w:val="auto"/>
          <w:szCs w:val="32"/>
          <w:highlight w:val="none"/>
        </w:rPr>
        <w:t>“引育用留”人才生态圈</w:t>
      </w:r>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p>
    <w:p w14:paraId="4148FBB5">
      <w:pPr>
        <w:keepNext/>
        <w:keepLines/>
        <w:spacing w:line="560" w:lineRule="exact"/>
        <w:ind w:firstLine="640" w:firstLineChars="200"/>
        <w:outlineLvl w:val="1"/>
        <w:rPr>
          <w:rFonts w:hint="eastAsia" w:ascii="楷体_GB2312" w:hAnsi="楷体_GB2312" w:eastAsia="楷体_GB2312" w:cs="楷体_GB2312"/>
          <w:color w:val="auto"/>
          <w:sz w:val="32"/>
          <w:szCs w:val="32"/>
          <w:highlight w:val="none"/>
          <w:lang w:eastAsia="zh-CN"/>
        </w:rPr>
      </w:pPr>
      <w:bookmarkStart w:id="1295" w:name="_Toc15171"/>
      <w:bookmarkStart w:id="1296" w:name="_Toc26956"/>
      <w:bookmarkStart w:id="1297" w:name="_Toc21284"/>
      <w:bookmarkStart w:id="1298" w:name="_Toc2381"/>
      <w:bookmarkStart w:id="1299" w:name="_Toc3192"/>
      <w:bookmarkStart w:id="1300" w:name="_Toc8366"/>
      <w:bookmarkStart w:id="1301" w:name="_Toc25364"/>
      <w:bookmarkStart w:id="1302" w:name="_Toc10776"/>
      <w:bookmarkStart w:id="1303" w:name="_Toc12735"/>
      <w:bookmarkStart w:id="1304" w:name="_Toc7778"/>
      <w:bookmarkStart w:id="1305" w:name="_Toc17687"/>
      <w:bookmarkStart w:id="1306" w:name="_Toc5859"/>
      <w:bookmarkStart w:id="1307" w:name="_Toc6238"/>
      <w:bookmarkStart w:id="1308" w:name="_Toc23745"/>
      <w:bookmarkStart w:id="1309" w:name="_Toc7267"/>
      <w:bookmarkStart w:id="1310" w:name="_Toc18476"/>
      <w:bookmarkStart w:id="1311" w:name="_Toc6371"/>
      <w:bookmarkStart w:id="1312" w:name="_Toc6012"/>
      <w:bookmarkStart w:id="1313" w:name="_Toc29347"/>
      <w:bookmarkStart w:id="1314" w:name="_Toc21680"/>
      <w:bookmarkStart w:id="1315" w:name="_Toc15215"/>
      <w:bookmarkStart w:id="1316" w:name="_Toc2976"/>
      <w:bookmarkStart w:id="1317" w:name="_Toc12323"/>
      <w:bookmarkStart w:id="1318" w:name="_Toc22757"/>
      <w:bookmarkStart w:id="1319" w:name="_Toc22875"/>
      <w:bookmarkStart w:id="1320" w:name="_Toc6730"/>
      <w:bookmarkStart w:id="1321" w:name="_Toc4778"/>
      <w:bookmarkStart w:id="1322" w:name="_Toc258"/>
      <w:bookmarkStart w:id="1323" w:name="_Toc3081"/>
      <w:bookmarkStart w:id="1324" w:name="_Toc21299"/>
      <w:bookmarkStart w:id="1325" w:name="_Toc4449"/>
      <w:bookmarkStart w:id="1326" w:name="_Toc28187"/>
      <w:bookmarkStart w:id="1327" w:name="_Toc16773"/>
      <w:bookmarkStart w:id="1328" w:name="_Toc26047"/>
      <w:bookmarkStart w:id="1329" w:name="_Toc7624"/>
      <w:bookmarkStart w:id="1330" w:name="_Toc14983"/>
      <w:bookmarkStart w:id="1331" w:name="_Toc10128"/>
      <w:bookmarkStart w:id="1332" w:name="_Toc29968"/>
      <w:bookmarkStart w:id="1333" w:name="_Toc19091"/>
      <w:bookmarkStart w:id="1334" w:name="_Toc6315"/>
      <w:bookmarkStart w:id="1335" w:name="_Toc696405143"/>
      <w:bookmarkStart w:id="1336" w:name="_Toc19154"/>
      <w:r>
        <w:rPr>
          <w:rFonts w:hint="eastAsia" w:ascii="楷体_GB2312" w:hAnsi="楷体_GB2312" w:eastAsia="楷体_GB2312" w:cs="楷体_GB2312"/>
          <w:color w:val="auto"/>
          <w:sz w:val="32"/>
          <w:szCs w:val="32"/>
          <w:highlight w:val="none"/>
        </w:rPr>
        <w:t>（一）</w:t>
      </w:r>
      <w:r>
        <w:rPr>
          <w:rFonts w:hint="eastAsia" w:ascii="楷体_GB2312" w:hAnsi="楷体_GB2312" w:eastAsia="楷体_GB2312" w:cs="楷体_GB2312"/>
          <w:color w:val="auto"/>
          <w:sz w:val="32"/>
          <w:szCs w:val="32"/>
          <w:highlight w:val="none"/>
          <w:lang w:val="en-US" w:eastAsia="zh-CN"/>
        </w:rPr>
        <w:t>大力</w:t>
      </w:r>
      <w:r>
        <w:rPr>
          <w:rFonts w:hint="eastAsia" w:ascii="楷体_GB2312" w:hAnsi="楷体_GB2312" w:eastAsia="楷体_GB2312" w:cs="楷体_GB2312"/>
          <w:color w:val="auto"/>
          <w:sz w:val="32"/>
          <w:szCs w:val="32"/>
          <w:highlight w:val="none"/>
        </w:rPr>
        <w:t>引进高层次人才</w:t>
      </w:r>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p>
    <w:p w14:paraId="27ED1A6F">
      <w:pPr>
        <w:pStyle w:val="5"/>
        <w:widowControl/>
        <w:spacing w:line="560" w:lineRule="exact"/>
        <w:ind w:firstLine="643" w:firstLineChars="200"/>
        <w:rPr>
          <w:rFonts w:hint="eastAsia" w:ascii="仿宋_GB2312" w:hAnsi="仿宋_GB2312" w:eastAsia="仿宋_GB2312" w:cs="仿宋_GB2312"/>
          <w:color w:val="auto"/>
          <w:sz w:val="32"/>
          <w:highlight w:val="none"/>
          <w:lang w:eastAsia="zh-CN"/>
        </w:rPr>
      </w:pPr>
      <w:r>
        <w:rPr>
          <w:rFonts w:hint="eastAsia" w:ascii="仿宋_GB2312" w:hAnsi="仿宋_GB2312" w:eastAsia="仿宋_GB2312" w:cs="仿宋_GB2312"/>
          <w:b/>
          <w:bCs/>
          <w:color w:val="auto"/>
          <w:sz w:val="32"/>
          <w:highlight w:val="none"/>
          <w:lang w:eastAsia="zh-CN"/>
        </w:rPr>
        <w:t>强化领军人才精准引进。</w:t>
      </w:r>
      <w:r>
        <w:rPr>
          <w:rFonts w:hint="eastAsia" w:ascii="仿宋_GB2312" w:hAnsi="仿宋_GB2312" w:eastAsia="仿宋_GB2312" w:cs="仿宋_GB2312"/>
          <w:color w:val="auto"/>
          <w:sz w:val="32"/>
          <w:highlight w:val="none"/>
          <w:lang w:eastAsia="zh-CN"/>
        </w:rPr>
        <w:t>建立“快速发现、快速引进、快速落地”机制，绘制人才与创新资源地图，编制产业引才目录，设立京西智谷海外人才服务中心。对顶尖人才和急需紧缺人才“一事一议”“一人一策”，精准引进战略科学家、产业领军人才、卓越工程师和高技能人才。聚焦“三大产业”需求，构建“人才需求清单”和“资源对接清单”，加大首席研究员、临床科学家、高级算法工程师等关键技术创新人才引进力度。</w:t>
      </w:r>
    </w:p>
    <w:p w14:paraId="4E1BD955">
      <w:pPr>
        <w:spacing w:line="560" w:lineRule="exact"/>
        <w:ind w:firstLine="643"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bidi="ar"/>
        </w:rPr>
        <w:t>聚集高活力创新创业人才。</w:t>
      </w:r>
      <w:r>
        <w:rPr>
          <w:rFonts w:hint="eastAsia" w:ascii="仿宋_GB2312" w:hAnsi="仿宋_GB2312" w:eastAsia="仿宋_GB2312" w:cs="仿宋_GB2312"/>
          <w:color w:val="auto"/>
          <w:sz w:val="32"/>
          <w:szCs w:val="30"/>
          <w:highlight w:val="none"/>
        </w:rPr>
        <w:t>依托全国重点实验室、院士专家工作站、博士后科研工作站等平台，加大创新创业人才引进力度。深化与高校院所、行业协会及龙头企业的引才合作，持续办好京西智谷AI创新创业大赛，探索“人才+项目”“人才+产业”“人才+赛事”等融合引才机制。用好市区两级人才政策，大力引进知识产权保护、技术转移转化、企业孵化服务、合规风控管理等领域的科技服务人才。</w:t>
      </w:r>
    </w:p>
    <w:p w14:paraId="1D6D76E2">
      <w:pPr>
        <w:keepNext/>
        <w:keepLines/>
        <w:spacing w:line="560" w:lineRule="exact"/>
        <w:ind w:firstLine="640" w:firstLineChars="200"/>
        <w:outlineLvl w:val="1"/>
        <w:rPr>
          <w:rFonts w:hint="eastAsia" w:ascii="楷体_GB2312" w:hAnsi="楷体_GB2312" w:eastAsia="楷体_GB2312" w:cs="楷体_GB2312"/>
          <w:color w:val="auto"/>
          <w:sz w:val="32"/>
          <w:szCs w:val="32"/>
          <w:highlight w:val="none"/>
        </w:rPr>
      </w:pPr>
      <w:bookmarkStart w:id="1337" w:name="_Toc18555"/>
      <w:bookmarkStart w:id="1338" w:name="_Toc31510"/>
      <w:bookmarkStart w:id="1339" w:name="_Toc14391"/>
      <w:bookmarkStart w:id="1340" w:name="_Toc5586"/>
      <w:bookmarkStart w:id="1341" w:name="_Toc21241"/>
      <w:bookmarkStart w:id="1342" w:name="_Toc2729"/>
      <w:bookmarkStart w:id="1343" w:name="_Toc14484"/>
      <w:bookmarkStart w:id="1344" w:name="_Toc19034"/>
      <w:bookmarkStart w:id="1345" w:name="_Toc695362251"/>
      <w:bookmarkStart w:id="1346" w:name="_Toc11543"/>
      <w:bookmarkStart w:id="1347" w:name="_Toc5809"/>
      <w:bookmarkStart w:id="1348" w:name="_Toc3242"/>
      <w:bookmarkStart w:id="1349" w:name="_Toc3511"/>
      <w:bookmarkStart w:id="1350" w:name="_Toc13457"/>
      <w:bookmarkStart w:id="1351" w:name="_Toc5394"/>
      <w:bookmarkStart w:id="1352" w:name="_Toc28591"/>
      <w:bookmarkStart w:id="1353" w:name="_Toc5414"/>
      <w:bookmarkStart w:id="1354" w:name="_Toc15343"/>
      <w:bookmarkStart w:id="1355" w:name="_Toc17510"/>
      <w:bookmarkStart w:id="1356" w:name="_Toc29689"/>
      <w:bookmarkStart w:id="1357" w:name="_Toc24637"/>
      <w:bookmarkStart w:id="1358" w:name="_Toc15572"/>
      <w:bookmarkStart w:id="1359" w:name="_Toc24384"/>
      <w:bookmarkStart w:id="1360" w:name="_Toc28652"/>
      <w:bookmarkStart w:id="1361" w:name="_Toc13013"/>
      <w:bookmarkStart w:id="1362" w:name="_Toc14084"/>
      <w:bookmarkStart w:id="1363" w:name="_Toc20099"/>
      <w:bookmarkStart w:id="1364" w:name="_Toc30374"/>
      <w:bookmarkStart w:id="1365" w:name="_Toc7558"/>
      <w:bookmarkStart w:id="1366" w:name="_Toc27044"/>
      <w:bookmarkStart w:id="1367" w:name="_Toc970"/>
      <w:bookmarkStart w:id="1368" w:name="_Toc16883"/>
      <w:bookmarkStart w:id="1369" w:name="_Toc31364"/>
      <w:bookmarkStart w:id="1370" w:name="_Toc3421"/>
      <w:bookmarkStart w:id="1371" w:name="_Toc24280"/>
      <w:bookmarkStart w:id="1372" w:name="_Toc12243"/>
      <w:bookmarkStart w:id="1373" w:name="_Toc16982"/>
      <w:bookmarkStart w:id="1374" w:name="_Toc20356"/>
      <w:bookmarkStart w:id="1375" w:name="_Toc19728"/>
      <w:bookmarkStart w:id="1376" w:name="_Toc9998"/>
      <w:bookmarkStart w:id="1377" w:name="_Toc2582"/>
      <w:bookmarkStart w:id="1378" w:name="_Toc27291"/>
      <w:r>
        <w:rPr>
          <w:rFonts w:hint="eastAsia" w:ascii="楷体_GB2312" w:hAnsi="楷体_GB2312" w:eastAsia="楷体_GB2312" w:cs="楷体_GB2312"/>
          <w:color w:val="auto"/>
          <w:sz w:val="32"/>
          <w:szCs w:val="32"/>
          <w:highlight w:val="none"/>
        </w:rPr>
        <w:t>（二）</w:t>
      </w:r>
      <w:r>
        <w:rPr>
          <w:rFonts w:hint="eastAsia" w:ascii="楷体_GB2312" w:hAnsi="楷体_GB2312" w:eastAsia="楷体_GB2312" w:cs="楷体_GB2312"/>
          <w:color w:val="auto"/>
          <w:sz w:val="32"/>
          <w:szCs w:val="32"/>
          <w:highlight w:val="none"/>
          <w:lang w:val="en-US" w:eastAsia="zh-CN"/>
        </w:rPr>
        <w:t>优化</w:t>
      </w:r>
      <w:r>
        <w:rPr>
          <w:rFonts w:hint="eastAsia" w:ascii="楷体_GB2312" w:hAnsi="楷体_GB2312" w:eastAsia="楷体_GB2312" w:cs="楷体_GB2312"/>
          <w:color w:val="auto"/>
          <w:sz w:val="32"/>
          <w:szCs w:val="32"/>
          <w:highlight w:val="none"/>
        </w:rPr>
        <w:t>多元化人才培养体系</w:t>
      </w:r>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p>
    <w:p w14:paraId="0B769040">
      <w:pPr>
        <w:pStyle w:val="17"/>
        <w:spacing w:line="560" w:lineRule="exact"/>
        <w:ind w:firstLine="643"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深化产教融合协同育人。</w:t>
      </w:r>
      <w:r>
        <w:rPr>
          <w:rFonts w:hint="eastAsia" w:ascii="仿宋_GB2312" w:hAnsi="仿宋_GB2312" w:eastAsia="仿宋_GB2312" w:cs="仿宋_GB2312"/>
          <w:color w:val="auto"/>
          <w:sz w:val="32"/>
          <w:szCs w:val="32"/>
          <w:highlight w:val="none"/>
        </w:rPr>
        <w:t>依托北京青少年创新学院门头沟分院，建立青少年创新人才早期发现与培育机制。深化与高校院所及重点企业合作，支持北京人工智能应用人才学院建设，鼓励科技型企业参与课程设计、实训平台搭建及成果孵化，推行面向企业真实发展环境的项目化培养模式。发挥首都高校优势，探索“首席科学家+项目负责人”模式</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研究设立</w:t>
      </w:r>
      <w:r>
        <w:rPr>
          <w:rFonts w:hint="eastAsia" w:ascii="仿宋_GB2312" w:hAnsi="仿宋_GB2312" w:eastAsia="仿宋_GB2312" w:cs="仿宋_GB2312"/>
          <w:color w:val="auto"/>
          <w:sz w:val="32"/>
          <w:szCs w:val="32"/>
          <w:highlight w:val="none"/>
        </w:rPr>
        <w:t>“产业导师”“科技副总”等人才互聘共享机制。</w:t>
      </w:r>
    </w:p>
    <w:p w14:paraId="5E889A0D">
      <w:pPr>
        <w:pStyle w:val="5"/>
        <w:spacing w:line="560" w:lineRule="exact"/>
        <w:ind w:firstLine="643"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bCs/>
          <w:color w:val="auto"/>
          <w:sz w:val="32"/>
          <w:szCs w:val="32"/>
          <w:highlight w:val="none"/>
          <w:lang w:eastAsia="zh-CN"/>
        </w:rPr>
        <w:t>加强产业链人才培育。</w:t>
      </w:r>
      <w:r>
        <w:rPr>
          <w:rFonts w:hint="eastAsia" w:ascii="仿宋_GB2312" w:hAnsi="仿宋_GB2312" w:eastAsia="仿宋_GB2312" w:cs="仿宋_GB2312"/>
          <w:color w:val="auto"/>
          <w:sz w:val="32"/>
          <w:szCs w:val="32"/>
          <w:highlight w:val="none"/>
          <w:lang w:eastAsia="zh-CN"/>
        </w:rPr>
        <w:t>实施“京西企业家”实训营、“京西工匠”锻造营等专项人才培养计划，加大高技能人才、产业创新人才的培育力度，构建覆盖不同领域和层次人才的培养体系。</w:t>
      </w:r>
      <w:r>
        <w:rPr>
          <w:rFonts w:eastAsia="仿宋_GB2312"/>
          <w:color w:val="auto"/>
          <w:sz w:val="32"/>
          <w:szCs w:val="32"/>
          <w:highlight w:val="none"/>
          <w:lang w:eastAsia="zh-CN"/>
        </w:rPr>
        <w:t>探索</w:t>
      </w:r>
      <w:r>
        <w:rPr>
          <w:rFonts w:hint="eastAsia" w:eastAsia="仿宋_GB2312"/>
          <w:color w:val="auto"/>
          <w:sz w:val="32"/>
          <w:szCs w:val="32"/>
          <w:highlight w:val="none"/>
          <w:lang w:eastAsia="zh-CN"/>
        </w:rPr>
        <w:t>“定向订单”式</w:t>
      </w:r>
      <w:r>
        <w:rPr>
          <w:rFonts w:eastAsia="仿宋_GB2312"/>
          <w:color w:val="auto"/>
          <w:sz w:val="32"/>
          <w:szCs w:val="32"/>
          <w:highlight w:val="none"/>
          <w:lang w:eastAsia="zh-CN"/>
        </w:rPr>
        <w:t>人才培养</w:t>
      </w:r>
      <w:r>
        <w:rPr>
          <w:rFonts w:hint="eastAsia" w:eastAsia="仿宋_GB2312"/>
          <w:color w:val="auto"/>
          <w:sz w:val="32"/>
          <w:szCs w:val="32"/>
          <w:highlight w:val="none"/>
          <w:lang w:eastAsia="zh-CN"/>
        </w:rPr>
        <w:t>，</w:t>
      </w:r>
      <w:r>
        <w:rPr>
          <w:rFonts w:eastAsia="仿宋_GB2312"/>
          <w:color w:val="auto"/>
          <w:sz w:val="32"/>
          <w:szCs w:val="32"/>
          <w:highlight w:val="none"/>
          <w:lang w:eastAsia="zh-CN"/>
        </w:rPr>
        <w:t>推动企业与高校、职业院校共建</w:t>
      </w:r>
      <w:r>
        <w:rPr>
          <w:rFonts w:ascii="仿宋_GB2312" w:hAnsi="仿宋_GB2312" w:eastAsia="仿宋_GB2312" w:cs="仿宋_GB2312"/>
          <w:color w:val="auto"/>
          <w:sz w:val="32"/>
          <w:szCs w:val="32"/>
          <w:highlight w:val="none"/>
          <w:lang w:eastAsia="zh-CN"/>
        </w:rPr>
        <w:t>实训基地</w:t>
      </w:r>
      <w:r>
        <w:rPr>
          <w:rFonts w:eastAsia="仿宋_GB2312"/>
          <w:color w:val="auto"/>
          <w:sz w:val="32"/>
          <w:szCs w:val="32"/>
          <w:highlight w:val="none"/>
          <w:lang w:eastAsia="zh-CN"/>
        </w:rPr>
        <w:t>，</w:t>
      </w:r>
      <w:r>
        <w:rPr>
          <w:rFonts w:hint="eastAsia" w:eastAsia="仿宋_GB2312"/>
          <w:color w:val="auto"/>
          <w:sz w:val="32"/>
          <w:szCs w:val="32"/>
          <w:highlight w:val="none"/>
          <w:lang w:eastAsia="zh-CN"/>
        </w:rPr>
        <w:t>支持企业开展新型学徒制培养项目建设</w:t>
      </w:r>
      <w:r>
        <w:rPr>
          <w:rFonts w:hint="eastAsia" w:ascii="Times New Roman" w:hAnsi="Times New Roman" w:eastAsia="仿宋_GB2312" w:cs="仿宋_GB2312"/>
          <w:color w:val="auto"/>
          <w:sz w:val="32"/>
          <w:szCs w:val="32"/>
          <w:highlight w:val="none"/>
          <w:lang w:eastAsia="zh-CN" w:bidi="ar"/>
        </w:rPr>
        <w:t>。</w:t>
      </w:r>
    </w:p>
    <w:p w14:paraId="1B9DA1E6">
      <w:pPr>
        <w:suppressAutoHyphens/>
        <w:topLinePunct/>
        <w:autoSpaceDE w:val="0"/>
        <w:autoSpaceDN w:val="0"/>
        <w:spacing w:line="560" w:lineRule="exact"/>
        <w:ind w:firstLine="643"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搭建多元创新创业平台。</w:t>
      </w:r>
      <w:r>
        <w:rPr>
          <w:rFonts w:hint="eastAsia" w:ascii="仿宋_GB2312" w:hAnsi="仿宋_GB2312" w:eastAsia="仿宋_GB2312" w:cs="仿宋_GB2312"/>
          <w:color w:val="auto"/>
          <w:sz w:val="32"/>
          <w:szCs w:val="32"/>
          <w:highlight w:val="none"/>
        </w:rPr>
        <w:t>支持驻区重点企业开展博士后科研工作站建设，支持青年科技人才牵头开展技术攻关。建设玛丽·居里学者华人学会会客厅等高层次人才交流平台，打造“AI</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Work创新汇”等创新创业基地，支持举办创业加速营、创业大赛等活动，发现和培育创业者队伍。办好“京西人才周”系列品牌活动，拓展优秀科技人才链接网络。</w:t>
      </w:r>
    </w:p>
    <w:p w14:paraId="2CB3E43B">
      <w:pPr>
        <w:keepNext/>
        <w:keepLines/>
        <w:numPr>
          <w:ilvl w:val="255"/>
          <w:numId w:val="0"/>
        </w:numPr>
        <w:spacing w:line="560" w:lineRule="exact"/>
        <w:ind w:firstLine="640" w:firstLineChars="200"/>
        <w:outlineLvl w:val="1"/>
        <w:rPr>
          <w:rFonts w:hint="eastAsia" w:ascii="楷体_GB2312" w:hAnsi="楷体_GB2312" w:eastAsia="楷体_GB2312" w:cs="楷体_GB2312"/>
          <w:color w:val="auto"/>
          <w:sz w:val="32"/>
          <w:szCs w:val="32"/>
          <w:highlight w:val="none"/>
        </w:rPr>
      </w:pPr>
      <w:bookmarkStart w:id="1379" w:name="_Toc14339"/>
      <w:bookmarkStart w:id="1380" w:name="_Toc954"/>
      <w:bookmarkStart w:id="1381" w:name="_Toc11786"/>
      <w:bookmarkStart w:id="1382" w:name="_Toc9551"/>
      <w:bookmarkStart w:id="1383" w:name="_Toc32533"/>
      <w:bookmarkStart w:id="1384" w:name="_Toc2771"/>
      <w:bookmarkStart w:id="1385" w:name="_Toc14498"/>
      <w:bookmarkStart w:id="1386" w:name="_Toc31125"/>
      <w:bookmarkStart w:id="1387" w:name="_Toc192"/>
      <w:bookmarkStart w:id="1388" w:name="_Toc8076"/>
      <w:bookmarkStart w:id="1389" w:name="_Toc9446"/>
      <w:bookmarkStart w:id="1390" w:name="_Toc20455"/>
      <w:bookmarkStart w:id="1391" w:name="_Toc22040"/>
      <w:bookmarkStart w:id="1392" w:name="_Toc16314"/>
      <w:bookmarkStart w:id="1393" w:name="_Toc70"/>
      <w:bookmarkStart w:id="1394" w:name="_Toc1414"/>
      <w:bookmarkStart w:id="1395" w:name="_Toc17389"/>
      <w:bookmarkStart w:id="1396" w:name="_Toc15741"/>
      <w:bookmarkStart w:id="1397" w:name="_Toc9589"/>
      <w:bookmarkStart w:id="1398" w:name="_Toc6685"/>
      <w:bookmarkStart w:id="1399" w:name="_Toc29289"/>
      <w:bookmarkStart w:id="1400" w:name="_Toc22296"/>
      <w:bookmarkStart w:id="1401" w:name="_Toc10006"/>
      <w:bookmarkStart w:id="1402" w:name="_Toc10963"/>
      <w:bookmarkStart w:id="1403" w:name="_Toc10877"/>
      <w:bookmarkStart w:id="1404" w:name="_Toc22101"/>
      <w:bookmarkStart w:id="1405" w:name="_Toc2843"/>
      <w:bookmarkStart w:id="1406" w:name="_Toc23770"/>
      <w:bookmarkStart w:id="1407" w:name="_Toc12815"/>
      <w:bookmarkStart w:id="1408" w:name="_Toc30806"/>
      <w:bookmarkStart w:id="1409" w:name="_Toc4671"/>
      <w:bookmarkStart w:id="1410" w:name="_Toc26286"/>
      <w:bookmarkStart w:id="1411" w:name="_Toc976660935"/>
      <w:bookmarkStart w:id="1412" w:name="_Toc24096"/>
      <w:bookmarkStart w:id="1413" w:name="_Toc30239"/>
      <w:bookmarkStart w:id="1414" w:name="_Toc4274"/>
      <w:bookmarkStart w:id="1415" w:name="_Toc20175"/>
      <w:bookmarkStart w:id="1416" w:name="_Toc19624"/>
      <w:bookmarkStart w:id="1417" w:name="_Toc15491"/>
      <w:bookmarkStart w:id="1418" w:name="_Toc15220"/>
      <w:bookmarkStart w:id="1419" w:name="_Toc20150"/>
      <w:bookmarkStart w:id="1420" w:name="_Toc23853"/>
      <w:r>
        <w:rPr>
          <w:rFonts w:hint="eastAsia" w:ascii="楷体_GB2312" w:hAnsi="楷体_GB2312" w:eastAsia="楷体_GB2312" w:cs="楷体_GB2312"/>
          <w:color w:val="auto"/>
          <w:sz w:val="32"/>
          <w:szCs w:val="32"/>
          <w:highlight w:val="none"/>
        </w:rPr>
        <w:t>（</w:t>
      </w:r>
      <w:r>
        <w:rPr>
          <w:rFonts w:hint="eastAsia" w:ascii="楷体_GB2312" w:hAnsi="楷体_GB2312" w:eastAsia="楷体_GB2312" w:cs="楷体_GB2312"/>
          <w:color w:val="auto"/>
          <w:sz w:val="32"/>
          <w:szCs w:val="32"/>
          <w:highlight w:val="none"/>
          <w:lang w:val="en-US" w:eastAsia="zh-CN"/>
        </w:rPr>
        <w:t>三</w:t>
      </w:r>
      <w:r>
        <w:rPr>
          <w:rFonts w:hint="eastAsia" w:ascii="楷体_GB2312" w:hAnsi="楷体_GB2312" w:eastAsia="楷体_GB2312" w:cs="楷体_GB2312"/>
          <w:color w:val="auto"/>
          <w:sz w:val="32"/>
          <w:szCs w:val="32"/>
          <w:highlight w:val="none"/>
        </w:rPr>
        <w:t>）</w:t>
      </w:r>
      <w:r>
        <w:rPr>
          <w:rFonts w:hint="eastAsia" w:ascii="楷体_GB2312" w:hAnsi="楷体_GB2312" w:eastAsia="楷体_GB2312" w:cs="楷体_GB2312"/>
          <w:color w:val="auto"/>
          <w:sz w:val="32"/>
          <w:szCs w:val="32"/>
          <w:highlight w:val="none"/>
          <w:lang w:val="en-US" w:eastAsia="zh-CN"/>
        </w:rPr>
        <w:t>筑牢</w:t>
      </w:r>
      <w:r>
        <w:rPr>
          <w:rFonts w:hint="eastAsia" w:ascii="楷体_GB2312" w:hAnsi="楷体_GB2312" w:eastAsia="楷体_GB2312" w:cs="楷体_GB2312"/>
          <w:color w:val="auto"/>
          <w:sz w:val="32"/>
          <w:szCs w:val="32"/>
          <w:highlight w:val="none"/>
        </w:rPr>
        <w:t>全方位留才保障体系</w:t>
      </w:r>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p>
    <w:p w14:paraId="0C47710C">
      <w:pPr>
        <w:pStyle w:val="11"/>
        <w:widowControl/>
        <w:spacing w:beforeAutospacing="0" w:afterAutospacing="0" w:line="560" w:lineRule="exact"/>
        <w:ind w:firstLine="643" w:firstLineChars="200"/>
        <w:jc w:val="both"/>
        <w:textAlignment w:val="center"/>
        <w:rPr>
          <w:color w:val="auto"/>
          <w:highlight w:val="none"/>
        </w:rPr>
      </w:pPr>
      <w:r>
        <w:rPr>
          <w:rFonts w:hint="eastAsia" w:ascii="仿宋_GB2312" w:hAnsi="仿宋_GB2312" w:eastAsia="仿宋_GB2312" w:cs="仿宋_GB2312"/>
          <w:b/>
          <w:bCs/>
          <w:color w:val="auto"/>
          <w:sz w:val="32"/>
          <w:szCs w:val="32"/>
          <w:highlight w:val="none"/>
        </w:rPr>
        <w:t>完善人才政策和服务体系。</w:t>
      </w:r>
      <w:r>
        <w:rPr>
          <w:rFonts w:hint="eastAsia" w:ascii="仿宋_GB2312" w:hAnsi="仿宋_GB2312" w:eastAsia="仿宋_GB2312" w:cs="仿宋_GB2312"/>
          <w:bCs/>
          <w:color w:val="auto"/>
          <w:sz w:val="32"/>
          <w:szCs w:val="32"/>
          <w:highlight w:val="none"/>
          <w:lang w:bidi="ar"/>
        </w:rPr>
        <w:t>落实“金钩八条”人才支持措施，大力引进“AI+精品微短剧（动漫剧）”产业人才。</w:t>
      </w:r>
      <w:r>
        <w:rPr>
          <w:rFonts w:ascii="仿宋_GB2312" w:hAnsi="仿宋_GB2312" w:eastAsia="仿宋_GB2312" w:cs="仿宋_GB2312"/>
          <w:color w:val="auto"/>
          <w:sz w:val="32"/>
          <w:szCs w:val="32"/>
          <w:highlight w:val="none"/>
        </w:rPr>
        <w:t>开展“京西聚智”各领域人才分类认定、评价、跟踪服务</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bCs/>
          <w:color w:val="auto"/>
          <w:sz w:val="32"/>
          <w:szCs w:val="32"/>
          <w:highlight w:val="none"/>
          <w:lang w:bidi="ar"/>
        </w:rPr>
        <w:t>完善算法人才等人才认定工作</w:t>
      </w:r>
      <w:r>
        <w:rPr>
          <w:rFonts w:hint="eastAsia" w:ascii="仿宋_GB2312" w:hAnsi="仿宋_GB2312" w:eastAsia="仿宋_GB2312" w:cs="仿宋_GB2312"/>
          <w:bCs/>
          <w:color w:val="auto"/>
          <w:sz w:val="32"/>
          <w:szCs w:val="32"/>
          <w:highlight w:val="none"/>
          <w:lang w:eastAsia="zh-CN" w:bidi="ar"/>
        </w:rPr>
        <w:t>。</w:t>
      </w:r>
      <w:r>
        <w:rPr>
          <w:rFonts w:ascii="仿宋_GB2312" w:hAnsi="仿宋_GB2312" w:eastAsia="仿宋_GB2312" w:cs="仿宋_GB2312"/>
          <w:bCs/>
          <w:color w:val="auto"/>
          <w:sz w:val="32"/>
          <w:szCs w:val="32"/>
          <w:highlight w:val="none"/>
          <w:lang w:bidi="ar"/>
        </w:rPr>
        <w:t>优化“门爱才”服务平台</w:t>
      </w:r>
      <w:r>
        <w:rPr>
          <w:rFonts w:hint="eastAsia" w:ascii="仿宋_GB2312" w:hAnsi="仿宋_GB2312" w:eastAsia="仿宋_GB2312" w:cs="仿宋_GB2312"/>
          <w:bCs/>
          <w:color w:val="auto"/>
          <w:sz w:val="32"/>
          <w:szCs w:val="32"/>
          <w:highlight w:val="none"/>
          <w:lang w:bidi="ar"/>
        </w:rPr>
        <w:t>，</w:t>
      </w:r>
      <w:r>
        <w:rPr>
          <w:rFonts w:hint="eastAsia" w:ascii="仿宋_GB2312" w:hAnsi="仿宋_GB2312" w:eastAsia="仿宋_GB2312" w:cs="仿宋_GB2312"/>
          <w:color w:val="auto"/>
          <w:sz w:val="32"/>
          <w:szCs w:val="32"/>
          <w:highlight w:val="none"/>
        </w:rPr>
        <w:t>布局园区人才联络工作站，打造人才服务管家团队，精准提供人才招引、评价认定、培训交流、创业孵化等服务。</w:t>
      </w:r>
      <w:r>
        <w:rPr>
          <w:rFonts w:hint="eastAsia" w:ascii="仿宋_GB2312" w:hAnsi="仿宋_GB2312" w:eastAsia="仿宋_GB2312" w:cs="仿宋_GB2312"/>
          <w:bCs/>
          <w:color w:val="auto"/>
          <w:sz w:val="32"/>
          <w:szCs w:val="32"/>
          <w:highlight w:val="none"/>
          <w:lang w:val="en-US" w:eastAsia="zh-CN" w:bidi="ar"/>
        </w:rPr>
        <w:t>构建“京西人才之家”全域化服务网络，让各类人才引得来、留得住、发展好。</w:t>
      </w:r>
    </w:p>
    <w:p w14:paraId="2BC88305">
      <w:pPr>
        <w:pStyle w:val="5"/>
        <w:spacing w:line="560" w:lineRule="exact"/>
        <w:ind w:firstLine="643" w:firstLineChars="200"/>
        <w:rPr>
          <w:rFonts w:ascii="Times New Roman" w:hAnsi="Times New Roman" w:eastAsia="仿宋_GB2312"/>
          <w:color w:val="auto"/>
          <w:sz w:val="32"/>
          <w:szCs w:val="32"/>
          <w:highlight w:val="none"/>
          <w:lang w:eastAsia="zh-CN"/>
        </w:rPr>
      </w:pPr>
      <w:r>
        <w:rPr>
          <w:rFonts w:hint="eastAsia" w:ascii="仿宋_GB2312" w:hAnsi="仿宋_GB2312" w:eastAsia="仿宋_GB2312" w:cs="仿宋_GB2312"/>
          <w:b/>
          <w:bCs/>
          <w:color w:val="auto"/>
          <w:sz w:val="32"/>
          <w:szCs w:val="32"/>
          <w:highlight w:val="none"/>
          <w:lang w:eastAsia="zh-CN" w:bidi="ar"/>
        </w:rPr>
        <w:t>营造青年科技人才发展生态。</w:t>
      </w:r>
      <w:r>
        <w:rPr>
          <w:rFonts w:hint="eastAsia" w:ascii="仿宋_GB2312" w:hAnsi="仿宋_GB2312" w:eastAsia="仿宋_GB2312" w:cs="仿宋_GB2312"/>
          <w:color w:val="auto"/>
          <w:sz w:val="32"/>
          <w:szCs w:val="32"/>
          <w:highlight w:val="none"/>
          <w:lang w:eastAsia="zh-CN" w:bidi="ar"/>
        </w:rPr>
        <w:t>完善青年科技人才保障政策，实施“高新产业青年人才‘三个一’支持计划”“青年人才京西福地‘三个一’乐享计划”等，建设青年发展型人才社区和</w:t>
      </w:r>
      <w:r>
        <w:rPr>
          <w:rFonts w:hint="eastAsia" w:ascii="仿宋_GB2312" w:hAnsi="仿宋_GB2312" w:eastAsia="仿宋_GB2312" w:cs="仿宋_GB2312"/>
          <w:color w:val="auto"/>
          <w:sz w:val="32"/>
          <w:szCs w:val="32"/>
          <w:highlight w:val="none"/>
          <w:lang w:eastAsia="zh-CN"/>
        </w:rPr>
        <w:t>京西青创港</w:t>
      </w:r>
      <w:r>
        <w:rPr>
          <w:rFonts w:hint="eastAsia" w:ascii="仿宋_GB2312" w:hAnsi="仿宋_GB2312" w:eastAsia="仿宋_GB2312" w:cs="仿宋_GB2312"/>
          <w:color w:val="auto"/>
          <w:sz w:val="32"/>
          <w:szCs w:val="32"/>
          <w:highlight w:val="none"/>
          <w:lang w:eastAsia="zh-CN" w:bidi="ar"/>
        </w:rPr>
        <w:t>。</w:t>
      </w:r>
      <w:r>
        <w:rPr>
          <w:rFonts w:ascii="Times New Roman" w:hAnsi="Times New Roman" w:eastAsia="仿宋_GB2312"/>
          <w:color w:val="auto"/>
          <w:sz w:val="32"/>
          <w:szCs w:val="32"/>
          <w:highlight w:val="none"/>
          <w:lang w:eastAsia="zh-CN"/>
        </w:rPr>
        <w:t>开展青年人才夜校、青年沙龙、门头沟</w:t>
      </w:r>
      <w:r>
        <w:rPr>
          <w:rFonts w:hint="eastAsia" w:ascii="仿宋_GB2312" w:hAnsi="仿宋_GB2312" w:eastAsia="仿宋_GB2312" w:cs="仿宋_GB2312"/>
          <w:color w:val="auto"/>
          <w:sz w:val="32"/>
          <w:szCs w:val="32"/>
          <w:highlight w:val="none"/>
          <w:lang w:eastAsia="zh-CN"/>
        </w:rPr>
        <w:t>city walk</w:t>
      </w:r>
      <w:r>
        <w:rPr>
          <w:rFonts w:ascii="Times New Roman" w:hAnsi="Times New Roman" w:eastAsia="仿宋_GB2312"/>
          <w:color w:val="auto"/>
          <w:sz w:val="32"/>
          <w:szCs w:val="32"/>
          <w:highlight w:val="none"/>
          <w:lang w:eastAsia="zh-CN"/>
        </w:rPr>
        <w:t>、森林音乐节等特色活动，</w:t>
      </w:r>
      <w:r>
        <w:rPr>
          <w:rFonts w:hint="eastAsia" w:ascii="Times New Roman" w:hAnsi="Times New Roman" w:eastAsia="仿宋_GB2312"/>
          <w:color w:val="auto"/>
          <w:sz w:val="32"/>
          <w:szCs w:val="32"/>
          <w:highlight w:val="none"/>
          <w:lang w:eastAsia="zh-CN"/>
        </w:rPr>
        <w:t>积极布局</w:t>
      </w:r>
      <w:r>
        <w:rPr>
          <w:rFonts w:ascii="Times New Roman" w:hAnsi="Times New Roman" w:eastAsia="仿宋_GB2312"/>
          <w:color w:val="auto"/>
          <w:sz w:val="32"/>
          <w:szCs w:val="32"/>
          <w:highlight w:val="none"/>
          <w:lang w:eastAsia="zh-CN"/>
        </w:rPr>
        <w:t>青年创客空间、青年活力街区、青年消费场景等</w:t>
      </w:r>
      <w:bookmarkStart w:id="1421" w:name="OLE_LINK19"/>
      <w:r>
        <w:rPr>
          <w:rFonts w:ascii="Times New Roman" w:hAnsi="Times New Roman" w:eastAsia="仿宋_GB2312"/>
          <w:color w:val="auto"/>
          <w:sz w:val="32"/>
          <w:szCs w:val="32"/>
          <w:highlight w:val="none"/>
          <w:lang w:eastAsia="zh-CN"/>
        </w:rPr>
        <w:t>服务设施</w:t>
      </w:r>
      <w:bookmarkEnd w:id="1421"/>
      <w:r>
        <w:rPr>
          <w:rFonts w:ascii="Times New Roman" w:hAnsi="Times New Roman" w:eastAsia="仿宋_GB2312"/>
          <w:color w:val="auto"/>
          <w:sz w:val="32"/>
          <w:szCs w:val="32"/>
          <w:highlight w:val="none"/>
          <w:lang w:eastAsia="zh-CN"/>
        </w:rPr>
        <w:t>。</w:t>
      </w:r>
      <w:bookmarkStart w:id="1422" w:name="_Toc8456"/>
      <w:bookmarkStart w:id="1423" w:name="_Toc32482"/>
      <w:bookmarkStart w:id="1424" w:name="_Toc15597"/>
      <w:bookmarkStart w:id="1425" w:name="_Toc1522820524"/>
      <w:bookmarkStart w:id="1426" w:name="_Toc10457"/>
      <w:bookmarkStart w:id="1427" w:name="_Toc20187"/>
      <w:bookmarkStart w:id="1428" w:name="_Toc12927"/>
      <w:bookmarkStart w:id="1429" w:name="_Toc11897"/>
      <w:bookmarkStart w:id="1430" w:name="_Toc20257"/>
      <w:bookmarkStart w:id="1431" w:name="_Toc22090"/>
      <w:bookmarkStart w:id="1432" w:name="_Toc24151"/>
      <w:bookmarkStart w:id="1433" w:name="_Toc31482"/>
      <w:bookmarkStart w:id="1434" w:name="_Toc10988"/>
      <w:bookmarkStart w:id="1435" w:name="_Toc22546"/>
      <w:bookmarkStart w:id="1436" w:name="_Toc3001"/>
      <w:bookmarkStart w:id="1437" w:name="_Toc30056"/>
      <w:bookmarkStart w:id="1438" w:name="_Toc6478"/>
      <w:bookmarkStart w:id="1439" w:name="_Toc29245"/>
      <w:bookmarkStart w:id="1440" w:name="_Toc21438"/>
      <w:bookmarkStart w:id="1441" w:name="_Toc28651"/>
      <w:bookmarkStart w:id="1442" w:name="_Toc29039"/>
      <w:bookmarkStart w:id="1443" w:name="_Toc23328"/>
      <w:bookmarkStart w:id="1444" w:name="_Toc22137"/>
      <w:bookmarkStart w:id="1445" w:name="_Toc2679"/>
      <w:bookmarkStart w:id="1446" w:name="_Toc21469"/>
      <w:bookmarkStart w:id="1447" w:name="_Toc14808"/>
      <w:bookmarkStart w:id="1448" w:name="_Toc7017"/>
      <w:bookmarkStart w:id="1449" w:name="_Toc31426"/>
      <w:bookmarkStart w:id="1450" w:name="_Toc19574"/>
      <w:bookmarkStart w:id="1451" w:name="_Toc22844"/>
      <w:bookmarkStart w:id="1452" w:name="_Toc17394"/>
      <w:bookmarkStart w:id="1453" w:name="_Toc3877"/>
      <w:bookmarkStart w:id="1454" w:name="_Toc30218"/>
      <w:bookmarkStart w:id="1455" w:name="_Toc27177"/>
      <w:bookmarkStart w:id="1456" w:name="_Toc30511"/>
      <w:bookmarkStart w:id="1457" w:name="_Toc29126"/>
      <w:bookmarkStart w:id="1458" w:name="_Toc24004"/>
      <w:bookmarkStart w:id="1459" w:name="_Toc20815"/>
      <w:bookmarkStart w:id="1460" w:name="_Toc17463"/>
      <w:bookmarkStart w:id="1461" w:name="_Toc9344"/>
      <w:bookmarkStart w:id="1462" w:name="_Toc14600"/>
      <w:bookmarkStart w:id="1463" w:name="_Toc557"/>
      <w:bookmarkStart w:id="1464" w:name="_Toc4365"/>
      <w:bookmarkStart w:id="1465" w:name="_Toc16343"/>
      <w:bookmarkStart w:id="1466" w:name="_Toc6082"/>
      <w:bookmarkStart w:id="1467" w:name="_Toc30841"/>
      <w:bookmarkStart w:id="1468" w:name="_Toc4124"/>
      <w:bookmarkStart w:id="1469" w:name="_Toc20909"/>
      <w:bookmarkStart w:id="1470" w:name="_Toc814"/>
      <w:bookmarkStart w:id="1471" w:name="_Toc25773"/>
      <w:bookmarkStart w:id="1472" w:name="_Toc22085"/>
      <w:bookmarkStart w:id="1473" w:name="_Toc29806"/>
      <w:bookmarkStart w:id="1474" w:name="_Toc11035"/>
      <w:bookmarkStart w:id="1475" w:name="_Toc27707"/>
      <w:bookmarkStart w:id="1476" w:name="_Toc25536"/>
      <w:bookmarkStart w:id="1477" w:name="_Toc26946"/>
      <w:bookmarkStart w:id="1478" w:name="_Toc16696"/>
      <w:bookmarkStart w:id="1479" w:name="_Toc27800"/>
      <w:bookmarkStart w:id="1480" w:name="_Toc8312"/>
      <w:bookmarkStart w:id="1481" w:name="_Toc10900"/>
      <w:bookmarkStart w:id="1482" w:name="_Toc22251"/>
    </w:p>
    <w:p w14:paraId="6C6F149C">
      <w:pPr>
        <w:pStyle w:val="2"/>
        <w:ind w:firstLine="640" w:firstLineChars="200"/>
        <w:outlineLvl w:val="0"/>
        <w:rPr>
          <w:rFonts w:hint="eastAsia" w:ascii="黑体" w:hAnsi="黑体" w:eastAsia="黑体" w:cs="黑体"/>
          <w:color w:val="auto"/>
          <w:szCs w:val="32"/>
          <w:highlight w:val="none"/>
          <w:lang w:eastAsia="zh-CN"/>
        </w:rPr>
      </w:pPr>
      <w:bookmarkStart w:id="1483" w:name="_Toc21005"/>
      <w:bookmarkStart w:id="1484" w:name="_Toc248"/>
      <w:bookmarkStart w:id="1485" w:name="_Toc29999"/>
      <w:bookmarkStart w:id="1486" w:name="_Toc11687"/>
      <w:bookmarkStart w:id="1487" w:name="_Toc20111"/>
      <w:bookmarkStart w:id="1488" w:name="_Toc1512"/>
      <w:bookmarkStart w:id="1489" w:name="_Toc17680"/>
      <w:bookmarkStart w:id="1490" w:name="_Toc8193"/>
      <w:bookmarkStart w:id="1491" w:name="_Toc15650"/>
      <w:r>
        <w:rPr>
          <w:rFonts w:hint="eastAsia" w:ascii="黑体" w:hAnsi="黑体" w:eastAsia="黑体" w:cs="黑体"/>
          <w:color w:val="auto"/>
          <w:szCs w:val="32"/>
          <w:highlight w:val="none"/>
          <w:lang w:eastAsia="zh-CN"/>
        </w:rPr>
        <w:t>六、畅通资金链，优化全生命周期金融服务体系</w:t>
      </w:r>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3"/>
      <w:bookmarkEnd w:id="1484"/>
      <w:bookmarkEnd w:id="1485"/>
      <w:bookmarkEnd w:id="1486"/>
      <w:bookmarkEnd w:id="1487"/>
      <w:bookmarkEnd w:id="1488"/>
      <w:bookmarkEnd w:id="1489"/>
      <w:bookmarkEnd w:id="1490"/>
      <w:bookmarkEnd w:id="1491"/>
      <w:bookmarkStart w:id="1492" w:name="_Toc12907"/>
      <w:bookmarkStart w:id="1493" w:name="_Toc22915"/>
      <w:bookmarkStart w:id="1494" w:name="_Toc10964"/>
      <w:bookmarkStart w:id="1495" w:name="_Toc25412"/>
      <w:bookmarkStart w:id="1496" w:name="_Toc28901"/>
      <w:bookmarkStart w:id="1497" w:name="_Toc8505"/>
      <w:bookmarkStart w:id="1498" w:name="_Toc4914"/>
      <w:bookmarkStart w:id="1499" w:name="_Toc11172"/>
      <w:bookmarkStart w:id="1500" w:name="_Toc6059"/>
      <w:bookmarkStart w:id="1501" w:name="_Toc29494"/>
      <w:bookmarkStart w:id="1502" w:name="_Toc29376"/>
      <w:bookmarkStart w:id="1503" w:name="_Toc21755"/>
      <w:bookmarkStart w:id="1504" w:name="_Toc18838"/>
      <w:bookmarkStart w:id="1505" w:name="_Toc11346"/>
      <w:bookmarkStart w:id="1506" w:name="_Toc26971"/>
      <w:bookmarkStart w:id="1507" w:name="_Toc17994"/>
      <w:bookmarkStart w:id="1508" w:name="_Toc3768"/>
      <w:bookmarkStart w:id="1509" w:name="_Toc11343"/>
      <w:bookmarkStart w:id="1510" w:name="_Toc16258"/>
      <w:bookmarkStart w:id="1511" w:name="_Toc1798"/>
      <w:bookmarkStart w:id="1512" w:name="_Toc21882"/>
      <w:bookmarkStart w:id="1513" w:name="_Toc8050"/>
      <w:bookmarkStart w:id="1514" w:name="_Toc13816"/>
      <w:bookmarkStart w:id="1515" w:name="_Toc19731"/>
      <w:bookmarkStart w:id="1516" w:name="_Toc27516"/>
      <w:bookmarkStart w:id="1517" w:name="_Toc3759"/>
      <w:bookmarkStart w:id="1518" w:name="_Toc10511"/>
      <w:bookmarkStart w:id="1519" w:name="_Toc7854"/>
      <w:bookmarkStart w:id="1520" w:name="_Toc24156"/>
      <w:bookmarkStart w:id="1521" w:name="_Toc8047"/>
      <w:bookmarkStart w:id="1522" w:name="_Toc4818"/>
      <w:bookmarkStart w:id="1523" w:name="_Toc334441922"/>
      <w:bookmarkStart w:id="1524" w:name="_Toc6779"/>
    </w:p>
    <w:p w14:paraId="19E6EF39">
      <w:pPr>
        <w:pStyle w:val="3"/>
        <w:ind w:firstLine="640"/>
        <w:rPr>
          <w:rFonts w:hint="eastAsia" w:ascii="楷体_GB2312" w:hAnsi="楷体_GB2312" w:eastAsia="楷体_GB2312" w:cs="楷体_GB2312"/>
          <w:color w:val="auto"/>
          <w:szCs w:val="32"/>
          <w:highlight w:val="none"/>
        </w:rPr>
      </w:pPr>
      <w:bookmarkStart w:id="1525" w:name="_Toc28458"/>
      <w:bookmarkStart w:id="1526" w:name="_Toc27996"/>
      <w:bookmarkStart w:id="1527" w:name="_Toc8483"/>
      <w:bookmarkStart w:id="1528" w:name="_Toc28973"/>
      <w:bookmarkStart w:id="1529" w:name="_Toc29498"/>
      <w:bookmarkStart w:id="1530" w:name="_Toc26850"/>
      <w:bookmarkStart w:id="1531" w:name="_Toc14313"/>
      <w:bookmarkStart w:id="1532" w:name="_Toc14"/>
      <w:bookmarkStart w:id="1533" w:name="_Toc11764"/>
      <w:r>
        <w:rPr>
          <w:rFonts w:hint="eastAsia" w:ascii="楷体_GB2312" w:hAnsi="楷体_GB2312" w:eastAsia="楷体_GB2312" w:cs="楷体_GB2312"/>
          <w:color w:val="auto"/>
          <w:szCs w:val="32"/>
          <w:highlight w:val="none"/>
        </w:rPr>
        <w:t>（一）增强创投服务能力</w:t>
      </w:r>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p>
    <w:p w14:paraId="4B742138">
      <w:pPr>
        <w:spacing w:line="560" w:lineRule="exact"/>
        <w:ind w:firstLine="643" w:firstLineChars="200"/>
        <w:rPr>
          <w:rFonts w:ascii="仿宋_GB2312" w:eastAsia="仿宋_GB2312"/>
          <w:color w:val="auto"/>
          <w:sz w:val="32"/>
          <w:szCs w:val="32"/>
          <w:highlight w:val="none"/>
        </w:rPr>
      </w:pPr>
      <w:r>
        <w:rPr>
          <w:rFonts w:hint="eastAsia" w:ascii="仿宋_GB2312" w:eastAsia="仿宋_GB2312"/>
          <w:b/>
          <w:bCs/>
          <w:color w:val="auto"/>
          <w:sz w:val="32"/>
          <w:szCs w:val="32"/>
          <w:highlight w:val="none"/>
        </w:rPr>
        <w:t>强化基金引导作用。</w:t>
      </w:r>
      <w:r>
        <w:rPr>
          <w:rFonts w:hint="eastAsia" w:ascii="仿宋_GB2312" w:eastAsia="仿宋_GB2312"/>
          <w:color w:val="auto"/>
          <w:sz w:val="32"/>
          <w:szCs w:val="32"/>
          <w:highlight w:val="none"/>
        </w:rPr>
        <w:t>聚焦三大产业定向运作，围绕我区重点产业布局，积极研究“主题基金+特色园区”模式，形成战略协同。积极对接国家级、市级基金，形成“国家—市—区”三级联动格局，放大财政资金杠杆效应，推动“投早、投小、投长期、投硬科技”。探索概念验证基金、中试基金等创新模式，支持科技成果转化和产业化落地。</w:t>
      </w:r>
    </w:p>
    <w:p w14:paraId="412B2E12">
      <w:pPr>
        <w:spacing w:line="560" w:lineRule="exact"/>
        <w:ind w:firstLine="640"/>
        <w:rPr>
          <w:rFonts w:ascii="仿宋_GB2312" w:eastAsia="仿宋_GB2312"/>
          <w:color w:val="auto"/>
          <w:sz w:val="32"/>
          <w:szCs w:val="32"/>
          <w:highlight w:val="none"/>
        </w:rPr>
      </w:pPr>
      <w:r>
        <w:rPr>
          <w:rFonts w:hint="eastAsia" w:ascii="仿宋_GB2312" w:eastAsia="仿宋_GB2312"/>
          <w:b/>
          <w:bCs/>
          <w:color w:val="auto"/>
          <w:sz w:val="32"/>
          <w:szCs w:val="32"/>
          <w:highlight w:val="none"/>
        </w:rPr>
        <w:t>积极发展风险投资。</w:t>
      </w:r>
      <w:r>
        <w:rPr>
          <w:rFonts w:hint="eastAsia" w:ascii="仿宋_GB2312" w:eastAsia="仿宋_GB2312"/>
          <w:color w:val="auto"/>
          <w:sz w:val="32"/>
          <w:szCs w:val="32"/>
          <w:highlight w:val="none"/>
        </w:rPr>
        <w:t>大力吸引国内外知名创业投资、私募股权投资机构在门头沟集聚，设立区域总部或分支机构，壮大风险投资主体队伍。鼓励行业骨干企业、科研机构参与创业投资，支持产业链主企业、上市公司开展企业风险投资（CVC）。建立风险投资机构与高成长企业常态化对接机制，打造适配硬核科技成果转化、专精特新企业成长的创投生态。</w:t>
      </w:r>
    </w:p>
    <w:p w14:paraId="30934261">
      <w:pPr>
        <w:pStyle w:val="3"/>
        <w:ind w:firstLine="640"/>
        <w:rPr>
          <w:rFonts w:hint="eastAsia" w:ascii="楷体_GB2312" w:hAnsi="楷体_GB2312" w:eastAsia="楷体_GB2312" w:cs="楷体_GB2312"/>
          <w:color w:val="auto"/>
          <w:szCs w:val="32"/>
          <w:highlight w:val="none"/>
        </w:rPr>
      </w:pPr>
      <w:bookmarkStart w:id="1534" w:name="_Toc13681"/>
      <w:bookmarkStart w:id="1535" w:name="_Toc21053"/>
      <w:bookmarkStart w:id="1536" w:name="_Toc22787"/>
      <w:bookmarkStart w:id="1537" w:name="_Toc3155"/>
      <w:bookmarkStart w:id="1538" w:name="_Toc16786"/>
      <w:bookmarkStart w:id="1539" w:name="_Toc14116"/>
      <w:bookmarkStart w:id="1540" w:name="_Toc17461"/>
      <w:bookmarkStart w:id="1541" w:name="_Toc17320"/>
      <w:bookmarkStart w:id="1542" w:name="_Toc6459"/>
      <w:bookmarkStart w:id="1543" w:name="_Toc14728"/>
      <w:bookmarkStart w:id="1544" w:name="_Toc23566"/>
      <w:bookmarkStart w:id="1545" w:name="_Toc25998"/>
      <w:bookmarkStart w:id="1546" w:name="_Toc24177"/>
      <w:bookmarkStart w:id="1547" w:name="_Toc3150"/>
      <w:bookmarkStart w:id="1548" w:name="_Toc13200"/>
      <w:bookmarkStart w:id="1549" w:name="_Toc2404"/>
      <w:bookmarkStart w:id="1550" w:name="_Toc4229"/>
      <w:bookmarkStart w:id="1551" w:name="_Toc28007"/>
      <w:bookmarkStart w:id="1552" w:name="_Toc10685"/>
      <w:bookmarkStart w:id="1553" w:name="_Toc17504"/>
      <w:bookmarkStart w:id="1554" w:name="_Toc1000678855"/>
      <w:bookmarkStart w:id="1555" w:name="_Toc20923"/>
      <w:bookmarkStart w:id="1556" w:name="_Toc31045"/>
      <w:bookmarkStart w:id="1557" w:name="_Toc14216"/>
      <w:bookmarkStart w:id="1558" w:name="_Toc22010"/>
      <w:bookmarkStart w:id="1559" w:name="_Toc25222"/>
      <w:bookmarkStart w:id="1560" w:name="_Toc22903"/>
      <w:bookmarkStart w:id="1561" w:name="_Toc2301"/>
      <w:bookmarkStart w:id="1562" w:name="_Toc9342"/>
      <w:bookmarkStart w:id="1563" w:name="_Toc24658"/>
      <w:bookmarkStart w:id="1564" w:name="_Toc9420"/>
      <w:bookmarkStart w:id="1565" w:name="_Toc10888"/>
      <w:bookmarkStart w:id="1566" w:name="_Toc8403"/>
      <w:bookmarkStart w:id="1567" w:name="_Toc2056"/>
      <w:bookmarkStart w:id="1568" w:name="_Toc8993"/>
      <w:bookmarkStart w:id="1569" w:name="_Toc32512"/>
      <w:bookmarkStart w:id="1570" w:name="_Toc29596"/>
      <w:bookmarkStart w:id="1571" w:name="_Toc9005"/>
      <w:bookmarkStart w:id="1572" w:name="_Toc29436"/>
      <w:bookmarkStart w:id="1573" w:name="_Toc7491"/>
      <w:bookmarkStart w:id="1574" w:name="_Toc23831"/>
      <w:bookmarkStart w:id="1575" w:name="_Toc16986"/>
      <w:r>
        <w:rPr>
          <w:rFonts w:hint="eastAsia" w:ascii="楷体_GB2312" w:hAnsi="楷体_GB2312" w:eastAsia="楷体_GB2312" w:cs="楷体_GB2312"/>
          <w:color w:val="auto"/>
          <w:szCs w:val="32"/>
          <w:highlight w:val="none"/>
        </w:rPr>
        <w:t>（</w:t>
      </w:r>
      <w:r>
        <w:rPr>
          <w:rFonts w:ascii="楷体_GB2312" w:hAnsi="楷体_GB2312" w:eastAsia="楷体_GB2312" w:cs="楷体_GB2312"/>
          <w:color w:val="auto"/>
          <w:szCs w:val="32"/>
          <w:highlight w:val="none"/>
        </w:rPr>
        <w:t>二</w:t>
      </w:r>
      <w:r>
        <w:rPr>
          <w:rFonts w:hint="eastAsia" w:ascii="楷体_GB2312" w:hAnsi="楷体_GB2312" w:eastAsia="楷体_GB2312" w:cs="楷体_GB2312"/>
          <w:color w:val="auto"/>
          <w:szCs w:val="32"/>
          <w:highlight w:val="none"/>
        </w:rPr>
        <w:t>）创新科技金融产品</w:t>
      </w:r>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p>
    <w:p w14:paraId="1C6654EA">
      <w:pPr>
        <w:spacing w:line="560" w:lineRule="exact"/>
        <w:ind w:firstLine="643" w:firstLineChars="200"/>
        <w:rPr>
          <w:rFonts w:ascii="仿宋_GB2312" w:eastAsia="仿宋_GB2312"/>
          <w:b/>
          <w:bCs/>
          <w:color w:val="auto"/>
          <w:sz w:val="32"/>
          <w:szCs w:val="32"/>
          <w:highlight w:val="none"/>
        </w:rPr>
      </w:pPr>
      <w:r>
        <w:rPr>
          <w:rFonts w:hint="eastAsia" w:ascii="仿宋_GB2312" w:eastAsia="仿宋_GB2312"/>
          <w:b/>
          <w:bCs/>
          <w:color w:val="auto"/>
          <w:sz w:val="32"/>
          <w:szCs w:val="32"/>
          <w:highlight w:val="none"/>
        </w:rPr>
        <w:t>加强信贷产品创新。</w:t>
      </w:r>
      <w:r>
        <w:rPr>
          <w:rFonts w:hint="eastAsia" w:ascii="仿宋_GB2312" w:eastAsia="仿宋_GB2312"/>
          <w:color w:val="auto"/>
          <w:sz w:val="32"/>
          <w:szCs w:val="32"/>
          <w:highlight w:val="none"/>
        </w:rPr>
        <w:t>深化“投贷联动”“投保联动”服务模式，鼓励金融机构开发适配科技企业生命周期的组合金融产品。鼓励认股权贷款、人才贷、研发贷、并购贷等创新产品落地，探索建立基于创新能力的增信制度，实施“创新积分制”，破解科技企业融资难题。探索数据资产质押融资，扩大质押融资规模</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推动知识产权质押融资增量扩面，创新“信用+知识产权”金融服务模式。</w:t>
      </w:r>
    </w:p>
    <w:p w14:paraId="1CD44809">
      <w:pPr>
        <w:spacing w:line="560" w:lineRule="exact"/>
        <w:ind w:firstLine="643" w:firstLineChars="200"/>
        <w:rPr>
          <w:rFonts w:ascii="仿宋_GB2312" w:eastAsia="仿宋_GB2312"/>
          <w:color w:val="auto"/>
          <w:sz w:val="32"/>
          <w:szCs w:val="32"/>
          <w:highlight w:val="none"/>
        </w:rPr>
      </w:pPr>
      <w:r>
        <w:rPr>
          <w:rFonts w:hint="eastAsia" w:ascii="仿宋_GB2312" w:eastAsia="仿宋_GB2312"/>
          <w:b/>
          <w:bCs/>
          <w:color w:val="auto"/>
          <w:sz w:val="32"/>
          <w:szCs w:val="32"/>
          <w:highlight w:val="none"/>
        </w:rPr>
        <w:t>加大科技保险支持。</w:t>
      </w:r>
      <w:r>
        <w:rPr>
          <w:rFonts w:hint="eastAsia" w:ascii="仿宋_GB2312" w:eastAsia="仿宋_GB2312"/>
          <w:color w:val="auto"/>
          <w:sz w:val="32"/>
          <w:szCs w:val="32"/>
          <w:highlight w:val="none"/>
        </w:rPr>
        <w:t>充分发挥科技保险支持创新的“减震器”和“稳定器”作用，推广“京西智谷科技企业创业责任保险”等，推进研发及转化类、科技产品类、科技型贷款类等保险产品创新。开展普惠型综合科技保险统保，聚焦“三大产业”开发专属科技保险产品。加大首台套重大技术装备综合保险、新材料首批次应用保险、软件首版次应用保险政策支持力度，完善风险分担和补偿机制，降低初创企业创业失败成本。</w:t>
      </w:r>
    </w:p>
    <w:p w14:paraId="16DC4F7F">
      <w:pPr>
        <w:keepNext/>
        <w:keepLines/>
        <w:spacing w:line="560" w:lineRule="exact"/>
        <w:ind w:firstLine="640" w:firstLineChars="200"/>
        <w:outlineLvl w:val="1"/>
        <w:rPr>
          <w:rFonts w:hint="eastAsia" w:ascii="楷体_GB2312" w:hAnsi="楷体_GB2312" w:eastAsia="楷体_GB2312" w:cs="楷体_GB2312"/>
          <w:color w:val="auto"/>
          <w:sz w:val="32"/>
          <w:szCs w:val="32"/>
          <w:highlight w:val="none"/>
        </w:rPr>
      </w:pPr>
      <w:bookmarkStart w:id="1576" w:name="_Toc30019"/>
      <w:bookmarkStart w:id="1577" w:name="_Toc27337"/>
      <w:bookmarkStart w:id="1578" w:name="_Toc26273"/>
      <w:bookmarkStart w:id="1579" w:name="_Toc20091"/>
      <w:bookmarkStart w:id="1580" w:name="_Toc31960"/>
      <w:bookmarkStart w:id="1581" w:name="_Toc13614"/>
      <w:bookmarkStart w:id="1582" w:name="_Toc165"/>
      <w:bookmarkStart w:id="1583" w:name="_Toc29656"/>
      <w:bookmarkStart w:id="1584" w:name="_Toc8810"/>
      <w:bookmarkStart w:id="1585" w:name="_Toc1465076328"/>
      <w:bookmarkStart w:id="1586" w:name="_Toc17303"/>
      <w:bookmarkStart w:id="1587" w:name="_Toc31514"/>
      <w:bookmarkStart w:id="1588" w:name="_Toc15554"/>
      <w:bookmarkStart w:id="1589" w:name="_Toc27251"/>
      <w:bookmarkStart w:id="1590" w:name="_Toc6184"/>
      <w:bookmarkStart w:id="1591" w:name="_Toc7228"/>
      <w:bookmarkStart w:id="1592" w:name="_Toc28647"/>
      <w:bookmarkStart w:id="1593" w:name="_Toc27349"/>
      <w:bookmarkStart w:id="1594" w:name="_Toc11667"/>
      <w:bookmarkStart w:id="1595" w:name="_Toc25900"/>
      <w:bookmarkStart w:id="1596" w:name="_Toc22608"/>
      <w:bookmarkStart w:id="1597" w:name="_Toc17894"/>
      <w:bookmarkStart w:id="1598" w:name="_Toc6361"/>
      <w:bookmarkStart w:id="1599" w:name="_Toc12916"/>
      <w:bookmarkStart w:id="1600" w:name="_Toc26873"/>
      <w:bookmarkStart w:id="1601" w:name="_Toc12824"/>
      <w:bookmarkStart w:id="1602" w:name="_Toc633"/>
      <w:bookmarkStart w:id="1603" w:name="_Toc13167"/>
      <w:bookmarkStart w:id="1604" w:name="_Toc26692"/>
      <w:bookmarkStart w:id="1605" w:name="_Toc5513"/>
      <w:bookmarkStart w:id="1606" w:name="_Toc27974"/>
      <w:bookmarkStart w:id="1607" w:name="_Toc26679"/>
      <w:bookmarkStart w:id="1608" w:name="_Toc7459"/>
      <w:bookmarkStart w:id="1609" w:name="_Toc7386"/>
      <w:bookmarkStart w:id="1610" w:name="_Toc27557"/>
      <w:bookmarkStart w:id="1611" w:name="_Toc15643"/>
      <w:bookmarkStart w:id="1612" w:name="_Toc22852"/>
      <w:bookmarkStart w:id="1613" w:name="_Toc22149"/>
      <w:bookmarkStart w:id="1614" w:name="_Toc18338"/>
      <w:bookmarkStart w:id="1615" w:name="_Toc752"/>
      <w:bookmarkStart w:id="1616" w:name="_Toc12574"/>
      <w:bookmarkStart w:id="1617" w:name="_Toc17863"/>
      <w:r>
        <w:rPr>
          <w:rFonts w:hint="eastAsia" w:ascii="楷体_GB2312" w:hAnsi="楷体_GB2312" w:eastAsia="楷体_GB2312" w:cs="楷体_GB2312"/>
          <w:color w:val="auto"/>
          <w:sz w:val="32"/>
          <w:szCs w:val="32"/>
          <w:highlight w:val="none"/>
        </w:rPr>
        <w:t>（三）加强金融接力赋能</w:t>
      </w:r>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p>
    <w:p w14:paraId="1CE286E4">
      <w:pPr>
        <w:spacing w:line="560" w:lineRule="exact"/>
        <w:ind w:firstLine="643" w:firstLineChars="200"/>
        <w:rPr>
          <w:rFonts w:ascii="仿宋_GB2312" w:eastAsia="仿宋_GB2312"/>
          <w:color w:val="auto"/>
          <w:sz w:val="32"/>
          <w:szCs w:val="32"/>
          <w:highlight w:val="none"/>
        </w:rPr>
      </w:pPr>
      <w:r>
        <w:rPr>
          <w:rFonts w:hint="eastAsia" w:ascii="仿宋_GB2312" w:hAnsi="仿宋_GB2312" w:eastAsia="仿宋_GB2312" w:cs="仿宋_GB2312"/>
          <w:b/>
          <w:bCs/>
          <w:color w:val="auto"/>
          <w:sz w:val="32"/>
          <w:szCs w:val="32"/>
          <w:highlight w:val="none"/>
        </w:rPr>
        <w:t>做优科技金融服务平台。</w:t>
      </w:r>
      <w:r>
        <w:rPr>
          <w:rFonts w:hint="eastAsia" w:ascii="仿宋_GB2312" w:eastAsia="仿宋_GB2312"/>
          <w:color w:val="auto"/>
          <w:sz w:val="32"/>
          <w:szCs w:val="32"/>
          <w:highlight w:val="none"/>
        </w:rPr>
        <w:t>发挥区级国有科创投资平台作用，提升项目融资、股权投资及资产运营能力。引导金融机构设立科技金融专营机构和科技特色支行。优化升级“金融超市”，集成投融资对接、政策快享、企业风险画像等功能。组建科技金融服务团，深化金融机构间合作。</w:t>
      </w:r>
    </w:p>
    <w:p w14:paraId="395DA4CE">
      <w:pPr>
        <w:spacing w:line="560" w:lineRule="exact"/>
        <w:ind w:firstLine="643" w:firstLineChars="200"/>
        <w:rPr>
          <w:rFonts w:ascii="仿宋_GB2312" w:eastAsia="仿宋_GB2312"/>
          <w:color w:val="auto"/>
          <w:sz w:val="32"/>
          <w:szCs w:val="32"/>
          <w:highlight w:val="none"/>
        </w:rPr>
      </w:pPr>
      <w:r>
        <w:rPr>
          <w:rFonts w:hint="eastAsia" w:ascii="仿宋_GB2312" w:hAnsi="仿宋_GB2312" w:eastAsia="仿宋_GB2312" w:cs="仿宋_GB2312"/>
          <w:b/>
          <w:bCs/>
          <w:color w:val="auto"/>
          <w:sz w:val="32"/>
          <w:szCs w:val="32"/>
          <w:highlight w:val="none"/>
          <w:shd w:val="clear" w:color="auto" w:fill="FFFFFF"/>
        </w:rPr>
        <w:t>支持优质科技型企业上市</w:t>
      </w:r>
      <w:r>
        <w:rPr>
          <w:rFonts w:hint="eastAsia" w:ascii="仿宋_GB2312" w:hAnsi="仿宋_GB2312" w:eastAsia="仿宋_GB2312" w:cs="仿宋_GB2312"/>
          <w:b/>
          <w:bCs/>
          <w:color w:val="auto"/>
          <w:sz w:val="32"/>
          <w:szCs w:val="32"/>
          <w:highlight w:val="none"/>
        </w:rPr>
        <w:t>。</w:t>
      </w:r>
      <w:r>
        <w:rPr>
          <w:rFonts w:hint="eastAsia" w:ascii="仿宋_GB2312" w:eastAsia="仿宋_GB2312"/>
          <w:color w:val="auto"/>
          <w:sz w:val="32"/>
          <w:szCs w:val="32"/>
          <w:highlight w:val="none"/>
        </w:rPr>
        <w:t>建立“科技企业上市后备库”，常态化举办“走进北交所”等资本市场专题辅导活动，帮助企业把握上市政策、明晰上市路径。用好北京“专精特新”专板绿色通道与公示审核机制，推动专精特新企业加快新三板挂牌和北交所上市步伐。加强与券商、创投机构等交流对接，支持优质科技型企业、独角兽企业在境内外上市。</w:t>
      </w:r>
    </w:p>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482"/>
    <w:p w14:paraId="588853B8">
      <w:pPr>
        <w:pStyle w:val="2"/>
        <w:snapToGrid w:val="0"/>
        <w:ind w:firstLine="640"/>
        <w:jc w:val="left"/>
        <w:rPr>
          <w:rFonts w:hint="eastAsia" w:ascii="黑体" w:hAnsi="黑体" w:eastAsia="黑体" w:cs="黑体"/>
          <w:color w:val="auto"/>
          <w:szCs w:val="32"/>
          <w:highlight w:val="none"/>
          <w:lang w:eastAsia="zh-CN"/>
        </w:rPr>
      </w:pPr>
      <w:bookmarkStart w:id="1618" w:name="_Toc1137791029"/>
      <w:bookmarkStart w:id="1619" w:name="_Toc1356552248"/>
      <w:bookmarkStart w:id="1620" w:name="_Toc22545"/>
      <w:bookmarkStart w:id="1621" w:name="_Toc20037"/>
      <w:bookmarkStart w:id="1622" w:name="_Toc24500"/>
      <w:bookmarkStart w:id="1623" w:name="_Toc20120"/>
      <w:bookmarkStart w:id="1624" w:name="_Toc22679"/>
      <w:bookmarkStart w:id="1625" w:name="_Toc1112971604"/>
      <w:bookmarkStart w:id="1626" w:name="_Toc8515"/>
      <w:bookmarkStart w:id="1627" w:name="_Toc30918"/>
      <w:bookmarkStart w:id="1628" w:name="_Toc1932473100"/>
      <w:bookmarkStart w:id="1629" w:name="_Toc8160"/>
      <w:bookmarkStart w:id="1630" w:name="_Toc25395"/>
      <w:bookmarkStart w:id="1631" w:name="_Toc15439"/>
      <w:bookmarkStart w:id="1632" w:name="_Toc30404"/>
      <w:bookmarkStart w:id="1633" w:name="_Toc18768"/>
      <w:bookmarkStart w:id="1634" w:name="_Toc934439098"/>
      <w:bookmarkStart w:id="1635" w:name="_Toc22585"/>
      <w:bookmarkStart w:id="1636" w:name="_Toc19742"/>
      <w:bookmarkStart w:id="1637" w:name="_Toc19579"/>
      <w:bookmarkStart w:id="1638" w:name="_Toc24107"/>
      <w:bookmarkStart w:id="1639" w:name="_Toc895097625"/>
      <w:bookmarkStart w:id="1640" w:name="_Toc47948290"/>
      <w:bookmarkStart w:id="1641" w:name="_Toc9254"/>
      <w:bookmarkStart w:id="1642" w:name="_Toc1790204482"/>
      <w:bookmarkStart w:id="1643" w:name="_Toc9147"/>
      <w:bookmarkStart w:id="1644" w:name="_Toc12606"/>
      <w:bookmarkStart w:id="1645" w:name="_Toc16103"/>
      <w:bookmarkStart w:id="1646" w:name="_Toc14520"/>
      <w:bookmarkStart w:id="1647" w:name="_Toc5826"/>
      <w:bookmarkStart w:id="1648" w:name="_Toc29104"/>
      <w:bookmarkStart w:id="1649" w:name="_Toc31974"/>
      <w:bookmarkStart w:id="1650" w:name="_Toc13755"/>
      <w:bookmarkStart w:id="1651" w:name="_Toc41479244"/>
      <w:bookmarkStart w:id="1652" w:name="_Toc1184245688"/>
      <w:bookmarkStart w:id="1653" w:name="_Toc1974"/>
      <w:bookmarkStart w:id="1654" w:name="_Toc31714"/>
      <w:bookmarkStart w:id="1655" w:name="_Toc498435559"/>
      <w:bookmarkStart w:id="1656" w:name="_Toc18911"/>
      <w:bookmarkStart w:id="1657" w:name="_Toc1304147803"/>
      <w:bookmarkStart w:id="1658" w:name="_Toc26899"/>
      <w:bookmarkStart w:id="1659" w:name="_Toc266"/>
      <w:bookmarkStart w:id="1660" w:name="_Toc26067"/>
      <w:bookmarkStart w:id="1661" w:name="_Toc14967"/>
      <w:bookmarkStart w:id="1662" w:name="_Toc11863"/>
      <w:bookmarkStart w:id="1663" w:name="_Toc6103"/>
      <w:bookmarkStart w:id="1664" w:name="_Toc5281"/>
      <w:bookmarkStart w:id="1665" w:name="_Toc8992"/>
      <w:bookmarkStart w:id="1666" w:name="_Toc9485"/>
      <w:bookmarkStart w:id="1667" w:name="_Toc25093"/>
      <w:bookmarkStart w:id="1668" w:name="_Toc25119"/>
      <w:bookmarkStart w:id="1669" w:name="_Toc4687"/>
      <w:bookmarkStart w:id="1670" w:name="_Toc16606"/>
      <w:bookmarkStart w:id="1671" w:name="_Toc16508"/>
      <w:bookmarkStart w:id="1672" w:name="_Toc31091"/>
      <w:bookmarkStart w:id="1673" w:name="_Toc19377"/>
      <w:bookmarkStart w:id="1674" w:name="_Toc22827"/>
      <w:bookmarkStart w:id="1675" w:name="_Toc5580"/>
      <w:bookmarkStart w:id="1676" w:name="_Toc2455"/>
      <w:bookmarkStart w:id="1677" w:name="_Toc18836"/>
      <w:bookmarkStart w:id="1678" w:name="_Toc10568"/>
      <w:bookmarkStart w:id="1679" w:name="_Toc3699"/>
      <w:bookmarkStart w:id="1680" w:name="_Toc11816"/>
      <w:bookmarkStart w:id="1681" w:name="_Toc27569"/>
      <w:bookmarkStart w:id="1682" w:name="_Toc620"/>
      <w:bookmarkStart w:id="1683" w:name="_Toc2370"/>
      <w:bookmarkStart w:id="1684" w:name="_Toc21223"/>
      <w:bookmarkStart w:id="1685" w:name="_Toc5678"/>
      <w:bookmarkStart w:id="1686" w:name="_Toc1819"/>
      <w:bookmarkStart w:id="1687" w:name="_Toc20731"/>
      <w:bookmarkStart w:id="1688" w:name="_Toc7190"/>
      <w:bookmarkStart w:id="1689" w:name="_Toc19512"/>
      <w:bookmarkStart w:id="1690" w:name="_Toc16083"/>
      <w:bookmarkStart w:id="1691" w:name="_Toc17438"/>
      <w:bookmarkStart w:id="1692" w:name="_Toc29912"/>
      <w:bookmarkStart w:id="1693" w:name="_Toc20634"/>
      <w:bookmarkStart w:id="1694" w:name="_Toc16775"/>
      <w:bookmarkStart w:id="1695" w:name="_Toc32265"/>
      <w:bookmarkStart w:id="1696" w:name="_Toc4781"/>
      <w:bookmarkStart w:id="1697" w:name="_Toc27612"/>
      <w:bookmarkStart w:id="1698" w:name="_Toc1216"/>
      <w:bookmarkStart w:id="1699" w:name="_Toc129"/>
      <w:bookmarkStart w:id="1700" w:name="_Toc1748"/>
      <w:bookmarkStart w:id="1701" w:name="_Toc31173"/>
      <w:bookmarkStart w:id="1702" w:name="_Toc10521"/>
      <w:bookmarkStart w:id="1703" w:name="_Toc18617"/>
      <w:bookmarkStart w:id="1704" w:name="_Toc10080"/>
      <w:bookmarkStart w:id="1705" w:name="_Toc8860"/>
      <w:bookmarkStart w:id="1706" w:name="_Toc19388"/>
      <w:bookmarkStart w:id="1707" w:name="_Toc29977"/>
      <w:bookmarkStart w:id="1708" w:name="_Toc12868"/>
      <w:bookmarkStart w:id="1709" w:name="_Toc23379"/>
      <w:bookmarkStart w:id="1710" w:name="_Toc6523"/>
      <w:bookmarkStart w:id="1711" w:name="_Toc1474"/>
      <w:bookmarkStart w:id="1712" w:name="_Toc1206"/>
      <w:bookmarkStart w:id="1713" w:name="_Toc863"/>
      <w:bookmarkStart w:id="1714" w:name="_Toc19010"/>
      <w:bookmarkStart w:id="1715" w:name="_Toc26220"/>
      <w:bookmarkStart w:id="1716" w:name="_Toc15136"/>
      <w:bookmarkStart w:id="1717" w:name="_Toc5201"/>
      <w:bookmarkStart w:id="1718" w:name="_Toc28873"/>
      <w:bookmarkStart w:id="1719" w:name="_Toc18182"/>
      <w:bookmarkStart w:id="1720" w:name="_Toc490348194"/>
      <w:bookmarkStart w:id="1721" w:name="_Toc6807"/>
      <w:bookmarkStart w:id="1722" w:name="_Toc14078"/>
      <w:bookmarkStart w:id="1723" w:name="_Toc26406"/>
      <w:bookmarkStart w:id="1724" w:name="_Toc19903"/>
      <w:bookmarkStart w:id="1725" w:name="_Toc23989"/>
      <w:bookmarkStart w:id="1726" w:name="_Toc4832"/>
      <w:bookmarkStart w:id="1727" w:name="_Toc25084"/>
      <w:bookmarkStart w:id="1728" w:name="_Toc29454"/>
      <w:bookmarkStart w:id="1729" w:name="_Toc13388"/>
      <w:bookmarkStart w:id="1730" w:name="_Toc2324"/>
      <w:bookmarkStart w:id="1731" w:name="_Toc32119"/>
      <w:bookmarkStart w:id="1732" w:name="_Toc23064"/>
      <w:r>
        <w:rPr>
          <w:rFonts w:hint="eastAsia" w:ascii="黑体" w:hAnsi="黑体" w:eastAsia="黑体" w:cs="黑体"/>
          <w:color w:val="auto"/>
          <w:szCs w:val="32"/>
          <w:highlight w:val="none"/>
        </w:rPr>
        <w:t>七、</w:t>
      </w:r>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r>
        <w:rPr>
          <w:rFonts w:hint="eastAsia" w:ascii="黑体" w:hAnsi="黑体" w:eastAsia="黑体" w:cs="黑体"/>
          <w:color w:val="auto"/>
          <w:szCs w:val="32"/>
          <w:highlight w:val="none"/>
        </w:rPr>
        <w:t>优化空间，构筑未来科技园区发展形态</w:t>
      </w:r>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p>
    <w:p w14:paraId="01008E5E">
      <w:pPr>
        <w:pStyle w:val="3"/>
        <w:ind w:firstLine="640"/>
        <w:rPr>
          <w:rFonts w:hint="eastAsia" w:ascii="楷体_GB2312" w:hAnsi="楷体_GB2312" w:eastAsia="楷体_GB2312" w:cs="楷体_GB2312"/>
          <w:color w:val="auto"/>
          <w:szCs w:val="32"/>
          <w:highlight w:val="none"/>
        </w:rPr>
      </w:pPr>
      <w:bookmarkStart w:id="1733" w:name="_Toc19219"/>
      <w:bookmarkStart w:id="1734" w:name="_Toc25625"/>
      <w:bookmarkStart w:id="1735" w:name="_Toc29080"/>
      <w:bookmarkStart w:id="1736" w:name="_Toc29859"/>
      <w:bookmarkStart w:id="1737" w:name="_Toc1387343019"/>
      <w:bookmarkStart w:id="1738" w:name="_Toc11099"/>
      <w:bookmarkStart w:id="1739" w:name="_Toc4052"/>
      <w:bookmarkStart w:id="1740" w:name="_Toc18561"/>
      <w:bookmarkStart w:id="1741" w:name="_Toc31380"/>
      <w:bookmarkStart w:id="1742" w:name="_Toc15194"/>
      <w:bookmarkStart w:id="1743" w:name="_Toc13712"/>
      <w:bookmarkStart w:id="1744" w:name="_Toc9045"/>
      <w:bookmarkStart w:id="1745" w:name="_Toc32291"/>
      <w:bookmarkStart w:id="1746" w:name="_Toc31204"/>
      <w:bookmarkStart w:id="1747" w:name="_Toc10443"/>
      <w:bookmarkStart w:id="1748" w:name="_Toc26502"/>
      <w:bookmarkStart w:id="1749" w:name="_Toc1620"/>
      <w:bookmarkStart w:id="1750" w:name="_Toc17557"/>
      <w:bookmarkStart w:id="1751" w:name="_Toc7888"/>
      <w:bookmarkStart w:id="1752" w:name="_Toc6162"/>
      <w:bookmarkStart w:id="1753" w:name="_Toc30078"/>
      <w:bookmarkStart w:id="1754" w:name="_Toc28092"/>
      <w:bookmarkStart w:id="1755" w:name="_Toc2241"/>
      <w:bookmarkStart w:id="1756" w:name="_Toc19257"/>
      <w:bookmarkStart w:id="1757" w:name="_Toc20001"/>
      <w:bookmarkStart w:id="1758" w:name="_Toc31723"/>
      <w:bookmarkStart w:id="1759" w:name="_Toc23633"/>
      <w:bookmarkStart w:id="1760" w:name="_Toc11408"/>
      <w:bookmarkStart w:id="1761" w:name="_Toc17254"/>
      <w:bookmarkStart w:id="1762" w:name="_Toc30331"/>
      <w:bookmarkStart w:id="1763" w:name="_Toc2613"/>
      <w:bookmarkStart w:id="1764" w:name="_Toc15097"/>
      <w:bookmarkStart w:id="1765" w:name="_Toc15125"/>
      <w:bookmarkStart w:id="1766" w:name="_Toc9022"/>
      <w:bookmarkStart w:id="1767" w:name="_Toc16382"/>
      <w:bookmarkStart w:id="1768" w:name="_Toc14854"/>
      <w:bookmarkStart w:id="1769" w:name="_Toc23481"/>
      <w:bookmarkStart w:id="1770" w:name="_Toc25436"/>
      <w:bookmarkStart w:id="1771" w:name="_Toc466"/>
      <w:bookmarkStart w:id="1772" w:name="_Toc13637"/>
      <w:bookmarkStart w:id="1773" w:name="_Toc32077"/>
      <w:bookmarkStart w:id="1774" w:name="_Toc1841"/>
      <w:bookmarkStart w:id="1775" w:name="_Toc7982"/>
      <w:bookmarkStart w:id="1776" w:name="_Toc26496"/>
      <w:bookmarkStart w:id="1777" w:name="_Toc11637"/>
      <w:bookmarkStart w:id="1778" w:name="_Toc5204"/>
      <w:bookmarkStart w:id="1779" w:name="_Toc24650"/>
      <w:bookmarkStart w:id="1780" w:name="_Toc32346"/>
      <w:bookmarkStart w:id="1781" w:name="_Toc23993"/>
      <w:bookmarkStart w:id="1782" w:name="_Toc27831"/>
      <w:bookmarkStart w:id="1783" w:name="_Toc24274"/>
      <w:bookmarkStart w:id="1784" w:name="_Toc19825"/>
      <w:bookmarkStart w:id="1785" w:name="_Toc17653"/>
      <w:bookmarkStart w:id="1786" w:name="_Toc16423"/>
      <w:bookmarkStart w:id="1787" w:name="_Toc8879"/>
      <w:bookmarkStart w:id="1788" w:name="_Toc32089"/>
      <w:bookmarkStart w:id="1789" w:name="_Toc18343"/>
      <w:bookmarkStart w:id="1790" w:name="_Toc16019"/>
      <w:bookmarkStart w:id="1791" w:name="_Toc27818"/>
      <w:bookmarkStart w:id="1792" w:name="_Toc25719"/>
      <w:bookmarkStart w:id="1793" w:name="_Toc2669"/>
      <w:bookmarkStart w:id="1794" w:name="_Toc32756"/>
      <w:bookmarkStart w:id="1795" w:name="_Toc14826"/>
      <w:bookmarkStart w:id="1796" w:name="_Toc6669"/>
      <w:bookmarkStart w:id="1797" w:name="_Toc21439"/>
      <w:bookmarkStart w:id="1798" w:name="_Toc31836"/>
      <w:bookmarkStart w:id="1799" w:name="_Toc25043"/>
      <w:bookmarkStart w:id="1800" w:name="_Toc21971"/>
      <w:bookmarkStart w:id="1801" w:name="_Toc31493"/>
      <w:bookmarkStart w:id="1802" w:name="_Toc2304"/>
      <w:bookmarkStart w:id="1803" w:name="_Toc5995"/>
      <w:bookmarkStart w:id="1804" w:name="_Toc8340"/>
      <w:bookmarkStart w:id="1805" w:name="_Toc10948"/>
      <w:bookmarkStart w:id="1806" w:name="_Toc19495"/>
      <w:bookmarkStart w:id="1807" w:name="_Toc17812"/>
      <w:bookmarkStart w:id="1808" w:name="_Toc30165"/>
      <w:bookmarkStart w:id="1809" w:name="_Toc4810"/>
      <w:bookmarkStart w:id="1810" w:name="_Toc12313"/>
      <w:bookmarkStart w:id="1811" w:name="_Toc13567"/>
      <w:bookmarkStart w:id="1812" w:name="_Toc17229"/>
      <w:bookmarkStart w:id="1813" w:name="_Toc16857"/>
      <w:bookmarkStart w:id="1814" w:name="_Toc19295"/>
      <w:bookmarkStart w:id="1815" w:name="_Toc32159"/>
      <w:bookmarkStart w:id="1816" w:name="_Toc21532"/>
      <w:bookmarkStart w:id="1817" w:name="_Toc17127"/>
      <w:bookmarkStart w:id="1818" w:name="_Toc24589"/>
      <w:bookmarkStart w:id="1819" w:name="_Toc10088"/>
      <w:bookmarkStart w:id="1820" w:name="_Toc31111"/>
      <w:bookmarkStart w:id="1821" w:name="_Toc32574"/>
      <w:bookmarkStart w:id="1822" w:name="_Toc13029"/>
      <w:bookmarkStart w:id="1823" w:name="_Toc18519"/>
      <w:bookmarkStart w:id="1824" w:name="_Toc8630"/>
      <w:bookmarkStart w:id="1825" w:name="_Toc5192"/>
      <w:bookmarkStart w:id="1826" w:name="_Toc1468"/>
      <w:bookmarkStart w:id="1827" w:name="_Toc10552"/>
      <w:bookmarkStart w:id="1828" w:name="_Toc560542405"/>
      <w:bookmarkStart w:id="1829" w:name="_Toc1887235584"/>
      <w:bookmarkStart w:id="1830" w:name="_Toc738837820"/>
      <w:bookmarkStart w:id="1831" w:name="_Toc1131183058"/>
      <w:bookmarkStart w:id="1832" w:name="_Toc532714472"/>
      <w:bookmarkStart w:id="1833" w:name="_Toc1594023739"/>
      <w:bookmarkStart w:id="1834" w:name="_Toc1659431515"/>
      <w:bookmarkStart w:id="1835" w:name="_Toc2020216813"/>
      <w:bookmarkStart w:id="1836" w:name="_Toc570009575"/>
      <w:r>
        <w:rPr>
          <w:rFonts w:hint="eastAsia" w:ascii="楷体_GB2312" w:hAnsi="楷体_GB2312" w:eastAsia="楷体_GB2312" w:cs="楷体_GB2312"/>
          <w:color w:val="auto"/>
          <w:szCs w:val="32"/>
          <w:highlight w:val="none"/>
        </w:rPr>
        <w:t>（一）塑造高效集约的产业集聚空间</w:t>
      </w:r>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p>
    <w:p w14:paraId="0D625B6E">
      <w:pPr>
        <w:numPr>
          <w:ilvl w:val="255"/>
          <w:numId w:val="0"/>
        </w:numPr>
        <w:spacing w:line="560" w:lineRule="exact"/>
        <w:ind w:firstLine="643"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优化调整园区空间布局。</w:t>
      </w:r>
      <w:r>
        <w:rPr>
          <w:rFonts w:hint="eastAsia" w:ascii="仿宋_GB2312" w:hAnsi="仿宋_GB2312" w:eastAsia="仿宋_GB2312" w:cs="仿宋_GB2312"/>
          <w:color w:val="auto"/>
          <w:sz w:val="32"/>
          <w:szCs w:val="32"/>
          <w:highlight w:val="none"/>
        </w:rPr>
        <w:t>结合中关村门头沟园扩园调整，坚持建设空间组团式规划、重点产业板块式发展，研究编制中关村门头沟园空间规划，提升空间集中连片发展水平。完善中关村（京西）人工智能科技园产业配套服务功能，有序推进周边地块规划建设，加快人工智能产业集聚发展。加快军庄产业园一级开发推进与二级开发筹备，加快推进中央广播电视总台超高清示范园建设，推动滨河半岛商务区配套服务功能布局。</w:t>
      </w:r>
    </w:p>
    <w:p w14:paraId="115A560B">
      <w:pPr>
        <w:numPr>
          <w:ilvl w:val="255"/>
          <w:numId w:val="0"/>
        </w:numPr>
        <w:spacing w:line="560" w:lineRule="exact"/>
        <w:ind w:firstLine="643"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推进存量空间盘活利用。</w:t>
      </w:r>
      <w:r>
        <w:rPr>
          <w:rFonts w:ascii="仿宋_GB2312" w:hAnsi="仿宋_GB2312" w:eastAsia="仿宋_GB2312" w:cs="仿宋_GB2312"/>
          <w:color w:val="auto"/>
          <w:sz w:val="32"/>
          <w:szCs w:val="32"/>
          <w:highlight w:val="none"/>
        </w:rPr>
        <w:t>加大城市更新力度，打造</w:t>
      </w:r>
      <w:r>
        <w:rPr>
          <w:rFonts w:hint="eastAsia" w:ascii="仿宋_GB2312" w:hAnsi="仿宋_GB2312" w:eastAsia="仿宋_GB2312" w:cs="仿宋_GB2312"/>
          <w:color w:val="auto"/>
          <w:sz w:val="32"/>
          <w:szCs w:val="32"/>
          <w:highlight w:val="none"/>
          <w:lang w:eastAsia="zh-CN"/>
        </w:rPr>
        <w:t>“</w:t>
      </w:r>
      <w:r>
        <w:rPr>
          <w:rFonts w:ascii="仿宋_GB2312" w:hAnsi="仿宋_GB2312" w:eastAsia="仿宋_GB2312" w:cs="仿宋_GB2312"/>
          <w:color w:val="auto"/>
          <w:sz w:val="32"/>
          <w:szCs w:val="32"/>
          <w:highlight w:val="none"/>
        </w:rPr>
        <w:t>产业资源+空间图谱</w:t>
      </w:r>
      <w:r>
        <w:rPr>
          <w:rFonts w:hint="eastAsia" w:ascii="仿宋_GB2312" w:hAnsi="仿宋_GB2312" w:eastAsia="仿宋_GB2312" w:cs="仿宋_GB2312"/>
          <w:color w:val="auto"/>
          <w:sz w:val="32"/>
          <w:szCs w:val="32"/>
          <w:highlight w:val="none"/>
          <w:lang w:eastAsia="zh-CN"/>
        </w:rPr>
        <w:t>”</w:t>
      </w:r>
      <w:r>
        <w:rPr>
          <w:rFonts w:ascii="仿宋_GB2312" w:hAnsi="仿宋_GB2312" w:eastAsia="仿宋_GB2312" w:cs="仿宋_GB2312"/>
          <w:color w:val="auto"/>
          <w:sz w:val="32"/>
          <w:szCs w:val="32"/>
          <w:highlight w:val="none"/>
        </w:rPr>
        <w:t>，建立老旧厂房分类处理和闲置低效用地退出机制。积极探索老旧厂房改造模式，推进内蒙一机厂房更新改造等项目</w:t>
      </w:r>
      <w:r>
        <w:rPr>
          <w:rFonts w:hint="eastAsia" w:ascii="仿宋_GB2312" w:hAnsi="仿宋_GB2312" w:eastAsia="仿宋_GB2312" w:cs="仿宋_GB2312"/>
          <w:color w:val="auto"/>
          <w:sz w:val="32"/>
          <w:szCs w:val="32"/>
          <w:highlight w:val="none"/>
        </w:rPr>
        <w:t>。</w:t>
      </w:r>
      <w:r>
        <w:rPr>
          <w:rFonts w:ascii="仿宋_GB2312" w:hAnsi="仿宋_GB2312" w:eastAsia="仿宋_GB2312" w:cs="仿宋_GB2312"/>
          <w:color w:val="auto"/>
          <w:sz w:val="32"/>
          <w:szCs w:val="32"/>
          <w:highlight w:val="none"/>
        </w:rPr>
        <w:t>支持通过社会资金、国有平台公司参与等方式盘活存量空间</w:t>
      </w:r>
      <w:r>
        <w:rPr>
          <w:rFonts w:hint="eastAsia" w:ascii="仿宋_GB2312" w:hAnsi="仿宋_GB2312" w:eastAsia="仿宋_GB2312" w:cs="仿宋_GB2312"/>
          <w:color w:val="auto"/>
          <w:sz w:val="32"/>
          <w:szCs w:val="32"/>
          <w:highlight w:val="none"/>
        </w:rPr>
        <w:t>，</w:t>
      </w:r>
      <w:r>
        <w:rPr>
          <w:rFonts w:ascii="仿宋_GB2312" w:hAnsi="仿宋_GB2312" w:eastAsia="仿宋_GB2312" w:cs="仿宋_GB2312"/>
          <w:color w:val="auto"/>
          <w:sz w:val="32"/>
          <w:szCs w:val="32"/>
          <w:highlight w:val="none"/>
        </w:rPr>
        <w:t>探索存量空间多元化盘活路径</w:t>
      </w:r>
      <w:r>
        <w:rPr>
          <w:rFonts w:hint="eastAsia" w:ascii="仿宋_GB2312" w:hAnsi="仿宋_GB2312" w:eastAsia="仿宋_GB2312" w:cs="仿宋_GB2312"/>
          <w:color w:val="auto"/>
          <w:sz w:val="32"/>
          <w:szCs w:val="32"/>
          <w:highlight w:val="none"/>
          <w:lang w:eastAsia="zh-CN"/>
        </w:rPr>
        <w:t>，</w:t>
      </w:r>
      <w:r>
        <w:rPr>
          <w:rFonts w:ascii="仿宋_GB2312" w:hAnsi="仿宋_GB2312" w:eastAsia="仿宋_GB2312" w:cs="仿宋_GB2312"/>
          <w:color w:val="auto"/>
          <w:sz w:val="32"/>
          <w:szCs w:val="32"/>
          <w:highlight w:val="none"/>
        </w:rPr>
        <w:t>未来</w:t>
      </w:r>
      <w:r>
        <w:rPr>
          <w:rFonts w:hint="eastAsia" w:ascii="仿宋_GB2312" w:hAnsi="仿宋_GB2312" w:eastAsia="仿宋_GB2312" w:cs="仿宋_GB2312"/>
          <w:color w:val="auto"/>
          <w:sz w:val="32"/>
          <w:szCs w:val="32"/>
          <w:highlight w:val="none"/>
        </w:rPr>
        <w:t>5</w:t>
      </w:r>
      <w:r>
        <w:rPr>
          <w:rFonts w:ascii="仿宋_GB2312" w:hAnsi="仿宋_GB2312" w:eastAsia="仿宋_GB2312" w:cs="仿宋_GB2312"/>
          <w:color w:val="auto"/>
          <w:sz w:val="32"/>
          <w:szCs w:val="32"/>
          <w:highlight w:val="none"/>
        </w:rPr>
        <w:t>年提供约10万平方米高标准产业空间。</w:t>
      </w:r>
    </w:p>
    <w:p w14:paraId="51A3A31F">
      <w:pPr>
        <w:pStyle w:val="18"/>
        <w:spacing w:line="560" w:lineRule="exact"/>
        <w:ind w:firstLine="643"/>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探索新型产业空间组织。</w:t>
      </w:r>
      <w:r>
        <w:rPr>
          <w:rFonts w:hint="eastAsia" w:ascii="仿宋_GB2312" w:hAnsi="仿宋_GB2312" w:eastAsia="仿宋_GB2312" w:cs="仿宋_GB2312"/>
          <w:color w:val="auto"/>
          <w:sz w:val="32"/>
          <w:szCs w:val="32"/>
          <w:highlight w:val="none"/>
        </w:rPr>
        <w:t>打造一批楼上楼下创新创业综合体，探索“上下楼就是上下游、产业园就是产业链”的垂直产业生态，推动空间重构与产业集聚协同发力。结合创新药械等特色产业需求，高标准建设一批符合产业研发创新、中试熟化要求的新型产业空间。支持采取弹性出让、长期租赁、租让结合等措施灵活</w:t>
      </w:r>
      <w:r>
        <w:rPr>
          <w:rFonts w:hint="eastAsia" w:ascii="仿宋_GB2312" w:hAnsi="仿宋_GB2312" w:eastAsia="仿宋_GB2312" w:cs="仿宋_GB2312"/>
          <w:color w:val="auto"/>
          <w:sz w:val="32"/>
          <w:szCs w:val="32"/>
          <w:highlight w:val="none"/>
          <w:lang w:val="en-US" w:eastAsia="zh-CN"/>
        </w:rPr>
        <w:t>供</w:t>
      </w:r>
      <w:r>
        <w:rPr>
          <w:rFonts w:hint="eastAsia" w:ascii="仿宋_GB2312" w:hAnsi="仿宋_GB2312" w:eastAsia="仿宋_GB2312" w:cs="仿宋_GB2312"/>
          <w:color w:val="auto"/>
          <w:sz w:val="32"/>
          <w:szCs w:val="32"/>
          <w:highlight w:val="none"/>
        </w:rPr>
        <w:t>地，</w:t>
      </w:r>
      <w:r>
        <w:rPr>
          <w:rFonts w:hint="eastAsia" w:ascii="仿宋_GB2312" w:hAnsi="仿宋_GB2312" w:eastAsia="仿宋_GB2312" w:cs="仿宋_GB2312"/>
          <w:color w:val="auto"/>
          <w:sz w:val="32"/>
          <w:szCs w:val="32"/>
          <w:highlight w:val="none"/>
          <w:lang w:val="en-US" w:eastAsia="zh-CN"/>
        </w:rPr>
        <w:t>服务</w:t>
      </w:r>
      <w:r>
        <w:rPr>
          <w:rFonts w:hint="eastAsia" w:ascii="仿宋_GB2312" w:hAnsi="仿宋_GB2312" w:eastAsia="仿宋_GB2312" w:cs="仿宋_GB2312"/>
          <w:color w:val="auto"/>
          <w:sz w:val="32"/>
          <w:szCs w:val="32"/>
          <w:highlight w:val="none"/>
        </w:rPr>
        <w:t>优质项目</w:t>
      </w:r>
      <w:r>
        <w:rPr>
          <w:rFonts w:hint="eastAsia" w:ascii="仿宋_GB2312" w:hAnsi="仿宋_GB2312" w:eastAsia="仿宋_GB2312" w:cs="仿宋_GB2312"/>
          <w:color w:val="auto"/>
          <w:sz w:val="32"/>
          <w:szCs w:val="32"/>
          <w:highlight w:val="none"/>
          <w:lang w:val="en-US" w:eastAsia="zh-CN"/>
        </w:rPr>
        <w:t>高效落地</w:t>
      </w:r>
      <w:r>
        <w:rPr>
          <w:rFonts w:hint="eastAsia" w:ascii="仿宋_GB2312" w:hAnsi="仿宋_GB2312" w:eastAsia="仿宋_GB2312" w:cs="仿宋_GB2312"/>
          <w:color w:val="auto"/>
          <w:sz w:val="32"/>
          <w:szCs w:val="32"/>
          <w:highlight w:val="none"/>
        </w:rPr>
        <w:t>。</w:t>
      </w:r>
    </w:p>
    <w:p w14:paraId="0DB5CA86">
      <w:pPr>
        <w:pStyle w:val="3"/>
        <w:numPr>
          <w:ilvl w:val="255"/>
          <w:numId w:val="0"/>
        </w:numPr>
        <w:ind w:firstLine="640"/>
        <w:rPr>
          <w:rFonts w:hint="eastAsia" w:ascii="楷体_GB2312" w:hAnsi="楷体_GB2312" w:eastAsia="楷体_GB2312" w:cs="楷体_GB2312"/>
          <w:color w:val="auto"/>
          <w:szCs w:val="32"/>
          <w:highlight w:val="none"/>
        </w:rPr>
      </w:pPr>
      <w:bookmarkStart w:id="1837" w:name="_Toc8805"/>
      <w:bookmarkStart w:id="1838" w:name="_Toc28511"/>
      <w:bookmarkStart w:id="1839" w:name="_Toc10540"/>
      <w:bookmarkStart w:id="1840" w:name="_Toc31561"/>
      <w:bookmarkStart w:id="1841" w:name="_Toc18509"/>
      <w:bookmarkStart w:id="1842" w:name="_Toc19937"/>
      <w:bookmarkStart w:id="1843" w:name="_Toc24389"/>
      <w:bookmarkStart w:id="1844" w:name="_Toc8381"/>
      <w:bookmarkStart w:id="1845" w:name="_Toc23114"/>
      <w:bookmarkStart w:id="1846" w:name="_Toc5015"/>
      <w:bookmarkStart w:id="1847" w:name="_Toc15897"/>
      <w:bookmarkStart w:id="1848" w:name="_Toc2548"/>
      <w:bookmarkStart w:id="1849" w:name="_Toc18032"/>
      <w:bookmarkStart w:id="1850" w:name="_Toc17910"/>
      <w:bookmarkStart w:id="1851" w:name="_Toc18896"/>
      <w:bookmarkStart w:id="1852" w:name="_Toc20897"/>
      <w:bookmarkStart w:id="1853" w:name="_Toc4680"/>
      <w:bookmarkStart w:id="1854" w:name="_Toc3784"/>
      <w:bookmarkStart w:id="1855" w:name="_Toc14843"/>
      <w:bookmarkStart w:id="1856" w:name="_Toc6862"/>
      <w:bookmarkStart w:id="1857" w:name="_Toc23712"/>
      <w:bookmarkStart w:id="1858" w:name="_Toc2661"/>
      <w:bookmarkStart w:id="1859" w:name="_Toc7485"/>
      <w:bookmarkStart w:id="1860" w:name="_Toc30015"/>
      <w:bookmarkStart w:id="1861" w:name="_Toc25203"/>
      <w:bookmarkStart w:id="1862" w:name="_Toc15010"/>
      <w:bookmarkStart w:id="1863" w:name="_Toc24211"/>
      <w:bookmarkStart w:id="1864" w:name="_Toc2383"/>
      <w:bookmarkStart w:id="1865" w:name="_Toc28642"/>
      <w:bookmarkStart w:id="1866" w:name="_Toc30570"/>
      <w:bookmarkStart w:id="1867" w:name="_Toc6665"/>
      <w:bookmarkStart w:id="1868" w:name="_Toc16930"/>
      <w:bookmarkStart w:id="1869" w:name="_Toc28959"/>
      <w:bookmarkStart w:id="1870" w:name="_Toc14408"/>
      <w:bookmarkStart w:id="1871" w:name="_Toc19968"/>
      <w:bookmarkStart w:id="1872" w:name="_Toc11252"/>
      <w:bookmarkStart w:id="1873" w:name="_Toc13057"/>
      <w:bookmarkStart w:id="1874" w:name="_Toc28640"/>
      <w:bookmarkStart w:id="1875" w:name="_Toc12036"/>
      <w:bookmarkStart w:id="1876" w:name="_Toc7332"/>
      <w:bookmarkStart w:id="1877" w:name="_Toc24912"/>
      <w:bookmarkStart w:id="1878" w:name="_Toc12311"/>
      <w:bookmarkStart w:id="1879" w:name="_Toc15407"/>
      <w:bookmarkStart w:id="1880" w:name="_Toc25197"/>
      <w:bookmarkStart w:id="1881" w:name="_Toc31864"/>
      <w:bookmarkStart w:id="1882" w:name="_Toc5725"/>
      <w:bookmarkStart w:id="1883" w:name="_Toc1844164854"/>
      <w:bookmarkStart w:id="1884" w:name="_Toc27339"/>
      <w:bookmarkStart w:id="1885" w:name="_Toc13616"/>
      <w:bookmarkStart w:id="1886" w:name="_Toc17827"/>
      <w:bookmarkStart w:id="1887" w:name="_Toc4220"/>
      <w:bookmarkStart w:id="1888" w:name="_Toc10152"/>
      <w:bookmarkStart w:id="1889" w:name="_Toc21071"/>
      <w:bookmarkStart w:id="1890" w:name="_Toc3781"/>
      <w:bookmarkStart w:id="1891" w:name="_Toc8518"/>
      <w:bookmarkStart w:id="1892" w:name="_Toc19425"/>
      <w:bookmarkStart w:id="1893" w:name="_Toc31419"/>
      <w:bookmarkStart w:id="1894" w:name="_Toc2526"/>
      <w:bookmarkStart w:id="1895" w:name="_Toc20683"/>
      <w:bookmarkStart w:id="1896" w:name="_Toc29246"/>
      <w:bookmarkStart w:id="1897" w:name="_Toc757"/>
      <w:bookmarkStart w:id="1898" w:name="_Toc13892"/>
      <w:bookmarkStart w:id="1899" w:name="_Toc8876"/>
      <w:bookmarkStart w:id="1900" w:name="_Toc4601"/>
      <w:bookmarkStart w:id="1901" w:name="_Toc15359"/>
      <w:bookmarkStart w:id="1902" w:name="_Toc5611"/>
      <w:bookmarkStart w:id="1903" w:name="_Toc7041"/>
      <w:bookmarkStart w:id="1904" w:name="_Toc9340"/>
      <w:bookmarkStart w:id="1905" w:name="_Toc5099"/>
      <w:bookmarkStart w:id="1906" w:name="_Toc25335"/>
      <w:bookmarkStart w:id="1907" w:name="_Toc31180"/>
      <w:bookmarkStart w:id="1908" w:name="_Toc8288"/>
      <w:bookmarkStart w:id="1909" w:name="_Toc1476"/>
      <w:bookmarkStart w:id="1910" w:name="_Toc2100"/>
      <w:bookmarkStart w:id="1911" w:name="_Toc18352"/>
      <w:bookmarkStart w:id="1912" w:name="_Toc32643"/>
      <w:bookmarkStart w:id="1913" w:name="_Toc18181"/>
      <w:bookmarkStart w:id="1914" w:name="_Toc27272"/>
      <w:bookmarkStart w:id="1915" w:name="_Toc13460"/>
      <w:bookmarkStart w:id="1916" w:name="_Toc32207"/>
      <w:bookmarkStart w:id="1917" w:name="_Toc29945"/>
      <w:bookmarkStart w:id="1918" w:name="_Toc13294"/>
      <w:bookmarkStart w:id="1919" w:name="_Toc5438"/>
      <w:bookmarkStart w:id="1920" w:name="_Toc13045"/>
      <w:bookmarkStart w:id="1921" w:name="_Toc29578"/>
      <w:bookmarkStart w:id="1922" w:name="_Toc26979"/>
      <w:r>
        <w:rPr>
          <w:rFonts w:hint="eastAsia" w:ascii="楷体_GB2312" w:hAnsi="楷体_GB2312" w:eastAsia="楷体_GB2312" w:cs="楷体_GB2312"/>
          <w:color w:val="auto"/>
          <w:szCs w:val="32"/>
          <w:highlight w:val="none"/>
        </w:rPr>
        <w:t>（二）</w:t>
      </w:r>
      <w:r>
        <w:rPr>
          <w:rFonts w:hint="eastAsia" w:ascii="楷体_GB2312" w:hAnsi="楷体_GB2312" w:eastAsia="楷体_GB2312" w:cs="楷体_GB2312"/>
          <w:color w:val="auto"/>
          <w:szCs w:val="32"/>
          <w:highlight w:val="none"/>
          <w:lang w:val="en-US" w:eastAsia="zh-CN"/>
        </w:rPr>
        <w:t>升级</w:t>
      </w:r>
      <w:r>
        <w:rPr>
          <w:rFonts w:hint="eastAsia" w:ascii="楷体_GB2312" w:hAnsi="楷体_GB2312" w:eastAsia="楷体_GB2312" w:cs="楷体_GB2312"/>
          <w:color w:val="auto"/>
          <w:szCs w:val="32"/>
          <w:highlight w:val="none"/>
        </w:rPr>
        <w:t>园城一体的生活配套服务</w:t>
      </w:r>
      <w:bookmarkEnd w:id="1819"/>
      <w:bookmarkEnd w:id="1820"/>
      <w:bookmarkEnd w:id="1821"/>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p>
    <w:p w14:paraId="122721D7">
      <w:pPr>
        <w:spacing w:line="560" w:lineRule="exact"/>
        <w:ind w:firstLine="643"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优化“1+3+N”配套格局。</w:t>
      </w:r>
      <w:r>
        <w:rPr>
          <w:rFonts w:hint="eastAsia" w:ascii="仿宋_GB2312" w:hAnsi="仿宋_GB2312" w:eastAsia="仿宋_GB2312" w:cs="仿宋_GB2312"/>
          <w:color w:val="auto"/>
          <w:sz w:val="32"/>
          <w:szCs w:val="32"/>
          <w:highlight w:val="none"/>
        </w:rPr>
        <w:t>“一线”</w:t>
      </w:r>
      <w:r>
        <w:rPr>
          <w:rFonts w:hint="eastAsia" w:ascii="仿宋_GB2312" w:hAnsi="仿宋_GB2312" w:eastAsia="仿宋_GB2312" w:cs="仿宋_GB2312"/>
          <w:color w:val="auto"/>
          <w:sz w:val="32"/>
          <w:szCs w:val="32"/>
          <w:highlight w:val="none"/>
          <w:lang w:val="en-US" w:eastAsia="zh-CN"/>
        </w:rPr>
        <w:t>是</w:t>
      </w:r>
      <w:r>
        <w:rPr>
          <w:rFonts w:hint="eastAsia" w:ascii="仿宋_GB2312" w:hAnsi="仿宋_GB2312" w:eastAsia="仿宋_GB2312" w:cs="仿宋_GB2312"/>
          <w:color w:val="auto"/>
          <w:sz w:val="32"/>
          <w:szCs w:val="32"/>
          <w:highlight w:val="none"/>
        </w:rPr>
        <w:t>依托S1线沿线长安天街、中骏世界城等大型商业综合体，主动融入城市综合配套体系。“三区”</w:t>
      </w:r>
      <w:r>
        <w:rPr>
          <w:rFonts w:hint="eastAsia" w:ascii="仿宋_GB2312" w:hAnsi="仿宋_GB2312" w:eastAsia="仿宋_GB2312" w:cs="仿宋_GB2312"/>
          <w:color w:val="auto"/>
          <w:sz w:val="32"/>
          <w:szCs w:val="32"/>
          <w:highlight w:val="none"/>
          <w:lang w:val="en-US" w:eastAsia="zh-CN"/>
        </w:rPr>
        <w:t>是</w:t>
      </w:r>
      <w:r>
        <w:rPr>
          <w:rFonts w:hint="eastAsia" w:ascii="仿宋_GB2312" w:hAnsi="仿宋_GB2312" w:eastAsia="仿宋_GB2312" w:cs="仿宋_GB2312"/>
          <w:color w:val="auto"/>
          <w:sz w:val="32"/>
          <w:szCs w:val="32"/>
          <w:highlight w:val="none"/>
        </w:rPr>
        <w:t>结合“三大产业”集聚区建设，配套完善技术转移、检验检测、小试中试等科创服务载体，打造产业专属服务空间。“N点”</w:t>
      </w:r>
      <w:r>
        <w:rPr>
          <w:rFonts w:hint="eastAsia" w:ascii="仿宋_GB2312" w:hAnsi="仿宋_GB2312" w:eastAsia="仿宋_GB2312" w:cs="仿宋_GB2312"/>
          <w:color w:val="auto"/>
          <w:sz w:val="32"/>
          <w:szCs w:val="32"/>
          <w:highlight w:val="none"/>
          <w:lang w:val="en-US" w:eastAsia="zh-CN"/>
        </w:rPr>
        <w:t>是</w:t>
      </w:r>
      <w:r>
        <w:rPr>
          <w:rFonts w:hint="eastAsia" w:ascii="仿宋_GB2312" w:hAnsi="仿宋_GB2312" w:eastAsia="仿宋_GB2312" w:cs="仿宋_GB2312"/>
          <w:color w:val="auto"/>
          <w:sz w:val="32"/>
          <w:szCs w:val="32"/>
          <w:highlight w:val="none"/>
        </w:rPr>
        <w:t>依托人才公寓、商业网点、文体设施等生活服务节点，形成多点分布、便捷高效的园区生活服务网络。</w:t>
      </w:r>
    </w:p>
    <w:p w14:paraId="024A0090">
      <w:pPr>
        <w:spacing w:line="560" w:lineRule="exact"/>
        <w:ind w:firstLine="643"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改善公共服务</w:t>
      </w:r>
      <w:r>
        <w:rPr>
          <w:rFonts w:hint="eastAsia" w:ascii="仿宋_GB2312" w:hAnsi="仿宋_GB2312" w:eastAsia="仿宋_GB2312" w:cs="仿宋_GB2312"/>
          <w:b/>
          <w:bCs/>
          <w:color w:val="auto"/>
          <w:sz w:val="32"/>
          <w:szCs w:val="32"/>
          <w:highlight w:val="none"/>
        </w:rPr>
        <w:t>配套。</w:t>
      </w:r>
      <w:r>
        <w:rPr>
          <w:rFonts w:hint="eastAsia" w:ascii="仿宋_GB2312" w:hAnsi="仿宋_GB2312" w:eastAsia="仿宋_GB2312" w:cs="仿宋_GB2312"/>
          <w:color w:val="auto"/>
          <w:sz w:val="32"/>
          <w:szCs w:val="32"/>
          <w:highlight w:val="none"/>
        </w:rPr>
        <w:t>用好15%配套服务用地，结合存量空间改造打造共享式配套服务空间。推进石龙五期商业配套项目，打造复合功能园区活力中心，导入AI场景、智慧新零售等新科技消费业态，</w:t>
      </w:r>
      <w:r>
        <w:rPr>
          <w:rFonts w:hint="eastAsia" w:ascii="仿宋_GB2312" w:hAnsi="仿宋_GB2312" w:eastAsia="仿宋_GB2312" w:cs="仿宋_GB2312"/>
          <w:color w:val="auto"/>
          <w:sz w:val="32"/>
          <w:szCs w:val="32"/>
          <w:highlight w:val="none"/>
          <w:lang w:eastAsia="zh-Hans" w:bidi="ar"/>
        </w:rPr>
        <w:t>塑造</w:t>
      </w:r>
      <w:r>
        <w:rPr>
          <w:rFonts w:hint="eastAsia" w:ascii="仿宋_GB2312" w:hAnsi="仿宋_GB2312" w:eastAsia="仿宋_GB2312" w:cs="仿宋_GB2312"/>
          <w:color w:val="auto"/>
          <w:sz w:val="32"/>
          <w:szCs w:val="32"/>
          <w:highlight w:val="none"/>
        </w:rPr>
        <w:t>“科技+产业+生活”</w:t>
      </w:r>
      <w:r>
        <w:rPr>
          <w:rFonts w:hint="eastAsia" w:ascii="仿宋_GB2312" w:hAnsi="仿宋_GB2312" w:eastAsia="仿宋_GB2312" w:cs="仿宋_GB2312"/>
          <w:color w:val="auto"/>
          <w:sz w:val="32"/>
          <w:szCs w:val="32"/>
          <w:highlight w:val="none"/>
          <w:lang w:eastAsia="zh-Hans"/>
        </w:rPr>
        <w:t>社群空间</w:t>
      </w:r>
      <w:r>
        <w:rPr>
          <w:rFonts w:hint="eastAsia" w:ascii="仿宋_GB2312" w:hAnsi="仿宋_GB2312" w:eastAsia="仿宋_GB2312" w:cs="仿宋_GB2312"/>
          <w:color w:val="auto"/>
          <w:sz w:val="32"/>
          <w:szCs w:val="32"/>
          <w:highlight w:val="none"/>
        </w:rPr>
        <w:t>。通过功能混合与立体空间复合利用，布局综合服务功能，</w:t>
      </w:r>
      <w:r>
        <w:rPr>
          <w:rFonts w:hint="eastAsia" w:ascii="仿宋_GB2312" w:eastAsia="仿宋_GB2312"/>
          <w:bCs/>
          <w:color w:val="auto"/>
          <w:sz w:val="32"/>
          <w:szCs w:val="32"/>
          <w:highlight w:val="none"/>
          <w:lang w:eastAsia="zh-Hans"/>
        </w:rPr>
        <w:t>强化园区发展与轨道交通</w:t>
      </w:r>
      <w:r>
        <w:rPr>
          <w:rFonts w:hint="eastAsia" w:ascii="仿宋_GB2312" w:eastAsia="仿宋_GB2312"/>
          <w:bCs/>
          <w:color w:val="auto"/>
          <w:sz w:val="32"/>
          <w:szCs w:val="32"/>
          <w:highlight w:val="none"/>
        </w:rPr>
        <w:t>功能联动</w:t>
      </w:r>
      <w:r>
        <w:rPr>
          <w:rFonts w:ascii="仿宋_GB2312" w:eastAsia="仿宋_GB2312"/>
          <w:bCs/>
          <w:color w:val="auto"/>
          <w:sz w:val="32"/>
          <w:szCs w:val="32"/>
          <w:highlight w:val="none"/>
          <w:lang w:eastAsia="zh-Hans"/>
        </w:rPr>
        <w:t>，</w:t>
      </w:r>
      <w:r>
        <w:rPr>
          <w:rFonts w:hint="eastAsia" w:ascii="仿宋_GB2312" w:hAnsi="仿宋_GB2312" w:eastAsia="仿宋_GB2312" w:cs="仿宋_GB2312"/>
          <w:color w:val="auto"/>
          <w:sz w:val="32"/>
          <w:szCs w:val="32"/>
          <w:highlight w:val="none"/>
        </w:rPr>
        <w:t>打造15分钟优质生活圈。</w:t>
      </w:r>
    </w:p>
    <w:p w14:paraId="6C04446A">
      <w:pPr>
        <w:pStyle w:val="11"/>
        <w:widowControl/>
        <w:spacing w:beforeAutospacing="0" w:afterAutospacing="0" w:line="560" w:lineRule="exact"/>
        <w:ind w:firstLine="643" w:firstLineChars="200"/>
        <w:jc w:val="both"/>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构建便捷畅行交通</w:t>
      </w:r>
      <w:r>
        <w:rPr>
          <w:rFonts w:hint="eastAsia" w:ascii="仿宋_GB2312" w:hAnsi="仿宋_GB2312" w:eastAsia="仿宋_GB2312" w:cs="仿宋_GB2312"/>
          <w:b/>
          <w:bCs/>
          <w:color w:val="auto"/>
          <w:sz w:val="32"/>
          <w:szCs w:val="32"/>
          <w:highlight w:val="none"/>
          <w:lang w:val="en-US" w:eastAsia="zh-CN"/>
        </w:rPr>
        <w:t>网络</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color w:val="auto"/>
          <w:sz w:val="32"/>
          <w:szCs w:val="32"/>
          <w:highlight w:val="none"/>
        </w:rPr>
        <w:t>推进西苑路、迎宾大街等城市主次干路建设，不断优化园区及周边路网结构。推进公交站点及线路优化调整，完善园区轨道交通与园区交通接驳体系，畅通园区交通微循环。推进跨河交通线路建设，持续完善城区内部路网体系，加快充电桩等配套基础设施布局，着力提升交通出行环境。</w:t>
      </w:r>
    </w:p>
    <w:p w14:paraId="7AC187E0">
      <w:pPr>
        <w:pStyle w:val="3"/>
        <w:ind w:firstLine="640"/>
        <w:rPr>
          <w:rFonts w:hint="eastAsia" w:ascii="楷体_GB2312" w:hAnsi="楷体_GB2312" w:eastAsia="楷体_GB2312" w:cs="楷体_GB2312"/>
          <w:color w:val="auto"/>
          <w:szCs w:val="32"/>
          <w:highlight w:val="none"/>
        </w:rPr>
      </w:pPr>
      <w:bookmarkStart w:id="1923" w:name="_Toc20006"/>
      <w:bookmarkStart w:id="1924" w:name="_Toc12145"/>
      <w:bookmarkStart w:id="1925" w:name="_Toc23073"/>
      <w:bookmarkStart w:id="1926" w:name="_Toc8739"/>
      <w:bookmarkStart w:id="1927" w:name="_Toc2525"/>
      <w:bookmarkStart w:id="1928" w:name="_Toc10059"/>
      <w:bookmarkStart w:id="1929" w:name="_Toc13785"/>
      <w:bookmarkStart w:id="1930" w:name="_Toc5250"/>
      <w:bookmarkStart w:id="1931" w:name="_Toc8015"/>
      <w:bookmarkStart w:id="1932" w:name="_Toc11987"/>
      <w:bookmarkStart w:id="1933" w:name="_Toc24830"/>
      <w:bookmarkStart w:id="1934" w:name="_Toc25312"/>
      <w:bookmarkStart w:id="1935" w:name="_Toc16620"/>
      <w:bookmarkStart w:id="1936" w:name="_Toc247224027"/>
      <w:bookmarkStart w:id="1937" w:name="_Toc24036"/>
      <w:bookmarkStart w:id="1938" w:name="_Toc25301"/>
      <w:bookmarkStart w:id="1939" w:name="_Toc14782"/>
      <w:bookmarkStart w:id="1940" w:name="_Toc29359"/>
      <w:bookmarkStart w:id="1941" w:name="_Toc25645"/>
      <w:bookmarkStart w:id="1942" w:name="_Toc25320"/>
      <w:bookmarkStart w:id="1943" w:name="_Toc23547"/>
      <w:bookmarkStart w:id="1944" w:name="_Toc5070"/>
      <w:bookmarkStart w:id="1945" w:name="_Toc9872"/>
      <w:bookmarkStart w:id="1946" w:name="_Toc2641"/>
      <w:bookmarkStart w:id="1947" w:name="_Toc7387"/>
      <w:bookmarkStart w:id="1948" w:name="_Toc27481"/>
      <w:bookmarkStart w:id="1949" w:name="_Toc9560"/>
      <w:bookmarkStart w:id="1950" w:name="_Toc9449"/>
      <w:bookmarkStart w:id="1951" w:name="_Toc5800"/>
      <w:bookmarkStart w:id="1952" w:name="_Toc31948"/>
      <w:bookmarkStart w:id="1953" w:name="_Toc2671"/>
      <w:bookmarkStart w:id="1954" w:name="_Toc30726"/>
      <w:bookmarkStart w:id="1955" w:name="_Toc32738"/>
      <w:bookmarkStart w:id="1956" w:name="_Toc21102"/>
      <w:bookmarkStart w:id="1957" w:name="_Toc2574"/>
      <w:bookmarkStart w:id="1958" w:name="_Toc32042"/>
      <w:bookmarkStart w:id="1959" w:name="_Toc18776"/>
      <w:bookmarkStart w:id="1960" w:name="_Toc27748"/>
      <w:bookmarkStart w:id="1961" w:name="_Toc21681"/>
      <w:bookmarkStart w:id="1962" w:name="_Toc30325"/>
      <w:bookmarkStart w:id="1963" w:name="_Toc22204"/>
      <w:bookmarkStart w:id="1964" w:name="_Toc2001"/>
      <w:bookmarkStart w:id="1965" w:name="_Toc6892"/>
      <w:bookmarkStart w:id="1966" w:name="_Toc20425"/>
      <w:bookmarkStart w:id="1967" w:name="_Toc32688"/>
      <w:bookmarkStart w:id="1968" w:name="_Toc32008"/>
      <w:bookmarkStart w:id="1969" w:name="_Toc9936"/>
      <w:bookmarkStart w:id="1970" w:name="_Toc20735"/>
      <w:bookmarkStart w:id="1971" w:name="_Toc14855"/>
      <w:bookmarkStart w:id="1972" w:name="_Toc8354"/>
      <w:bookmarkStart w:id="1973" w:name="_Toc10851"/>
      <w:bookmarkStart w:id="1974" w:name="_Toc20278"/>
      <w:bookmarkStart w:id="1975" w:name="_Toc12046"/>
      <w:bookmarkStart w:id="1976" w:name="_Toc27176"/>
      <w:bookmarkStart w:id="1977" w:name="_Toc32067"/>
      <w:bookmarkStart w:id="1978" w:name="_Toc2737"/>
      <w:bookmarkStart w:id="1979" w:name="_Toc21987"/>
      <w:bookmarkStart w:id="1980" w:name="_Toc1724"/>
      <w:bookmarkStart w:id="1981" w:name="_Toc14755"/>
      <w:bookmarkStart w:id="1982" w:name="_Toc32548"/>
      <w:bookmarkStart w:id="1983" w:name="_Toc32024"/>
      <w:bookmarkStart w:id="1984" w:name="_Toc23070"/>
      <w:bookmarkStart w:id="1985" w:name="_Toc21684"/>
      <w:bookmarkStart w:id="1986" w:name="_Toc23631"/>
      <w:bookmarkStart w:id="1987" w:name="_Toc392"/>
      <w:bookmarkStart w:id="1988" w:name="_Toc30610"/>
      <w:bookmarkStart w:id="1989" w:name="_Toc30344"/>
      <w:bookmarkStart w:id="1990" w:name="_Toc7877"/>
      <w:bookmarkStart w:id="1991" w:name="_Toc17126"/>
      <w:bookmarkStart w:id="1992" w:name="_Toc12340"/>
      <w:bookmarkStart w:id="1993" w:name="_Toc289"/>
      <w:bookmarkStart w:id="1994" w:name="_Toc15815"/>
      <w:bookmarkStart w:id="1995" w:name="_Toc25384"/>
      <w:bookmarkStart w:id="1996" w:name="_Toc5839"/>
      <w:bookmarkStart w:id="1997" w:name="_Toc17430"/>
      <w:bookmarkStart w:id="1998" w:name="_Toc27641"/>
      <w:bookmarkStart w:id="1999" w:name="_Toc17838"/>
      <w:bookmarkStart w:id="2000" w:name="_Toc9394"/>
      <w:bookmarkStart w:id="2001" w:name="_Toc98"/>
      <w:bookmarkStart w:id="2002" w:name="_Toc10579"/>
      <w:bookmarkStart w:id="2003" w:name="_Toc32163"/>
      <w:bookmarkStart w:id="2004" w:name="_Toc19685"/>
      <w:bookmarkStart w:id="2005" w:name="_Toc30883"/>
      <w:bookmarkStart w:id="2006" w:name="_Toc19724"/>
      <w:bookmarkStart w:id="2007" w:name="_Toc19327"/>
      <w:bookmarkStart w:id="2008" w:name="_Toc5331"/>
      <w:bookmarkStart w:id="2009" w:name="_Toc22565"/>
      <w:bookmarkStart w:id="2010" w:name="_Toc31711"/>
      <w:bookmarkStart w:id="2011" w:name="_Toc4077"/>
      <w:r>
        <w:rPr>
          <w:rFonts w:hint="eastAsia" w:ascii="楷体_GB2312" w:hAnsi="楷体_GB2312" w:eastAsia="楷体_GB2312" w:cs="楷体_GB2312"/>
          <w:color w:val="auto"/>
          <w:szCs w:val="32"/>
          <w:highlight w:val="none"/>
        </w:rPr>
        <w:t>（三）打造</w:t>
      </w:r>
      <w:bookmarkEnd w:id="1822"/>
      <w:bookmarkEnd w:id="1823"/>
      <w:bookmarkEnd w:id="1824"/>
      <w:bookmarkEnd w:id="1825"/>
      <w:bookmarkEnd w:id="1826"/>
      <w:bookmarkEnd w:id="1827"/>
      <w:r>
        <w:rPr>
          <w:rFonts w:hint="eastAsia" w:ascii="楷体_GB2312" w:hAnsi="楷体_GB2312" w:eastAsia="楷体_GB2312" w:cs="楷体_GB2312"/>
          <w:color w:val="auto"/>
          <w:szCs w:val="32"/>
          <w:highlight w:val="none"/>
        </w:rPr>
        <w:t>青年发展型活力特色园区</w:t>
      </w:r>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p>
    <w:p w14:paraId="6D868665">
      <w:pPr>
        <w:spacing w:line="560" w:lineRule="exact"/>
        <w:ind w:firstLine="643" w:firstLineChars="200"/>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b/>
          <w:bCs/>
          <w:color w:val="auto"/>
          <w:sz w:val="32"/>
          <w:szCs w:val="40"/>
          <w:highlight w:val="none"/>
          <w:lang w:val="en-US" w:eastAsia="zh-CN"/>
        </w:rPr>
        <w:t>营造</w:t>
      </w:r>
      <w:r>
        <w:rPr>
          <w:rFonts w:hint="eastAsia" w:ascii="仿宋_GB2312" w:hAnsi="仿宋_GB2312" w:eastAsia="仿宋_GB2312" w:cs="仿宋_GB2312"/>
          <w:b/>
          <w:bCs/>
          <w:color w:val="auto"/>
          <w:sz w:val="32"/>
          <w:szCs w:val="40"/>
          <w:highlight w:val="none"/>
        </w:rPr>
        <w:t>开放活力空间。</w:t>
      </w:r>
      <w:r>
        <w:rPr>
          <w:rFonts w:hint="eastAsia" w:ascii="仿宋_GB2312" w:hAnsi="仿宋_GB2312" w:eastAsia="仿宋_GB2312" w:cs="仿宋_GB2312"/>
          <w:color w:val="auto"/>
          <w:sz w:val="32"/>
          <w:szCs w:val="40"/>
          <w:highlight w:val="none"/>
        </w:rPr>
        <w:t>统筹利用好园区内部及周边2公里范围内商业配套和公共服务设施，打造活力生活圈。丰富园区“第三空间”，完善书店、咖啡</w:t>
      </w:r>
      <w:r>
        <w:rPr>
          <w:rFonts w:hint="eastAsia" w:ascii="仿宋_GB2312" w:hAnsi="仿宋_GB2312" w:eastAsia="仿宋_GB2312" w:cs="仿宋_GB2312"/>
          <w:color w:val="auto"/>
          <w:sz w:val="32"/>
          <w:szCs w:val="40"/>
          <w:highlight w:val="none"/>
          <w:lang w:val="en-US" w:eastAsia="zh-CN"/>
        </w:rPr>
        <w:t>店</w:t>
      </w:r>
      <w:r>
        <w:rPr>
          <w:rFonts w:hint="eastAsia" w:ascii="仿宋_GB2312" w:hAnsi="仿宋_GB2312" w:eastAsia="仿宋_GB2312" w:cs="仿宋_GB2312"/>
          <w:color w:val="auto"/>
          <w:sz w:val="32"/>
          <w:szCs w:val="40"/>
          <w:highlight w:val="none"/>
        </w:rPr>
        <w:t>、简餐</w:t>
      </w:r>
      <w:r>
        <w:rPr>
          <w:rFonts w:hint="eastAsia" w:ascii="仿宋_GB2312" w:hAnsi="仿宋_GB2312" w:eastAsia="仿宋_GB2312" w:cs="仿宋_GB2312"/>
          <w:color w:val="auto"/>
          <w:sz w:val="32"/>
          <w:szCs w:val="40"/>
          <w:highlight w:val="none"/>
          <w:lang w:eastAsia="zh-CN"/>
        </w:rPr>
        <w:t>店、</w:t>
      </w:r>
      <w:r>
        <w:rPr>
          <w:rFonts w:hint="eastAsia" w:ascii="仿宋_GB2312" w:hAnsi="仿宋_GB2312" w:eastAsia="仿宋_GB2312" w:cs="仿宋_GB2312"/>
          <w:color w:val="auto"/>
          <w:sz w:val="32"/>
          <w:szCs w:val="40"/>
          <w:highlight w:val="none"/>
        </w:rPr>
        <w:t>文创</w:t>
      </w:r>
      <w:r>
        <w:rPr>
          <w:rFonts w:hint="eastAsia" w:ascii="仿宋_GB2312" w:hAnsi="仿宋_GB2312" w:eastAsia="仿宋_GB2312" w:cs="仿宋_GB2312"/>
          <w:color w:val="auto"/>
          <w:sz w:val="32"/>
          <w:szCs w:val="40"/>
          <w:highlight w:val="none"/>
          <w:lang w:eastAsia="zh-CN"/>
        </w:rPr>
        <w:t>店、</w:t>
      </w:r>
      <w:r>
        <w:rPr>
          <w:rFonts w:hint="eastAsia" w:ascii="仿宋_GB2312" w:hAnsi="仿宋_GB2312" w:eastAsia="仿宋_GB2312" w:cs="仿宋_GB2312"/>
          <w:color w:val="auto"/>
          <w:sz w:val="32"/>
          <w:szCs w:val="40"/>
          <w:highlight w:val="none"/>
        </w:rPr>
        <w:t>便利店、运动</w:t>
      </w:r>
      <w:r>
        <w:rPr>
          <w:rFonts w:hint="eastAsia" w:ascii="仿宋_GB2312" w:hAnsi="仿宋_GB2312" w:eastAsia="仿宋_GB2312" w:cs="仿宋_GB2312"/>
          <w:color w:val="auto"/>
          <w:sz w:val="32"/>
          <w:szCs w:val="40"/>
          <w:highlight w:val="none"/>
          <w:lang w:val="en-US" w:eastAsia="zh-CN"/>
        </w:rPr>
        <w:t>场所</w:t>
      </w:r>
      <w:r>
        <w:rPr>
          <w:rFonts w:hint="eastAsia" w:ascii="仿宋_GB2312" w:hAnsi="仿宋_GB2312" w:eastAsia="仿宋_GB2312" w:cs="仿宋_GB2312"/>
          <w:color w:val="auto"/>
          <w:sz w:val="32"/>
          <w:szCs w:val="40"/>
          <w:highlight w:val="none"/>
        </w:rPr>
        <w:t>等小微公服配套。规划建设青年友好活力场所，打造“人才会客厅”“人才驿站”等交流空间，积极引入青年人喜爱的服务业态。</w:t>
      </w:r>
    </w:p>
    <w:p w14:paraId="5CDED1CB">
      <w:pPr>
        <w:spacing w:line="560" w:lineRule="exact"/>
        <w:ind w:firstLine="643"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40"/>
          <w:highlight w:val="none"/>
          <w:lang w:val="en-US" w:eastAsia="zh-CN"/>
        </w:rPr>
        <w:t>提升</w:t>
      </w:r>
      <w:r>
        <w:rPr>
          <w:rFonts w:hint="eastAsia" w:ascii="仿宋_GB2312" w:hAnsi="仿宋_GB2312" w:eastAsia="仿宋_GB2312" w:cs="仿宋_GB2312"/>
          <w:b/>
          <w:bCs/>
          <w:color w:val="auto"/>
          <w:sz w:val="32"/>
          <w:szCs w:val="40"/>
          <w:highlight w:val="none"/>
        </w:rPr>
        <w:t>宜行宜骑</w:t>
      </w:r>
      <w:r>
        <w:rPr>
          <w:rFonts w:hint="eastAsia" w:ascii="仿宋_GB2312" w:hAnsi="仿宋_GB2312" w:eastAsia="仿宋_GB2312" w:cs="仿宋_GB2312"/>
          <w:b/>
          <w:bCs/>
          <w:color w:val="auto"/>
          <w:sz w:val="32"/>
          <w:szCs w:val="40"/>
          <w:highlight w:val="none"/>
          <w:lang w:val="en-US" w:eastAsia="zh-CN"/>
        </w:rPr>
        <w:t>环境</w:t>
      </w:r>
      <w:r>
        <w:rPr>
          <w:rFonts w:hint="eastAsia" w:ascii="仿宋_GB2312" w:hAnsi="仿宋_GB2312" w:eastAsia="仿宋_GB2312" w:cs="仿宋_GB2312"/>
          <w:b/>
          <w:bCs/>
          <w:color w:val="auto"/>
          <w:sz w:val="32"/>
          <w:szCs w:val="40"/>
          <w:highlight w:val="none"/>
        </w:rPr>
        <w:t>。</w:t>
      </w:r>
      <w:r>
        <w:rPr>
          <w:rFonts w:hint="eastAsia" w:ascii="仿宋_GB2312" w:hAnsi="仿宋_GB2312" w:eastAsia="仿宋_GB2312" w:cs="仿宋_GB2312"/>
          <w:color w:val="auto"/>
          <w:sz w:val="32"/>
          <w:szCs w:val="32"/>
          <w:highlight w:val="none"/>
        </w:rPr>
        <w:t>实施慢行交通优化提升工程，加快步道、骑行道规划建设。打造联通慢行体系，打通“园区—景区”骑行网，植入慢行景观节点，完善慢行配套设施。推进京西智谷周边环境品质提升项目，优化冯村沟、西峰寺沟沟域环境，延伸滨水空间开放共享</w:t>
      </w:r>
      <w:r>
        <w:rPr>
          <w:rFonts w:hint="eastAsia" w:ascii="仿宋_GB2312" w:hAnsi="仿宋_GB2312" w:eastAsia="仿宋_GB2312" w:cs="仿宋_GB2312"/>
          <w:color w:val="auto"/>
          <w:sz w:val="32"/>
          <w:szCs w:val="32"/>
          <w:highlight w:val="none"/>
          <w:lang w:val="en-US" w:eastAsia="zh-CN"/>
        </w:rPr>
        <w:t>范围</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40"/>
          <w:highlight w:val="none"/>
        </w:rPr>
        <w:t>打造活力开放、设施齐全、青年友好、充满创客氛围的水岸空间</w:t>
      </w:r>
      <w:r>
        <w:rPr>
          <w:rFonts w:hint="eastAsia" w:ascii="仿宋_GB2312" w:hAnsi="仿宋_GB2312" w:eastAsia="仿宋_GB2312" w:cs="仿宋_GB2312"/>
          <w:color w:val="auto"/>
          <w:sz w:val="32"/>
          <w:szCs w:val="32"/>
          <w:highlight w:val="none"/>
        </w:rPr>
        <w:t>。</w:t>
      </w:r>
    </w:p>
    <w:p w14:paraId="6B233162">
      <w:pPr>
        <w:spacing w:line="560" w:lineRule="exact"/>
        <w:ind w:firstLine="643"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优化</w:t>
      </w:r>
      <w:r>
        <w:rPr>
          <w:rFonts w:hint="eastAsia" w:ascii="仿宋_GB2312" w:hAnsi="仿宋_GB2312" w:eastAsia="仿宋_GB2312" w:cs="仿宋_GB2312"/>
          <w:b/>
          <w:bCs/>
          <w:color w:val="auto"/>
          <w:sz w:val="32"/>
          <w:szCs w:val="32"/>
          <w:highlight w:val="none"/>
        </w:rPr>
        <w:t>安居服务体系。</w:t>
      </w:r>
      <w:r>
        <w:rPr>
          <w:rFonts w:hint="eastAsia" w:ascii="仿宋_GB2312" w:hAnsi="仿宋_GB2312" w:eastAsia="仿宋_GB2312" w:cs="仿宋_GB2312"/>
          <w:color w:val="auto"/>
          <w:sz w:val="32"/>
          <w:szCs w:val="32"/>
          <w:highlight w:val="none"/>
        </w:rPr>
        <w:t>盘活利用好既有空间资源，推动</w:t>
      </w:r>
      <w:r>
        <w:rPr>
          <w:rFonts w:hint="eastAsia" w:ascii="仿宋_GB2312" w:hAnsi="Times New Roman" w:eastAsia="仿宋_GB2312" w:cs="楷体_GB2312"/>
          <w:color w:val="auto"/>
          <w:sz w:val="32"/>
          <w:szCs w:val="32"/>
          <w:highlight w:val="none"/>
        </w:rPr>
        <w:t>非居住建筑改建</w:t>
      </w:r>
      <w:r>
        <w:rPr>
          <w:rFonts w:hint="eastAsia" w:ascii="仿宋_GB2312" w:hAnsi="仿宋_GB2312" w:eastAsia="仿宋_GB2312" w:cs="仿宋_GB2312"/>
          <w:color w:val="auto"/>
          <w:sz w:val="32"/>
          <w:szCs w:val="32"/>
          <w:highlight w:val="none"/>
        </w:rPr>
        <w:t>，</w:t>
      </w:r>
      <w:r>
        <w:rPr>
          <w:rFonts w:hint="eastAsia" w:ascii="仿宋_GB2312" w:hAnsi="Times New Roman" w:eastAsia="仿宋_GB2312" w:cs="楷体_GB2312"/>
          <w:color w:val="auto"/>
          <w:sz w:val="32"/>
          <w:szCs w:val="32"/>
          <w:highlight w:val="none"/>
        </w:rPr>
        <w:t>增加“一张床”供给</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探索改建青年先锋公寓、高端会议酒店等功能空间。统筹园区周边建设用地，</w:t>
      </w:r>
      <w:r>
        <w:rPr>
          <w:rFonts w:hint="eastAsia" w:ascii="仿宋_GB2312" w:hAnsi="仿宋_GB2312" w:eastAsia="仿宋_GB2312" w:cs="仿宋_GB2312"/>
          <w:color w:val="auto"/>
          <w:sz w:val="32"/>
          <w:szCs w:val="40"/>
          <w:highlight w:val="none"/>
        </w:rPr>
        <w:t>依托</w:t>
      </w:r>
      <w:r>
        <w:rPr>
          <w:rFonts w:hint="eastAsia" w:ascii="仿宋_GB2312" w:hAnsi="仿宋_GB2312" w:eastAsia="仿宋_GB2312" w:cs="仿宋_GB2312"/>
          <w:color w:val="auto"/>
          <w:sz w:val="32"/>
          <w:szCs w:val="40"/>
          <w:highlight w:val="none"/>
          <w:lang w:val="en-US" w:eastAsia="zh-CN"/>
        </w:rPr>
        <w:t>集体租赁住房等资源</w:t>
      </w:r>
      <w:r>
        <w:rPr>
          <w:rFonts w:hint="eastAsia" w:ascii="仿宋_GB2312" w:hAnsi="仿宋_GB2312" w:eastAsia="仿宋_GB2312" w:cs="仿宋_GB2312"/>
          <w:color w:val="auto"/>
          <w:sz w:val="32"/>
          <w:szCs w:val="40"/>
          <w:highlight w:val="none"/>
        </w:rPr>
        <w:t>，</w:t>
      </w:r>
      <w:r>
        <w:rPr>
          <w:rFonts w:hint="eastAsia" w:ascii="仿宋_GB2312" w:hAnsi="仿宋_GB2312" w:eastAsia="仿宋_GB2312" w:cs="仿宋_GB2312"/>
          <w:color w:val="auto"/>
          <w:sz w:val="32"/>
          <w:szCs w:val="32"/>
          <w:highlight w:val="none"/>
        </w:rPr>
        <w:t>为青年人群量身定制居住空间，布局嵌入式文化、休闲等公共服务设施，</w:t>
      </w:r>
      <w:r>
        <w:rPr>
          <w:rFonts w:hint="eastAsia" w:ascii="仿宋_GB2312" w:hAnsi="仿宋_GB2312" w:eastAsia="仿宋_GB2312" w:cs="仿宋_GB2312"/>
          <w:color w:val="auto"/>
          <w:sz w:val="32"/>
          <w:szCs w:val="40"/>
          <w:highlight w:val="none"/>
        </w:rPr>
        <w:t>打造功能复合的人才社区。</w:t>
      </w:r>
    </w:p>
    <w:p w14:paraId="402A783C">
      <w:pPr>
        <w:pStyle w:val="3"/>
        <w:ind w:firstLine="640"/>
        <w:rPr>
          <w:rFonts w:hint="eastAsia" w:ascii="楷体_GB2312" w:hAnsi="楷体_GB2312" w:eastAsia="楷体_GB2312" w:cs="楷体_GB2312"/>
          <w:color w:val="auto"/>
          <w:szCs w:val="32"/>
          <w:highlight w:val="none"/>
        </w:rPr>
      </w:pPr>
      <w:bookmarkStart w:id="2012" w:name="_Toc30910"/>
      <w:bookmarkStart w:id="2013" w:name="_Toc25403"/>
      <w:bookmarkStart w:id="2014" w:name="_Toc30968"/>
      <w:bookmarkStart w:id="2015" w:name="_Toc18429"/>
      <w:bookmarkStart w:id="2016" w:name="_Toc27825"/>
      <w:bookmarkStart w:id="2017" w:name="_Toc24687"/>
      <w:bookmarkStart w:id="2018" w:name="_Toc846"/>
      <w:bookmarkStart w:id="2019" w:name="_Toc11265"/>
      <w:bookmarkStart w:id="2020" w:name="_Toc14702"/>
      <w:bookmarkStart w:id="2021" w:name="_Toc21535"/>
      <w:bookmarkStart w:id="2022" w:name="_Toc18087"/>
      <w:bookmarkStart w:id="2023" w:name="_Toc16372"/>
      <w:bookmarkStart w:id="2024" w:name="_Toc464"/>
      <w:bookmarkStart w:id="2025" w:name="_Toc21710"/>
      <w:bookmarkStart w:id="2026" w:name="_Toc10406"/>
      <w:bookmarkStart w:id="2027" w:name="_Toc17821"/>
      <w:bookmarkStart w:id="2028" w:name="_Toc22173"/>
      <w:bookmarkStart w:id="2029" w:name="_Toc12630"/>
      <w:bookmarkStart w:id="2030" w:name="_Toc9230"/>
      <w:bookmarkStart w:id="2031" w:name="_Toc30635"/>
      <w:bookmarkStart w:id="2032" w:name="_Toc3384"/>
      <w:bookmarkStart w:id="2033" w:name="_Toc23462"/>
      <w:bookmarkStart w:id="2034" w:name="_Toc12103"/>
      <w:bookmarkStart w:id="2035" w:name="_Toc4512"/>
      <w:bookmarkStart w:id="2036" w:name="_Toc13505"/>
      <w:bookmarkStart w:id="2037" w:name="_Toc23568"/>
      <w:bookmarkStart w:id="2038" w:name="_Toc24506"/>
      <w:bookmarkStart w:id="2039" w:name="_Toc21076"/>
      <w:bookmarkStart w:id="2040" w:name="_Toc19700"/>
      <w:bookmarkStart w:id="2041" w:name="_Toc30285"/>
      <w:bookmarkStart w:id="2042" w:name="_Toc10319"/>
      <w:bookmarkStart w:id="2043" w:name="_Toc31511"/>
      <w:bookmarkStart w:id="2044" w:name="_Toc3308"/>
      <w:bookmarkStart w:id="2045" w:name="_Toc6179"/>
      <w:bookmarkStart w:id="2046" w:name="_Toc32716"/>
      <w:bookmarkStart w:id="2047" w:name="_Toc16456"/>
      <w:bookmarkStart w:id="2048" w:name="_Toc29592"/>
      <w:bookmarkStart w:id="2049" w:name="_Toc19288"/>
      <w:bookmarkStart w:id="2050" w:name="_Toc25814"/>
      <w:bookmarkStart w:id="2051" w:name="_Toc7255"/>
      <w:bookmarkStart w:id="2052" w:name="_Toc3571"/>
      <w:bookmarkStart w:id="2053" w:name="_Toc17925"/>
      <w:bookmarkStart w:id="2054" w:name="_Toc2227"/>
      <w:bookmarkStart w:id="2055" w:name="_Toc31998"/>
      <w:bookmarkStart w:id="2056" w:name="_Toc8043"/>
      <w:bookmarkStart w:id="2057" w:name="_Toc23561"/>
      <w:bookmarkStart w:id="2058" w:name="_Toc13343"/>
      <w:bookmarkStart w:id="2059" w:name="_Toc12609"/>
      <w:bookmarkStart w:id="2060" w:name="_Toc22735"/>
      <w:bookmarkStart w:id="2061" w:name="_Toc20593"/>
      <w:bookmarkStart w:id="2062" w:name="_Toc7456"/>
      <w:bookmarkStart w:id="2063" w:name="_Toc13311"/>
      <w:bookmarkStart w:id="2064" w:name="_Toc26618"/>
      <w:bookmarkStart w:id="2065" w:name="_Toc10892"/>
      <w:bookmarkStart w:id="2066" w:name="_Toc14879"/>
      <w:bookmarkStart w:id="2067" w:name="_Toc20446"/>
      <w:bookmarkStart w:id="2068" w:name="_Toc10809"/>
      <w:bookmarkStart w:id="2069" w:name="_Toc473"/>
      <w:bookmarkStart w:id="2070" w:name="_Toc17631"/>
      <w:bookmarkStart w:id="2071" w:name="_Toc17743"/>
      <w:bookmarkStart w:id="2072" w:name="_Toc1860848491"/>
      <w:bookmarkStart w:id="2073" w:name="_Toc29015"/>
      <w:bookmarkStart w:id="2074" w:name="_Toc14593"/>
      <w:bookmarkStart w:id="2075" w:name="_Toc6510"/>
      <w:bookmarkStart w:id="2076" w:name="_Toc29614"/>
      <w:bookmarkStart w:id="2077" w:name="_Toc25640"/>
      <w:bookmarkStart w:id="2078" w:name="_Toc15263"/>
      <w:bookmarkStart w:id="2079" w:name="_Toc27706"/>
      <w:bookmarkStart w:id="2080" w:name="_Toc13358"/>
      <w:bookmarkStart w:id="2081" w:name="_Toc87"/>
      <w:bookmarkStart w:id="2082" w:name="_Toc21405"/>
      <w:bookmarkStart w:id="2083" w:name="_Toc32134"/>
      <w:bookmarkStart w:id="2084" w:name="_Toc32767"/>
      <w:bookmarkStart w:id="2085" w:name="_Toc9475"/>
      <w:bookmarkStart w:id="2086" w:name="_Toc6352"/>
      <w:bookmarkStart w:id="2087" w:name="_Toc18813"/>
      <w:bookmarkStart w:id="2088" w:name="_Toc14630"/>
      <w:bookmarkStart w:id="2089" w:name="_Toc17619"/>
      <w:bookmarkStart w:id="2090" w:name="_Toc6204"/>
      <w:bookmarkStart w:id="2091" w:name="_Toc28373"/>
      <w:bookmarkStart w:id="2092" w:name="_Toc3210"/>
      <w:bookmarkStart w:id="2093" w:name="_Toc31686"/>
      <w:bookmarkStart w:id="2094" w:name="_Toc25497"/>
      <w:bookmarkStart w:id="2095" w:name="_Toc14771"/>
      <w:bookmarkStart w:id="2096" w:name="_Toc20569"/>
      <w:bookmarkStart w:id="2097" w:name="_Toc32315"/>
      <w:bookmarkStart w:id="2098" w:name="_Toc9373"/>
      <w:bookmarkStart w:id="2099" w:name="_Toc15932"/>
      <w:bookmarkStart w:id="2100" w:name="_Toc21697"/>
      <w:bookmarkStart w:id="2101" w:name="_Toc4921"/>
      <w:bookmarkStart w:id="2102" w:name="_Toc24774"/>
      <w:bookmarkStart w:id="2103" w:name="_Toc25804"/>
      <w:bookmarkStart w:id="2104" w:name="_Toc2470"/>
      <w:bookmarkStart w:id="2105" w:name="_Toc27953"/>
      <w:bookmarkStart w:id="2106" w:name="_Toc22562"/>
      <w:r>
        <w:rPr>
          <w:rFonts w:hint="eastAsia" w:ascii="楷体_GB2312" w:hAnsi="楷体_GB2312" w:eastAsia="楷体_GB2312" w:cs="楷体_GB2312"/>
          <w:color w:val="auto"/>
          <w:szCs w:val="32"/>
          <w:highlight w:val="none"/>
        </w:rPr>
        <w:t>（四）建设绿色</w:t>
      </w:r>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r>
        <w:rPr>
          <w:rFonts w:hint="eastAsia" w:ascii="楷体_GB2312" w:hAnsi="楷体_GB2312" w:eastAsia="楷体_GB2312" w:cs="楷体_GB2312"/>
          <w:color w:val="auto"/>
          <w:szCs w:val="32"/>
          <w:highlight w:val="none"/>
        </w:rPr>
        <w:t>数智发展的园区样板</w:t>
      </w:r>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p>
    <w:p w14:paraId="3853648C">
      <w:pPr>
        <w:pStyle w:val="11"/>
        <w:widowControl/>
        <w:spacing w:beforeAutospacing="0" w:afterAutospacing="0" w:line="560" w:lineRule="exact"/>
        <w:ind w:firstLine="643" w:firstLineChars="20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打造绿色低碳的生态园区。</w:t>
      </w:r>
      <w:r>
        <w:rPr>
          <w:rFonts w:hint="eastAsia" w:ascii="仿宋_GB2312" w:hAnsi="仿宋_GB2312" w:eastAsia="仿宋_GB2312" w:cs="仿宋_GB2312"/>
          <w:color w:val="auto"/>
          <w:sz w:val="32"/>
          <w:szCs w:val="32"/>
          <w:highlight w:val="none"/>
        </w:rPr>
        <w:t>提升园区绿化景观体系，构建连续的绿地、水系和生态廊道，打造推窗见绿、移步见景的花园式园区。推进中央广播电视总台超高清示范园周边公园建设</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加快建</w:t>
      </w:r>
      <w:r>
        <w:rPr>
          <w:rFonts w:hint="eastAsia" w:ascii="仿宋_GB2312" w:hAnsi="仿宋_GB2312" w:eastAsia="仿宋_GB2312" w:cs="仿宋_GB2312"/>
          <w:color w:val="auto"/>
          <w:sz w:val="32"/>
          <w:szCs w:val="32"/>
          <w:highlight w:val="none"/>
          <w:lang w:val="en-US" w:eastAsia="zh-CN"/>
        </w:rPr>
        <w:t>成</w:t>
      </w:r>
      <w:r>
        <w:rPr>
          <w:rFonts w:hint="eastAsia" w:ascii="仿宋_GB2312" w:hAnsi="仿宋_GB2312" w:eastAsia="仿宋_GB2312" w:cs="仿宋_GB2312"/>
          <w:color w:val="auto"/>
          <w:sz w:val="32"/>
          <w:szCs w:val="32"/>
          <w:highlight w:val="none"/>
        </w:rPr>
        <w:t>人工智能科技园能源中心项目，提升改造京西智谷绿色低碳基础设施，推进绿电示范应用，打造全市领先的低碳示范园区。</w:t>
      </w:r>
    </w:p>
    <w:p w14:paraId="72452506">
      <w:pPr>
        <w:pStyle w:val="11"/>
        <w:widowControl/>
        <w:spacing w:beforeAutospacing="0" w:afterAutospacing="0" w:line="560" w:lineRule="exact"/>
        <w:ind w:firstLine="643" w:firstLineChars="200"/>
        <w:rPr>
          <w:rFonts w:hint="eastAsia" w:ascii="仿宋_GB2312" w:hAnsi="仿宋_GB2312" w:eastAsia="仿宋_GB2312" w:cs="仿宋_GB2312"/>
          <w:color w:val="auto"/>
          <w:sz w:val="32"/>
          <w:szCs w:val="32"/>
          <w:highlight w:val="none"/>
        </w:rPr>
      </w:pPr>
      <w:bookmarkStart w:id="2107" w:name="_Toc19189"/>
      <w:bookmarkStart w:id="2108" w:name="_Toc12984"/>
      <w:bookmarkStart w:id="2109" w:name="_Toc26862"/>
      <w:bookmarkStart w:id="2110" w:name="_Toc15857"/>
      <w:bookmarkStart w:id="2111" w:name="_Toc29195"/>
      <w:bookmarkStart w:id="2112" w:name="_Toc6237"/>
      <w:bookmarkStart w:id="2113" w:name="_Toc30851"/>
      <w:bookmarkStart w:id="2114" w:name="_Toc19919"/>
      <w:bookmarkStart w:id="2115" w:name="_Toc8880"/>
      <w:bookmarkStart w:id="2116" w:name="_Toc5609"/>
      <w:bookmarkStart w:id="2117" w:name="_Toc32199"/>
      <w:bookmarkStart w:id="2118" w:name="_Toc27321"/>
      <w:bookmarkStart w:id="2119" w:name="_Toc4489"/>
      <w:bookmarkStart w:id="2120" w:name="_Toc1673"/>
      <w:bookmarkStart w:id="2121" w:name="_Toc20020"/>
      <w:bookmarkStart w:id="2122" w:name="_Toc3472"/>
      <w:bookmarkStart w:id="2123" w:name="_Toc1000"/>
      <w:bookmarkStart w:id="2124" w:name="_Toc26314"/>
      <w:bookmarkStart w:id="2125" w:name="_Toc3411"/>
      <w:bookmarkStart w:id="2126" w:name="_Toc20820"/>
      <w:bookmarkStart w:id="2127" w:name="_Toc17498"/>
      <w:bookmarkStart w:id="2128" w:name="_Toc13819"/>
      <w:bookmarkStart w:id="2129" w:name="_Toc8797"/>
      <w:bookmarkStart w:id="2130" w:name="_Toc14126"/>
      <w:bookmarkStart w:id="2131" w:name="_Toc239"/>
      <w:bookmarkStart w:id="2132" w:name="_Toc32301"/>
      <w:bookmarkStart w:id="2133" w:name="_Toc1164"/>
      <w:bookmarkStart w:id="2134" w:name="_Toc17998"/>
      <w:bookmarkStart w:id="2135" w:name="_Toc21165"/>
      <w:bookmarkStart w:id="2136" w:name="_Toc10407"/>
      <w:bookmarkStart w:id="2137" w:name="_Toc17502"/>
      <w:bookmarkStart w:id="2138" w:name="_Toc7357"/>
      <w:bookmarkStart w:id="2139" w:name="_Toc10223"/>
      <w:bookmarkStart w:id="2140" w:name="_Toc17530"/>
      <w:bookmarkStart w:id="2141" w:name="_Toc9737"/>
      <w:bookmarkStart w:id="2142" w:name="_Toc7307"/>
      <w:bookmarkStart w:id="2143" w:name="_Toc15732"/>
      <w:bookmarkStart w:id="2144" w:name="_Toc16141"/>
      <w:bookmarkStart w:id="2145" w:name="_Toc1269"/>
      <w:bookmarkStart w:id="2146" w:name="_Toc27643"/>
      <w:bookmarkStart w:id="2147" w:name="_Toc4094"/>
      <w:bookmarkStart w:id="2148" w:name="_Toc32068"/>
      <w:bookmarkStart w:id="2149" w:name="_Toc7717"/>
      <w:bookmarkStart w:id="2150" w:name="_Toc20823"/>
      <w:bookmarkStart w:id="2151" w:name="_Toc16319"/>
      <w:bookmarkStart w:id="2152" w:name="_Toc10542"/>
      <w:bookmarkStart w:id="2153" w:name="_Toc21530"/>
      <w:bookmarkStart w:id="2154" w:name="_Toc1821"/>
      <w:bookmarkStart w:id="2155" w:name="_Toc8185"/>
      <w:bookmarkStart w:id="2156" w:name="_Toc3876"/>
      <w:bookmarkStart w:id="2157" w:name="_Toc1574"/>
      <w:bookmarkStart w:id="2158" w:name="_Toc26876"/>
      <w:bookmarkStart w:id="2159" w:name="_Toc26099"/>
      <w:r>
        <w:rPr>
          <w:rFonts w:hint="eastAsia" w:ascii="仿宋_GB2312" w:hAnsi="仿宋_GB2312" w:eastAsia="仿宋_GB2312" w:cs="仿宋_GB2312"/>
          <w:b/>
          <w:bCs/>
          <w:color w:val="auto"/>
          <w:sz w:val="32"/>
          <w:szCs w:val="32"/>
          <w:highlight w:val="none"/>
          <w:lang w:val="en-US" w:eastAsia="zh-CN"/>
        </w:rPr>
        <w:t>建设</w:t>
      </w:r>
      <w:r>
        <w:rPr>
          <w:rFonts w:hint="eastAsia" w:ascii="仿宋_GB2312" w:hAnsi="仿宋_GB2312" w:eastAsia="仿宋_GB2312" w:cs="仿宋_GB2312"/>
          <w:b/>
          <w:bCs/>
          <w:color w:val="auto"/>
          <w:sz w:val="32"/>
          <w:szCs w:val="32"/>
          <w:highlight w:val="none"/>
        </w:rPr>
        <w:t>面向未来的数智园区</w:t>
      </w:r>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color w:val="auto"/>
          <w:sz w:val="32"/>
          <w:szCs w:val="32"/>
          <w:highlight w:val="none"/>
        </w:rPr>
        <w:t>搭建“园区大脑”平台，整合企业信息资源，构建企业信息数据库、数智化服务平台和智慧管理平台，形成“数字驾驶舱+场景化应用”模式。规划适配数字智能技术应用的“超级场景”，推进新技术新产品测试应用，为科技企业提供“试验场”与“首秀台”。适度超前布局数字新基建，加快IPv6、NB-IoT等部署，夯实园区数字底座。</w:t>
      </w:r>
    </w:p>
    <w:p w14:paraId="32C13A7F">
      <w:pPr>
        <w:pStyle w:val="2"/>
        <w:numPr>
          <w:ilvl w:val="0"/>
          <w:numId w:val="0"/>
        </w:numPr>
        <w:snapToGrid w:val="0"/>
        <w:ind w:firstLine="640"/>
        <w:jc w:val="left"/>
        <w:rPr>
          <w:rFonts w:hint="eastAsia" w:ascii="黑体" w:hAnsi="黑体" w:eastAsia="黑体" w:cs="黑体"/>
          <w:color w:val="auto"/>
          <w:szCs w:val="32"/>
          <w:highlight w:val="none"/>
        </w:rPr>
      </w:pPr>
      <w:bookmarkStart w:id="2160" w:name="_Toc18121"/>
      <w:bookmarkStart w:id="2161" w:name="_Toc27925"/>
      <w:bookmarkStart w:id="2162" w:name="_Toc4977"/>
      <w:bookmarkStart w:id="2163" w:name="_Toc27450"/>
      <w:bookmarkStart w:id="2164" w:name="_Toc22154"/>
      <w:bookmarkStart w:id="2165" w:name="_Toc14349"/>
      <w:bookmarkStart w:id="2166" w:name="_Toc9882"/>
      <w:bookmarkStart w:id="2167" w:name="_Toc22436"/>
      <w:bookmarkStart w:id="2168" w:name="_Toc30247"/>
      <w:bookmarkStart w:id="2169" w:name="_Toc21214"/>
      <w:bookmarkStart w:id="2170" w:name="_Toc20351"/>
      <w:bookmarkStart w:id="2171" w:name="_Toc12552"/>
      <w:bookmarkStart w:id="2172" w:name="_Toc6477"/>
      <w:bookmarkStart w:id="2173" w:name="_Toc11373"/>
      <w:bookmarkStart w:id="2174" w:name="_Toc24273"/>
      <w:bookmarkStart w:id="2175" w:name="_Toc11244"/>
      <w:bookmarkStart w:id="2176" w:name="_Toc16575"/>
      <w:bookmarkStart w:id="2177" w:name="_Toc2079"/>
      <w:bookmarkStart w:id="2178" w:name="_Toc14179"/>
      <w:bookmarkStart w:id="2179" w:name="_Toc19359"/>
      <w:bookmarkStart w:id="2180" w:name="_Toc7871"/>
      <w:bookmarkStart w:id="2181" w:name="_Toc13319"/>
      <w:bookmarkStart w:id="2182" w:name="_Toc9409"/>
      <w:bookmarkStart w:id="2183" w:name="_Toc774"/>
      <w:bookmarkStart w:id="2184" w:name="_Toc8061"/>
      <w:bookmarkStart w:id="2185" w:name="_Toc32386"/>
      <w:bookmarkStart w:id="2186" w:name="_Toc18331"/>
      <w:bookmarkStart w:id="2187" w:name="_Toc1915"/>
      <w:bookmarkStart w:id="2188" w:name="_Toc16990"/>
      <w:bookmarkStart w:id="2189" w:name="_Toc5466"/>
      <w:bookmarkStart w:id="2190" w:name="_Toc3809"/>
      <w:bookmarkStart w:id="2191" w:name="_Toc5941"/>
      <w:bookmarkStart w:id="2192" w:name="_Toc16349"/>
      <w:bookmarkStart w:id="2193" w:name="_Toc17579"/>
      <w:bookmarkStart w:id="2194" w:name="_Toc30314"/>
      <w:bookmarkStart w:id="2195" w:name="_Toc6927"/>
      <w:bookmarkStart w:id="2196" w:name="_Toc8286"/>
      <w:bookmarkStart w:id="2197" w:name="_Toc27771"/>
      <w:bookmarkStart w:id="2198" w:name="_Toc2647"/>
      <w:bookmarkStart w:id="2199" w:name="_Toc29496"/>
      <w:bookmarkStart w:id="2200" w:name="_Toc24877"/>
      <w:bookmarkStart w:id="2201" w:name="_Toc20422"/>
      <w:bookmarkStart w:id="2202" w:name="_Toc30698"/>
      <w:bookmarkStart w:id="2203" w:name="_Toc31857"/>
      <w:bookmarkStart w:id="2204" w:name="_Toc20168"/>
      <w:bookmarkStart w:id="2205" w:name="_Toc24951"/>
      <w:bookmarkStart w:id="2206" w:name="_Toc30299"/>
      <w:bookmarkStart w:id="2207" w:name="_Toc2904"/>
      <w:bookmarkStart w:id="2208" w:name="_Toc10618"/>
      <w:bookmarkStart w:id="2209" w:name="_Toc11416"/>
      <w:bookmarkStart w:id="2210" w:name="_Toc10721"/>
      <w:bookmarkStart w:id="2211" w:name="_Toc30581"/>
      <w:bookmarkStart w:id="2212" w:name="_Toc1476236976"/>
      <w:bookmarkStart w:id="2213" w:name="_Toc7333"/>
      <w:bookmarkStart w:id="2214" w:name="_Toc30164"/>
      <w:bookmarkStart w:id="2215" w:name="_Toc3259"/>
      <w:bookmarkStart w:id="2216" w:name="_Toc13318"/>
      <w:bookmarkStart w:id="2217" w:name="_Toc1606"/>
      <w:bookmarkStart w:id="2218" w:name="_Toc24059"/>
      <w:bookmarkStart w:id="2219" w:name="_Toc25438"/>
      <w:bookmarkStart w:id="2220" w:name="_Toc451"/>
      <w:bookmarkStart w:id="2221" w:name="_Toc19354"/>
      <w:bookmarkStart w:id="2222" w:name="_Toc29815"/>
      <w:bookmarkStart w:id="2223" w:name="_Toc20236"/>
      <w:bookmarkStart w:id="2224" w:name="_Toc11004"/>
      <w:bookmarkStart w:id="2225" w:name="_Toc20366"/>
      <w:bookmarkStart w:id="2226" w:name="_Toc18448"/>
      <w:bookmarkStart w:id="2227" w:name="_Toc32678"/>
      <w:bookmarkStart w:id="2228" w:name="_Toc15893"/>
      <w:bookmarkStart w:id="2229" w:name="_Toc29254"/>
      <w:bookmarkStart w:id="2230" w:name="_Toc446"/>
      <w:bookmarkStart w:id="2231" w:name="_Toc16331"/>
      <w:bookmarkStart w:id="2232" w:name="_Toc20049"/>
      <w:bookmarkStart w:id="2233" w:name="_Toc25876"/>
      <w:bookmarkStart w:id="2234" w:name="_Toc23241"/>
      <w:bookmarkStart w:id="2235" w:name="_Toc29013"/>
      <w:bookmarkStart w:id="2236" w:name="_Toc9338"/>
      <w:bookmarkStart w:id="2237" w:name="_Toc7606"/>
      <w:bookmarkStart w:id="2238" w:name="_Toc19485"/>
      <w:bookmarkStart w:id="2239" w:name="_Toc21279"/>
      <w:bookmarkStart w:id="2240" w:name="_Toc15774"/>
      <w:bookmarkStart w:id="2241" w:name="_Toc2002"/>
      <w:bookmarkStart w:id="2242" w:name="_Toc3975"/>
      <w:bookmarkStart w:id="2243" w:name="_Toc4604"/>
      <w:bookmarkStart w:id="2244" w:name="_Toc3106"/>
      <w:bookmarkStart w:id="2245" w:name="_Toc12039"/>
      <w:bookmarkStart w:id="2246" w:name="_Toc8778"/>
      <w:bookmarkStart w:id="2247" w:name="_Toc22519"/>
      <w:bookmarkStart w:id="2248" w:name="_Toc855"/>
      <w:bookmarkStart w:id="2249" w:name="_Toc27301"/>
      <w:bookmarkStart w:id="2250" w:name="_Toc22238"/>
      <w:bookmarkStart w:id="2251" w:name="_Toc9206"/>
      <w:bookmarkStart w:id="2252" w:name="_Toc30853"/>
      <w:bookmarkStart w:id="2253" w:name="_Toc11522"/>
      <w:bookmarkStart w:id="2254" w:name="_Toc9760"/>
      <w:r>
        <w:rPr>
          <w:rFonts w:hint="eastAsia" w:ascii="黑体" w:hAnsi="黑体" w:eastAsia="黑体" w:cs="黑体"/>
          <w:color w:val="auto"/>
          <w:kern w:val="44"/>
          <w:sz w:val="32"/>
          <w:szCs w:val="32"/>
          <w:highlight w:val="none"/>
          <w:lang w:val="en-US" w:eastAsia="zh-CN" w:bidi="ar-SA"/>
        </w:rPr>
        <w:t>八、</w:t>
      </w:r>
      <w:r>
        <w:rPr>
          <w:rFonts w:hint="eastAsia" w:ascii="黑体" w:hAnsi="黑体" w:eastAsia="黑体" w:cs="黑体"/>
          <w:color w:val="auto"/>
          <w:szCs w:val="32"/>
          <w:highlight w:val="none"/>
        </w:rPr>
        <w:t>完善服务，打造具有竞争力的营商环境</w:t>
      </w:r>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p>
    <w:p w14:paraId="5E4063D9">
      <w:pPr>
        <w:pStyle w:val="3"/>
        <w:ind w:firstLine="640"/>
        <w:rPr>
          <w:rFonts w:hint="eastAsia" w:ascii="楷体_GB2312" w:hAnsi="楷体_GB2312" w:eastAsia="楷体_GB2312" w:cs="楷体_GB2312"/>
          <w:color w:val="auto"/>
          <w:szCs w:val="32"/>
          <w:highlight w:val="none"/>
        </w:rPr>
      </w:pPr>
      <w:bookmarkStart w:id="2255" w:name="_Toc11181"/>
      <w:bookmarkStart w:id="2256" w:name="_Toc11381"/>
      <w:bookmarkStart w:id="2257" w:name="_Toc2940"/>
      <w:bookmarkStart w:id="2258" w:name="_Toc30470"/>
      <w:bookmarkStart w:id="2259" w:name="_Toc1236281841"/>
      <w:bookmarkStart w:id="2260" w:name="_Toc21815"/>
      <w:bookmarkStart w:id="2261" w:name="_Toc31283"/>
      <w:bookmarkStart w:id="2262" w:name="_Toc3488"/>
      <w:bookmarkStart w:id="2263" w:name="_Toc5154"/>
      <w:bookmarkStart w:id="2264" w:name="_Toc9715"/>
      <w:bookmarkStart w:id="2265" w:name="_Toc16520"/>
      <w:bookmarkStart w:id="2266" w:name="_Toc5493"/>
      <w:bookmarkStart w:id="2267" w:name="_Toc21548"/>
      <w:bookmarkStart w:id="2268" w:name="_Toc6445"/>
      <w:bookmarkStart w:id="2269" w:name="_Toc28204"/>
      <w:bookmarkStart w:id="2270" w:name="_Toc14743"/>
      <w:bookmarkStart w:id="2271" w:name="_Toc8692"/>
      <w:bookmarkStart w:id="2272" w:name="_Toc27363"/>
      <w:bookmarkStart w:id="2273" w:name="_Toc2487"/>
      <w:bookmarkStart w:id="2274" w:name="_Toc29331"/>
      <w:bookmarkStart w:id="2275" w:name="_Toc28194"/>
      <w:bookmarkStart w:id="2276" w:name="_Toc17526"/>
      <w:bookmarkStart w:id="2277" w:name="_Toc28765"/>
      <w:bookmarkStart w:id="2278" w:name="_Toc29612"/>
      <w:bookmarkStart w:id="2279" w:name="_Toc2795"/>
      <w:bookmarkStart w:id="2280" w:name="_Toc19477"/>
      <w:bookmarkStart w:id="2281" w:name="_Toc24938"/>
      <w:bookmarkStart w:id="2282" w:name="_Toc853"/>
      <w:bookmarkStart w:id="2283" w:name="_Toc14137"/>
      <w:bookmarkStart w:id="2284" w:name="_Toc4495"/>
      <w:bookmarkStart w:id="2285" w:name="_Toc11893"/>
      <w:bookmarkStart w:id="2286" w:name="_Toc14947"/>
      <w:bookmarkStart w:id="2287" w:name="_Toc17666"/>
      <w:bookmarkStart w:id="2288" w:name="_Toc11488"/>
      <w:bookmarkStart w:id="2289" w:name="_Toc24690"/>
      <w:bookmarkStart w:id="2290" w:name="_Toc22880"/>
      <w:bookmarkStart w:id="2291" w:name="_Toc10157"/>
      <w:bookmarkStart w:id="2292" w:name="_Toc16657"/>
      <w:bookmarkStart w:id="2293" w:name="_Toc19823"/>
      <w:bookmarkStart w:id="2294" w:name="_Toc9697"/>
      <w:bookmarkStart w:id="2295" w:name="_Toc10526"/>
      <w:bookmarkStart w:id="2296" w:name="_Toc22629"/>
      <w:bookmarkStart w:id="2297" w:name="_Toc26711"/>
      <w:bookmarkStart w:id="2298" w:name="_Toc3128"/>
      <w:bookmarkStart w:id="2299" w:name="_Toc14034"/>
      <w:bookmarkStart w:id="2300" w:name="_Toc21642"/>
      <w:bookmarkStart w:id="2301" w:name="_Toc29730"/>
      <w:bookmarkStart w:id="2302" w:name="_Toc28679"/>
      <w:bookmarkStart w:id="2303" w:name="_Toc19125"/>
      <w:bookmarkStart w:id="2304" w:name="_Toc10039"/>
      <w:bookmarkStart w:id="2305" w:name="_Toc11626"/>
      <w:bookmarkStart w:id="2306" w:name="_Toc28895"/>
      <w:bookmarkStart w:id="2307" w:name="_Toc5642"/>
      <w:bookmarkStart w:id="2308" w:name="_Toc12266"/>
      <w:bookmarkStart w:id="2309" w:name="_Toc15590"/>
      <w:bookmarkStart w:id="2310" w:name="_Toc31354"/>
      <w:bookmarkStart w:id="2311" w:name="_Toc26193"/>
      <w:bookmarkStart w:id="2312" w:name="_Toc18962"/>
      <w:bookmarkStart w:id="2313" w:name="_Toc6816"/>
      <w:bookmarkStart w:id="2314" w:name="_Toc19379"/>
      <w:bookmarkStart w:id="2315" w:name="_Toc19480"/>
      <w:bookmarkStart w:id="2316" w:name="_Toc5874"/>
      <w:bookmarkStart w:id="2317" w:name="_Toc24858"/>
      <w:bookmarkStart w:id="2318" w:name="_Toc4892"/>
      <w:bookmarkStart w:id="2319" w:name="_Toc15733"/>
      <w:bookmarkStart w:id="2320" w:name="_Toc6860"/>
      <w:bookmarkStart w:id="2321" w:name="_Toc29673"/>
      <w:bookmarkStart w:id="2322" w:name="_Toc7464"/>
      <w:r>
        <w:rPr>
          <w:rFonts w:hint="eastAsia" w:ascii="楷体_GB2312" w:hAnsi="楷体_GB2312" w:eastAsia="楷体_GB2312" w:cs="楷体_GB2312"/>
          <w:color w:val="auto"/>
          <w:szCs w:val="32"/>
          <w:highlight w:val="none"/>
        </w:rPr>
        <w:t>（一）</w:t>
      </w:r>
      <w:r>
        <w:rPr>
          <w:rFonts w:ascii="楷体_GB2312" w:hAnsi="楷体_GB2312" w:eastAsia="楷体_GB2312" w:cs="楷体_GB2312"/>
          <w:color w:val="auto"/>
          <w:szCs w:val="32"/>
          <w:highlight w:val="none"/>
        </w:rPr>
        <w:t>构建高效协同的</w:t>
      </w:r>
      <w:r>
        <w:rPr>
          <w:rFonts w:hint="eastAsia" w:ascii="楷体_GB2312" w:hAnsi="楷体_GB2312" w:eastAsia="楷体_GB2312" w:cs="楷体_GB2312"/>
          <w:color w:val="auto"/>
          <w:szCs w:val="32"/>
          <w:highlight w:val="none"/>
        </w:rPr>
        <w:t>园区</w:t>
      </w:r>
      <w:r>
        <w:rPr>
          <w:rFonts w:ascii="楷体_GB2312" w:hAnsi="楷体_GB2312" w:eastAsia="楷体_GB2312" w:cs="楷体_GB2312"/>
          <w:color w:val="auto"/>
          <w:szCs w:val="32"/>
          <w:highlight w:val="none"/>
        </w:rPr>
        <w:t>服务体系</w:t>
      </w:r>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p>
    <w:p w14:paraId="67436507">
      <w:pPr>
        <w:spacing w:line="560" w:lineRule="exact"/>
        <w:ind w:firstLine="643" w:firstLineChars="200"/>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b/>
          <w:bCs/>
          <w:color w:val="auto"/>
          <w:sz w:val="32"/>
          <w:szCs w:val="40"/>
          <w:highlight w:val="none"/>
        </w:rPr>
        <w:t>打造园区服务“大前台”。</w:t>
      </w:r>
      <w:r>
        <w:rPr>
          <w:rFonts w:hint="eastAsia" w:ascii="仿宋_GB2312" w:hAnsi="仿宋_GB2312" w:eastAsia="仿宋_GB2312" w:cs="仿宋_GB2312"/>
          <w:color w:val="auto"/>
          <w:sz w:val="32"/>
          <w:szCs w:val="40"/>
          <w:highlight w:val="none"/>
        </w:rPr>
        <w:t>统筹服务资源，围绕园区重点企业建立动态更新的企业服务台账。构建“多部门+多渠道”联动的全链条企业服务体系，持续深化“行业龙头+服务包+网格化”服务模式，搭建由园区管委会牵头</w:t>
      </w:r>
      <w:r>
        <w:rPr>
          <w:rFonts w:hint="eastAsia" w:ascii="仿宋_GB2312" w:hAnsi="仿宋_GB2312" w:eastAsia="仿宋_GB2312" w:cs="仿宋_GB2312"/>
          <w:color w:val="auto"/>
          <w:sz w:val="32"/>
          <w:szCs w:val="40"/>
          <w:highlight w:val="none"/>
          <w:lang w:eastAsia="zh-CN"/>
        </w:rPr>
        <w:t>、</w:t>
      </w:r>
      <w:r>
        <w:rPr>
          <w:rFonts w:hint="eastAsia" w:ascii="仿宋_GB2312" w:hAnsi="仿宋_GB2312" w:eastAsia="仿宋_GB2312" w:cs="仿宋_GB2312"/>
          <w:color w:val="auto"/>
          <w:sz w:val="32"/>
          <w:szCs w:val="40"/>
          <w:highlight w:val="none"/>
        </w:rPr>
        <w:t>其他行业单位协同联动的园区服务矩阵，完善“收集、反馈、研讨、解决、跟踪”的全流程服务机制。</w:t>
      </w:r>
    </w:p>
    <w:p w14:paraId="1F87BEA6">
      <w:pPr>
        <w:spacing w:line="560" w:lineRule="exact"/>
        <w:ind w:firstLine="643" w:firstLineChars="200"/>
        <w:rPr>
          <w:rFonts w:hint="eastAsia" w:ascii="仿宋_GB2312" w:hAnsi="仿宋_GB2312" w:eastAsia="仿宋_GB2312" w:cs="仿宋_GB2312"/>
          <w:color w:val="auto"/>
          <w:sz w:val="32"/>
          <w:szCs w:val="40"/>
          <w:highlight w:val="none"/>
        </w:rPr>
      </w:pPr>
      <w:r>
        <w:rPr>
          <w:rFonts w:hint="eastAsia" w:ascii="Calibri" w:hAnsi="Calibri" w:eastAsia="仿宋_GB2312" w:cs="Times New Roman"/>
          <w:b/>
          <w:bCs/>
          <w:color w:val="auto"/>
          <w:sz w:val="32"/>
          <w:highlight w:val="none"/>
        </w:rPr>
        <w:t>全面提升园区服务效能。</w:t>
      </w:r>
      <w:r>
        <w:rPr>
          <w:rFonts w:hint="eastAsia" w:ascii="仿宋_GB2312" w:hAnsi="仿宋_GB2312" w:eastAsia="仿宋_GB2312" w:cs="仿宋_GB2312"/>
          <w:color w:val="auto"/>
          <w:sz w:val="32"/>
          <w:szCs w:val="40"/>
          <w:highlight w:val="none"/>
        </w:rPr>
        <w:t>提升企业服务中心功能，升级“京西智谷”小程序功能，整合线上与线下服务入口，实现“企业办事不出园”。建立企业需求精准匹配机制，推行重点企业“服务管家”机制，提供“点单式”上门服务。促进政策服务集成供给，形成“园区普惠政策工具包”，推行“免申即享、直达快享”模式，确保政策红利精准直达市场主体。</w:t>
      </w:r>
    </w:p>
    <w:p w14:paraId="35A99882">
      <w:pPr>
        <w:pStyle w:val="3"/>
        <w:ind w:firstLine="640"/>
        <w:rPr>
          <w:rFonts w:hint="eastAsia" w:ascii="楷体_GB2312" w:hAnsi="楷体_GB2312" w:eastAsia="楷体_GB2312" w:cs="楷体_GB2312"/>
          <w:color w:val="auto"/>
          <w:szCs w:val="32"/>
          <w:highlight w:val="none"/>
        </w:rPr>
      </w:pPr>
      <w:bookmarkStart w:id="2323" w:name="_Toc14972"/>
      <w:bookmarkStart w:id="2324" w:name="_Toc6738"/>
      <w:bookmarkStart w:id="2325" w:name="_Toc21857"/>
      <w:bookmarkStart w:id="2326" w:name="_Toc2815"/>
      <w:bookmarkStart w:id="2327" w:name="_Toc30068"/>
      <w:bookmarkStart w:id="2328" w:name="_Toc1389"/>
      <w:bookmarkStart w:id="2329" w:name="_Toc3413"/>
      <w:bookmarkStart w:id="2330" w:name="_Toc30328"/>
      <w:bookmarkStart w:id="2331" w:name="_Toc27619"/>
      <w:bookmarkStart w:id="2332" w:name="_Toc21647"/>
      <w:bookmarkStart w:id="2333" w:name="_Toc3501"/>
      <w:bookmarkStart w:id="2334" w:name="_Toc30197"/>
      <w:bookmarkStart w:id="2335" w:name="_Toc1595"/>
      <w:bookmarkStart w:id="2336" w:name="_Toc2485"/>
      <w:bookmarkStart w:id="2337" w:name="_Toc26087"/>
      <w:bookmarkStart w:id="2338" w:name="_Toc25560"/>
      <w:bookmarkStart w:id="2339" w:name="_Toc715"/>
      <w:bookmarkStart w:id="2340" w:name="_Toc29644"/>
      <w:bookmarkStart w:id="2341" w:name="_Toc26259"/>
      <w:bookmarkStart w:id="2342" w:name="_Toc11815"/>
      <w:bookmarkStart w:id="2343" w:name="_Toc29398"/>
      <w:bookmarkStart w:id="2344" w:name="_Toc18681"/>
      <w:bookmarkStart w:id="2345" w:name="_Toc30860"/>
      <w:bookmarkStart w:id="2346" w:name="_Toc28976"/>
      <w:bookmarkStart w:id="2347" w:name="_Toc17751"/>
      <w:bookmarkStart w:id="2348" w:name="_Toc4795"/>
      <w:bookmarkStart w:id="2349" w:name="_Toc24671"/>
      <w:bookmarkStart w:id="2350" w:name="_Toc22304"/>
      <w:bookmarkStart w:id="2351" w:name="_Toc25521"/>
      <w:bookmarkStart w:id="2352" w:name="_Toc22059"/>
      <w:bookmarkStart w:id="2353" w:name="_Toc29321"/>
      <w:bookmarkStart w:id="2354" w:name="_Toc12730"/>
      <w:bookmarkStart w:id="2355" w:name="_Toc25580"/>
      <w:bookmarkStart w:id="2356" w:name="_Toc7089"/>
      <w:bookmarkStart w:id="2357" w:name="_Toc15151"/>
      <w:bookmarkStart w:id="2358" w:name="_Toc989"/>
      <w:bookmarkStart w:id="2359" w:name="_Toc30050"/>
      <w:bookmarkStart w:id="2360" w:name="_Toc25182"/>
      <w:bookmarkStart w:id="2361" w:name="_Toc20875"/>
      <w:bookmarkStart w:id="2362" w:name="_Toc25885"/>
      <w:bookmarkStart w:id="2363" w:name="_Toc31143"/>
      <w:bookmarkStart w:id="2364" w:name="_Toc3815"/>
      <w:bookmarkStart w:id="2365" w:name="_Toc25458"/>
      <w:bookmarkStart w:id="2366" w:name="_Toc21011"/>
      <w:bookmarkStart w:id="2367" w:name="_Toc5454"/>
      <w:bookmarkStart w:id="2368" w:name="_Toc1284616962"/>
      <w:bookmarkStart w:id="2369" w:name="_Toc30394"/>
      <w:bookmarkStart w:id="2370" w:name="_Toc11607"/>
      <w:bookmarkStart w:id="2371" w:name="_Toc11205"/>
      <w:bookmarkStart w:id="2372" w:name="_Toc14317"/>
      <w:bookmarkStart w:id="2373" w:name="_Toc6959"/>
      <w:bookmarkStart w:id="2374" w:name="_Toc13579"/>
      <w:bookmarkStart w:id="2375" w:name="_Toc8279"/>
      <w:bookmarkStart w:id="2376" w:name="_Toc4635"/>
      <w:bookmarkStart w:id="2377" w:name="_Toc4736"/>
      <w:bookmarkStart w:id="2378" w:name="_Toc11069"/>
      <w:bookmarkStart w:id="2379" w:name="_Toc21721"/>
      <w:bookmarkStart w:id="2380" w:name="_Toc20340"/>
      <w:bookmarkStart w:id="2381" w:name="_Toc31037"/>
      <w:bookmarkStart w:id="2382" w:name="_Toc30884"/>
      <w:bookmarkStart w:id="2383" w:name="_Toc7413"/>
      <w:bookmarkStart w:id="2384" w:name="_Toc2790"/>
      <w:bookmarkStart w:id="2385" w:name="_Toc19884"/>
      <w:bookmarkStart w:id="2386" w:name="_Toc5970"/>
      <w:bookmarkStart w:id="2387" w:name="_Toc19842"/>
      <w:bookmarkStart w:id="2388" w:name="_Toc31385"/>
      <w:bookmarkStart w:id="2389" w:name="_Toc28981"/>
      <w:bookmarkStart w:id="2390" w:name="_Toc25947"/>
      <w:r>
        <w:rPr>
          <w:rFonts w:hint="eastAsia" w:ascii="楷体_GB2312" w:hAnsi="楷体_GB2312" w:eastAsia="楷体_GB2312" w:cs="楷体_GB2312"/>
          <w:color w:val="auto"/>
          <w:szCs w:val="32"/>
          <w:highlight w:val="none"/>
        </w:rPr>
        <w:t>（二）完善多元</w:t>
      </w:r>
      <w:r>
        <w:rPr>
          <w:rFonts w:ascii="楷体_GB2312" w:hAnsi="楷体_GB2312" w:eastAsia="楷体_GB2312" w:cs="楷体_GB2312"/>
          <w:color w:val="auto"/>
          <w:szCs w:val="32"/>
          <w:highlight w:val="none"/>
        </w:rPr>
        <w:t>赋能</w:t>
      </w:r>
      <w:r>
        <w:rPr>
          <w:rFonts w:hint="eastAsia" w:ascii="楷体_GB2312" w:hAnsi="楷体_GB2312" w:eastAsia="楷体_GB2312" w:cs="楷体_GB2312"/>
          <w:color w:val="auto"/>
          <w:szCs w:val="32"/>
          <w:highlight w:val="none"/>
        </w:rPr>
        <w:t>的企业服务</w:t>
      </w:r>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r>
        <w:rPr>
          <w:rFonts w:hint="eastAsia" w:ascii="楷体_GB2312" w:hAnsi="楷体_GB2312" w:eastAsia="楷体_GB2312" w:cs="楷体_GB2312"/>
          <w:color w:val="auto"/>
          <w:szCs w:val="32"/>
          <w:highlight w:val="none"/>
        </w:rPr>
        <w:t>模式</w:t>
      </w:r>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p>
    <w:p w14:paraId="464C8187">
      <w:pPr>
        <w:spacing w:line="560" w:lineRule="exact"/>
        <w:ind w:firstLine="643" w:firstLineChars="200"/>
        <w:rPr>
          <w:rFonts w:ascii="Calibri" w:hAnsi="Calibri" w:eastAsia="仿宋_GB2312" w:cs="Times New Roman"/>
          <w:b/>
          <w:bCs/>
          <w:color w:val="auto"/>
          <w:sz w:val="32"/>
          <w:highlight w:val="none"/>
        </w:rPr>
      </w:pPr>
      <w:r>
        <w:rPr>
          <w:rFonts w:hint="eastAsia" w:ascii="Calibri" w:hAnsi="Calibri" w:eastAsia="仿宋_GB2312" w:cs="Times New Roman"/>
          <w:b/>
          <w:bCs/>
          <w:color w:val="auto"/>
          <w:sz w:val="32"/>
          <w:highlight w:val="none"/>
        </w:rPr>
        <w:t>构建垂直产业特色服务。</w:t>
      </w:r>
      <w:r>
        <w:rPr>
          <w:rFonts w:hint="eastAsia" w:ascii="Calibri" w:hAnsi="Calibri" w:eastAsia="仿宋_GB2312" w:cs="Times New Roman"/>
          <w:color w:val="auto"/>
          <w:sz w:val="32"/>
          <w:highlight w:val="none"/>
        </w:rPr>
        <w:t>聚焦“三大产业”差异化需求，完善产业支持政策，加快建立“垂直产业服务一件事”服务清单。整合园区、产业部门及第三方机构资源，形成涵盖政务服务、产业赋能、要素保障、增值创新的服务体系，实现服务资源统一归集、动态更新与精准匹配。完善门头沟区垂直营商产业资源数智平台，整合企业经营数据，集聚“政产学研金服用”资源，推动产业链关键信息可视化呈现与动态服务，实现企业需求与全要素资源精准对接。</w:t>
      </w:r>
    </w:p>
    <w:p w14:paraId="0011EAC5">
      <w:pPr>
        <w:spacing w:line="560" w:lineRule="exact"/>
        <w:ind w:firstLine="643" w:firstLineChars="200"/>
        <w:rPr>
          <w:rFonts w:ascii="Calibri" w:hAnsi="Calibri" w:eastAsia="仿宋_GB2312" w:cs="Times New Roman"/>
          <w:b/>
          <w:bCs/>
          <w:color w:val="auto"/>
          <w:sz w:val="32"/>
          <w:highlight w:val="none"/>
        </w:rPr>
      </w:pPr>
      <w:r>
        <w:rPr>
          <w:rFonts w:hint="eastAsia" w:ascii="仿宋_GB2312" w:hAnsi="仿宋_GB2312" w:eastAsia="仿宋_GB2312" w:cs="仿宋_GB2312"/>
          <w:b/>
          <w:bCs/>
          <w:color w:val="auto"/>
          <w:sz w:val="32"/>
          <w:szCs w:val="32"/>
          <w:highlight w:val="none"/>
        </w:rPr>
        <w:t>拓展伙伴式企业服务。</w:t>
      </w:r>
      <w:r>
        <w:rPr>
          <w:rFonts w:hint="eastAsia" w:ascii="Calibri" w:hAnsi="Calibri" w:eastAsia="仿宋_GB2312" w:cs="Times New Roman"/>
          <w:color w:val="auto"/>
          <w:sz w:val="32"/>
          <w:highlight w:val="none"/>
        </w:rPr>
        <w:t>构建分层分类的产业服务团队体系，打造一支懂产业、通政策、善服务的复合型服务队伍。探索</w:t>
      </w:r>
      <w:r>
        <w:rPr>
          <w:rFonts w:hint="eastAsia" w:ascii="仿宋_GB2312" w:hAnsi="仿宋_GB2312" w:eastAsia="仿宋_GB2312" w:cs="仿宋_GB2312"/>
          <w:color w:val="auto"/>
          <w:sz w:val="32"/>
          <w:szCs w:val="32"/>
          <w:highlight w:val="none"/>
        </w:rPr>
        <w:t>推行“企业吹哨、部门报到”机制，打造企业诉求动态收集、迅速流转、分级办理、限时解决、实时反馈的闭环解决机制。推行伙伴式服务专员制度，遴选业务骨干为企业提供投融资对接、产业导师咨询、研发创新资源链接、产业链合作伙伴撮合等增值服务。</w:t>
      </w:r>
      <w:r>
        <w:rPr>
          <w:rFonts w:hint="eastAsia" w:ascii="Calibri" w:hAnsi="Calibri" w:eastAsia="仿宋_GB2312" w:cs="Times New Roman"/>
          <w:color w:val="auto"/>
          <w:sz w:val="32"/>
          <w:highlight w:val="none"/>
        </w:rPr>
        <w:t>完善法治化营商环境，强化跨部门协同联动，整合应急、环保、消防、市监等资源，推行“综合查一次”制度，实现“进一次门、查多项事”。</w:t>
      </w:r>
    </w:p>
    <w:p w14:paraId="4A68290F">
      <w:pPr>
        <w:pStyle w:val="3"/>
        <w:ind w:firstLine="640"/>
        <w:rPr>
          <w:rFonts w:hint="eastAsia" w:ascii="楷体_GB2312" w:hAnsi="楷体_GB2312" w:eastAsia="楷体_GB2312" w:cs="楷体_GB2312"/>
          <w:color w:val="auto"/>
          <w:szCs w:val="32"/>
          <w:highlight w:val="none"/>
        </w:rPr>
      </w:pPr>
      <w:bookmarkStart w:id="2391" w:name="_Toc26576"/>
      <w:bookmarkStart w:id="2392" w:name="_Toc22081"/>
      <w:bookmarkStart w:id="2393" w:name="_Toc23357"/>
      <w:bookmarkStart w:id="2394" w:name="_Toc15352"/>
      <w:bookmarkStart w:id="2395" w:name="_Toc796"/>
      <w:bookmarkStart w:id="2396" w:name="_Toc20059"/>
      <w:bookmarkStart w:id="2397" w:name="_Toc23280"/>
      <w:bookmarkStart w:id="2398" w:name="_Toc26642"/>
      <w:bookmarkStart w:id="2399" w:name="_Toc30956"/>
      <w:bookmarkStart w:id="2400" w:name="_Toc6279"/>
      <w:bookmarkStart w:id="2401" w:name="_Toc253"/>
      <w:bookmarkStart w:id="2402" w:name="_Toc17501"/>
      <w:bookmarkStart w:id="2403" w:name="_Toc18472"/>
      <w:bookmarkStart w:id="2404" w:name="_Toc26830"/>
      <w:bookmarkStart w:id="2405" w:name="_Toc16061"/>
      <w:bookmarkStart w:id="2406" w:name="_Toc20031"/>
      <w:bookmarkStart w:id="2407" w:name="_Toc5230"/>
      <w:bookmarkStart w:id="2408" w:name="_Toc29176"/>
      <w:bookmarkStart w:id="2409" w:name="_Toc30834"/>
      <w:bookmarkStart w:id="2410" w:name="_Toc22563"/>
      <w:bookmarkStart w:id="2411" w:name="_Toc32615"/>
      <w:bookmarkStart w:id="2412" w:name="_Toc4849"/>
      <w:bookmarkStart w:id="2413" w:name="_Toc1188"/>
      <w:bookmarkStart w:id="2414" w:name="_Toc15780"/>
      <w:bookmarkStart w:id="2415" w:name="_Toc15374"/>
      <w:bookmarkStart w:id="2416" w:name="_Toc22370"/>
      <w:bookmarkStart w:id="2417" w:name="_Toc1904177043"/>
      <w:bookmarkStart w:id="2418" w:name="_Toc25780"/>
      <w:bookmarkStart w:id="2419" w:name="_Toc25069"/>
      <w:bookmarkStart w:id="2420" w:name="_Toc2130"/>
      <w:bookmarkStart w:id="2421" w:name="_Toc25688"/>
      <w:bookmarkStart w:id="2422" w:name="_Toc1148"/>
      <w:bookmarkStart w:id="2423" w:name="_Toc9327"/>
      <w:bookmarkStart w:id="2424" w:name="_Toc27236"/>
      <w:bookmarkStart w:id="2425" w:name="_Toc21801"/>
      <w:bookmarkStart w:id="2426" w:name="_Toc9356"/>
      <w:bookmarkStart w:id="2427" w:name="_Toc11117"/>
      <w:bookmarkStart w:id="2428" w:name="_Toc1458"/>
      <w:bookmarkStart w:id="2429" w:name="_Toc8046"/>
      <w:bookmarkStart w:id="2430" w:name="_Toc9474"/>
      <w:bookmarkStart w:id="2431" w:name="_Toc4314"/>
      <w:bookmarkStart w:id="2432" w:name="_Toc26362"/>
      <w:bookmarkStart w:id="2433" w:name="_Toc16905"/>
      <w:bookmarkStart w:id="2434" w:name="_Toc23796"/>
      <w:bookmarkStart w:id="2435" w:name="_Toc29025"/>
      <w:bookmarkStart w:id="2436" w:name="_Toc3547"/>
      <w:bookmarkStart w:id="2437" w:name="_Toc12061"/>
      <w:bookmarkStart w:id="2438" w:name="_Toc11576"/>
      <w:bookmarkStart w:id="2439" w:name="_Toc10621"/>
      <w:bookmarkStart w:id="2440" w:name="_Toc2346"/>
      <w:bookmarkStart w:id="2441" w:name="_Toc2063"/>
      <w:bookmarkStart w:id="2442" w:name="_Toc22704"/>
      <w:bookmarkStart w:id="2443" w:name="_Toc14570"/>
      <w:bookmarkStart w:id="2444" w:name="_Toc22960"/>
      <w:bookmarkStart w:id="2445" w:name="_Toc25423"/>
      <w:bookmarkStart w:id="2446" w:name="_Toc24860"/>
      <w:bookmarkStart w:id="2447" w:name="_Toc18033"/>
      <w:bookmarkStart w:id="2448" w:name="_Toc20388"/>
      <w:bookmarkStart w:id="2449" w:name="_Toc11148"/>
      <w:bookmarkStart w:id="2450" w:name="_Toc10682"/>
      <w:bookmarkStart w:id="2451" w:name="_Toc12605"/>
      <w:bookmarkStart w:id="2452" w:name="_Toc30066"/>
      <w:bookmarkStart w:id="2453" w:name="_Toc23957"/>
      <w:bookmarkStart w:id="2454" w:name="_Toc4269"/>
      <w:bookmarkStart w:id="2455" w:name="_Toc27801"/>
      <w:bookmarkStart w:id="2456" w:name="_Toc595"/>
      <w:bookmarkStart w:id="2457" w:name="_Toc29330"/>
      <w:bookmarkStart w:id="2458" w:name="_Toc21468"/>
      <w:r>
        <w:rPr>
          <w:rFonts w:hint="eastAsia" w:ascii="楷体_GB2312" w:hAnsi="楷体_GB2312" w:eastAsia="楷体_GB2312" w:cs="楷体_GB2312"/>
          <w:color w:val="auto"/>
          <w:szCs w:val="32"/>
          <w:highlight w:val="none"/>
        </w:rPr>
        <w:t>（三）营造共生共荣的产业服务生态</w:t>
      </w:r>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p>
    <w:p w14:paraId="18FC05B6">
      <w:pPr>
        <w:widowControl/>
        <w:tabs>
          <w:tab w:val="left" w:pos="2835"/>
        </w:tabs>
        <w:spacing w:line="560" w:lineRule="exact"/>
        <w:ind w:firstLine="643"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发挥行业组织桥梁纽带作用。</w:t>
      </w:r>
      <w:r>
        <w:rPr>
          <w:rFonts w:hint="eastAsia" w:ascii="仿宋_GB2312" w:hAnsi="仿宋_GB2312" w:eastAsia="仿宋_GB2312" w:cs="仿宋_GB2312"/>
          <w:color w:val="auto"/>
          <w:sz w:val="32"/>
          <w:szCs w:val="32"/>
          <w:highlight w:val="none"/>
          <w:lang w:bidi="ar"/>
        </w:rPr>
        <w:t>支持行业协会、商会深度参与产业治理，围绕政企沟通、供需对接等搭建公共服务平台。鼓励组建产业链协作联盟，开展跨行业、跨领域的资源对接和协同攻关，推动共性技术研发、应用场景共建和商业模式创新。</w:t>
      </w:r>
      <w:r>
        <w:rPr>
          <w:rFonts w:hint="eastAsia" w:ascii="仿宋_GB2312" w:hAnsi="仿宋_GB2312" w:eastAsia="仿宋_GB2312" w:cs="仿宋_GB2312"/>
          <w:color w:val="auto"/>
          <w:sz w:val="32"/>
          <w:szCs w:val="32"/>
          <w:highlight w:val="none"/>
        </w:rPr>
        <w:t>常态化组织产业沙龙、供需对接、技术交流、人才培训、合规辅导等特色活动，促进行业内部资源互通、经验互鉴。支持协会联盟开展产业调研、行业研判、标准研究、政策宣贯，及时反映产业发展诉求，为产业政策优化提供决策参考。</w:t>
      </w:r>
    </w:p>
    <w:p w14:paraId="1773CF64">
      <w:pPr>
        <w:widowControl/>
        <w:tabs>
          <w:tab w:val="left" w:pos="2835"/>
        </w:tabs>
        <w:spacing w:line="560" w:lineRule="exact"/>
        <w:ind w:firstLine="643"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提升园区运营主体服务</w:t>
      </w:r>
      <w:r>
        <w:rPr>
          <w:rFonts w:hint="eastAsia" w:ascii="仿宋_GB2312" w:hAnsi="仿宋_GB2312" w:eastAsia="仿宋_GB2312" w:cs="仿宋_GB2312"/>
          <w:b/>
          <w:bCs/>
          <w:color w:val="auto"/>
          <w:sz w:val="32"/>
          <w:szCs w:val="32"/>
          <w:highlight w:val="none"/>
          <w:lang w:val="en-US" w:eastAsia="zh-CN"/>
        </w:rPr>
        <w:t>效能</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color w:val="auto"/>
          <w:sz w:val="32"/>
          <w:szCs w:val="32"/>
          <w:highlight w:val="none"/>
        </w:rPr>
        <w:t>建强园区运营主体，提升运营主体产业促进、成果转化、投融资和招商引资等服务企业能力，推动运营主体从产业空间的提供者向产业生态的服务者转变。招引</w:t>
      </w:r>
      <w:r>
        <w:rPr>
          <w:rFonts w:hint="eastAsia" w:ascii="仿宋_GB2312" w:hAnsi="仿宋_GB2312" w:eastAsia="仿宋_GB2312" w:cs="仿宋_GB2312"/>
          <w:color w:val="auto"/>
          <w:sz w:val="32"/>
          <w:szCs w:val="32"/>
          <w:highlight w:val="none"/>
          <w:lang w:val="en-US" w:eastAsia="zh-CN"/>
        </w:rPr>
        <w:t>一批</w:t>
      </w:r>
      <w:r>
        <w:rPr>
          <w:rFonts w:hint="eastAsia" w:ascii="仿宋_GB2312" w:hAnsi="仿宋_GB2312" w:eastAsia="仿宋_GB2312" w:cs="仿宋_GB2312"/>
          <w:color w:val="auto"/>
          <w:sz w:val="32"/>
          <w:szCs w:val="32"/>
          <w:highlight w:val="none"/>
        </w:rPr>
        <w:t>懂技术、懂资本、懂产业的核心运营管理人才。组织专题培训、专家授课、交流座谈等活动，不断提升运营团队专业素养。广泛链接产业龙头、创投机构、专业服务机构、科研院所等，建立多元合作机制，拓展园区产业发展“合伙人”。</w:t>
      </w:r>
    </w:p>
    <w:p w14:paraId="50E7F29D">
      <w:pPr>
        <w:keepNext/>
        <w:keepLines/>
        <w:widowControl/>
        <w:spacing w:line="560" w:lineRule="exact"/>
        <w:ind w:firstLine="640" w:firstLineChars="200"/>
        <w:jc w:val="left"/>
        <w:outlineLvl w:val="0"/>
        <w:rPr>
          <w:rFonts w:hint="eastAsia" w:ascii="黑体" w:hAnsi="黑体" w:eastAsia="黑体" w:cs="黑体"/>
          <w:color w:val="auto"/>
          <w:kern w:val="44"/>
          <w:sz w:val="32"/>
          <w:highlight w:val="none"/>
          <w:lang w:eastAsia="zh-CN"/>
        </w:rPr>
      </w:pPr>
      <w:bookmarkStart w:id="2459" w:name="_Toc4133"/>
      <w:bookmarkStart w:id="2460" w:name="_Toc5340"/>
      <w:bookmarkStart w:id="2461" w:name="_Toc28189"/>
      <w:bookmarkStart w:id="2462" w:name="_Toc8690"/>
      <w:bookmarkStart w:id="2463" w:name="_Toc21814"/>
      <w:bookmarkStart w:id="2464" w:name="_Toc11622"/>
      <w:bookmarkStart w:id="2465" w:name="_Toc19796"/>
      <w:bookmarkStart w:id="2466" w:name="_Toc8676"/>
      <w:bookmarkStart w:id="2467" w:name="_Toc30242"/>
      <w:bookmarkStart w:id="2468" w:name="_Toc27438"/>
      <w:bookmarkStart w:id="2469" w:name="_Toc1695"/>
      <w:bookmarkStart w:id="2470" w:name="_Toc7614"/>
      <w:bookmarkStart w:id="2471" w:name="_Toc11196"/>
      <w:bookmarkStart w:id="2472" w:name="_Toc11478"/>
      <w:bookmarkStart w:id="2473" w:name="_Toc27784"/>
      <w:bookmarkStart w:id="2474" w:name="_Toc8102"/>
      <w:bookmarkStart w:id="2475" w:name="_Toc21478"/>
      <w:bookmarkStart w:id="2476" w:name="_Toc19216"/>
      <w:bookmarkStart w:id="2477" w:name="_Toc13442"/>
      <w:bookmarkStart w:id="2478" w:name="_Toc26240"/>
      <w:bookmarkStart w:id="2479" w:name="_Toc13773"/>
      <w:bookmarkStart w:id="2480" w:name="_Toc3138"/>
      <w:bookmarkStart w:id="2481" w:name="_Toc4865"/>
      <w:bookmarkStart w:id="2482" w:name="_Toc22574"/>
      <w:bookmarkStart w:id="2483" w:name="_Toc14906"/>
      <w:bookmarkStart w:id="2484" w:name="_Toc24042"/>
      <w:bookmarkStart w:id="2485" w:name="_Toc22271"/>
      <w:bookmarkStart w:id="2486" w:name="_Toc5412"/>
      <w:bookmarkStart w:id="2487" w:name="_Toc22121"/>
      <w:bookmarkStart w:id="2488" w:name="_Toc16987"/>
      <w:bookmarkStart w:id="2489" w:name="_Toc24734"/>
      <w:bookmarkStart w:id="2490" w:name="_Toc24022"/>
      <w:bookmarkStart w:id="2491" w:name="_Toc4281"/>
      <w:bookmarkStart w:id="2492" w:name="_Toc27865"/>
      <w:bookmarkStart w:id="2493" w:name="_Toc29193"/>
      <w:bookmarkStart w:id="2494" w:name="_Toc13706"/>
      <w:bookmarkStart w:id="2495" w:name="_Toc6258"/>
      <w:bookmarkStart w:id="2496" w:name="_Toc7188"/>
      <w:bookmarkStart w:id="2497" w:name="_Toc23834"/>
      <w:bookmarkStart w:id="2498" w:name="_Toc7849"/>
      <w:bookmarkStart w:id="2499" w:name="_Toc4065"/>
      <w:bookmarkStart w:id="2500" w:name="_Toc9398"/>
      <w:bookmarkStart w:id="2501" w:name="_Toc5524"/>
      <w:bookmarkStart w:id="2502" w:name="_Toc15070"/>
      <w:bookmarkStart w:id="2503" w:name="_Toc741"/>
      <w:bookmarkStart w:id="2504" w:name="_Toc8833"/>
      <w:bookmarkStart w:id="2505" w:name="_Toc8489"/>
      <w:bookmarkStart w:id="2506" w:name="_Toc25350"/>
      <w:bookmarkStart w:id="2507" w:name="_Toc2340"/>
      <w:bookmarkStart w:id="2508" w:name="_Toc21347"/>
      <w:bookmarkStart w:id="2509" w:name="_Toc28538"/>
      <w:bookmarkStart w:id="2510" w:name="_Toc32058"/>
      <w:bookmarkStart w:id="2511" w:name="_Toc20148"/>
      <w:bookmarkStart w:id="2512" w:name="_Toc4729"/>
      <w:bookmarkStart w:id="2513" w:name="_Toc1702254107"/>
      <w:bookmarkStart w:id="2514" w:name="_Toc30316"/>
      <w:bookmarkStart w:id="2515" w:name="_Toc30701"/>
      <w:bookmarkStart w:id="2516" w:name="_Toc22752"/>
      <w:bookmarkStart w:id="2517" w:name="_Toc26305"/>
      <w:bookmarkStart w:id="2518" w:name="_Toc12616"/>
      <w:bookmarkStart w:id="2519" w:name="_Toc30071"/>
      <w:bookmarkStart w:id="2520" w:name="_Toc1507"/>
      <w:bookmarkStart w:id="2521" w:name="_Toc30384"/>
      <w:bookmarkStart w:id="2522" w:name="_Toc30934"/>
      <w:bookmarkStart w:id="2523" w:name="_Toc9982"/>
      <w:bookmarkStart w:id="2524" w:name="_Toc10742"/>
      <w:bookmarkStart w:id="2525" w:name="_Toc5282"/>
      <w:bookmarkStart w:id="2526" w:name="_Toc20201"/>
      <w:bookmarkStart w:id="2527" w:name="_Toc26447"/>
      <w:bookmarkStart w:id="2528" w:name="_Toc385"/>
      <w:bookmarkStart w:id="2529" w:name="_Toc12226"/>
      <w:r>
        <w:rPr>
          <w:rFonts w:hint="eastAsia" w:ascii="黑体" w:hAnsi="黑体" w:eastAsia="黑体" w:cs="黑体"/>
          <w:color w:val="auto"/>
          <w:kern w:val="44"/>
          <w:sz w:val="32"/>
          <w:highlight w:val="none"/>
        </w:rPr>
        <w:t>九、深化改革，</w:t>
      </w:r>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r>
        <w:rPr>
          <w:rFonts w:hint="eastAsia" w:ascii="黑体" w:hAnsi="黑体" w:eastAsia="黑体" w:cs="黑体"/>
          <w:color w:val="auto"/>
          <w:kern w:val="44"/>
          <w:sz w:val="32"/>
          <w:highlight w:val="none"/>
        </w:rPr>
        <w:t>提升园区现代化治理能力</w:t>
      </w:r>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p>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p w14:paraId="6D534F38">
      <w:pPr>
        <w:pStyle w:val="3"/>
        <w:suppressAutoHyphens/>
        <w:ind w:firstLine="640"/>
        <w:rPr>
          <w:rFonts w:hint="eastAsia" w:ascii="楷体_GB2312" w:hAnsi="楷体_GB2312" w:eastAsia="楷体_GB2312" w:cs="楷体_GB2312"/>
          <w:color w:val="auto"/>
          <w:szCs w:val="32"/>
          <w:highlight w:val="none"/>
        </w:rPr>
      </w:pPr>
      <w:bookmarkStart w:id="2530" w:name="_Toc28289"/>
      <w:bookmarkStart w:id="2531" w:name="_Toc9806"/>
      <w:bookmarkStart w:id="2532" w:name="_Toc20942"/>
      <w:bookmarkStart w:id="2533" w:name="_Toc21096"/>
      <w:bookmarkStart w:id="2534" w:name="_Toc3719"/>
      <w:bookmarkStart w:id="2535" w:name="_Toc12594"/>
      <w:bookmarkStart w:id="2536" w:name="_Toc29492"/>
      <w:bookmarkStart w:id="2537" w:name="_Toc16838"/>
      <w:bookmarkStart w:id="2538" w:name="_Toc29220"/>
      <w:bookmarkStart w:id="2539" w:name="_Toc21868"/>
      <w:bookmarkStart w:id="2540" w:name="_Toc1007631015"/>
      <w:bookmarkStart w:id="2541" w:name="_Toc13105"/>
      <w:bookmarkStart w:id="2542" w:name="_Toc28937"/>
      <w:bookmarkStart w:id="2543" w:name="_Toc9131"/>
      <w:bookmarkStart w:id="2544" w:name="_Toc12923"/>
      <w:bookmarkStart w:id="2545" w:name="_Toc18626"/>
      <w:bookmarkStart w:id="2546" w:name="_Toc14110"/>
      <w:bookmarkStart w:id="2547" w:name="_Toc18517"/>
      <w:bookmarkStart w:id="2548" w:name="_Toc7626"/>
      <w:bookmarkStart w:id="2549" w:name="_Toc17908"/>
      <w:bookmarkStart w:id="2550" w:name="_Toc11586"/>
      <w:bookmarkStart w:id="2551" w:name="_Toc9187"/>
      <w:bookmarkStart w:id="2552" w:name="_Toc1996"/>
      <w:bookmarkStart w:id="2553" w:name="_Toc30270"/>
      <w:bookmarkStart w:id="2554" w:name="_Toc26031"/>
      <w:bookmarkStart w:id="2555" w:name="_Toc30766"/>
      <w:bookmarkStart w:id="2556" w:name="_Toc5081"/>
      <w:bookmarkStart w:id="2557" w:name="_Toc29890"/>
      <w:bookmarkStart w:id="2558" w:name="_Toc29914"/>
      <w:bookmarkStart w:id="2559" w:name="_Toc28611"/>
      <w:bookmarkStart w:id="2560" w:name="_Toc11523"/>
      <w:bookmarkStart w:id="2561" w:name="_Toc13506"/>
      <w:bookmarkStart w:id="2562" w:name="_Toc25453"/>
      <w:bookmarkStart w:id="2563" w:name="_Toc12533"/>
      <w:bookmarkStart w:id="2564" w:name="_Toc3760"/>
      <w:bookmarkStart w:id="2565" w:name="_Toc181"/>
      <w:bookmarkStart w:id="2566" w:name="_Toc25417"/>
      <w:bookmarkStart w:id="2567" w:name="_Toc26274"/>
      <w:bookmarkStart w:id="2568" w:name="_Toc26750"/>
      <w:bookmarkStart w:id="2569" w:name="_Toc3919"/>
      <w:bookmarkStart w:id="2570" w:name="_Toc24420"/>
      <w:bookmarkStart w:id="2571" w:name="_Toc26229"/>
      <w:bookmarkStart w:id="2572" w:name="_Toc14895"/>
      <w:bookmarkStart w:id="2573" w:name="_Toc13586"/>
      <w:bookmarkStart w:id="2574" w:name="_Toc6639"/>
      <w:bookmarkStart w:id="2575" w:name="_Toc15157"/>
      <w:bookmarkStart w:id="2576" w:name="_Toc19570"/>
      <w:bookmarkStart w:id="2577" w:name="_Toc5490"/>
      <w:bookmarkStart w:id="2578" w:name="_Toc10419"/>
      <w:bookmarkStart w:id="2579" w:name="_Toc23190"/>
      <w:bookmarkStart w:id="2580" w:name="_Toc14647"/>
      <w:bookmarkStart w:id="2581" w:name="_Toc2988"/>
      <w:bookmarkStart w:id="2582" w:name="_Toc19834"/>
      <w:bookmarkStart w:id="2583" w:name="_Toc21458"/>
      <w:bookmarkStart w:id="2584" w:name="_Toc6181"/>
      <w:bookmarkStart w:id="2585" w:name="_Toc25654"/>
      <w:bookmarkStart w:id="2586" w:name="_Toc10162"/>
      <w:bookmarkStart w:id="2587" w:name="_Toc10886"/>
      <w:bookmarkStart w:id="2588" w:name="_Toc11303"/>
      <w:bookmarkStart w:id="2589" w:name="_Toc4669"/>
      <w:bookmarkStart w:id="2590" w:name="_Toc14040"/>
      <w:bookmarkStart w:id="2591" w:name="_Toc14616"/>
      <w:bookmarkStart w:id="2592" w:name="_Toc12611"/>
      <w:bookmarkStart w:id="2593" w:name="_Toc10045"/>
      <w:bookmarkStart w:id="2594" w:name="_Toc9017"/>
      <w:bookmarkStart w:id="2595" w:name="_Toc10363"/>
      <w:bookmarkStart w:id="2596" w:name="_Toc8563"/>
      <w:bookmarkStart w:id="2597" w:name="_Toc5261"/>
      <w:bookmarkStart w:id="2598" w:name="_Toc12597"/>
      <w:bookmarkStart w:id="2599" w:name="_Toc13673"/>
      <w:bookmarkStart w:id="2600" w:name="_Toc32108"/>
      <w:bookmarkStart w:id="2601" w:name="_Toc3924"/>
      <w:bookmarkStart w:id="2602" w:name="_Toc27509"/>
      <w:bookmarkStart w:id="2603" w:name="_Toc13788"/>
      <w:bookmarkStart w:id="2604" w:name="_Toc23779"/>
      <w:bookmarkStart w:id="2605" w:name="_Toc11123"/>
      <w:bookmarkStart w:id="2606" w:name="_Toc18252"/>
      <w:bookmarkStart w:id="2607" w:name="_Toc21836"/>
      <w:bookmarkStart w:id="2608" w:name="_Toc24101"/>
      <w:bookmarkStart w:id="2609" w:name="_Toc31042"/>
      <w:bookmarkStart w:id="2610" w:name="_Toc30642"/>
      <w:bookmarkStart w:id="2611" w:name="_Toc18674"/>
      <w:bookmarkStart w:id="2612" w:name="_Toc4057"/>
      <w:bookmarkStart w:id="2613" w:name="_Toc30704"/>
      <w:bookmarkStart w:id="2614" w:name="_Toc13369"/>
      <w:bookmarkStart w:id="2615" w:name="_Toc24279"/>
      <w:bookmarkStart w:id="2616" w:name="_Toc28609"/>
      <w:bookmarkStart w:id="2617" w:name="_Toc31021"/>
      <w:bookmarkStart w:id="2618" w:name="_Toc13069"/>
      <w:bookmarkStart w:id="2619" w:name="_Toc7774"/>
      <w:bookmarkStart w:id="2620" w:name="_Toc12975"/>
      <w:bookmarkStart w:id="2621" w:name="_Toc8719"/>
      <w:bookmarkStart w:id="2622" w:name="_Toc6733"/>
      <w:bookmarkStart w:id="2623" w:name="_Toc27740"/>
      <w:bookmarkStart w:id="2624" w:name="_Toc8764"/>
      <w:bookmarkStart w:id="2625" w:name="_Toc26533"/>
      <w:bookmarkStart w:id="2626" w:name="_Toc26045"/>
      <w:bookmarkStart w:id="2627" w:name="_Toc3268"/>
      <w:bookmarkStart w:id="2628" w:name="_Toc17663"/>
      <w:bookmarkStart w:id="2629" w:name="_Toc13481"/>
      <w:bookmarkStart w:id="2630" w:name="_Toc19204"/>
      <w:bookmarkStart w:id="2631" w:name="_Toc15567"/>
      <w:bookmarkStart w:id="2632" w:name="_Toc26426"/>
      <w:bookmarkStart w:id="2633" w:name="_Toc255"/>
      <w:bookmarkStart w:id="2634" w:name="_Toc13624"/>
      <w:bookmarkStart w:id="2635" w:name="_Toc5584"/>
      <w:bookmarkStart w:id="2636" w:name="_Toc23864"/>
      <w:bookmarkStart w:id="2637" w:name="_Toc3383"/>
      <w:bookmarkStart w:id="2638" w:name="_Toc26149"/>
      <w:bookmarkStart w:id="2639" w:name="_Toc28013"/>
      <w:bookmarkStart w:id="2640" w:name="_Toc11018"/>
      <w:bookmarkStart w:id="2641" w:name="_Toc1636"/>
      <w:bookmarkStart w:id="2642" w:name="_Toc29924"/>
      <w:bookmarkStart w:id="2643" w:name="_Toc15532"/>
      <w:bookmarkStart w:id="2644" w:name="_Toc23283"/>
      <w:bookmarkStart w:id="2645" w:name="_Toc26958"/>
      <w:bookmarkStart w:id="2646" w:name="_Toc13983"/>
      <w:bookmarkStart w:id="2647" w:name="_Toc1170"/>
      <w:bookmarkStart w:id="2648" w:name="_Toc19921"/>
      <w:bookmarkStart w:id="2649" w:name="_Toc9208"/>
      <w:bookmarkStart w:id="2650" w:name="_Toc32543"/>
      <w:bookmarkStart w:id="2651" w:name="_Toc3565"/>
      <w:bookmarkStart w:id="2652" w:name="_Toc24963"/>
      <w:bookmarkStart w:id="2653" w:name="_Toc5494"/>
      <w:bookmarkStart w:id="2654" w:name="_Toc15710"/>
      <w:bookmarkStart w:id="2655" w:name="_Toc8469"/>
      <w:bookmarkStart w:id="2656" w:name="_Toc10315"/>
      <w:bookmarkStart w:id="2657" w:name="_Toc26536"/>
      <w:bookmarkStart w:id="2658" w:name="_Toc12019"/>
      <w:bookmarkStart w:id="2659" w:name="_Toc12755"/>
      <w:r>
        <w:rPr>
          <w:rFonts w:hint="eastAsia" w:ascii="楷体_GB2312" w:hAnsi="楷体_GB2312" w:eastAsia="楷体_GB2312" w:cs="楷体_GB2312"/>
          <w:color w:val="auto"/>
          <w:szCs w:val="32"/>
          <w:highlight w:val="none"/>
        </w:rPr>
        <w:t>（一）坚持党建引领赋能发展</w:t>
      </w:r>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p>
    <w:p w14:paraId="3012FD8C">
      <w:pPr>
        <w:suppressAutoHyphens/>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筑牢政治领航体系，坚持以党的创新理论为引领，推动理论学习与园区产业战略布局深度融合，确保园区发展精准对接国家重大战略部署。深化党建与产业发展双向融合机制，依托党建项目制、</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揭榜挂帅</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、党员攻坚队等载体，推动党建引领产学研用协同创新。联动政府、高校、科研院所、产业链企业等多方主体，围绕主导产业建强产业链党委</w:t>
      </w:r>
      <w:r>
        <w:rPr>
          <w:rFonts w:hint="eastAsia" w:ascii="仿宋_GB2312" w:hAnsi="仿宋_GB2312" w:eastAsia="仿宋_GB2312" w:cs="仿宋_GB2312"/>
          <w:color w:val="auto"/>
          <w:sz w:val="32"/>
          <w:szCs w:val="32"/>
          <w:highlight w:val="none"/>
          <w:lang w:eastAsia="zh-CN"/>
        </w:rPr>
        <w:t>，赋能主导产业集群高质量发展</w:t>
      </w:r>
      <w:r>
        <w:rPr>
          <w:rFonts w:hint="eastAsia" w:ascii="仿宋_GB2312" w:hAnsi="仿宋_GB2312" w:eastAsia="仿宋_GB2312" w:cs="仿宋_GB2312"/>
          <w:color w:val="auto"/>
          <w:sz w:val="32"/>
          <w:szCs w:val="32"/>
          <w:highlight w:val="none"/>
        </w:rPr>
        <w:t>。深化企业“双培双推”培育模式，着力培养党务、业务双精通的复合型人才。提质升级“四力融合”楼宇综合服务阵地，健全网格化管理体系，推行党员领导干部包片担任网格长，常态化落实一线走访、政企恳谈等服务机制，打通企业服务“最后一公里”。</w:t>
      </w:r>
    </w:p>
    <w:bookmarkEnd w:id="2617"/>
    <w:bookmarkEnd w:id="2618"/>
    <w:p w14:paraId="6395B468">
      <w:pPr>
        <w:pStyle w:val="3"/>
        <w:ind w:firstLine="640"/>
        <w:rPr>
          <w:rFonts w:hint="eastAsia" w:ascii="楷体_GB2312" w:hAnsi="楷体_GB2312" w:eastAsia="楷体_GB2312" w:cs="楷体_GB2312"/>
          <w:color w:val="auto"/>
          <w:szCs w:val="32"/>
          <w:highlight w:val="none"/>
        </w:rPr>
      </w:pPr>
      <w:bookmarkStart w:id="2660" w:name="_Toc31498"/>
      <w:bookmarkStart w:id="2661" w:name="_Toc15206"/>
      <w:bookmarkStart w:id="2662" w:name="_Toc20532"/>
      <w:bookmarkStart w:id="2663" w:name="_Toc16192"/>
      <w:bookmarkStart w:id="2664" w:name="_Toc26292"/>
      <w:bookmarkStart w:id="2665" w:name="_Toc358"/>
      <w:bookmarkStart w:id="2666" w:name="_Toc27425"/>
      <w:bookmarkStart w:id="2667" w:name="_Toc28785"/>
      <w:bookmarkStart w:id="2668" w:name="_Toc13698"/>
      <w:bookmarkStart w:id="2669" w:name="_Toc20625"/>
      <w:bookmarkStart w:id="2670" w:name="_Toc7230"/>
      <w:bookmarkStart w:id="2671" w:name="_Toc14295"/>
      <w:bookmarkStart w:id="2672" w:name="_Toc6316"/>
      <w:bookmarkStart w:id="2673" w:name="_Toc119"/>
      <w:bookmarkStart w:id="2674" w:name="_Toc5822"/>
      <w:bookmarkStart w:id="2675" w:name="_Toc21435"/>
      <w:bookmarkStart w:id="2676" w:name="_Toc10016"/>
      <w:bookmarkStart w:id="2677" w:name="_Toc31990"/>
      <w:bookmarkStart w:id="2678" w:name="_Toc20557"/>
      <w:bookmarkStart w:id="2679" w:name="_Toc32212"/>
      <w:bookmarkStart w:id="2680" w:name="_Toc28722"/>
      <w:bookmarkStart w:id="2681" w:name="_Toc13831"/>
      <w:bookmarkStart w:id="2682" w:name="_Toc14969"/>
      <w:bookmarkStart w:id="2683" w:name="_Toc9441"/>
      <w:bookmarkStart w:id="2684" w:name="_Toc15587"/>
      <w:bookmarkStart w:id="2685" w:name="_Toc12399"/>
      <w:bookmarkStart w:id="2686" w:name="_Toc14578"/>
      <w:bookmarkStart w:id="2687" w:name="_Toc30811"/>
      <w:bookmarkStart w:id="2688" w:name="_Toc26667"/>
      <w:bookmarkStart w:id="2689" w:name="_Toc3465"/>
      <w:bookmarkStart w:id="2690" w:name="_Toc14220"/>
      <w:bookmarkStart w:id="2691" w:name="_Toc2360"/>
      <w:bookmarkStart w:id="2692" w:name="_Toc4195"/>
      <w:bookmarkStart w:id="2693" w:name="_Toc21629"/>
      <w:bookmarkStart w:id="2694" w:name="_Toc5899"/>
      <w:bookmarkStart w:id="2695" w:name="_Toc21174"/>
      <w:bookmarkStart w:id="2696" w:name="_Toc31215"/>
      <w:bookmarkStart w:id="2697" w:name="_Toc23402"/>
      <w:bookmarkStart w:id="2698" w:name="_Toc2757"/>
      <w:bookmarkStart w:id="2699" w:name="_Toc26814"/>
      <w:bookmarkStart w:id="2700" w:name="_Toc10035"/>
      <w:bookmarkStart w:id="2701" w:name="_Toc198428863"/>
      <w:bookmarkStart w:id="2702" w:name="_Toc5762"/>
      <w:bookmarkStart w:id="2703" w:name="_Toc21649"/>
      <w:bookmarkStart w:id="2704" w:name="_Toc16653"/>
      <w:bookmarkStart w:id="2705" w:name="_Toc16916"/>
      <w:bookmarkStart w:id="2706" w:name="_Toc23783"/>
      <w:bookmarkStart w:id="2707" w:name="_Toc27287"/>
      <w:bookmarkStart w:id="2708" w:name="_Toc7240"/>
      <w:bookmarkStart w:id="2709" w:name="_Toc21444"/>
      <w:bookmarkStart w:id="2710" w:name="_Toc26070"/>
      <w:bookmarkStart w:id="2711" w:name="_Toc16015"/>
      <w:bookmarkStart w:id="2712" w:name="_Toc29111"/>
      <w:bookmarkStart w:id="2713" w:name="_Toc5853"/>
      <w:r>
        <w:rPr>
          <w:rFonts w:hint="eastAsia" w:ascii="楷体_GB2312" w:hAnsi="楷体_GB2312" w:eastAsia="楷体_GB2312" w:cs="楷体_GB2312"/>
          <w:color w:val="auto"/>
          <w:szCs w:val="32"/>
          <w:highlight w:val="none"/>
        </w:rPr>
        <w:t>（二）健全园区统筹运行机制</w:t>
      </w:r>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p>
    <w:p w14:paraId="1499DEBA">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强化区级统筹引领作用，</w:t>
      </w:r>
      <w:r>
        <w:rPr>
          <w:rFonts w:hint="eastAsia" w:ascii="仿宋_GB2312" w:hAnsi="仿宋_GB2312" w:eastAsia="仿宋_GB2312" w:cs="仿宋_GB2312"/>
          <w:color w:val="auto"/>
          <w:sz w:val="32"/>
          <w:szCs w:val="32"/>
          <w:highlight w:val="none"/>
          <w:lang w:val="en-US" w:eastAsia="zh-CN"/>
        </w:rPr>
        <w:t>完善产业发展区级调度机制，</w:t>
      </w:r>
      <w:r>
        <w:rPr>
          <w:rFonts w:hint="eastAsia" w:ascii="仿宋_GB2312" w:hAnsi="仿宋_GB2312" w:eastAsia="仿宋_GB2312" w:cs="仿宋_GB2312"/>
          <w:color w:val="auto"/>
          <w:sz w:val="32"/>
          <w:szCs w:val="32"/>
          <w:highlight w:val="none"/>
        </w:rPr>
        <w:t>统筹协调园区规划建设、产业导入、要素保障、项目落地等重大事项。建立相互协同、敏捷响应、高效运转的跨部门协同工作体系</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厘清政企权责边界，健全“管委会+事业单位+平台公司”联动发展模式，推动行政履职、公共服务、市场化运营有机协同。优化事业单位职能配置，充实专业人才队伍，持续提升招商引资、企业全生命周期服务能力。健全平台公司市场化考核评价机制，推行职业经理人、技术经理人市场化选聘制度，打造专业化产业运营团队，提升园区市场化运营服务水平。</w:t>
      </w:r>
    </w:p>
    <w:p w14:paraId="30E55AFA">
      <w:pPr>
        <w:pStyle w:val="3"/>
        <w:ind w:firstLine="640"/>
        <w:rPr>
          <w:rFonts w:hint="eastAsia" w:ascii="楷体_GB2312" w:hAnsi="楷体_GB2312" w:eastAsia="楷体_GB2312" w:cs="楷体_GB2312"/>
          <w:color w:val="auto"/>
          <w:szCs w:val="32"/>
          <w:highlight w:val="none"/>
        </w:rPr>
      </w:pPr>
      <w:bookmarkStart w:id="2714" w:name="_Toc27762"/>
      <w:bookmarkStart w:id="2715" w:name="_Toc12522"/>
      <w:bookmarkStart w:id="2716" w:name="_Toc32028"/>
      <w:bookmarkStart w:id="2717" w:name="_Toc24471"/>
      <w:bookmarkStart w:id="2718" w:name="_Toc18760"/>
      <w:bookmarkStart w:id="2719" w:name="_Toc7318"/>
      <w:bookmarkStart w:id="2720" w:name="_Toc3956"/>
      <w:bookmarkStart w:id="2721" w:name="_Toc16366"/>
      <w:bookmarkStart w:id="2722" w:name="_Toc25896"/>
      <w:bookmarkStart w:id="2723" w:name="_Toc24890"/>
      <w:bookmarkStart w:id="2724" w:name="_Toc3441"/>
      <w:bookmarkStart w:id="2725" w:name="_Toc31105"/>
      <w:bookmarkStart w:id="2726" w:name="_Toc20911"/>
      <w:bookmarkStart w:id="2727" w:name="_Toc17527"/>
      <w:bookmarkStart w:id="2728" w:name="_Toc1340"/>
      <w:bookmarkStart w:id="2729" w:name="_Toc26252"/>
      <w:bookmarkStart w:id="2730" w:name="_Toc30939"/>
      <w:bookmarkStart w:id="2731" w:name="_Toc24024"/>
      <w:bookmarkStart w:id="2732" w:name="_Toc28362"/>
      <w:bookmarkStart w:id="2733" w:name="_Toc24568"/>
      <w:bookmarkStart w:id="2734" w:name="_Toc2113"/>
      <w:bookmarkStart w:id="2735" w:name="_Toc3860"/>
      <w:bookmarkStart w:id="2736" w:name="_Toc8235"/>
      <w:bookmarkStart w:id="2737" w:name="_Toc18077"/>
      <w:bookmarkStart w:id="2738" w:name="_Toc31339"/>
      <w:bookmarkStart w:id="2739" w:name="_Toc16527"/>
      <w:bookmarkStart w:id="2740" w:name="_Toc7091"/>
      <w:bookmarkStart w:id="2741" w:name="_Toc28214"/>
      <w:bookmarkStart w:id="2742" w:name="_Toc5521"/>
      <w:bookmarkStart w:id="2743" w:name="_Toc24578"/>
      <w:bookmarkStart w:id="2744" w:name="_Toc15018"/>
      <w:bookmarkStart w:id="2745" w:name="_Toc15502"/>
      <w:bookmarkStart w:id="2746" w:name="_Toc17194"/>
      <w:bookmarkStart w:id="2747" w:name="_Toc8672"/>
      <w:bookmarkStart w:id="2748" w:name="_Toc12770"/>
      <w:bookmarkStart w:id="2749" w:name="_Toc6708"/>
      <w:bookmarkStart w:id="2750" w:name="_Toc28435"/>
      <w:bookmarkStart w:id="2751" w:name="_Toc29018"/>
      <w:bookmarkStart w:id="2752" w:name="_Toc7847"/>
      <w:bookmarkStart w:id="2753" w:name="_Toc23678"/>
      <w:bookmarkStart w:id="2754" w:name="_Toc24161"/>
      <w:bookmarkStart w:id="2755" w:name="_Toc14776"/>
      <w:bookmarkStart w:id="2756" w:name="_Toc31932"/>
      <w:bookmarkStart w:id="2757" w:name="_Toc5157"/>
      <w:bookmarkStart w:id="2758" w:name="_Toc23844"/>
      <w:bookmarkStart w:id="2759" w:name="_Toc20205"/>
      <w:bookmarkStart w:id="2760" w:name="_Toc25217"/>
      <w:bookmarkStart w:id="2761" w:name="_Toc1298"/>
      <w:bookmarkStart w:id="2762" w:name="_Toc21001"/>
      <w:bookmarkStart w:id="2763" w:name="_Toc23020"/>
      <w:bookmarkStart w:id="2764" w:name="_Toc25680"/>
      <w:bookmarkStart w:id="2765" w:name="_Toc27604"/>
      <w:bookmarkStart w:id="2766" w:name="_Toc21606"/>
      <w:bookmarkStart w:id="2767" w:name="_Toc23557"/>
      <w:bookmarkStart w:id="2768" w:name="_Toc11400"/>
      <w:bookmarkStart w:id="2769" w:name="_Toc31650"/>
      <w:bookmarkStart w:id="2770" w:name="_Toc2099280297"/>
      <w:bookmarkStart w:id="2771" w:name="_Toc30118"/>
      <w:bookmarkStart w:id="2772" w:name="_Toc25992"/>
      <w:bookmarkStart w:id="2773" w:name="_Toc1899"/>
      <w:bookmarkStart w:id="2774" w:name="_Toc15727"/>
      <w:bookmarkStart w:id="2775" w:name="_Toc5443"/>
      <w:bookmarkStart w:id="2776" w:name="_Toc15180"/>
      <w:bookmarkStart w:id="2777" w:name="_Toc10537"/>
      <w:bookmarkStart w:id="2778" w:name="_Toc8918"/>
      <w:bookmarkStart w:id="2779" w:name="_Toc12151"/>
      <w:bookmarkStart w:id="2780" w:name="_Toc32409"/>
      <w:bookmarkStart w:id="2781" w:name="_Toc24263"/>
      <w:bookmarkStart w:id="2782" w:name="_Toc485"/>
      <w:bookmarkStart w:id="2783" w:name="_Toc20511"/>
      <w:bookmarkStart w:id="2784" w:name="_Toc8409"/>
      <w:bookmarkStart w:id="2785" w:name="_Toc6961"/>
      <w:bookmarkStart w:id="2786" w:name="_Toc23961"/>
      <w:bookmarkStart w:id="2787" w:name="_Toc27839"/>
      <w:bookmarkStart w:id="2788" w:name="_Toc6486"/>
      <w:bookmarkStart w:id="2789" w:name="_Toc6830"/>
      <w:bookmarkStart w:id="2790" w:name="_Toc1628"/>
      <w:bookmarkStart w:id="2791" w:name="_Toc9733"/>
      <w:bookmarkStart w:id="2792" w:name="_Toc25274"/>
      <w:bookmarkStart w:id="2793" w:name="_Toc166"/>
      <w:bookmarkStart w:id="2794" w:name="_Toc1596"/>
      <w:bookmarkStart w:id="2795" w:name="_Toc18062"/>
      <w:bookmarkStart w:id="2796" w:name="_Toc14327"/>
      <w:bookmarkStart w:id="2797" w:name="_Toc21498"/>
      <w:bookmarkStart w:id="2798" w:name="_Toc8658"/>
      <w:bookmarkStart w:id="2799" w:name="_Toc3003"/>
      <w:bookmarkStart w:id="2800" w:name="_Toc21998"/>
      <w:bookmarkStart w:id="2801" w:name="_Toc19438"/>
      <w:bookmarkStart w:id="2802" w:name="_Toc18022"/>
      <w:bookmarkStart w:id="2803" w:name="_Toc26552"/>
      <w:bookmarkStart w:id="2804" w:name="_Toc22378"/>
      <w:bookmarkStart w:id="2805" w:name="_Toc8669"/>
      <w:bookmarkStart w:id="2806" w:name="_Toc2740"/>
      <w:bookmarkStart w:id="2807" w:name="_Toc19334"/>
      <w:bookmarkStart w:id="2808" w:name="_Toc1456"/>
      <w:r>
        <w:rPr>
          <w:rFonts w:hint="eastAsia" w:ascii="楷体_GB2312" w:hAnsi="楷体_GB2312" w:eastAsia="楷体_GB2312" w:cs="楷体_GB2312"/>
          <w:color w:val="auto"/>
          <w:szCs w:val="32"/>
          <w:highlight w:val="none"/>
        </w:rPr>
        <w:t>（三）完善园区产业招商机制</w:t>
      </w:r>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p>
    <w:p w14:paraId="6DEA5308">
      <w:pPr>
        <w:spacing w:line="560" w:lineRule="exact"/>
        <w:ind w:firstLine="640" w:firstLineChars="200"/>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实施产业干部培养计划，打造具备产业思维和专业能力的干部队伍，</w:t>
      </w:r>
      <w:r>
        <w:rPr>
          <w:rFonts w:ascii="仿宋_GB2312" w:hAnsi="仿宋_GB2312" w:eastAsia="仿宋_GB2312" w:cs="仿宋_GB2312"/>
          <w:color w:val="auto"/>
          <w:spacing w:val="15"/>
          <w:sz w:val="32"/>
          <w:szCs w:val="32"/>
          <w:highlight w:val="none"/>
          <w:shd w:val="clear" w:color="auto" w:fill="FFFFFF"/>
        </w:rPr>
        <w:t>系统提升产业洞察力与资源整合力</w:t>
      </w:r>
      <w:r>
        <w:rPr>
          <w:rFonts w:hint="eastAsia" w:ascii="仿宋_GB2312" w:hAnsi="仿宋_GB2312" w:eastAsia="仿宋_GB2312" w:cs="仿宋_GB2312"/>
          <w:color w:val="auto"/>
          <w:spacing w:val="15"/>
          <w:sz w:val="32"/>
          <w:szCs w:val="32"/>
          <w:highlight w:val="none"/>
          <w:shd w:val="clear" w:color="auto" w:fill="FFFFFF"/>
        </w:rPr>
        <w:t>，</w:t>
      </w:r>
      <w:r>
        <w:rPr>
          <w:rFonts w:hint="eastAsia" w:ascii="仿宋_GB2312" w:hAnsi="仿宋_GB2312" w:eastAsia="仿宋_GB2312" w:cs="仿宋_GB2312"/>
          <w:color w:val="auto"/>
          <w:sz w:val="32"/>
          <w:szCs w:val="32"/>
          <w:highlight w:val="none"/>
        </w:rPr>
        <w:t>构建“精准研判—定制服务—产业赋能”全链条招商体系。树立“管行业就要管招商”意识，加强“行业主管部门+园区管委会+要素保障部门”联动招商。探索设立中关村门头沟园招商分中心，编制园区招商手册，建立重大项目、重点企业直通车机制。强化产业链招商，制定重点产业链图谱和重点目标企业清单，完善“一链一方案”</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深入推进以商招商、资本招商、科创招商、场景招商和平台招商，探索“招投联动”“投孵联动”新模式。</w:t>
      </w:r>
      <w:r>
        <w:rPr>
          <w:rStyle w:val="14"/>
          <w:rFonts w:hint="eastAsia" w:ascii="仿宋_GB2312" w:hAnsi="仿宋_GB2312" w:eastAsia="仿宋_GB2312" w:cs="仿宋_GB2312"/>
          <w:b w:val="0"/>
          <w:color w:val="auto"/>
          <w:sz w:val="32"/>
          <w:szCs w:val="32"/>
          <w:highlight w:val="none"/>
        </w:rPr>
        <w:t>探索“会、赛、招、落”联动模式，挖掘优质科创项目资源，推动潜力企业向园区集聚落地。</w:t>
      </w:r>
      <w:r>
        <w:rPr>
          <w:rFonts w:hint="eastAsia" w:ascii="仿宋_GB2312" w:hAnsi="仿宋_GB2312" w:eastAsia="仿宋_GB2312" w:cs="仿宋_GB2312"/>
          <w:color w:val="auto"/>
          <w:sz w:val="32"/>
          <w:szCs w:val="32"/>
          <w:highlight w:val="none"/>
        </w:rPr>
        <w:t>打造专业化招商队伍，完善招商引资工作激励机制。</w:t>
      </w:r>
      <w:r>
        <w:rPr>
          <w:rStyle w:val="14"/>
          <w:rFonts w:hint="eastAsia" w:ascii="仿宋_GB2312" w:hAnsi="仿宋_GB2312" w:eastAsia="仿宋_GB2312" w:cs="仿宋_GB2312"/>
          <w:b w:val="0"/>
          <w:color w:val="auto"/>
          <w:sz w:val="32"/>
          <w:szCs w:val="32"/>
          <w:highlight w:val="none"/>
        </w:rPr>
        <w:t>建立入驻重点项目部门联合预评估机制，强化市场主体准入审核，提升项目落地质量。</w:t>
      </w:r>
    </w:p>
    <w:p w14:paraId="69DFEEF4">
      <w:pPr>
        <w:pStyle w:val="3"/>
        <w:ind w:firstLineChars="200"/>
        <w:rPr>
          <w:rFonts w:hint="eastAsia" w:ascii="楷体_GB2312" w:hAnsi="楷体_GB2312" w:eastAsia="楷体_GB2312" w:cs="楷体_GB2312"/>
          <w:color w:val="auto"/>
          <w:sz w:val="32"/>
          <w:szCs w:val="32"/>
          <w:highlight w:val="none"/>
        </w:rPr>
      </w:pPr>
      <w:bookmarkStart w:id="2809" w:name="_Toc2960"/>
      <w:bookmarkStart w:id="2810" w:name="_Toc4753"/>
      <w:bookmarkStart w:id="2811" w:name="_Toc17984"/>
      <w:bookmarkStart w:id="2812" w:name="_Toc5769"/>
      <w:bookmarkStart w:id="2813" w:name="_Toc26690"/>
      <w:bookmarkStart w:id="2814" w:name="_Toc11535"/>
      <w:bookmarkStart w:id="2815" w:name="_Toc17113"/>
      <w:bookmarkStart w:id="2816" w:name="_Toc24255"/>
      <w:bookmarkStart w:id="2817" w:name="_Toc17745"/>
      <w:bookmarkStart w:id="2818" w:name="_Toc1595115116"/>
      <w:bookmarkStart w:id="2819" w:name="_Toc18462"/>
      <w:bookmarkStart w:id="2820" w:name="_Toc13303"/>
      <w:bookmarkStart w:id="2821" w:name="_Toc5773"/>
      <w:bookmarkStart w:id="2822" w:name="_Toc29426"/>
      <w:bookmarkStart w:id="2823" w:name="_Toc11918"/>
      <w:bookmarkStart w:id="2824" w:name="_Toc6119"/>
      <w:bookmarkStart w:id="2825" w:name="_Toc5689"/>
      <w:bookmarkStart w:id="2826" w:name="_Toc28028"/>
      <w:bookmarkStart w:id="2827" w:name="_Toc22315"/>
      <w:bookmarkStart w:id="2828" w:name="_Toc4059"/>
      <w:bookmarkStart w:id="2829" w:name="_Toc11391"/>
      <w:bookmarkStart w:id="2830" w:name="_Toc26897"/>
      <w:bookmarkStart w:id="2831" w:name="_Toc21154"/>
      <w:bookmarkStart w:id="2832" w:name="_Toc21315"/>
      <w:bookmarkStart w:id="2833" w:name="_Toc16283"/>
      <w:bookmarkStart w:id="2834" w:name="_Toc5355"/>
      <w:bookmarkStart w:id="2835" w:name="_Toc802"/>
      <w:bookmarkStart w:id="2836" w:name="_Toc28663"/>
      <w:bookmarkStart w:id="2837" w:name="_Toc29707"/>
      <w:bookmarkStart w:id="2838" w:name="_Toc9505"/>
      <w:bookmarkStart w:id="2839" w:name="_Toc20086"/>
      <w:bookmarkStart w:id="2840" w:name="_Toc24205"/>
      <w:bookmarkStart w:id="2841" w:name="_Toc7873"/>
      <w:bookmarkStart w:id="2842" w:name="_Toc18793"/>
      <w:bookmarkStart w:id="2843" w:name="_Toc2069"/>
      <w:bookmarkStart w:id="2844" w:name="_Toc26507"/>
      <w:bookmarkStart w:id="2845" w:name="_Toc29108"/>
      <w:bookmarkStart w:id="2846" w:name="_Toc29067"/>
      <w:bookmarkStart w:id="2847" w:name="_Toc16911"/>
      <w:bookmarkStart w:id="2848" w:name="_Toc6854"/>
      <w:bookmarkStart w:id="2849" w:name="_Toc15320"/>
      <w:bookmarkStart w:id="2850" w:name="_Toc22785"/>
      <w:bookmarkStart w:id="2851" w:name="_Toc9696"/>
      <w:bookmarkStart w:id="2852" w:name="_Toc2754"/>
      <w:bookmarkStart w:id="2853" w:name="_Toc20103"/>
      <w:bookmarkStart w:id="2854" w:name="_Toc6265"/>
      <w:bookmarkStart w:id="2855" w:name="_Toc25348"/>
      <w:bookmarkStart w:id="2856" w:name="_Toc16220"/>
      <w:bookmarkStart w:id="2857" w:name="_Toc10309"/>
      <w:bookmarkStart w:id="2858" w:name="_Toc14371"/>
      <w:bookmarkStart w:id="2859" w:name="_Toc31674"/>
      <w:bookmarkStart w:id="2860" w:name="_Toc9256"/>
      <w:bookmarkStart w:id="2861" w:name="_Toc13795"/>
      <w:bookmarkStart w:id="2862" w:name="_Toc3349"/>
      <w:bookmarkStart w:id="2863" w:name="_Toc24145"/>
      <w:bookmarkStart w:id="2864" w:name="_Toc28802"/>
      <w:bookmarkStart w:id="2865" w:name="_Toc8843"/>
      <w:bookmarkStart w:id="2866" w:name="_Toc28617"/>
      <w:bookmarkStart w:id="2867" w:name="_Toc22657"/>
      <w:bookmarkStart w:id="2868" w:name="_Toc24534"/>
      <w:bookmarkStart w:id="2869" w:name="_Toc30456"/>
      <w:bookmarkStart w:id="2870" w:name="_Toc7042"/>
      <w:bookmarkStart w:id="2871" w:name="_Toc5706"/>
      <w:bookmarkStart w:id="2872" w:name="_Toc8206"/>
      <w:bookmarkStart w:id="2873" w:name="_Toc7294"/>
      <w:bookmarkStart w:id="2874" w:name="_Toc25126"/>
      <w:bookmarkStart w:id="2875" w:name="_Toc13779"/>
      <w:bookmarkStart w:id="2876" w:name="_Toc19507"/>
      <w:bookmarkStart w:id="2877" w:name="_Toc1167"/>
      <w:bookmarkStart w:id="2878" w:name="_Toc13885"/>
      <w:bookmarkStart w:id="2879" w:name="_Toc25004"/>
      <w:bookmarkStart w:id="2880" w:name="_Toc19546"/>
      <w:bookmarkStart w:id="2881" w:name="_Toc16480"/>
      <w:bookmarkStart w:id="2882" w:name="_Toc3948"/>
      <w:bookmarkStart w:id="2883" w:name="_Toc7167"/>
      <w:bookmarkStart w:id="2884" w:name="_Toc14449"/>
      <w:bookmarkStart w:id="2885" w:name="_Toc30409"/>
      <w:bookmarkStart w:id="2886" w:name="_Toc13833"/>
      <w:bookmarkStart w:id="2887" w:name="_Toc9898"/>
      <w:bookmarkStart w:id="2888" w:name="_Toc1522"/>
      <w:bookmarkStart w:id="2889" w:name="_Toc20844"/>
      <w:bookmarkStart w:id="2890" w:name="_Toc7022"/>
      <w:bookmarkStart w:id="2891" w:name="_Toc26883"/>
      <w:bookmarkStart w:id="2892" w:name="_Toc54"/>
      <w:bookmarkStart w:id="2893" w:name="_Toc29107"/>
      <w:bookmarkStart w:id="2894" w:name="_Toc10991"/>
      <w:bookmarkStart w:id="2895" w:name="_Toc18479"/>
      <w:bookmarkStart w:id="2896" w:name="_Toc11487"/>
      <w:bookmarkStart w:id="2897" w:name="_Toc31210"/>
      <w:bookmarkStart w:id="2898" w:name="_Toc18955"/>
      <w:bookmarkStart w:id="2899" w:name="_Toc28590"/>
      <w:bookmarkStart w:id="2900" w:name="_Toc24312"/>
      <w:bookmarkStart w:id="2901" w:name="_Toc25757"/>
      <w:bookmarkStart w:id="2902" w:name="_Toc108"/>
      <w:r>
        <w:rPr>
          <w:rFonts w:hint="eastAsia" w:ascii="楷体_GB2312" w:hAnsi="楷体_GB2312" w:eastAsia="楷体_GB2312" w:cs="楷体_GB2312"/>
          <w:color w:val="auto"/>
          <w:sz w:val="32"/>
          <w:szCs w:val="32"/>
          <w:highlight w:val="none"/>
        </w:rPr>
        <w:t>（四）促进区域开放协同发展</w:t>
      </w:r>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p>
    <w:p w14:paraId="5926DB81">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融入京津冀协同发展，探索与津冀地区合作，链接京津冀范围内相关产业联盟和协会，共建场景应用试验场、联合实验室、小试中试基地。紧抓北京市“两区”建设机遇，积极参与中关村论坛、中国国际服务贸易交易会等，有组织推动园区企业“组团出海”，参加国际知名展会，开展行业交流与合作，助力企业拓展市场。</w:t>
      </w:r>
    </w:p>
    <w:p w14:paraId="42BFD9BA">
      <w:pPr>
        <w:keepNext/>
        <w:keepLines/>
        <w:widowControl/>
        <w:spacing w:line="560" w:lineRule="exact"/>
        <w:ind w:firstLine="640" w:firstLineChars="200"/>
        <w:jc w:val="left"/>
        <w:outlineLvl w:val="0"/>
        <w:rPr>
          <w:rFonts w:hint="eastAsia" w:ascii="黑体" w:hAnsi="黑体" w:eastAsia="黑体" w:cs="黑体"/>
          <w:color w:val="auto"/>
          <w:kern w:val="44"/>
          <w:sz w:val="32"/>
          <w:highlight w:val="none"/>
        </w:rPr>
      </w:pPr>
      <w:bookmarkStart w:id="2903" w:name="_Toc2061389111"/>
      <w:bookmarkStart w:id="2904" w:name="_Toc3983"/>
      <w:bookmarkStart w:id="2905" w:name="_Toc21774"/>
      <w:bookmarkStart w:id="2906" w:name="_Toc14624"/>
      <w:bookmarkStart w:id="2907" w:name="_Toc32522"/>
      <w:bookmarkStart w:id="2908" w:name="_Toc15801"/>
      <w:bookmarkStart w:id="2909" w:name="_Toc26780"/>
      <w:bookmarkStart w:id="2910" w:name="_Toc15750"/>
      <w:bookmarkStart w:id="2911" w:name="_Toc15898"/>
      <w:bookmarkStart w:id="2912" w:name="_Toc14936"/>
      <w:bookmarkStart w:id="2913" w:name="_Toc7037"/>
      <w:bookmarkStart w:id="2914" w:name="_Toc9454"/>
      <w:bookmarkStart w:id="2915" w:name="_Toc11860"/>
      <w:bookmarkStart w:id="2916" w:name="_Toc20540"/>
      <w:bookmarkStart w:id="2917" w:name="_Toc1794"/>
      <w:bookmarkStart w:id="2918" w:name="_Toc18366"/>
      <w:bookmarkStart w:id="2919" w:name="_Toc18562"/>
      <w:bookmarkStart w:id="2920" w:name="_Toc11557"/>
      <w:bookmarkStart w:id="2921" w:name="_Toc32699"/>
      <w:bookmarkStart w:id="2922" w:name="_Toc2054"/>
      <w:bookmarkStart w:id="2923" w:name="_Toc7586"/>
      <w:bookmarkStart w:id="2924" w:name="_Toc2077"/>
      <w:bookmarkStart w:id="2925" w:name="_Toc28188"/>
      <w:bookmarkStart w:id="2926" w:name="_Toc9358"/>
      <w:bookmarkStart w:id="2927" w:name="_Toc23366"/>
      <w:bookmarkStart w:id="2928" w:name="_Toc6879"/>
      <w:bookmarkStart w:id="2929" w:name="_Toc11226"/>
      <w:bookmarkStart w:id="2930" w:name="_Toc18324"/>
      <w:bookmarkStart w:id="2931" w:name="_Toc20906"/>
      <w:bookmarkStart w:id="2932" w:name="_Toc7757"/>
      <w:bookmarkStart w:id="2933" w:name="_Toc12312"/>
      <w:bookmarkStart w:id="2934" w:name="_Toc22740"/>
      <w:bookmarkStart w:id="2935" w:name="_Toc12827"/>
      <w:bookmarkStart w:id="2936" w:name="_Toc17481"/>
      <w:bookmarkStart w:id="2937" w:name="_Toc19314"/>
      <w:bookmarkStart w:id="2938" w:name="_Toc15938"/>
      <w:bookmarkStart w:id="2939" w:name="_Toc51"/>
      <w:bookmarkStart w:id="2940" w:name="_Toc30234"/>
      <w:bookmarkStart w:id="2941" w:name="_Toc17592"/>
      <w:bookmarkStart w:id="2942" w:name="_Toc15416"/>
      <w:bookmarkStart w:id="2943" w:name="_Toc8300"/>
      <w:bookmarkStart w:id="2944" w:name="_Toc4474"/>
      <w:bookmarkStart w:id="2945" w:name="_Toc23058"/>
      <w:bookmarkStart w:id="2946" w:name="_Toc9249"/>
      <w:bookmarkStart w:id="2947" w:name="_Toc1079"/>
      <w:bookmarkStart w:id="2948" w:name="_Toc2052"/>
      <w:bookmarkStart w:id="2949" w:name="_Toc10557"/>
      <w:bookmarkStart w:id="2950" w:name="_Toc31528"/>
      <w:bookmarkStart w:id="2951" w:name="_Toc786021665"/>
      <w:bookmarkStart w:id="2952" w:name="_Toc13646"/>
      <w:bookmarkStart w:id="2953" w:name="_Toc24495"/>
      <w:bookmarkStart w:id="2954" w:name="_Toc22363"/>
      <w:bookmarkStart w:id="2955" w:name="_Toc6943"/>
      <w:bookmarkStart w:id="2956" w:name="_Toc5021"/>
      <w:bookmarkStart w:id="2957" w:name="_Toc20391"/>
      <w:bookmarkStart w:id="2958" w:name="_Toc8135"/>
      <w:bookmarkStart w:id="2959" w:name="_Toc666"/>
      <w:bookmarkStart w:id="2960" w:name="_Toc25935"/>
      <w:bookmarkStart w:id="2961" w:name="_Toc9888"/>
      <w:bookmarkStart w:id="2962" w:name="_Toc16436"/>
      <w:bookmarkStart w:id="2963" w:name="_Toc11118"/>
      <w:bookmarkStart w:id="2964" w:name="_Toc5829"/>
      <w:bookmarkStart w:id="2965" w:name="_Toc3136"/>
      <w:bookmarkStart w:id="2966" w:name="_Toc9235"/>
      <w:bookmarkStart w:id="2967" w:name="_Toc29032"/>
      <w:bookmarkStart w:id="2968" w:name="_Toc3713"/>
      <w:bookmarkStart w:id="2969" w:name="_Toc11718"/>
      <w:bookmarkStart w:id="2970" w:name="_Toc28922"/>
      <w:bookmarkStart w:id="2971" w:name="_Toc21607"/>
      <w:bookmarkStart w:id="2972" w:name="_Toc24850"/>
      <w:bookmarkStart w:id="2973" w:name="_Toc16346"/>
      <w:bookmarkStart w:id="2974" w:name="_Toc1364"/>
      <w:bookmarkStart w:id="2975" w:name="_Toc10004"/>
      <w:bookmarkStart w:id="2976" w:name="_Toc24272"/>
      <w:bookmarkStart w:id="2977" w:name="_Toc5302"/>
      <w:bookmarkStart w:id="2978" w:name="_Toc31282"/>
      <w:bookmarkStart w:id="2979" w:name="_Toc6332"/>
      <w:bookmarkStart w:id="2980" w:name="_Toc3890"/>
      <w:bookmarkStart w:id="2981" w:name="_Toc14024"/>
      <w:bookmarkStart w:id="2982" w:name="_Toc19328"/>
      <w:bookmarkStart w:id="2983" w:name="_Toc5376"/>
      <w:bookmarkStart w:id="2984" w:name="_Toc20883"/>
      <w:bookmarkStart w:id="2985" w:name="_Toc5364"/>
      <w:bookmarkStart w:id="2986" w:name="_Toc18505"/>
      <w:bookmarkStart w:id="2987" w:name="_Toc17166"/>
      <w:bookmarkStart w:id="2988" w:name="_Toc26460"/>
      <w:bookmarkStart w:id="2989" w:name="_Toc28229"/>
      <w:bookmarkStart w:id="2990" w:name="_Toc14473"/>
      <w:bookmarkStart w:id="2991" w:name="_Toc7499"/>
      <w:bookmarkStart w:id="2992" w:name="_Toc9375"/>
      <w:bookmarkStart w:id="2993" w:name="_Toc13240"/>
      <w:bookmarkStart w:id="2994" w:name="_Toc1149736322"/>
      <w:bookmarkStart w:id="2995" w:name="_Toc26738"/>
      <w:bookmarkStart w:id="2996" w:name="_Toc28674"/>
      <w:bookmarkStart w:id="2997" w:name="_Toc6758"/>
      <w:bookmarkStart w:id="2998" w:name="_Toc1133"/>
      <w:bookmarkStart w:id="2999" w:name="_Toc31217"/>
      <w:bookmarkStart w:id="3000" w:name="_Toc3251"/>
      <w:bookmarkStart w:id="3001" w:name="_Toc8246"/>
      <w:bookmarkStart w:id="3002" w:name="_Toc16459"/>
      <w:bookmarkStart w:id="3003" w:name="_Toc20450"/>
      <w:bookmarkStart w:id="3004" w:name="_Toc719823796"/>
      <w:bookmarkStart w:id="3005" w:name="_Toc12627"/>
      <w:bookmarkStart w:id="3006" w:name="_Toc6097"/>
      <w:bookmarkStart w:id="3007" w:name="_Toc6810"/>
      <w:bookmarkStart w:id="3008" w:name="_Toc8075"/>
      <w:r>
        <w:rPr>
          <w:rFonts w:ascii="黑体" w:hAnsi="黑体" w:eastAsia="黑体" w:cs="黑体"/>
          <w:color w:val="auto"/>
          <w:kern w:val="44"/>
          <w:sz w:val="32"/>
          <w:highlight w:val="none"/>
        </w:rPr>
        <w:t>十、保障措施</w:t>
      </w:r>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p>
    <w:p w14:paraId="16EA55BA">
      <w:pPr>
        <w:numPr>
          <w:ilvl w:val="255"/>
          <w:numId w:val="0"/>
        </w:numPr>
        <w:spacing w:line="560" w:lineRule="exact"/>
        <w:ind w:firstLine="640" w:firstLineChars="200"/>
        <w:outlineLvl w:val="1"/>
        <w:rPr>
          <w:rFonts w:hint="eastAsia" w:ascii="楷体_GB2312" w:hAnsi="楷体_GB2312" w:eastAsia="楷体_GB2312" w:cs="楷体_GB2312"/>
          <w:color w:val="auto"/>
          <w:sz w:val="32"/>
          <w:szCs w:val="32"/>
          <w:highlight w:val="none"/>
          <w:lang w:eastAsia="zh-CN"/>
        </w:rPr>
      </w:pPr>
      <w:bookmarkStart w:id="3009" w:name="_Toc1198"/>
      <w:bookmarkStart w:id="3010" w:name="_Toc4853"/>
      <w:bookmarkStart w:id="3011" w:name="_Toc7328"/>
      <w:bookmarkStart w:id="3012" w:name="_Toc30229"/>
      <w:bookmarkStart w:id="3013" w:name="_Toc23456"/>
      <w:bookmarkStart w:id="3014" w:name="_Toc15267"/>
      <w:bookmarkStart w:id="3015" w:name="_Toc12615"/>
      <w:bookmarkStart w:id="3016" w:name="_Toc9009"/>
      <w:bookmarkStart w:id="3017" w:name="_Toc8330"/>
      <w:bookmarkStart w:id="3018" w:name="_Toc22484"/>
      <w:bookmarkStart w:id="3019" w:name="_Toc22025"/>
      <w:bookmarkStart w:id="3020" w:name="_Toc23942"/>
      <w:bookmarkStart w:id="3021" w:name="_Toc16410"/>
      <w:bookmarkStart w:id="3022" w:name="_Toc18483"/>
      <w:bookmarkStart w:id="3023" w:name="_Toc17563"/>
      <w:bookmarkStart w:id="3024" w:name="_Toc4364"/>
      <w:bookmarkStart w:id="3025" w:name="_Toc27031"/>
      <w:bookmarkStart w:id="3026" w:name="_Toc25523"/>
      <w:bookmarkStart w:id="3027" w:name="_Toc19705"/>
      <w:bookmarkStart w:id="3028" w:name="_Toc1294"/>
      <w:bookmarkStart w:id="3029" w:name="_Toc3088"/>
      <w:bookmarkStart w:id="3030" w:name="_Toc1933"/>
      <w:bookmarkStart w:id="3031" w:name="_Toc10561"/>
      <w:bookmarkStart w:id="3032" w:name="_Toc28347"/>
      <w:bookmarkStart w:id="3033" w:name="_Toc30568"/>
      <w:bookmarkStart w:id="3034" w:name="_Toc22247"/>
      <w:bookmarkStart w:id="3035" w:name="_Toc5574"/>
      <w:bookmarkStart w:id="3036" w:name="_Toc17260"/>
      <w:bookmarkStart w:id="3037" w:name="_Toc3980"/>
      <w:bookmarkStart w:id="3038" w:name="_Toc15912"/>
      <w:bookmarkStart w:id="3039" w:name="_Toc28875"/>
      <w:bookmarkStart w:id="3040" w:name="_Toc30986"/>
      <w:bookmarkStart w:id="3041" w:name="_Toc27409"/>
      <w:bookmarkStart w:id="3042" w:name="_Toc3958"/>
      <w:bookmarkStart w:id="3043" w:name="_Toc4032"/>
      <w:bookmarkStart w:id="3044" w:name="_Toc2845"/>
      <w:bookmarkStart w:id="3045" w:name="_Toc24717"/>
      <w:bookmarkStart w:id="3046" w:name="_Toc1897"/>
      <w:bookmarkStart w:id="3047" w:name="_Toc5445"/>
      <w:bookmarkStart w:id="3048" w:name="_Toc10995"/>
      <w:bookmarkStart w:id="3049" w:name="_Toc23608"/>
      <w:bookmarkStart w:id="3050" w:name="_Toc22628"/>
      <w:bookmarkStart w:id="3051" w:name="_Toc15559"/>
      <w:bookmarkStart w:id="3052" w:name="_Toc7928"/>
      <w:bookmarkStart w:id="3053" w:name="_Toc12634"/>
      <w:bookmarkStart w:id="3054" w:name="_Toc20580"/>
      <w:bookmarkStart w:id="3055" w:name="_Toc8931"/>
      <w:bookmarkStart w:id="3056" w:name="_Toc4539"/>
      <w:bookmarkStart w:id="3057" w:name="_Toc7414"/>
      <w:bookmarkStart w:id="3058" w:name="_Toc28680"/>
      <w:bookmarkStart w:id="3059" w:name="_Toc3117"/>
      <w:bookmarkStart w:id="3060" w:name="_Toc154"/>
      <w:bookmarkStart w:id="3061" w:name="_Toc413111526"/>
      <w:bookmarkStart w:id="3062" w:name="_Toc22716"/>
      <w:bookmarkStart w:id="3063" w:name="_Toc31979"/>
      <w:bookmarkStart w:id="3064" w:name="_Toc11308"/>
      <w:bookmarkStart w:id="3065" w:name="_Toc31064"/>
      <w:bookmarkStart w:id="3066" w:name="_Toc10409"/>
      <w:bookmarkStart w:id="3067" w:name="_Toc7260"/>
      <w:bookmarkStart w:id="3068" w:name="_Toc3820"/>
      <w:bookmarkStart w:id="3069" w:name="_Toc13427"/>
      <w:bookmarkStart w:id="3070" w:name="_Toc27263"/>
      <w:bookmarkStart w:id="3071" w:name="_Toc8688"/>
      <w:bookmarkStart w:id="3072" w:name="_Toc21360"/>
      <w:bookmarkStart w:id="3073" w:name="_Toc4660"/>
      <w:bookmarkStart w:id="3074" w:name="_Toc14722"/>
      <w:bookmarkStart w:id="3075" w:name="_Toc13404"/>
      <w:bookmarkStart w:id="3076" w:name="_Toc2402"/>
      <w:bookmarkStart w:id="3077" w:name="_Toc4546"/>
      <w:bookmarkStart w:id="3078" w:name="_Toc9594"/>
      <w:bookmarkStart w:id="3079" w:name="_Toc5440"/>
      <w:bookmarkStart w:id="3080" w:name="_Toc28805"/>
      <w:bookmarkStart w:id="3081" w:name="_Toc811"/>
      <w:bookmarkStart w:id="3082" w:name="_Toc3238"/>
      <w:bookmarkStart w:id="3083" w:name="_Toc13061"/>
      <w:bookmarkStart w:id="3084" w:name="_Toc26459"/>
      <w:bookmarkStart w:id="3085" w:name="_Toc28264"/>
      <w:bookmarkStart w:id="3086" w:name="_Toc4101"/>
      <w:bookmarkStart w:id="3087" w:name="_Toc6255"/>
      <w:bookmarkStart w:id="3088" w:name="_Toc18095"/>
      <w:bookmarkStart w:id="3089" w:name="_Toc14770"/>
      <w:bookmarkStart w:id="3090" w:name="_Toc13266"/>
      <w:bookmarkStart w:id="3091" w:name="_Toc2109"/>
      <w:bookmarkStart w:id="3092" w:name="_Toc6158"/>
      <w:bookmarkStart w:id="3093" w:name="_Toc6015"/>
      <w:bookmarkStart w:id="3094" w:name="_Toc5781"/>
      <w:bookmarkStart w:id="3095" w:name="_Toc19003"/>
      <w:bookmarkStart w:id="3096" w:name="_Toc17828"/>
      <w:bookmarkStart w:id="3097" w:name="_Toc25537"/>
      <w:bookmarkStart w:id="3098" w:name="_Toc25096"/>
      <w:bookmarkStart w:id="3099" w:name="_Toc12291"/>
      <w:bookmarkStart w:id="3100" w:name="_Toc21879"/>
      <w:bookmarkStart w:id="3101" w:name="_Toc15905"/>
      <w:bookmarkStart w:id="3102" w:name="_Toc22592"/>
      <w:bookmarkStart w:id="3103" w:name="_Toc560508148"/>
      <w:bookmarkStart w:id="3104" w:name="_Toc17787"/>
      <w:bookmarkStart w:id="3105" w:name="_Toc21889"/>
      <w:bookmarkStart w:id="3106" w:name="_Toc4158"/>
      <w:bookmarkStart w:id="3107" w:name="_Toc7681"/>
      <w:bookmarkStart w:id="3108" w:name="_Toc1303155821"/>
      <w:bookmarkStart w:id="3109" w:name="_Toc11868"/>
      <w:bookmarkStart w:id="3110" w:name="_Toc25042"/>
      <w:bookmarkStart w:id="3111" w:name="_Toc10402"/>
      <w:bookmarkStart w:id="3112" w:name="_Toc1494210958"/>
      <w:bookmarkStart w:id="3113" w:name="_Toc9574"/>
      <w:bookmarkStart w:id="3114" w:name="_Toc16900"/>
      <w:r>
        <w:rPr>
          <w:rFonts w:hint="eastAsia" w:ascii="楷体_GB2312" w:hAnsi="楷体_GB2312" w:eastAsia="楷体_GB2312" w:cs="楷体_GB2312"/>
          <w:color w:val="auto"/>
          <w:sz w:val="32"/>
          <w:szCs w:val="32"/>
          <w:highlight w:val="none"/>
        </w:rPr>
        <w:t>（一）加强组织领导</w:t>
      </w:r>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p>
    <w:p w14:paraId="20759E44">
      <w:pPr>
        <w:numPr>
          <w:ilvl w:val="-1"/>
          <w:numId w:val="0"/>
        </w:numPr>
        <w:spacing w:line="560" w:lineRule="exact"/>
        <w:ind w:firstLine="640" w:firstLineChars="200"/>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加强区级统筹</w:t>
      </w:r>
      <w:r>
        <w:rPr>
          <w:rFonts w:hint="eastAsia" w:ascii="仿宋_GB2312" w:hAnsi="仿宋_GB2312" w:eastAsia="仿宋_GB2312" w:cs="仿宋_GB2312"/>
          <w:color w:val="auto"/>
          <w:sz w:val="32"/>
          <w:szCs w:val="32"/>
          <w:highlight w:val="none"/>
          <w:lang w:val="en-US" w:eastAsia="zh-CN"/>
        </w:rPr>
        <w:t>调度</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kern w:val="2"/>
          <w:sz w:val="32"/>
          <w:szCs w:val="32"/>
          <w:highlight w:val="none"/>
          <w:lang w:val="en-US" w:eastAsia="zh-CN" w:bidi="ar"/>
        </w:rPr>
        <w:t>强化短期与中长期目标的衔接，</w:t>
      </w:r>
      <w:r>
        <w:rPr>
          <w:rFonts w:hint="eastAsia" w:ascii="仿宋_GB2312" w:hAnsi="仿宋_GB2312" w:eastAsia="仿宋_GB2312" w:cs="仿宋_GB2312"/>
          <w:color w:val="auto"/>
          <w:sz w:val="32"/>
          <w:szCs w:val="32"/>
          <w:highlight w:val="none"/>
          <w:lang w:val="en-US" w:eastAsia="zh-CN"/>
        </w:rPr>
        <w:t>逐年</w:t>
      </w:r>
      <w:r>
        <w:rPr>
          <w:rFonts w:hint="eastAsia" w:ascii="仿宋_GB2312" w:hAnsi="仿宋_GB2312" w:eastAsia="仿宋_GB2312" w:cs="仿宋_GB2312"/>
          <w:color w:val="auto"/>
          <w:kern w:val="2"/>
          <w:sz w:val="32"/>
          <w:szCs w:val="32"/>
          <w:highlight w:val="none"/>
          <w:lang w:val="en-US" w:eastAsia="zh-CN" w:bidi="ar"/>
        </w:rPr>
        <w:t>分解调度重大任务、项目。</w:t>
      </w:r>
      <w:r>
        <w:rPr>
          <w:rFonts w:hint="eastAsia" w:ascii="仿宋_GB2312" w:hAnsi="仿宋_GB2312" w:eastAsia="仿宋_GB2312" w:cs="仿宋_GB2312"/>
          <w:b w:val="0"/>
          <w:bCs w:val="0"/>
          <w:color w:val="auto"/>
          <w:kern w:val="2"/>
          <w:sz w:val="32"/>
          <w:szCs w:val="32"/>
          <w:highlight w:val="none"/>
          <w:lang w:val="en-US" w:eastAsia="zh-CN" w:bidi="ar-SA"/>
        </w:rPr>
        <w:t>发挥考核评估“指挥棒”作用，将规划事项纳入年度重点工作，</w:t>
      </w:r>
      <w:r>
        <w:rPr>
          <w:rFonts w:hint="eastAsia" w:ascii="仿宋_GB2312" w:hAnsi="仿宋_GB2312" w:eastAsia="仿宋_GB2312" w:cs="仿宋_GB2312"/>
          <w:color w:val="auto"/>
          <w:kern w:val="2"/>
          <w:sz w:val="32"/>
          <w:szCs w:val="32"/>
          <w:highlight w:val="none"/>
          <w:lang w:val="en-US" w:eastAsia="zh-CN" w:bidi="ar"/>
        </w:rPr>
        <w:t>主要指标纳入年度考核。发挥“吹哨”作用，</w:t>
      </w:r>
      <w:r>
        <w:rPr>
          <w:rFonts w:hint="eastAsia" w:ascii="仿宋_GB2312" w:hAnsi="仿宋_GB2312" w:eastAsia="仿宋_GB2312" w:cs="仿宋_GB2312"/>
          <w:color w:val="auto"/>
          <w:sz w:val="32"/>
          <w:szCs w:val="32"/>
          <w:highlight w:val="none"/>
        </w:rPr>
        <w:t>及时协调解决遇到的困难和问题。压实各级部门规划实施的主体责任</w:t>
      </w:r>
      <w:r>
        <w:rPr>
          <w:rFonts w:hint="eastAsia" w:ascii="仿宋_GB2312" w:hAnsi="仿宋_GB2312" w:eastAsia="仿宋_GB2312" w:cs="仿宋_GB2312"/>
          <w:b w:val="0"/>
          <w:bCs w:val="0"/>
          <w:color w:val="auto"/>
          <w:kern w:val="2"/>
          <w:sz w:val="32"/>
          <w:szCs w:val="32"/>
          <w:highlight w:val="none"/>
          <w:lang w:val="en-US" w:eastAsia="zh-CN" w:bidi="ar-SA"/>
        </w:rPr>
        <w:t>，细化各项任务安排，层层狠抓任务落实，确保规划各项任务和重大项目如期高质量完成。</w:t>
      </w:r>
      <w:bookmarkEnd w:id="3114"/>
    </w:p>
    <w:p w14:paraId="7D514557">
      <w:pPr>
        <w:numPr>
          <w:ilvl w:val="255"/>
          <w:numId w:val="0"/>
        </w:numPr>
        <w:spacing w:line="560" w:lineRule="exact"/>
        <w:ind w:firstLine="640" w:firstLineChars="200"/>
        <w:outlineLvl w:val="1"/>
        <w:rPr>
          <w:rFonts w:hint="eastAsia" w:ascii="楷体_GB2312" w:hAnsi="楷体_GB2312" w:eastAsia="楷体_GB2312" w:cs="楷体_GB2312"/>
          <w:color w:val="auto"/>
          <w:sz w:val="32"/>
          <w:szCs w:val="32"/>
          <w:highlight w:val="none"/>
        </w:rPr>
      </w:pPr>
      <w:bookmarkStart w:id="3115" w:name="_Toc13122"/>
      <w:bookmarkStart w:id="3116" w:name="_Toc3172"/>
      <w:bookmarkStart w:id="3117" w:name="_Toc352"/>
      <w:bookmarkStart w:id="3118" w:name="_Toc9778"/>
      <w:bookmarkStart w:id="3119" w:name="_Toc6116"/>
      <w:bookmarkStart w:id="3120" w:name="_Toc13715"/>
      <w:bookmarkStart w:id="3121" w:name="_Toc17163"/>
      <w:bookmarkStart w:id="3122" w:name="_Toc12568"/>
      <w:bookmarkStart w:id="3123" w:name="_Toc11606"/>
      <w:bookmarkStart w:id="3124" w:name="_Toc30055"/>
      <w:bookmarkStart w:id="3125" w:name="_Toc28581"/>
      <w:bookmarkStart w:id="3126" w:name="_Toc14286"/>
      <w:bookmarkStart w:id="3127" w:name="_Toc22776"/>
      <w:bookmarkStart w:id="3128" w:name="_Toc4875"/>
      <w:bookmarkStart w:id="3129" w:name="_Toc27058"/>
      <w:bookmarkStart w:id="3130" w:name="_Toc24197"/>
      <w:bookmarkStart w:id="3131" w:name="_Toc30480"/>
      <w:bookmarkStart w:id="3132" w:name="_Toc28439"/>
      <w:bookmarkStart w:id="3133" w:name="_Toc14819"/>
      <w:bookmarkStart w:id="3134" w:name="_Toc14872"/>
      <w:bookmarkStart w:id="3135" w:name="_Toc22645"/>
      <w:bookmarkStart w:id="3136" w:name="_Toc28974"/>
      <w:bookmarkStart w:id="3137" w:name="_Toc350786731"/>
      <w:bookmarkStart w:id="3138" w:name="_Toc22868"/>
      <w:bookmarkStart w:id="3139" w:name="_Toc13178"/>
      <w:bookmarkStart w:id="3140" w:name="_Toc29760"/>
      <w:bookmarkStart w:id="3141" w:name="_Toc23589"/>
      <w:bookmarkStart w:id="3142" w:name="_Toc24081"/>
      <w:bookmarkStart w:id="3143" w:name="_Toc18886"/>
      <w:bookmarkStart w:id="3144" w:name="_Toc168"/>
      <w:bookmarkStart w:id="3145" w:name="_Toc7755"/>
      <w:bookmarkStart w:id="3146" w:name="_Toc7675"/>
      <w:bookmarkStart w:id="3147" w:name="_Toc30287"/>
      <w:bookmarkStart w:id="3148" w:name="_Toc22722"/>
      <w:bookmarkStart w:id="3149" w:name="_Toc2654"/>
      <w:bookmarkStart w:id="3150" w:name="_Toc10018"/>
      <w:bookmarkStart w:id="3151" w:name="_Toc28287"/>
      <w:bookmarkStart w:id="3152" w:name="_Toc10021"/>
      <w:bookmarkStart w:id="3153" w:name="_Toc1715"/>
      <w:bookmarkStart w:id="3154" w:name="_Toc32200"/>
      <w:bookmarkStart w:id="3155" w:name="_Toc14352"/>
      <w:bookmarkStart w:id="3156" w:name="_Toc5402"/>
      <w:bookmarkStart w:id="3157" w:name="_Toc17372"/>
      <w:bookmarkStart w:id="3158" w:name="_Toc19458"/>
      <w:bookmarkStart w:id="3159" w:name="_Toc29319"/>
      <w:bookmarkStart w:id="3160" w:name="_Toc1202"/>
      <w:bookmarkStart w:id="3161" w:name="_Toc3791"/>
      <w:bookmarkStart w:id="3162" w:name="_Toc28406"/>
      <w:bookmarkStart w:id="3163" w:name="_Toc31496"/>
      <w:bookmarkStart w:id="3164" w:name="_Toc8708"/>
      <w:bookmarkStart w:id="3165" w:name="_Toc5590"/>
      <w:bookmarkStart w:id="3166" w:name="_Toc4831"/>
      <w:bookmarkStart w:id="3167" w:name="_Toc32650"/>
      <w:bookmarkStart w:id="3168" w:name="_Toc32064"/>
      <w:bookmarkStart w:id="3169" w:name="_Toc22061"/>
      <w:bookmarkStart w:id="3170" w:name="_Toc27163"/>
      <w:bookmarkStart w:id="3171" w:name="_Toc17690"/>
      <w:bookmarkStart w:id="3172" w:name="_Toc320"/>
      <w:bookmarkStart w:id="3173" w:name="_Toc32663"/>
      <w:bookmarkStart w:id="3174" w:name="_Toc4661"/>
      <w:bookmarkStart w:id="3175" w:name="_Toc19206"/>
      <w:bookmarkStart w:id="3176" w:name="_Toc13628"/>
      <w:bookmarkStart w:id="3177" w:name="_Toc2468"/>
      <w:bookmarkStart w:id="3178" w:name="_Toc16749"/>
      <w:bookmarkStart w:id="3179" w:name="_Toc5728"/>
      <w:bookmarkStart w:id="3180" w:name="_Toc10643"/>
      <w:bookmarkStart w:id="3181" w:name="_Toc13282"/>
      <w:bookmarkStart w:id="3182" w:name="_Toc25311"/>
      <w:bookmarkStart w:id="3183" w:name="_Toc1419"/>
      <w:bookmarkStart w:id="3184" w:name="_Toc16392"/>
      <w:bookmarkStart w:id="3185" w:name="_Toc1597167694"/>
      <w:bookmarkStart w:id="3186" w:name="_Toc4193"/>
      <w:bookmarkStart w:id="3187" w:name="_Toc1227"/>
      <w:bookmarkStart w:id="3188" w:name="_Toc6731"/>
      <w:bookmarkStart w:id="3189" w:name="_Toc18180"/>
      <w:bookmarkStart w:id="3190" w:name="_Toc3132"/>
      <w:bookmarkStart w:id="3191" w:name="_Toc22372"/>
      <w:bookmarkStart w:id="3192" w:name="_Toc11778"/>
      <w:bookmarkStart w:id="3193" w:name="_Toc18258"/>
      <w:bookmarkStart w:id="3194" w:name="_Toc1613"/>
      <w:bookmarkStart w:id="3195" w:name="_Toc2101651441"/>
      <w:bookmarkStart w:id="3196" w:name="_Toc16092"/>
      <w:bookmarkStart w:id="3197" w:name="_Toc20697"/>
      <w:bookmarkStart w:id="3198" w:name="_Toc22324"/>
      <w:bookmarkStart w:id="3199" w:name="_Toc26580"/>
      <w:bookmarkStart w:id="3200" w:name="_Toc1059"/>
      <w:bookmarkStart w:id="3201" w:name="_Toc314"/>
      <w:bookmarkStart w:id="3202" w:name="_Toc14300"/>
      <w:bookmarkStart w:id="3203" w:name="_Toc29832"/>
      <w:bookmarkStart w:id="3204" w:name="_Toc10551"/>
      <w:bookmarkStart w:id="3205" w:name="_Toc22209"/>
      <w:bookmarkStart w:id="3206" w:name="_Toc29604"/>
      <w:bookmarkStart w:id="3207" w:name="_Toc32605"/>
      <w:bookmarkStart w:id="3208" w:name="_Toc12232"/>
      <w:bookmarkStart w:id="3209" w:name="_Toc32370"/>
      <w:bookmarkStart w:id="3210" w:name="_Toc529803088"/>
      <w:bookmarkStart w:id="3211" w:name="_Toc12244"/>
      <w:bookmarkStart w:id="3212" w:name="_Toc24909"/>
      <w:bookmarkStart w:id="3213" w:name="_Toc18055"/>
      <w:bookmarkStart w:id="3214" w:name="_Toc2286"/>
      <w:bookmarkStart w:id="3215" w:name="_Toc4384"/>
      <w:bookmarkStart w:id="3216" w:name="_Toc6565"/>
      <w:bookmarkStart w:id="3217" w:name="_Toc29221"/>
      <w:bookmarkStart w:id="3218" w:name="_Toc26976"/>
      <w:bookmarkStart w:id="3219" w:name="_Toc30366"/>
      <w:bookmarkStart w:id="3220" w:name="_Toc28308"/>
      <w:r>
        <w:rPr>
          <w:rFonts w:hint="eastAsia" w:ascii="楷体_GB2312" w:hAnsi="楷体_GB2312" w:eastAsia="楷体_GB2312" w:cs="楷体_GB2312"/>
          <w:color w:val="auto"/>
          <w:sz w:val="32"/>
          <w:szCs w:val="32"/>
          <w:highlight w:val="none"/>
        </w:rPr>
        <w:t>（二）强化资源保障</w:t>
      </w:r>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p>
    <w:p w14:paraId="5C95018E">
      <w:pPr>
        <w:numPr>
          <w:ilvl w:val="-1"/>
          <w:numId w:val="0"/>
        </w:numPr>
        <w:spacing w:line="560" w:lineRule="exact"/>
        <w:ind w:firstLine="640" w:firstLineChars="200"/>
        <w:outlineLvl w:val="9"/>
        <w:rPr>
          <w:rFonts w:hint="eastAsia" w:ascii="仿宋_GB2312" w:hAnsi="仿宋_GB2312" w:eastAsia="仿宋_GB2312" w:cs="仿宋_GB2312"/>
          <w:color w:val="auto"/>
          <w:sz w:val="32"/>
          <w:szCs w:val="32"/>
          <w:highlight w:val="none"/>
        </w:rPr>
      </w:pPr>
      <w:r>
        <w:rPr>
          <w:rFonts w:ascii="仿宋_GB2312" w:hAnsi="仿宋_GB2312" w:eastAsia="仿宋_GB2312" w:cs="仿宋_GB2312"/>
          <w:color w:val="auto"/>
          <w:sz w:val="32"/>
          <w:szCs w:val="32"/>
          <w:highlight w:val="none"/>
        </w:rPr>
        <w:t>围绕园区和产业发展</w:t>
      </w:r>
      <w:r>
        <w:rPr>
          <w:rFonts w:hint="eastAsia" w:ascii="仿宋_GB2312" w:hAnsi="仿宋_GB2312" w:eastAsia="仿宋_GB2312" w:cs="仿宋_GB2312"/>
          <w:color w:val="auto"/>
          <w:sz w:val="32"/>
          <w:szCs w:val="32"/>
          <w:highlight w:val="none"/>
        </w:rPr>
        <w:t>需求</w:t>
      </w:r>
      <w:r>
        <w:rPr>
          <w:rFonts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t>进一步深化改革，</w:t>
      </w:r>
      <w:r>
        <w:rPr>
          <w:rFonts w:hint="eastAsia" w:ascii="仿宋_GB2312" w:hAnsi="仿宋_GB2312" w:eastAsia="仿宋_GB2312" w:cs="仿宋_GB2312"/>
          <w:color w:val="auto"/>
          <w:sz w:val="32"/>
          <w:szCs w:val="32"/>
          <w:highlight w:val="none"/>
          <w:lang w:val="en-US" w:eastAsia="zh-CN"/>
        </w:rPr>
        <w:t>有序出台配套支持政策，</w:t>
      </w:r>
      <w:r>
        <w:rPr>
          <w:rFonts w:hint="eastAsia" w:ascii="仿宋_GB2312" w:hAnsi="仿宋_GB2312" w:eastAsia="仿宋_GB2312" w:cs="仿宋_GB2312"/>
          <w:color w:val="auto"/>
          <w:sz w:val="32"/>
          <w:szCs w:val="32"/>
          <w:highlight w:val="none"/>
        </w:rPr>
        <w:t>优化资源要素配置</w:t>
      </w:r>
      <w:r>
        <w:rPr>
          <w:rFonts w:hint="eastAsia" w:ascii="仿宋_GB2312" w:hAnsi="仿宋_GB2312" w:eastAsia="仿宋_GB2312" w:cs="仿宋_GB2312"/>
          <w:color w:val="auto"/>
          <w:sz w:val="32"/>
          <w:szCs w:val="32"/>
          <w:highlight w:val="none"/>
          <w:lang w:eastAsia="zh-CN"/>
        </w:rPr>
        <w:t>。</w:t>
      </w:r>
      <w:r>
        <w:rPr>
          <w:rFonts w:ascii="仿宋_GB2312" w:hAnsi="仿宋_GB2312" w:eastAsia="仿宋_GB2312" w:cs="仿宋_GB2312"/>
          <w:color w:val="auto"/>
          <w:sz w:val="32"/>
          <w:szCs w:val="32"/>
          <w:highlight w:val="none"/>
        </w:rPr>
        <w:t>加大</w:t>
      </w:r>
      <w:r>
        <w:rPr>
          <w:rFonts w:hint="eastAsia" w:ascii="仿宋_GB2312" w:hAnsi="仿宋_GB2312" w:eastAsia="仿宋_GB2312" w:cs="仿宋_GB2312"/>
          <w:color w:val="auto"/>
          <w:sz w:val="32"/>
          <w:szCs w:val="32"/>
          <w:highlight w:val="none"/>
          <w:lang w:val="en-US" w:eastAsia="zh-CN"/>
        </w:rPr>
        <w:t>区级</w:t>
      </w:r>
      <w:r>
        <w:rPr>
          <w:rFonts w:ascii="仿宋_GB2312" w:hAnsi="仿宋_GB2312" w:eastAsia="仿宋_GB2312" w:cs="仿宋_GB2312"/>
          <w:color w:val="auto"/>
          <w:sz w:val="32"/>
          <w:szCs w:val="32"/>
          <w:highlight w:val="none"/>
        </w:rPr>
        <w:t>财政资金支持力度，</w:t>
      </w:r>
      <w:r>
        <w:rPr>
          <w:rFonts w:hint="eastAsia" w:ascii="仿宋_GB2312" w:hAnsi="仿宋_GB2312" w:eastAsia="仿宋_GB2312" w:cs="仿宋_GB2312"/>
          <w:color w:val="auto"/>
          <w:sz w:val="32"/>
          <w:szCs w:val="32"/>
          <w:highlight w:val="none"/>
          <w:lang w:val="en-US" w:eastAsia="zh-CN"/>
        </w:rPr>
        <w:t>积极争取国家、市级政策、资金和项目等支持。及时总结改革创新的成功经验和典型案例，做好全媒体宣传报道，营造深化改革、加快园区发展的良好舆论环境</w:t>
      </w:r>
      <w:r>
        <w:rPr>
          <w:rFonts w:hint="eastAsia" w:ascii="仿宋_GB2312" w:hAnsi="仿宋_GB2312" w:eastAsia="仿宋_GB2312" w:cs="仿宋_GB2312"/>
          <w:color w:val="auto"/>
          <w:sz w:val="32"/>
          <w:szCs w:val="32"/>
          <w:highlight w:val="none"/>
        </w:rPr>
        <w:t>。</w:t>
      </w:r>
      <w:bookmarkEnd w:id="3220"/>
    </w:p>
    <w:p w14:paraId="43DBD230">
      <w:pPr>
        <w:widowControl/>
        <w:numPr>
          <w:ilvl w:val="255"/>
          <w:numId w:val="0"/>
        </w:numPr>
        <w:spacing w:line="560" w:lineRule="exact"/>
        <w:ind w:firstLine="640" w:firstLineChars="200"/>
        <w:outlineLvl w:val="1"/>
        <w:rPr>
          <w:rFonts w:hint="eastAsia" w:ascii="楷体_GB2312" w:hAnsi="楷体_GB2312" w:eastAsia="楷体_GB2312" w:cs="楷体_GB2312"/>
          <w:color w:val="auto"/>
          <w:sz w:val="32"/>
          <w:szCs w:val="32"/>
          <w:highlight w:val="none"/>
          <w:lang w:eastAsia="zh-CN"/>
        </w:rPr>
      </w:pPr>
      <w:bookmarkStart w:id="3221" w:name="_Toc2141122902"/>
      <w:bookmarkStart w:id="3222" w:name="_Toc12276"/>
      <w:bookmarkStart w:id="3223" w:name="_Toc1637416271"/>
      <w:bookmarkStart w:id="3224" w:name="_Toc17329"/>
      <w:bookmarkStart w:id="3225" w:name="_Toc8057"/>
      <w:bookmarkStart w:id="3226" w:name="_Toc18300"/>
      <w:bookmarkStart w:id="3227" w:name="_Toc29540"/>
      <w:bookmarkStart w:id="3228" w:name="_Toc15553"/>
      <w:bookmarkStart w:id="3229" w:name="_Toc6717"/>
      <w:bookmarkStart w:id="3230" w:name="_Toc851"/>
      <w:bookmarkStart w:id="3231" w:name="_Toc13435"/>
      <w:bookmarkStart w:id="3232" w:name="_Toc1693"/>
      <w:bookmarkStart w:id="3233" w:name="_Toc10472"/>
      <w:bookmarkStart w:id="3234" w:name="_Toc9504"/>
      <w:bookmarkStart w:id="3235" w:name="_Toc16683"/>
      <w:bookmarkStart w:id="3236" w:name="_Toc28759"/>
      <w:bookmarkStart w:id="3237" w:name="_Toc23144"/>
      <w:bookmarkStart w:id="3238" w:name="_Toc15094"/>
      <w:bookmarkStart w:id="3239" w:name="_Toc31149"/>
      <w:bookmarkStart w:id="3240" w:name="_Toc25988"/>
      <w:bookmarkStart w:id="3241" w:name="_Toc26854"/>
      <w:bookmarkStart w:id="3242" w:name="_Toc6224"/>
      <w:bookmarkStart w:id="3243" w:name="_Toc25477"/>
      <w:bookmarkStart w:id="3244" w:name="_Toc12884"/>
      <w:bookmarkStart w:id="3245" w:name="_Toc14232"/>
      <w:bookmarkStart w:id="3246" w:name="_Toc2894"/>
      <w:bookmarkStart w:id="3247" w:name="_Toc20946"/>
      <w:bookmarkStart w:id="3248" w:name="_Toc8063"/>
      <w:bookmarkStart w:id="3249" w:name="_Toc20872"/>
      <w:bookmarkStart w:id="3250" w:name="_Toc21764"/>
      <w:bookmarkStart w:id="3251" w:name="_Toc3577"/>
      <w:bookmarkStart w:id="3252" w:name="_Toc23419"/>
      <w:bookmarkStart w:id="3253" w:name="_Toc32298"/>
      <w:bookmarkStart w:id="3254" w:name="_Toc7130"/>
      <w:bookmarkStart w:id="3255" w:name="_Toc30145"/>
      <w:bookmarkStart w:id="3256" w:name="_Toc1359"/>
      <w:bookmarkStart w:id="3257" w:name="_Toc16172"/>
      <w:bookmarkStart w:id="3258" w:name="_Toc13653"/>
      <w:bookmarkStart w:id="3259" w:name="_Toc19893"/>
      <w:bookmarkStart w:id="3260" w:name="_Toc24750"/>
      <w:bookmarkStart w:id="3261" w:name="_Toc27369"/>
      <w:bookmarkStart w:id="3262" w:name="_Toc21605"/>
      <w:bookmarkStart w:id="3263" w:name="_Toc26553"/>
      <w:bookmarkStart w:id="3264" w:name="_Toc21194"/>
      <w:bookmarkStart w:id="3265" w:name="_Toc2135"/>
      <w:bookmarkStart w:id="3266" w:name="_Toc21942"/>
      <w:bookmarkStart w:id="3267" w:name="_Toc23919"/>
      <w:bookmarkStart w:id="3268" w:name="_Toc22015"/>
      <w:bookmarkStart w:id="3269" w:name="_Toc6593"/>
      <w:bookmarkStart w:id="3270" w:name="_Toc1006"/>
      <w:bookmarkStart w:id="3271" w:name="_Toc1015"/>
      <w:bookmarkStart w:id="3272" w:name="_Toc22912"/>
      <w:bookmarkStart w:id="3273" w:name="_Toc5637"/>
      <w:bookmarkStart w:id="3274" w:name="_Toc28478"/>
      <w:bookmarkStart w:id="3275" w:name="_Toc6849"/>
      <w:bookmarkStart w:id="3276" w:name="_Toc17050"/>
      <w:bookmarkStart w:id="3277" w:name="_Toc27673"/>
      <w:bookmarkStart w:id="3278" w:name="_Toc28945"/>
      <w:bookmarkStart w:id="3279" w:name="_Toc8439"/>
      <w:bookmarkStart w:id="3280" w:name="_Toc28607"/>
      <w:bookmarkStart w:id="3281" w:name="_Toc17803"/>
      <w:bookmarkStart w:id="3282" w:name="_Toc10160"/>
      <w:bookmarkStart w:id="3283" w:name="_Toc10349"/>
      <w:bookmarkStart w:id="3284" w:name="_Toc23078"/>
      <w:bookmarkStart w:id="3285" w:name="_Toc5674"/>
      <w:bookmarkStart w:id="3286" w:name="_Toc28151"/>
      <w:bookmarkStart w:id="3287" w:name="_Toc10553"/>
      <w:bookmarkStart w:id="3288" w:name="_Toc16066"/>
      <w:bookmarkStart w:id="3289" w:name="_Toc28826"/>
      <w:bookmarkStart w:id="3290" w:name="_Toc20393"/>
      <w:bookmarkStart w:id="3291" w:name="_Toc8318"/>
      <w:bookmarkStart w:id="3292" w:name="_Toc25195"/>
      <w:bookmarkStart w:id="3293" w:name="_Toc4250"/>
      <w:bookmarkStart w:id="3294" w:name="_Toc21172"/>
      <w:bookmarkStart w:id="3295" w:name="_Toc745046390"/>
      <w:bookmarkStart w:id="3296" w:name="_Toc4505"/>
      <w:bookmarkStart w:id="3297" w:name="_Toc9494"/>
      <w:bookmarkStart w:id="3298" w:name="_Toc32116"/>
      <w:bookmarkStart w:id="3299" w:name="_Toc11589"/>
      <w:bookmarkStart w:id="3300" w:name="_Toc5612"/>
      <w:bookmarkStart w:id="3301" w:name="_Toc31578"/>
      <w:bookmarkStart w:id="3302" w:name="_Toc1515504649"/>
      <w:bookmarkStart w:id="3303" w:name="_Toc8244"/>
      <w:bookmarkStart w:id="3304" w:name="_Toc105"/>
      <w:bookmarkStart w:id="3305" w:name="_Toc29171"/>
      <w:bookmarkStart w:id="3306" w:name="_Toc13517"/>
      <w:bookmarkStart w:id="3307" w:name="_Toc3598"/>
      <w:bookmarkStart w:id="3308" w:name="_Toc1236"/>
      <w:bookmarkStart w:id="3309" w:name="_Toc1869"/>
      <w:bookmarkStart w:id="3310" w:name="_Toc32260"/>
      <w:bookmarkStart w:id="3311" w:name="_Toc17883"/>
      <w:bookmarkStart w:id="3312" w:name="_Toc23907"/>
      <w:bookmarkStart w:id="3313" w:name="_Toc15453"/>
      <w:bookmarkStart w:id="3314" w:name="_Toc28257"/>
      <w:bookmarkStart w:id="3315" w:name="_Toc29112"/>
      <w:bookmarkStart w:id="3316" w:name="_Toc22191"/>
      <w:bookmarkStart w:id="3317" w:name="_Toc12429"/>
      <w:bookmarkStart w:id="3318" w:name="_Toc4765"/>
      <w:bookmarkStart w:id="3319" w:name="_Toc12049"/>
      <w:bookmarkStart w:id="3320" w:name="_Toc23725"/>
      <w:bookmarkStart w:id="3321" w:name="_Toc7409"/>
      <w:bookmarkStart w:id="3322" w:name="_Toc18068"/>
      <w:bookmarkStart w:id="3323" w:name="_Toc16613"/>
      <w:bookmarkStart w:id="3324" w:name="_Toc6974"/>
      <w:bookmarkStart w:id="3325" w:name="_Toc30033"/>
      <w:bookmarkStart w:id="3326" w:name="_Toc18251"/>
      <w:r>
        <w:rPr>
          <w:rFonts w:hint="eastAsia" w:ascii="楷体_GB2312" w:hAnsi="楷体_GB2312" w:eastAsia="楷体_GB2312" w:cs="楷体_GB2312"/>
          <w:color w:val="auto"/>
          <w:sz w:val="32"/>
          <w:szCs w:val="32"/>
          <w:highlight w:val="none"/>
        </w:rPr>
        <w:t>（</w:t>
      </w:r>
      <w:r>
        <w:rPr>
          <w:rFonts w:hint="eastAsia" w:ascii="楷体_GB2312" w:hAnsi="楷体_GB2312" w:eastAsia="楷体_GB2312" w:cs="楷体_GB2312"/>
          <w:color w:val="auto"/>
          <w:sz w:val="32"/>
          <w:szCs w:val="32"/>
          <w:highlight w:val="none"/>
          <w:lang w:val="en-US" w:eastAsia="zh-CN"/>
        </w:rPr>
        <w:t>三</w:t>
      </w:r>
      <w:r>
        <w:rPr>
          <w:rFonts w:hint="eastAsia" w:ascii="楷体_GB2312" w:hAnsi="楷体_GB2312" w:eastAsia="楷体_GB2312" w:cs="楷体_GB2312"/>
          <w:color w:val="auto"/>
          <w:sz w:val="32"/>
          <w:szCs w:val="32"/>
          <w:highlight w:val="none"/>
        </w:rPr>
        <w:t>）完善监测</w:t>
      </w:r>
      <w:bookmarkEnd w:id="3221"/>
      <w:bookmarkEnd w:id="3222"/>
      <w:bookmarkEnd w:id="3223"/>
      <w:r>
        <w:rPr>
          <w:rFonts w:hint="eastAsia" w:ascii="楷体_GB2312" w:hAnsi="楷体_GB2312" w:eastAsia="楷体_GB2312" w:cs="楷体_GB2312"/>
          <w:color w:val="auto"/>
          <w:sz w:val="32"/>
          <w:szCs w:val="32"/>
          <w:highlight w:val="none"/>
        </w:rPr>
        <w:t>评估</w:t>
      </w:r>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p>
    <w:p w14:paraId="5CB48AD1">
      <w:pPr>
        <w:widowControl/>
        <w:numPr>
          <w:ilvl w:val="-1"/>
          <w:numId w:val="0"/>
        </w:numPr>
        <w:spacing w:line="560" w:lineRule="exact"/>
        <w:ind w:firstLine="640" w:firstLineChars="200"/>
        <w:outlineLvl w:val="9"/>
        <w:rPr>
          <w:rFonts w:hint="eastAsia" w:ascii="仿宋_GB2312" w:hAnsi="仿宋_GB2312" w:eastAsia="仿宋_GB2312" w:cs="仿宋_GB2312"/>
          <w:color w:val="auto"/>
          <w:sz w:val="32"/>
          <w:szCs w:val="32"/>
          <w:highlight w:val="none"/>
          <w:shd w:val="clear" w:color="auto" w:fill="auto"/>
          <w:lang w:eastAsia="zh-CN"/>
        </w:rPr>
      </w:pPr>
      <w:r>
        <w:rPr>
          <w:rFonts w:hint="eastAsia" w:ascii="仿宋_GB2312" w:hAnsi="仿宋_GB2312" w:eastAsia="仿宋_GB2312" w:cs="仿宋_GB2312"/>
          <w:color w:val="auto"/>
          <w:sz w:val="32"/>
          <w:szCs w:val="32"/>
          <w:highlight w:val="none"/>
          <w:shd w:val="clear" w:color="auto" w:fill="auto"/>
        </w:rPr>
        <w:t>完善园区发展统计分析工作制度，加强与产业发展、市场监管、税务、统计等部门的数据共享，加强对统计数据的挖掘与分析，形成常态化统计工作体系。研究建立符合园区发展特点的监测指标体系，做好规划评估工作，</w:t>
      </w:r>
      <w:r>
        <w:rPr>
          <w:rFonts w:hint="eastAsia" w:ascii="仿宋_GB2312" w:hAnsi="仿宋_GB2312" w:eastAsia="仿宋_GB2312" w:cs="仿宋_GB2312"/>
          <w:color w:val="auto"/>
          <w:sz w:val="32"/>
          <w:szCs w:val="32"/>
          <w:highlight w:val="none"/>
        </w:rPr>
        <w:t>推动</w:t>
      </w:r>
      <w:r>
        <w:rPr>
          <w:rFonts w:hint="eastAsia" w:ascii="仿宋_GB2312" w:hAnsi="仿宋_GB2312" w:eastAsia="仿宋_GB2312" w:cs="仿宋_GB2312"/>
          <w:color w:val="auto"/>
          <w:sz w:val="32"/>
          <w:szCs w:val="32"/>
          <w:highlight w:val="none"/>
          <w:shd w:val="clear" w:color="auto" w:fill="auto"/>
        </w:rPr>
        <w:t>园区高质量发展</w:t>
      </w:r>
      <w:bookmarkEnd w:id="1828"/>
      <w:bookmarkEnd w:id="1829"/>
      <w:bookmarkEnd w:id="1830"/>
      <w:bookmarkEnd w:id="1831"/>
      <w:bookmarkEnd w:id="1832"/>
      <w:bookmarkEnd w:id="1833"/>
      <w:bookmarkEnd w:id="1834"/>
      <w:bookmarkEnd w:id="1835"/>
      <w:bookmarkEnd w:id="1836"/>
      <w:bookmarkStart w:id="3327" w:name="OLE_LINK113"/>
      <w:bookmarkEnd w:id="3327"/>
      <w:r>
        <w:rPr>
          <w:rFonts w:hint="eastAsia" w:ascii="仿宋_GB2312" w:hAnsi="仿宋_GB2312" w:eastAsia="仿宋_GB2312" w:cs="仿宋_GB2312"/>
          <w:color w:val="auto"/>
          <w:sz w:val="32"/>
          <w:szCs w:val="32"/>
          <w:highlight w:val="none"/>
          <w:shd w:val="clear" w:color="auto" w:fill="auto"/>
          <w:lang w:eastAsia="zh-CN"/>
        </w:rPr>
        <w:t>。</w:t>
      </w:r>
      <w:bookmarkEnd w:id="3326"/>
    </w:p>
    <w:p w14:paraId="433455E5">
      <w:pPr>
        <w:rPr>
          <w:color w:val="auto"/>
          <w:highlight w:val="none"/>
        </w:rPr>
      </w:pPr>
    </w:p>
    <w:sectPr>
      <w:footerReference r:id="rId11"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402D6">
    <w:pPr>
      <w:pStyle w:val="7"/>
      <w:spacing w:line="233" w:lineRule="auto"/>
      <w:ind w:left="8110"/>
      <w:rPr>
        <w:rFonts w:hint="eastAsia" w:ascii="宋体" w:hAnsi="宋体" w:eastAsia="宋体" w:cs="宋体"/>
        <w:sz w:val="30"/>
        <w:szCs w:val="30"/>
      </w:rPr>
    </w:pPr>
    <w:r>
      <w:rPr>
        <w:sz w:val="3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
                          </w:sdtPr>
                          <w:sdtContent>
                            <w:p w14:paraId="2BE516A7">
                              <w:pPr>
                                <w:pStyle w:val="7"/>
                                <w:spacing w:line="233" w:lineRule="auto"/>
                                <w:ind w:left="8110"/>
                              </w:pPr>
                            </w:p>
                          </w:sdtContent>
                        </w:sdt>
                        <w:p w14:paraId="0EA2BF0A"/>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
                    </w:sdtPr>
                    <w:sdtContent>
                      <w:p w14:paraId="2BE516A7">
                        <w:pPr>
                          <w:pStyle w:val="7"/>
                          <w:spacing w:line="233" w:lineRule="auto"/>
                          <w:ind w:left="8110"/>
                        </w:pPr>
                      </w:p>
                    </w:sdtContent>
                  </w:sdt>
                  <w:p w14:paraId="0EA2BF0A"/>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9A4A5">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D08C9">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4391E">
    <w:pPr>
      <w:pStyle w:val="7"/>
      <w:tabs>
        <w:tab w:val="left" w:pos="4345"/>
        <w:tab w:val="center" w:pos="8268"/>
      </w:tabs>
      <w:spacing w:line="233" w:lineRule="auto"/>
      <w:ind w:left="8110"/>
      <w:rPr>
        <w:rFonts w:hint="eastAsia" w:ascii="宋体" w:hAnsi="宋体" w:eastAsia="宋体" w:cs="宋体"/>
        <w:sz w:val="30"/>
        <w:szCs w:val="30"/>
      </w:rPr>
    </w:pPr>
    <w:r>
      <w:rPr>
        <w:rFonts w:hint="eastAsia" w:ascii="宋体" w:hAnsi="宋体" w:eastAsia="宋体" w:cs="宋体"/>
        <w:sz w:val="30"/>
        <w:szCs w:val="30"/>
      </w:rPr>
      <w:tab/>
    </w:r>
    <w:r>
      <w:rPr>
        <w:rFonts w:hint="eastAsia" w:ascii="宋体" w:hAnsi="宋体" w:eastAsia="宋体" w:cs="宋体"/>
        <w:sz w:val="30"/>
        <w:szCs w:val="30"/>
      </w:rPr>
      <w:tab/>
    </w:r>
    <w:r>
      <w:rPr>
        <w:rFonts w:hint="eastAsia" w:ascii="宋体" w:hAnsi="宋体" w:eastAsia="宋体" w:cs="宋体"/>
        <w:sz w:val="30"/>
        <w:szCs w:val="30"/>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9F311">
    <w:pPr>
      <w:pStyle w:val="7"/>
      <w:jc w:val="center"/>
    </w:pPr>
    <w:r>
      <mc:AlternateContent>
        <mc:Choice Requires="wps">
          <w:drawing>
            <wp:anchor distT="0" distB="0" distL="114300" distR="114300" simplePos="0" relativeHeight="251661312" behindDoc="0" locked="0" layoutInCell="1" allowOverlap="1">
              <wp:simplePos x="0" y="0"/>
              <wp:positionH relativeFrom="margin">
                <wp:posOffset>2522855</wp:posOffset>
              </wp:positionH>
              <wp:positionV relativeFrom="paragraph">
                <wp:posOffset>-19050</wp:posOffset>
              </wp:positionV>
              <wp:extent cx="228600" cy="1905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228600" cy="190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7380DE">
                          <w:pPr>
                            <w:pStyle w:val="7"/>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98.65pt;margin-top:-1.5pt;height:15pt;width:18pt;mso-position-horizontal-relative:margin;z-index:251661312;mso-width-relative:page;mso-height-relative:page;" filled="f" stroked="f" coordsize="21600,21600" o:gfxdata="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nAkPG2AAAAAkBAAAPAAAAAAAAAAEAIAAAACIAAABkcnMvZG93bnJldi54bWxQ&#10;SwECFAAUAAAACACHTuJA8cfz5zACAABXBAAADgAAAAAAAAABACAAAAAnAQAAZHJzL2Uyb0RvYy54&#10;bWxQSwUGAAAAAAYABgBZAQAAyQUAAAAA&#10;">
              <v:fill on="f" focussize="0,0"/>
              <v:stroke on="f" weight="0.5pt"/>
              <v:imagedata o:title=""/>
              <o:lock v:ext="edit" aspectratio="f"/>
              <v:textbox inset="0mm,0mm,0mm,0mm">
                <w:txbxContent>
                  <w:p w14:paraId="337380DE">
                    <w:pPr>
                      <w:pStyle w:val="7"/>
                    </w:pPr>
                    <w:r>
                      <w:fldChar w:fldCharType="begin"/>
                    </w:r>
                    <w:r>
                      <w:instrText xml:space="preserve"> PAGE  \* MERGEFORMAT </w:instrText>
                    </w:r>
                    <w:r>
                      <w:fldChar w:fldCharType="separate"/>
                    </w:r>
                    <w:r>
                      <w:t>81</w:t>
                    </w:r>
                    <w:r>
                      <w:fldChar w:fldCharType="end"/>
                    </w:r>
                  </w:p>
                </w:txbxContent>
              </v:textbox>
            </v:shape>
          </w:pict>
        </mc:Fallback>
      </mc:AlternateContent>
    </w:r>
  </w:p>
  <w:p w14:paraId="3F7EAE2D">
    <w:pPr>
      <w:pStyle w:val="7"/>
      <w:tabs>
        <w:tab w:val="left" w:pos="4345"/>
        <w:tab w:val="center" w:pos="8268"/>
      </w:tabs>
      <w:spacing w:line="233" w:lineRule="auto"/>
      <w:ind w:left="8110"/>
      <w:rPr>
        <w:rFonts w:hint="eastAsia" w:ascii="宋体" w:hAnsi="宋体" w:eastAsia="宋体" w:cs="宋体"/>
        <w:sz w:val="30"/>
        <w:szCs w:val="3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73242">
    <w:pPr>
      <w:pStyle w:val="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1971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21971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30EDD9">
                          <w:pPr>
                            <w:pStyle w:val="7"/>
                            <w:jc w:val="center"/>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7.3pt;mso-position-horizontal:center;mso-position-horizontal-relative:margin;z-index:251660288;mso-width-relative:page;mso-height-relative:page;" filled="f" stroked="f" coordsize="21600,21600" o:gfxdata="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DEvm49QAAAAEAQAADwAAAAAAAAABACAAAAAiAAAAZHJzL2Rvd25yZXYueG1sUEsB&#10;AhQAFAAAAAgAh07iQEOaz0QyAgAAVgQAAA4AAAAAAAAAAQAgAAAAIwEAAGRycy9lMm9Eb2MueG1s&#10;UEsFBgAAAAAGAAYAWQEAAMcFAAAAAA==&#10;">
              <v:fill on="f" focussize="0,0"/>
              <v:stroke on="f" weight="0.5pt"/>
              <v:imagedata o:title=""/>
              <o:lock v:ext="edit" aspectratio="f"/>
              <v:textbox inset="0mm,0mm,0mm,0mm" style="mso-fit-shape-to-text:t;">
                <w:txbxContent>
                  <w:p w14:paraId="7C30EDD9">
                    <w:pPr>
                      <w:pStyle w:val="7"/>
                      <w:jc w:val="center"/>
                    </w:pPr>
                    <w:r>
                      <w:fldChar w:fldCharType="begin"/>
                    </w:r>
                    <w:r>
                      <w:instrText xml:space="preserve"> PAGE  \* MERGEFORMAT </w:instrText>
                    </w:r>
                    <w:r>
                      <w:fldChar w:fldCharType="separate"/>
                    </w:r>
                    <w:r>
                      <w:t>47</w:t>
                    </w:r>
                    <w:r>
                      <w:fldChar w:fldCharType="end"/>
                    </w:r>
                  </w:p>
                </w:txbxContent>
              </v:textbox>
            </v:shape>
          </w:pict>
        </mc:Fallback>
      </mc:AlternateContent>
    </w:r>
  </w:p>
  <w:p w14:paraId="7F5FCCD6">
    <w:pPr>
      <w:pStyle w:val="7"/>
      <w:tabs>
        <w:tab w:val="left" w:pos="4345"/>
        <w:tab w:val="center" w:pos="8268"/>
      </w:tabs>
      <w:spacing w:line="233" w:lineRule="auto"/>
      <w:ind w:left="8110"/>
      <w:rPr>
        <w:rFonts w:hint="eastAsia" w:ascii="宋体" w:hAnsi="宋体" w:eastAsia="宋体" w:cs="宋体"/>
        <w:sz w:val="30"/>
        <w:szCs w:val="3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C92D0">
    <w:pPr>
      <w:pStyle w:val="8"/>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50473">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10F82">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189"/>
    <w:rsid w:val="000C3CC1"/>
    <w:rsid w:val="0046209A"/>
    <w:rsid w:val="007C71FA"/>
    <w:rsid w:val="009C7964"/>
    <w:rsid w:val="00A62C61"/>
    <w:rsid w:val="00AA4963"/>
    <w:rsid w:val="00AF1302"/>
    <w:rsid w:val="00C87189"/>
    <w:rsid w:val="00CA69A8"/>
    <w:rsid w:val="00D95746"/>
    <w:rsid w:val="00DE04B4"/>
    <w:rsid w:val="00DE1BE7"/>
    <w:rsid w:val="012E3CB9"/>
    <w:rsid w:val="018856AF"/>
    <w:rsid w:val="01913DF5"/>
    <w:rsid w:val="01A22C15"/>
    <w:rsid w:val="01F453BD"/>
    <w:rsid w:val="022278B2"/>
    <w:rsid w:val="02447828"/>
    <w:rsid w:val="024C0DD3"/>
    <w:rsid w:val="02873BB9"/>
    <w:rsid w:val="02C866AB"/>
    <w:rsid w:val="030806B1"/>
    <w:rsid w:val="03A275E5"/>
    <w:rsid w:val="040230E9"/>
    <w:rsid w:val="0471592F"/>
    <w:rsid w:val="04B35139"/>
    <w:rsid w:val="05F46944"/>
    <w:rsid w:val="060E6ACB"/>
    <w:rsid w:val="06DF5D71"/>
    <w:rsid w:val="074F3BEC"/>
    <w:rsid w:val="075A189C"/>
    <w:rsid w:val="07D7113E"/>
    <w:rsid w:val="07EC2E3C"/>
    <w:rsid w:val="08283748"/>
    <w:rsid w:val="0B1F28BD"/>
    <w:rsid w:val="0B492353"/>
    <w:rsid w:val="0B564393"/>
    <w:rsid w:val="0C1E733C"/>
    <w:rsid w:val="0CA37841"/>
    <w:rsid w:val="0CB24A10"/>
    <w:rsid w:val="0CF602B9"/>
    <w:rsid w:val="0D366E8A"/>
    <w:rsid w:val="0D466B4A"/>
    <w:rsid w:val="0DD56120"/>
    <w:rsid w:val="0E2F02D2"/>
    <w:rsid w:val="0E6D6F54"/>
    <w:rsid w:val="0F0C2AC8"/>
    <w:rsid w:val="0F44355D"/>
    <w:rsid w:val="0FBC1346"/>
    <w:rsid w:val="0FE8213B"/>
    <w:rsid w:val="10195C75"/>
    <w:rsid w:val="103F3C72"/>
    <w:rsid w:val="108300B5"/>
    <w:rsid w:val="113B0990"/>
    <w:rsid w:val="11832DF8"/>
    <w:rsid w:val="11BB40A7"/>
    <w:rsid w:val="12767ED2"/>
    <w:rsid w:val="12955E7E"/>
    <w:rsid w:val="135176C2"/>
    <w:rsid w:val="139A07F7"/>
    <w:rsid w:val="1543751C"/>
    <w:rsid w:val="15872423"/>
    <w:rsid w:val="168B7CC4"/>
    <w:rsid w:val="16D0230E"/>
    <w:rsid w:val="16D07E74"/>
    <w:rsid w:val="16EB0762"/>
    <w:rsid w:val="171C537C"/>
    <w:rsid w:val="17D932AC"/>
    <w:rsid w:val="17EA3D36"/>
    <w:rsid w:val="189D5A8C"/>
    <w:rsid w:val="18F03430"/>
    <w:rsid w:val="19616ABA"/>
    <w:rsid w:val="1A642D06"/>
    <w:rsid w:val="1A824F3A"/>
    <w:rsid w:val="1A9829AF"/>
    <w:rsid w:val="1ABB04BB"/>
    <w:rsid w:val="1ACC6931"/>
    <w:rsid w:val="1B9117F5"/>
    <w:rsid w:val="1B9E2247"/>
    <w:rsid w:val="1CDA2E0B"/>
    <w:rsid w:val="1D0600A4"/>
    <w:rsid w:val="1DCA5724"/>
    <w:rsid w:val="1E287EFA"/>
    <w:rsid w:val="1EC2624D"/>
    <w:rsid w:val="1F0B7BF4"/>
    <w:rsid w:val="1F835DBD"/>
    <w:rsid w:val="1F8D685B"/>
    <w:rsid w:val="1F923E71"/>
    <w:rsid w:val="2033348F"/>
    <w:rsid w:val="207B2B57"/>
    <w:rsid w:val="20D858B3"/>
    <w:rsid w:val="20DD2ECA"/>
    <w:rsid w:val="210963B5"/>
    <w:rsid w:val="21166FDA"/>
    <w:rsid w:val="21E06651"/>
    <w:rsid w:val="2281758E"/>
    <w:rsid w:val="231A6657"/>
    <w:rsid w:val="23700025"/>
    <w:rsid w:val="23C81D43"/>
    <w:rsid w:val="240F3CE2"/>
    <w:rsid w:val="242332EA"/>
    <w:rsid w:val="24EA247D"/>
    <w:rsid w:val="250A26FB"/>
    <w:rsid w:val="25902FEF"/>
    <w:rsid w:val="259F1096"/>
    <w:rsid w:val="260B672B"/>
    <w:rsid w:val="284064F4"/>
    <w:rsid w:val="28535833"/>
    <w:rsid w:val="28B50BD7"/>
    <w:rsid w:val="290D27BA"/>
    <w:rsid w:val="29444884"/>
    <w:rsid w:val="2965675D"/>
    <w:rsid w:val="299F5D6F"/>
    <w:rsid w:val="2A100E3B"/>
    <w:rsid w:val="2A5F094B"/>
    <w:rsid w:val="2AFE23BA"/>
    <w:rsid w:val="2B14398C"/>
    <w:rsid w:val="2B395AE8"/>
    <w:rsid w:val="2B5F2D34"/>
    <w:rsid w:val="2B632B65"/>
    <w:rsid w:val="2B65068C"/>
    <w:rsid w:val="2BA016C4"/>
    <w:rsid w:val="2BC41856"/>
    <w:rsid w:val="2C173C86"/>
    <w:rsid w:val="2C2979A7"/>
    <w:rsid w:val="2C8608B9"/>
    <w:rsid w:val="2CA376BD"/>
    <w:rsid w:val="2CCC69D0"/>
    <w:rsid w:val="2D28162C"/>
    <w:rsid w:val="2DC45B3D"/>
    <w:rsid w:val="2E786928"/>
    <w:rsid w:val="2EDE2C2F"/>
    <w:rsid w:val="2F972DDE"/>
    <w:rsid w:val="2F9C21A2"/>
    <w:rsid w:val="2FE20731"/>
    <w:rsid w:val="30082539"/>
    <w:rsid w:val="3028653D"/>
    <w:rsid w:val="3095731D"/>
    <w:rsid w:val="30AB0BE2"/>
    <w:rsid w:val="30E66961"/>
    <w:rsid w:val="30EB5EE5"/>
    <w:rsid w:val="31017BC2"/>
    <w:rsid w:val="31B732C3"/>
    <w:rsid w:val="31E542D4"/>
    <w:rsid w:val="322A3FD0"/>
    <w:rsid w:val="32D14858"/>
    <w:rsid w:val="33884F17"/>
    <w:rsid w:val="339D53DB"/>
    <w:rsid w:val="33EF088B"/>
    <w:rsid w:val="35223149"/>
    <w:rsid w:val="356D0868"/>
    <w:rsid w:val="358A766C"/>
    <w:rsid w:val="365B4B65"/>
    <w:rsid w:val="366672CF"/>
    <w:rsid w:val="36854941"/>
    <w:rsid w:val="36D22F27"/>
    <w:rsid w:val="37117919"/>
    <w:rsid w:val="37E1109A"/>
    <w:rsid w:val="38FE5C7B"/>
    <w:rsid w:val="3914724D"/>
    <w:rsid w:val="39B30814"/>
    <w:rsid w:val="39D4535A"/>
    <w:rsid w:val="3AC151B3"/>
    <w:rsid w:val="3BC92571"/>
    <w:rsid w:val="3CC40B91"/>
    <w:rsid w:val="3D316189"/>
    <w:rsid w:val="3DC734C0"/>
    <w:rsid w:val="3E2E285F"/>
    <w:rsid w:val="3E5E1696"/>
    <w:rsid w:val="3E865567"/>
    <w:rsid w:val="3E9E1A93"/>
    <w:rsid w:val="3F033FEC"/>
    <w:rsid w:val="40D62CE1"/>
    <w:rsid w:val="41851E47"/>
    <w:rsid w:val="41A153F6"/>
    <w:rsid w:val="42097B6B"/>
    <w:rsid w:val="42117E64"/>
    <w:rsid w:val="42721C5C"/>
    <w:rsid w:val="43143470"/>
    <w:rsid w:val="439E3A06"/>
    <w:rsid w:val="43AA0EDA"/>
    <w:rsid w:val="43D9356D"/>
    <w:rsid w:val="44B41139"/>
    <w:rsid w:val="44F543D6"/>
    <w:rsid w:val="45723C79"/>
    <w:rsid w:val="457E617A"/>
    <w:rsid w:val="463847EB"/>
    <w:rsid w:val="466468FE"/>
    <w:rsid w:val="47AA594C"/>
    <w:rsid w:val="47DB78B4"/>
    <w:rsid w:val="48597A2E"/>
    <w:rsid w:val="49203F9B"/>
    <w:rsid w:val="494B13CC"/>
    <w:rsid w:val="496929F7"/>
    <w:rsid w:val="4981448B"/>
    <w:rsid w:val="4AB80380"/>
    <w:rsid w:val="4B5F25AA"/>
    <w:rsid w:val="4B8B7843"/>
    <w:rsid w:val="4C6F4A6E"/>
    <w:rsid w:val="4C9646F1"/>
    <w:rsid w:val="4CF3569F"/>
    <w:rsid w:val="4DA44BEC"/>
    <w:rsid w:val="4E2B70BB"/>
    <w:rsid w:val="4E6039A2"/>
    <w:rsid w:val="4E630603"/>
    <w:rsid w:val="4E8A5B90"/>
    <w:rsid w:val="4EE4526B"/>
    <w:rsid w:val="4F5440CA"/>
    <w:rsid w:val="4F697E9B"/>
    <w:rsid w:val="4F93316A"/>
    <w:rsid w:val="4FAB04B3"/>
    <w:rsid w:val="4FB040A6"/>
    <w:rsid w:val="4FFA689E"/>
    <w:rsid w:val="50903205"/>
    <w:rsid w:val="50BB0282"/>
    <w:rsid w:val="53095DC9"/>
    <w:rsid w:val="5334431C"/>
    <w:rsid w:val="534575AC"/>
    <w:rsid w:val="53F32429"/>
    <w:rsid w:val="546926EB"/>
    <w:rsid w:val="547A0454"/>
    <w:rsid w:val="54C6402E"/>
    <w:rsid w:val="54EF79E3"/>
    <w:rsid w:val="55197C6D"/>
    <w:rsid w:val="55E93AE3"/>
    <w:rsid w:val="562468CA"/>
    <w:rsid w:val="56467691"/>
    <w:rsid w:val="564E3947"/>
    <w:rsid w:val="56504F2C"/>
    <w:rsid w:val="568423B2"/>
    <w:rsid w:val="56AA500A"/>
    <w:rsid w:val="56C07B07"/>
    <w:rsid w:val="587501B3"/>
    <w:rsid w:val="58CD4FF7"/>
    <w:rsid w:val="595C637A"/>
    <w:rsid w:val="597440B4"/>
    <w:rsid w:val="597F2FE0"/>
    <w:rsid w:val="598650A1"/>
    <w:rsid w:val="5A6279C1"/>
    <w:rsid w:val="5AA604FA"/>
    <w:rsid w:val="5B006C65"/>
    <w:rsid w:val="5B4D68C3"/>
    <w:rsid w:val="5B8301A0"/>
    <w:rsid w:val="5CB77232"/>
    <w:rsid w:val="5DBB5D44"/>
    <w:rsid w:val="5DFC012C"/>
    <w:rsid w:val="5E0E38BE"/>
    <w:rsid w:val="5ED846F5"/>
    <w:rsid w:val="5EE66E12"/>
    <w:rsid w:val="5FED41D0"/>
    <w:rsid w:val="601822C0"/>
    <w:rsid w:val="60F57742"/>
    <w:rsid w:val="61357BDD"/>
    <w:rsid w:val="6142054C"/>
    <w:rsid w:val="61C62F2B"/>
    <w:rsid w:val="61DE64C6"/>
    <w:rsid w:val="624502F4"/>
    <w:rsid w:val="62E80C7F"/>
    <w:rsid w:val="6323782A"/>
    <w:rsid w:val="6397692D"/>
    <w:rsid w:val="65244BE0"/>
    <w:rsid w:val="654E74BF"/>
    <w:rsid w:val="654E7F43"/>
    <w:rsid w:val="65532D27"/>
    <w:rsid w:val="65633DF8"/>
    <w:rsid w:val="657445DD"/>
    <w:rsid w:val="67B11F87"/>
    <w:rsid w:val="67C43A69"/>
    <w:rsid w:val="68AD6BF3"/>
    <w:rsid w:val="68B166E3"/>
    <w:rsid w:val="68CC46D1"/>
    <w:rsid w:val="6A002D52"/>
    <w:rsid w:val="6A9368BC"/>
    <w:rsid w:val="6A9A31A7"/>
    <w:rsid w:val="6B1E5B86"/>
    <w:rsid w:val="6B20545A"/>
    <w:rsid w:val="6BD804D2"/>
    <w:rsid w:val="6CDC0624"/>
    <w:rsid w:val="6D0165BE"/>
    <w:rsid w:val="6D45389E"/>
    <w:rsid w:val="6D633D24"/>
    <w:rsid w:val="6D702504"/>
    <w:rsid w:val="6D8E35FC"/>
    <w:rsid w:val="6DC52BA1"/>
    <w:rsid w:val="6E5B2C4D"/>
    <w:rsid w:val="6EA445F4"/>
    <w:rsid w:val="6EBA3438"/>
    <w:rsid w:val="6F63625D"/>
    <w:rsid w:val="6FA458B6"/>
    <w:rsid w:val="70F73101"/>
    <w:rsid w:val="71201E48"/>
    <w:rsid w:val="71755DD4"/>
    <w:rsid w:val="723010E4"/>
    <w:rsid w:val="72CA76E6"/>
    <w:rsid w:val="73462731"/>
    <w:rsid w:val="73667ADF"/>
    <w:rsid w:val="73BD36AC"/>
    <w:rsid w:val="73E6120B"/>
    <w:rsid w:val="74324450"/>
    <w:rsid w:val="745B5755"/>
    <w:rsid w:val="756B5E6B"/>
    <w:rsid w:val="75976C60"/>
    <w:rsid w:val="75AF3FAA"/>
    <w:rsid w:val="75E108C5"/>
    <w:rsid w:val="766A6123"/>
    <w:rsid w:val="76B86E8E"/>
    <w:rsid w:val="771C6B43"/>
    <w:rsid w:val="785C64C6"/>
    <w:rsid w:val="786F5C73"/>
    <w:rsid w:val="79030169"/>
    <w:rsid w:val="795C3B33"/>
    <w:rsid w:val="79A64B3B"/>
    <w:rsid w:val="7A1F79BC"/>
    <w:rsid w:val="7A6F196A"/>
    <w:rsid w:val="7A715CD2"/>
    <w:rsid w:val="7A8A161B"/>
    <w:rsid w:val="7B187EFC"/>
    <w:rsid w:val="7BCD566F"/>
    <w:rsid w:val="7BDF4EBD"/>
    <w:rsid w:val="7CDF65C7"/>
    <w:rsid w:val="7D666B07"/>
    <w:rsid w:val="7DB67EA0"/>
    <w:rsid w:val="7DB96E89"/>
    <w:rsid w:val="7EAB552B"/>
    <w:rsid w:val="7F4734A5"/>
    <w:rsid w:val="7FCC57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560" w:lineRule="exact"/>
      <w:ind w:firstLine="600" w:firstLineChars="200"/>
      <w:outlineLvl w:val="0"/>
    </w:pPr>
    <w:rPr>
      <w:rFonts w:eastAsia="仿宋_GB2312"/>
      <w:kern w:val="44"/>
      <w:sz w:val="32"/>
    </w:rPr>
  </w:style>
  <w:style w:type="paragraph" w:styleId="3">
    <w:name w:val="heading 2"/>
    <w:basedOn w:val="1"/>
    <w:next w:val="1"/>
    <w:unhideWhenUsed/>
    <w:qFormat/>
    <w:uiPriority w:val="0"/>
    <w:pPr>
      <w:keepNext/>
      <w:keepLines/>
      <w:spacing w:line="560" w:lineRule="exact"/>
      <w:ind w:firstLine="600" w:firstLineChars="200"/>
      <w:outlineLvl w:val="1"/>
    </w:pPr>
    <w:rPr>
      <w:rFonts w:ascii="Arial" w:hAnsi="Arial" w:eastAsia="仿宋_GB2312"/>
      <w:sz w:val="32"/>
    </w:rPr>
  </w:style>
  <w:style w:type="character" w:default="1" w:styleId="14">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unhideWhenUsed/>
    <w:qFormat/>
    <w:uiPriority w:val="99"/>
    <w:pPr>
      <w:adjustRightInd w:val="0"/>
      <w:snapToGrid w:val="0"/>
      <w:spacing w:line="360" w:lineRule="auto"/>
      <w:ind w:firstLine="420" w:firstLineChars="200"/>
    </w:pPr>
    <w:rPr>
      <w:rFonts w:ascii="Times New Roman" w:hAnsi="Times New Roman" w:eastAsia="仿宋_GB2312" w:cs="Times New Roman"/>
      <w:sz w:val="32"/>
      <w:szCs w:val="32"/>
    </w:rPr>
  </w:style>
  <w:style w:type="paragraph" w:styleId="5">
    <w:name w:val="Body Text"/>
    <w:basedOn w:val="1"/>
    <w:semiHidden/>
    <w:qFormat/>
    <w:uiPriority w:val="0"/>
    <w:rPr>
      <w:rFonts w:ascii="仿宋" w:hAnsi="仿宋" w:eastAsia="仿宋" w:cs="仿宋"/>
      <w:sz w:val="30"/>
      <w:szCs w:val="30"/>
      <w:lang w:eastAsia="en-US"/>
    </w:rPr>
  </w:style>
  <w:style w:type="paragraph" w:styleId="6">
    <w:name w:val="Plain Text"/>
    <w:basedOn w:val="1"/>
    <w:next w:val="1"/>
    <w:qFormat/>
    <w:uiPriority w:val="99"/>
    <w:rPr>
      <w:rFonts w:ascii="宋体" w:hAnsi="Courier New" w:eastAsia="宋体" w:cs="Courier New"/>
      <w:szCs w:val="21"/>
    </w:r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39"/>
  </w:style>
  <w:style w:type="paragraph" w:styleId="10">
    <w:name w:val="toc 2"/>
    <w:basedOn w:val="1"/>
    <w:next w:val="1"/>
    <w:qFormat/>
    <w:uiPriority w:val="39"/>
    <w:pPr>
      <w:ind w:left="420" w:leftChars="200"/>
    </w:pPr>
  </w:style>
  <w:style w:type="paragraph" w:styleId="11">
    <w:name w:val="Normal (Web)"/>
    <w:basedOn w:val="1"/>
    <w:qFormat/>
    <w:uiPriority w:val="0"/>
    <w:pPr>
      <w:spacing w:beforeAutospacing="1" w:afterAutospacing="1"/>
      <w:jc w:val="left"/>
    </w:pPr>
    <w:rPr>
      <w:rFonts w:cs="Times New Roman"/>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paragraph" w:customStyle="1" w:styleId="16">
    <w:name w:val="BodyText"/>
    <w:next w:val="1"/>
    <w:qFormat/>
    <w:uiPriority w:val="0"/>
    <w:pPr>
      <w:widowControl w:val="0"/>
      <w:jc w:val="both"/>
      <w:textAlignment w:val="baseline"/>
    </w:pPr>
    <w:rPr>
      <w:rFonts w:ascii="Times New Roman" w:hAnsi="Times New Roman" w:eastAsia="宋体" w:cs="Times New Roman"/>
      <w:kern w:val="2"/>
      <w:sz w:val="21"/>
      <w:szCs w:val="24"/>
      <w:lang w:val="en-US" w:eastAsia="zh-CN" w:bidi="ar-SA"/>
    </w:rPr>
  </w:style>
  <w:style w:type="paragraph" w:customStyle="1" w:styleId="17">
    <w:name w:val="TOC 11"/>
    <w:next w:val="1"/>
    <w:autoRedefine/>
    <w:qFormat/>
    <w:uiPriority w:val="0"/>
    <w:pPr>
      <w:wordWrap w:val="0"/>
      <w:jc w:val="both"/>
    </w:pPr>
    <w:rPr>
      <w:rFonts w:ascii="Times New Roman" w:hAnsi="Times New Roman" w:eastAsia="宋体" w:cs="Times New Roman"/>
      <w:sz w:val="21"/>
      <w:szCs w:val="22"/>
      <w:lang w:val="en-US" w:eastAsia="zh-CN" w:bidi="ar-SA"/>
    </w:rPr>
  </w:style>
  <w:style w:type="paragraph" w:styleId="18">
    <w:name w:val="List Paragraph"/>
    <w:basedOn w:val="1"/>
    <w:unhideWhenUsed/>
    <w:qFormat/>
    <w:uiPriority w:val="99"/>
    <w:pPr>
      <w:ind w:firstLine="420" w:firstLineChars="200"/>
    </w:pPr>
  </w:style>
  <w:style w:type="paragraph" w:customStyle="1" w:styleId="19">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20">
    <w:name w:val="font41"/>
    <w:basedOn w:val="14"/>
    <w:qFormat/>
    <w:uiPriority w:val="0"/>
    <w:rPr>
      <w:rFonts w:hint="eastAsia" w:ascii="宋体" w:hAnsi="宋体" w:eastAsia="宋体" w:cs="宋体"/>
      <w:color w:val="000000"/>
      <w:sz w:val="24"/>
      <w:szCs w:val="24"/>
      <w:u w:val="none"/>
    </w:rPr>
  </w:style>
  <w:style w:type="character" w:customStyle="1" w:styleId="21">
    <w:name w:val="font31"/>
    <w:basedOn w:val="14"/>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bbb21e30-ada7-4886-b527-d40a001e134a</errorID>
      <errorWord>市委市政府</errorWord>
      <group>L1_Word</group>
      <groupName>字词问题</groupName>
      <ability>L2_Typo</ability>
      <abilityName>字词错误</abilityName>
      <candidateList>
        <item>市委、市政府</item>
      </candidateList>
      <explain/>
      <paraID> C61DC32</paraID>
      <start>20</start>
      <end>25</end>
      <status>ignored</status>
      <modifiedWord/>
      <trackRevisions>false</trackRevisions>
    </reviewItem>
    <reviewItem>
      <errorID>f3c3b320-e7bb-4c1c-bbab-1cd94992e5b9</errorID>
      <errorWord>亿</errorWord>
      <group>L1_Word</group>
      <groupName>字词问题</groupName>
      <ability>L2_Typo</ability>
      <abilityName>字词错误</abilityName>
      <candidateList>
        <item>亿元</item>
      </candidateList>
      <explain/>
      <paraID>390C13DC</paraID>
      <start>21</start>
      <end>22</end>
      <status>ignored</status>
      <modifiedWord/>
      <trackRevisions>false</trackRevisions>
    </reviewItem>
    <reviewItem>
      <errorID>957df3b6-39b1-403f-b498-e3a251dedbda</errorID>
      <errorWord>科技成果孵化</errorWord>
      <group>L1_Political</group>
      <groupName>政治性问题</groupName>
      <ability>L2_Keyword</ability>
      <abilityName>固定表述</abilityName>
      <candidateList>
        <item>科技成果转化</item>
      </candidateList>
      <explain>词汇“科技成果转化”在特定场景下为固定表述形式，请确认此处的“科技成果孵化”是否存在不当。</explain>
      <paraID>49F60460</paraID>
      <start>5</start>
      <end>11</end>
      <status>ignored</status>
      <modifiedWord/>
      <trackRevisions>false</trackRevisions>
    </reviewItem>
    <reviewItem>
      <errorID>8fe9fa54-01ab-4066-adc5-9c8a219ea31d</errorID>
      <errorWord>搭建</errorWord>
      <group>L1_Grammar</group>
      <groupName>语法问题</groupName>
      <ability>L2_Grammar</ability>
      <abilityName>语法错误</abilityName>
      <candidateList>
        <item>构建</item>
      </candidateList>
      <explain>“加快～搭建”搭配不当，建议修改为“加快～构建”。</explain>
      <paraID>58C3D3B8</paraID>
      <start>66</start>
      <end>68</end>
      <status>ignored</status>
      <modifiedWord/>
      <trackRevisions>false</trackRevisions>
    </reviewItem>
    <reviewItem>
      <errorID>a15f89bb-19f4-4ad6-a291-1d4167425420</errorID>
      <errorWord>科技成果孵化</errorWord>
      <group>L1_Political</group>
      <groupName>政治性问题</groupName>
      <ability>L2_Keyword</ability>
      <abilityName>固定表述</abilityName>
      <candidateList>
        <item>科技成果转化</item>
      </candidateList>
      <explain>词汇“科技成果转化”在特定场景下为固定表述形式，请确认此处的“科技成果孵化”是否存在不当。</explain>
      <paraID>2FE7C238</paraID>
      <start>4</start>
      <end>10</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c8f4b3-ca37-4c02-8c3a-66ff6dd28586}">
  <ds:schemaRefs/>
</ds:datastoreItem>
</file>

<file path=docProps/app.xml><?xml version="1.0" encoding="utf-8"?>
<Properties xmlns="http://schemas.openxmlformats.org/officeDocument/2006/extended-properties" xmlns:vt="http://schemas.openxmlformats.org/officeDocument/2006/docPropsVTypes">
  <Template>Normal</Template>
  <Pages>33</Pages>
  <Words>3557</Words>
  <Characters>3637</Characters>
  <Lines>1148</Lines>
  <Paragraphs>830</Paragraphs>
  <TotalTime>2</TotalTime>
  <ScaleCrop>false</ScaleCrop>
  <LinksUpToDate>false</LinksUpToDate>
  <CharactersWithSpaces>3686</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2026-08-24T05:46:00Z</dcterms:created>
  <dc:creator>Administrator</dc:creator>
  <cp:lastModifiedBy>WPS_1614051428</cp:lastModifiedBy>
  <dcterms:modified xsi:type="dcterms:W3CDTF">2026-09-04T08:16:05Z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KSOTemplateDocerSaveRecord">
    <vt:lpwstr>eyJoZGlkIjoiM2RmYjBiZmNhZDlmNmI5OWNiMDFlYTc2YzNkYTE2ZmMiLCJ1c2VySWQiOiIxMTc0MTg1NTExIn0=</vt:lpwstr>
  </property>
  <property fmtid="{D5CDD505-2E9C-101B-9397-08002B2CF9AE}" pid="4" name="ICV">
    <vt:lpwstr>087652E82BE74FA6AA9403DF38D4ECC0_13</vt:lpwstr>
  </property>
</Properties>
</file>