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0" w:firstLineChars="0"/>
        <w:jc w:val="center"/>
        <w:textAlignment w:val="auto"/>
        <w:rPr>
          <w:rFonts w:hint="eastAsia" w:ascii="方正小标宋简体" w:eastAsia="方正小标宋简体"/>
          <w:sz w:val="44"/>
          <w:szCs w:val="44"/>
          <w:highlight w:val="none"/>
        </w:rPr>
      </w:pPr>
      <w:r>
        <w:rPr>
          <w:rFonts w:hint="eastAsia" w:ascii="方正小标宋简体" w:eastAsia="方正小标宋简体"/>
          <w:sz w:val="44"/>
          <w:szCs w:val="44"/>
          <w:highlight w:val="none"/>
          <w:lang w:val="en-US" w:eastAsia="zh-CN"/>
        </w:rPr>
        <w:t>延庆</w:t>
      </w:r>
      <w:r>
        <w:rPr>
          <w:rFonts w:hint="eastAsia" w:ascii="方正小标宋简体" w:eastAsia="方正小标宋简体"/>
          <w:sz w:val="44"/>
          <w:szCs w:val="44"/>
          <w:highlight w:val="none"/>
        </w:rPr>
        <w:t>区</w:t>
      </w:r>
      <w:r>
        <w:rPr>
          <w:rFonts w:hint="eastAsia" w:ascii="方正小标宋简体" w:eastAsia="方正小标宋简体"/>
          <w:sz w:val="44"/>
          <w:szCs w:val="44"/>
          <w:highlight w:val="none"/>
          <w:lang w:val="en-US" w:eastAsia="zh-CN"/>
        </w:rPr>
        <w:t>关于</w:t>
      </w:r>
      <w:r>
        <w:rPr>
          <w:rFonts w:hint="eastAsia" w:ascii="方正小标宋简体" w:eastAsia="方正小标宋简体"/>
          <w:sz w:val="44"/>
          <w:szCs w:val="44"/>
          <w:highlight w:val="none"/>
        </w:rPr>
        <w:t>加强科技创新引领</w:t>
      </w:r>
      <w:r>
        <w:rPr>
          <w:rFonts w:hint="eastAsia" w:ascii="方正小标宋简体" w:eastAsia="方正小标宋简体"/>
          <w:sz w:val="44"/>
          <w:szCs w:val="44"/>
          <w:highlight w:val="none"/>
          <w:lang w:eastAsia="zh-CN"/>
        </w:rPr>
        <w:t>产业</w:t>
      </w:r>
      <w:r>
        <w:rPr>
          <w:rFonts w:hint="eastAsia" w:ascii="方正小标宋简体" w:eastAsia="方正小标宋简体"/>
          <w:sz w:val="44"/>
          <w:szCs w:val="44"/>
          <w:highlight w:val="none"/>
        </w:rPr>
        <w:t>高质量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0" w:firstLineChars="0"/>
        <w:jc w:val="center"/>
        <w:textAlignment w:val="auto"/>
        <w:rPr>
          <w:rFonts w:hint="eastAsia" w:ascii="方正小标宋简体" w:eastAsia="方正小标宋简体"/>
          <w:sz w:val="44"/>
          <w:szCs w:val="44"/>
          <w:highlight w:val="none"/>
          <w:lang w:eastAsia="zh-CN"/>
        </w:rPr>
      </w:pPr>
      <w:r>
        <w:rPr>
          <w:rFonts w:hint="eastAsia" w:ascii="方正小标宋简体" w:eastAsia="方正小标宋简体"/>
          <w:sz w:val="44"/>
          <w:szCs w:val="44"/>
          <w:highlight w:val="none"/>
        </w:rPr>
        <w:t>发展</w:t>
      </w:r>
      <w:r>
        <w:rPr>
          <w:rFonts w:hint="eastAsia" w:ascii="方正小标宋简体" w:eastAsia="方正小标宋简体"/>
          <w:sz w:val="44"/>
          <w:szCs w:val="44"/>
          <w:highlight w:val="none"/>
          <w:lang w:eastAsia="zh-CN"/>
        </w:rPr>
        <w:t>的若干措施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（征求意见稿）</w:t>
      </w:r>
    </w:p>
    <w:p>
      <w:pPr>
        <w:pStyle w:val="2"/>
        <w:spacing w:after="0" w:line="560" w:lineRule="exact"/>
        <w:rPr>
          <w:rFonts w:hint="eastAsia"/>
          <w:lang w:eastAsia="zh-CN"/>
        </w:rPr>
      </w:pPr>
      <w:bookmarkStart w:id="1" w:name="_GoBack"/>
      <w:bookmarkEnd w:id="1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为全面落实北京（京津冀）国际科技创新中心建设战略部署，主动融入中关村世界领先科技园区建设，支持延庆区企业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创新发展</w:t>
      </w:r>
      <w:r>
        <w:rPr>
          <w:rFonts w:hint="eastAsia" w:ascii="仿宋_GB2312" w:eastAsia="仿宋_GB2312"/>
          <w:sz w:val="32"/>
          <w:szCs w:val="32"/>
          <w:highlight w:val="none"/>
        </w:rPr>
        <w:t>，构建具有延庆特色的绿色“高精尖”产业结构，制定本措施。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N/>
        <w:bidi w:val="0"/>
        <w:adjustRightInd/>
        <w:spacing w:before="0" w:beforeAutospacing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eastAsia="仿宋_GB2312" w:cs="Courier New"/>
          <w:color w:val="auto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黑体" w:eastAsia="黑体" w:cs="黑体"/>
          <w:bCs/>
          <w:color w:val="auto"/>
          <w:sz w:val="32"/>
          <w:szCs w:val="32"/>
          <w:highlight w:val="none"/>
        </w:rPr>
        <w:t>第</w:t>
      </w:r>
      <w:r>
        <w:rPr>
          <w:rFonts w:hint="eastAsia" w:ascii="黑体" w:eastAsia="黑体" w:cs="黑体"/>
          <w:bCs/>
          <w:color w:val="auto"/>
          <w:sz w:val="32"/>
          <w:szCs w:val="32"/>
          <w:highlight w:val="none"/>
          <w:lang w:val="en-US" w:eastAsia="zh-CN"/>
        </w:rPr>
        <w:t>一</w:t>
      </w:r>
      <w:r>
        <w:rPr>
          <w:rFonts w:hint="eastAsia" w:ascii="黑体" w:eastAsia="黑体" w:cs="黑体"/>
          <w:bCs/>
          <w:color w:val="auto"/>
          <w:sz w:val="32"/>
          <w:szCs w:val="32"/>
          <w:highlight w:val="none"/>
        </w:rPr>
        <w:t>条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 xml:space="preserve">  </w:t>
      </w:r>
      <w:r>
        <w:rPr>
          <w:rFonts w:hint="eastAsia" w:ascii="仿宋_GB2312" w:eastAsia="仿宋_GB2312" w:cs="Courier New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支持</w:t>
      </w:r>
      <w:r>
        <w:rPr>
          <w:rFonts w:hint="eastAsia" w:ascii="仿宋_GB2312" w:eastAsia="仿宋_GB2312" w:cs="Courier New"/>
          <w:color w:val="auto"/>
          <w:sz w:val="32"/>
          <w:szCs w:val="32"/>
          <w:highlight w:val="none"/>
          <w:shd w:val="clear" w:color="auto" w:fill="auto"/>
        </w:rPr>
        <w:t>企业</w:t>
      </w:r>
      <w:r>
        <w:rPr>
          <w:rFonts w:hint="eastAsia" w:ascii="仿宋_GB2312" w:eastAsia="仿宋_GB2312" w:cs="Courier New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开展科技</w:t>
      </w:r>
      <w:r>
        <w:rPr>
          <w:rFonts w:hint="eastAsia" w:ascii="仿宋_GB2312" w:eastAsia="仿宋_GB2312" w:cs="Courier New"/>
          <w:color w:val="auto"/>
          <w:sz w:val="32"/>
          <w:szCs w:val="32"/>
          <w:highlight w:val="none"/>
          <w:shd w:val="clear" w:color="auto" w:fill="auto"/>
          <w:lang w:eastAsia="zh-CN"/>
        </w:rPr>
        <w:t>研发</w:t>
      </w:r>
      <w:r>
        <w:rPr>
          <w:rFonts w:hint="eastAsia" w:ascii="仿宋_GB2312" w:eastAsia="仿宋_GB2312" w:cs="Courier New"/>
          <w:color w:val="auto"/>
          <w:sz w:val="32"/>
          <w:szCs w:val="32"/>
          <w:highlight w:val="none"/>
          <w:shd w:val="clear" w:color="auto" w:fill="auto"/>
        </w:rPr>
        <w:t>。</w:t>
      </w:r>
      <w:r>
        <w:rPr>
          <w:rFonts w:hint="eastAsia" w:ascii="仿宋_GB2312" w:eastAsia="仿宋_GB2312" w:cs="Courier New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聚焦延庆区科技计划重点方向，加大研发投入力度，对推动传统技术革新突破、引导行业创新能级提升、产生重大市场价值的科技研发项目，采取前资助或后补助等方式给予资金支持，单个项目给予最高500万元资金支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1"/>
        <w:rPr>
          <w:rFonts w:hint="eastAsia" w:ascii="仿宋_GB2312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黑体" w:eastAsia="黑体" w:cs="黑体"/>
          <w:bCs/>
          <w:sz w:val="32"/>
          <w:szCs w:val="32"/>
          <w:highlight w:val="none"/>
          <w:lang w:val="en-US" w:eastAsia="zh-CN"/>
        </w:rPr>
        <w:t>第二条</w:t>
      </w:r>
      <w:r>
        <w:rPr>
          <w:rFonts w:hint="eastAsia" w:asci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 xml:space="preserve">  支持企业绿色化、智能化发展。鼓励制造业、信息和软件服务业企业开展绿色化、智能化技术改造提升，引导企业开展设备更新、数字赋能、节能降碳，按不超过项目核定总投资的10%给予支持，单个项目给予最高200万元资金支持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after="0" w:line="560" w:lineRule="exact"/>
        <w:ind w:firstLine="640" w:firstLineChars="200"/>
        <w:textAlignment w:val="auto"/>
        <w:rPr>
          <w:rFonts w:hint="eastAsia" w:ascii="仿宋_GB2312" w:eastAsia="仿宋_GB2312" w:cs="Courier New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eastAsia="黑体" w:cs="黑体"/>
          <w:bCs/>
          <w:color w:val="auto"/>
          <w:sz w:val="32"/>
          <w:szCs w:val="32"/>
          <w:highlight w:val="none"/>
        </w:rPr>
        <w:t>第</w:t>
      </w:r>
      <w:r>
        <w:rPr>
          <w:rFonts w:hint="eastAsia" w:ascii="黑体" w:eastAsia="黑体" w:cs="黑体"/>
          <w:bCs/>
          <w:color w:val="auto"/>
          <w:sz w:val="32"/>
          <w:szCs w:val="32"/>
          <w:highlight w:val="none"/>
          <w:lang w:val="en-US" w:eastAsia="zh-CN"/>
        </w:rPr>
        <w:t>三</w:t>
      </w:r>
      <w:r>
        <w:rPr>
          <w:rFonts w:hint="eastAsia" w:ascii="黑体" w:eastAsia="黑体" w:cs="黑体"/>
          <w:bCs/>
          <w:color w:val="auto"/>
          <w:sz w:val="32"/>
          <w:szCs w:val="32"/>
          <w:highlight w:val="none"/>
        </w:rPr>
        <w:t>条</w:t>
      </w:r>
      <w:r>
        <w:rPr>
          <w:rFonts w:hint="eastAsia" w:ascii="黑体" w:eastAsia="黑体" w:cs="黑体"/>
          <w:bCs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eastAsia="仿宋_GB2312" w:cs="Courier New"/>
          <w:color w:val="auto"/>
          <w:sz w:val="32"/>
          <w:szCs w:val="32"/>
          <w:highlight w:val="none"/>
          <w:lang w:val="en-US" w:eastAsia="zh-CN"/>
        </w:rPr>
        <w:t>支持应用场景建设和示范。建立动态更新的场景资源开放清单，推动政府部门、企事业单位积极开放场景资源，对以应用场景驱动技术迭代和成果转化、实现新技术新产品落地验证或示范应用的场景项目，采取前资助方式，按照项目总投资的30%，给予最高50万元资金支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1"/>
        <w:rPr>
          <w:rFonts w:hint="eastAsia" w:ascii="黑体" w:eastAsia="黑体" w:cs="黑体"/>
          <w:bCs/>
          <w:color w:val="auto"/>
          <w:sz w:val="32"/>
          <w:szCs w:val="32"/>
          <w:highlight w:val="none"/>
        </w:rPr>
      </w:pPr>
      <w:r>
        <w:rPr>
          <w:rFonts w:hint="eastAsia" w:ascii="黑体" w:eastAsia="黑体" w:cs="黑体"/>
          <w:bCs/>
          <w:sz w:val="32"/>
          <w:szCs w:val="32"/>
          <w:highlight w:val="none"/>
        </w:rPr>
        <w:t>第</w:t>
      </w:r>
      <w:r>
        <w:rPr>
          <w:rFonts w:hint="eastAsia" w:ascii="黑体" w:eastAsia="黑体" w:cs="黑体"/>
          <w:bCs/>
          <w:sz w:val="32"/>
          <w:szCs w:val="32"/>
          <w:highlight w:val="none"/>
          <w:lang w:val="en-US" w:eastAsia="zh-CN"/>
        </w:rPr>
        <w:t>四</w:t>
      </w:r>
      <w:r>
        <w:rPr>
          <w:rFonts w:hint="eastAsia" w:ascii="黑体" w:eastAsia="黑体" w:cs="黑体"/>
          <w:bCs/>
          <w:sz w:val="32"/>
          <w:szCs w:val="32"/>
          <w:highlight w:val="none"/>
        </w:rPr>
        <w:t>条</w:t>
      </w:r>
      <w:r>
        <w:rPr>
          <w:rFonts w:ascii="黑体" w:eastAsia="黑体" w:cs="黑体"/>
          <w:bCs/>
          <w:sz w:val="32"/>
          <w:szCs w:val="32"/>
          <w:highlight w:val="none"/>
        </w:rPr>
        <w:t xml:space="preserve">  </w:t>
      </w:r>
      <w:r>
        <w:rPr>
          <w:rFonts w:hint="eastAsia" w:ascii="仿宋_GB2312" w:eastAsia="仿宋_GB2312" w:cs="Courier New"/>
          <w:color w:val="auto"/>
          <w:sz w:val="32"/>
          <w:szCs w:val="32"/>
          <w:highlight w:val="none"/>
        </w:rPr>
        <w:t>支持高新技术企业创新能力提升。支持国家高新技术企业</w:t>
      </w:r>
      <w:r>
        <w:rPr>
          <w:rFonts w:hint="eastAsia" w:ascii="仿宋_GB2312" w:eastAsia="仿宋_GB2312" w:cs="Courier New"/>
          <w:color w:val="auto"/>
          <w:sz w:val="32"/>
          <w:szCs w:val="32"/>
          <w:highlight w:val="none"/>
          <w:lang w:val="en-US" w:eastAsia="zh-CN"/>
        </w:rPr>
        <w:t>提升</w:t>
      </w:r>
      <w:r>
        <w:rPr>
          <w:rFonts w:hint="eastAsia" w:ascii="仿宋_GB2312" w:eastAsia="仿宋_GB2312" w:cs="Courier New"/>
          <w:color w:val="auto"/>
          <w:sz w:val="32"/>
          <w:szCs w:val="32"/>
          <w:highlight w:val="none"/>
        </w:rPr>
        <w:t>技术研发</w:t>
      </w:r>
      <w:r>
        <w:rPr>
          <w:rFonts w:hint="eastAsia" w:ascii="仿宋_GB2312" w:eastAsia="仿宋_GB2312" w:cs="Courier New"/>
          <w:color w:val="auto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eastAsia="仿宋_GB2312" w:cs="Courier New"/>
          <w:color w:val="auto"/>
          <w:sz w:val="32"/>
          <w:szCs w:val="32"/>
          <w:highlight w:val="none"/>
        </w:rPr>
        <w:t>成果转化</w:t>
      </w:r>
      <w:r>
        <w:rPr>
          <w:rFonts w:hint="eastAsia" w:ascii="仿宋_GB2312" w:eastAsia="仿宋_GB2312" w:cs="Courier New"/>
          <w:color w:val="auto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eastAsia="仿宋_GB2312" w:cs="Courier New"/>
          <w:color w:val="auto"/>
          <w:sz w:val="32"/>
          <w:szCs w:val="32"/>
          <w:highlight w:val="none"/>
        </w:rPr>
        <w:t>知识产权运营</w:t>
      </w:r>
      <w:r>
        <w:rPr>
          <w:rFonts w:hint="eastAsia" w:ascii="仿宋_GB2312" w:eastAsia="仿宋_GB2312" w:cs="Courier New"/>
          <w:color w:val="auto"/>
          <w:sz w:val="32"/>
          <w:szCs w:val="32"/>
          <w:highlight w:val="none"/>
          <w:lang w:val="en-US" w:eastAsia="zh-CN"/>
        </w:rPr>
        <w:t>等能力</w:t>
      </w:r>
      <w:r>
        <w:rPr>
          <w:rFonts w:hint="eastAsia" w:ascii="仿宋_GB2312" w:eastAsia="仿宋_GB2312" w:cs="Courier New"/>
          <w:color w:val="auto"/>
          <w:sz w:val="32"/>
          <w:szCs w:val="32"/>
          <w:highlight w:val="none"/>
        </w:rPr>
        <w:t>，</w:t>
      </w:r>
      <w:r>
        <w:rPr>
          <w:rFonts w:hint="eastAsia" w:ascii="仿宋_GB2312" w:eastAsia="仿宋_GB2312" w:cs="Courier New"/>
          <w:color w:val="auto"/>
          <w:sz w:val="32"/>
          <w:szCs w:val="32"/>
          <w:highlight w:val="none"/>
          <w:lang w:val="en-US" w:eastAsia="zh-CN"/>
        </w:rPr>
        <w:t>采取</w:t>
      </w:r>
      <w:r>
        <w:rPr>
          <w:rFonts w:hint="eastAsia" w:ascii="仿宋_GB2312" w:eastAsia="仿宋_GB2312" w:cs="Courier New"/>
          <w:color w:val="auto"/>
          <w:sz w:val="32"/>
          <w:szCs w:val="32"/>
          <w:highlight w:val="none"/>
        </w:rPr>
        <w:t>后补助</w:t>
      </w:r>
      <w:r>
        <w:rPr>
          <w:rFonts w:hint="eastAsia" w:ascii="仿宋_GB2312" w:eastAsia="仿宋_GB2312" w:cs="Courier New"/>
          <w:color w:val="auto"/>
          <w:sz w:val="32"/>
          <w:szCs w:val="32"/>
          <w:highlight w:val="none"/>
          <w:lang w:val="en-US" w:eastAsia="zh-CN"/>
        </w:rPr>
        <w:t>方式</w:t>
      </w:r>
      <w:r>
        <w:rPr>
          <w:rFonts w:hint="eastAsia" w:ascii="仿宋_GB2312" w:eastAsia="仿宋_GB2312" w:cs="Courier New"/>
          <w:color w:val="auto"/>
          <w:sz w:val="32"/>
          <w:szCs w:val="32"/>
          <w:highlight w:val="none"/>
        </w:rPr>
        <w:t>，单个企业</w:t>
      </w:r>
      <w:r>
        <w:rPr>
          <w:rFonts w:hint="eastAsia" w:ascii="仿宋_GB2312" w:eastAsia="仿宋_GB2312" w:cs="Courier New"/>
          <w:color w:val="auto"/>
          <w:sz w:val="32"/>
          <w:szCs w:val="32"/>
          <w:highlight w:val="none"/>
          <w:lang w:val="en-US" w:eastAsia="zh-CN"/>
        </w:rPr>
        <w:t>给予</w:t>
      </w:r>
      <w:r>
        <w:rPr>
          <w:rFonts w:hint="eastAsia" w:ascii="仿宋_GB2312" w:eastAsia="仿宋_GB2312" w:cs="Courier New"/>
          <w:color w:val="auto"/>
          <w:sz w:val="32"/>
          <w:szCs w:val="32"/>
          <w:highlight w:val="none"/>
        </w:rPr>
        <w:t>最高10万元</w:t>
      </w:r>
      <w:r>
        <w:rPr>
          <w:rFonts w:hint="eastAsia" w:ascii="仿宋_GB2312" w:eastAsia="仿宋_GB2312" w:cs="Courier New"/>
          <w:color w:val="auto"/>
          <w:sz w:val="32"/>
          <w:szCs w:val="32"/>
          <w:highlight w:val="none"/>
          <w:lang w:val="en-US" w:eastAsia="zh-CN"/>
        </w:rPr>
        <w:t>资金支持</w:t>
      </w:r>
      <w:r>
        <w:rPr>
          <w:rFonts w:hint="eastAsia" w:ascii="仿宋_GB2312" w:eastAsia="仿宋_GB2312" w:cs="Courier New"/>
          <w:color w:val="auto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/>
        <w:bidi w:val="0"/>
        <w:adjustRightInd/>
        <w:spacing w:line="560" w:lineRule="exact"/>
        <w:ind w:firstLine="640" w:firstLineChars="200"/>
        <w:textAlignment w:val="auto"/>
        <w:outlineLvl w:val="9"/>
        <w:rPr>
          <w:rFonts w:hint="eastAsia" w:asci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黑体" w:eastAsia="黑体" w:cs="黑体"/>
          <w:bCs/>
          <w:color w:val="auto"/>
          <w:sz w:val="32"/>
          <w:szCs w:val="32"/>
          <w:highlight w:val="none"/>
        </w:rPr>
        <w:t>第</w:t>
      </w:r>
      <w:r>
        <w:rPr>
          <w:rFonts w:hint="eastAsia" w:ascii="黑体" w:eastAsia="黑体" w:cs="黑体"/>
          <w:bCs/>
          <w:color w:val="auto"/>
          <w:sz w:val="32"/>
          <w:szCs w:val="32"/>
          <w:highlight w:val="none"/>
          <w:lang w:val="en-US" w:eastAsia="zh-CN"/>
        </w:rPr>
        <w:t>五</w:t>
      </w:r>
      <w:r>
        <w:rPr>
          <w:rFonts w:hint="eastAsia" w:ascii="黑体" w:eastAsia="黑体" w:cs="黑体"/>
          <w:bCs/>
          <w:color w:val="auto"/>
          <w:sz w:val="32"/>
          <w:szCs w:val="32"/>
          <w:highlight w:val="none"/>
        </w:rPr>
        <w:t xml:space="preserve">条 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 xml:space="preserve"> </w:t>
      </w:r>
      <w:r>
        <w:rPr>
          <w:rFonts w:hint="eastAsia" w:ascii="仿宋_GB2312" w:eastAsia="仿宋_GB2312" w:cs="仿宋_GB2312"/>
          <w:sz w:val="32"/>
          <w:szCs w:val="32"/>
          <w:highlight w:val="none"/>
          <w:lang w:val="en-US" w:eastAsia="zh-CN"/>
        </w:rPr>
        <w:t>支持中小企业梯度成长。对近两年研发费用均不低于100万元的北京市“专精特新”中小企业，给予最高10万元一次性支持；对近两年研发费用合计不低于1200万元的国家专精特新“小巨人”企业，给予最高50万元一次性支持；单个企业不重复支持，晋级享受差额支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1"/>
        <w:rPr>
          <w:rFonts w:hint="eastAsia" w:ascii="黑体" w:eastAsia="仿宋_GB2312" w:cs="黑体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eastAsia="黑体" w:cs="黑体"/>
          <w:bCs/>
          <w:color w:val="auto"/>
          <w:sz w:val="32"/>
          <w:szCs w:val="32"/>
          <w:highlight w:val="none"/>
        </w:rPr>
        <w:t>第</w:t>
      </w:r>
      <w:r>
        <w:rPr>
          <w:rFonts w:hint="eastAsia" w:ascii="黑体" w:eastAsia="黑体" w:cs="黑体"/>
          <w:bCs/>
          <w:color w:val="auto"/>
          <w:sz w:val="32"/>
          <w:szCs w:val="32"/>
          <w:highlight w:val="none"/>
          <w:lang w:val="en-US" w:eastAsia="zh-CN"/>
        </w:rPr>
        <w:t>六</w:t>
      </w:r>
      <w:r>
        <w:rPr>
          <w:rFonts w:hint="eastAsia" w:ascii="黑体" w:eastAsia="黑体" w:cs="黑体"/>
          <w:bCs/>
          <w:color w:val="auto"/>
          <w:sz w:val="32"/>
          <w:szCs w:val="32"/>
          <w:highlight w:val="none"/>
        </w:rPr>
        <w:t xml:space="preserve">条 </w:t>
      </w:r>
      <w:r>
        <w:rPr>
          <w:rFonts w:hint="eastAsia" w:ascii="黑体" w:eastAsia="黑体" w:cs="黑体"/>
          <w:bCs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eastAsia="仿宋_GB2312" w:cs="Courier New"/>
          <w:bCs w:val="0"/>
          <w:color w:val="auto"/>
          <w:sz w:val="32"/>
          <w:szCs w:val="32"/>
          <w:highlight w:val="none"/>
          <w:lang w:val="en-US" w:eastAsia="zh-CN"/>
        </w:rPr>
        <w:t>支持</w:t>
      </w:r>
      <w:r>
        <w:rPr>
          <w:rFonts w:hint="eastAsia" w:ascii="仿宋_GB2312" w:eastAsia="仿宋_GB2312" w:cs="Courier New"/>
          <w:color w:val="auto"/>
          <w:sz w:val="32"/>
          <w:szCs w:val="32"/>
          <w:highlight w:val="none"/>
        </w:rPr>
        <w:t>科技服务业</w:t>
      </w:r>
      <w:r>
        <w:rPr>
          <w:rFonts w:hint="eastAsia" w:ascii="仿宋_GB2312" w:eastAsia="仿宋_GB2312" w:cs="Courier New"/>
          <w:color w:val="auto"/>
          <w:sz w:val="32"/>
          <w:szCs w:val="32"/>
          <w:highlight w:val="none"/>
          <w:lang w:eastAsia="zh-CN"/>
        </w:rPr>
        <w:t>效能提升</w:t>
      </w:r>
      <w:r>
        <w:rPr>
          <w:rFonts w:hint="eastAsia" w:ascii="仿宋_GB2312" w:eastAsia="仿宋_GB2312" w:cs="Courier New"/>
          <w:color w:val="auto"/>
          <w:sz w:val="32"/>
          <w:szCs w:val="32"/>
          <w:highlight w:val="none"/>
        </w:rPr>
        <w:t>。支持规模以上科学研究和技术服务业企业</w:t>
      </w:r>
      <w:r>
        <w:rPr>
          <w:rFonts w:hint="eastAsia" w:ascii="仿宋_GB2312" w:eastAsia="仿宋_GB2312" w:cs="Courier New"/>
          <w:color w:val="auto"/>
          <w:sz w:val="32"/>
          <w:szCs w:val="32"/>
          <w:highlight w:val="none"/>
          <w:lang w:eastAsia="zh-CN"/>
        </w:rPr>
        <w:t>在团队建设、技术迭代、服务能力</w:t>
      </w:r>
      <w:r>
        <w:rPr>
          <w:rFonts w:hint="eastAsia" w:ascii="仿宋_GB2312" w:eastAsia="仿宋_GB2312" w:cs="Courier New"/>
          <w:color w:val="auto"/>
          <w:sz w:val="32"/>
          <w:szCs w:val="32"/>
          <w:highlight w:val="none"/>
          <w:lang w:val="en-US" w:eastAsia="zh-CN"/>
        </w:rPr>
        <w:t>等方面进行提升</w:t>
      </w:r>
      <w:r>
        <w:rPr>
          <w:rFonts w:hint="eastAsia" w:ascii="仿宋_GB2312" w:eastAsia="仿宋_GB2312" w:cs="Courier New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eastAsia="仿宋_GB2312" w:cs="Courier New"/>
          <w:color w:val="auto"/>
          <w:sz w:val="32"/>
          <w:szCs w:val="32"/>
          <w:highlight w:val="none"/>
          <w:lang w:val="en-US" w:eastAsia="zh-CN"/>
        </w:rPr>
        <w:t>根据</w:t>
      </w:r>
      <w:r>
        <w:rPr>
          <w:rFonts w:hint="eastAsia" w:ascii="仿宋_GB2312" w:eastAsia="仿宋_GB2312" w:cs="Courier New"/>
          <w:color w:val="auto"/>
          <w:sz w:val="32"/>
          <w:szCs w:val="32"/>
          <w:highlight w:val="none"/>
        </w:rPr>
        <w:t>其服务企业数量、技术服务成效、产业带动价值等</w:t>
      </w:r>
      <w:r>
        <w:rPr>
          <w:rFonts w:hint="eastAsia" w:ascii="仿宋_GB2312" w:eastAsia="仿宋_GB2312" w:cs="Courier New"/>
          <w:color w:val="auto"/>
          <w:sz w:val="32"/>
          <w:szCs w:val="32"/>
          <w:highlight w:val="none"/>
          <w:lang w:val="en-US" w:eastAsia="zh-CN"/>
        </w:rPr>
        <w:t>给予</w:t>
      </w:r>
      <w:r>
        <w:rPr>
          <w:rFonts w:hint="eastAsia" w:ascii="仿宋_GB2312" w:eastAsia="仿宋_GB2312" w:cs="Courier New"/>
          <w:color w:val="auto"/>
          <w:sz w:val="32"/>
          <w:szCs w:val="32"/>
          <w:highlight w:val="none"/>
        </w:rPr>
        <w:t>后补助，单个企业</w:t>
      </w:r>
      <w:r>
        <w:rPr>
          <w:rFonts w:hint="eastAsia" w:ascii="仿宋_GB2312" w:eastAsia="仿宋_GB2312" w:cs="Courier New"/>
          <w:color w:val="auto"/>
          <w:sz w:val="32"/>
          <w:szCs w:val="32"/>
          <w:highlight w:val="none"/>
          <w:lang w:val="en-US" w:eastAsia="zh-CN"/>
        </w:rPr>
        <w:t>给予</w:t>
      </w:r>
      <w:r>
        <w:rPr>
          <w:rFonts w:hint="eastAsia" w:ascii="仿宋_GB2312" w:eastAsia="仿宋_GB2312" w:cs="Courier New"/>
          <w:color w:val="auto"/>
          <w:sz w:val="32"/>
          <w:szCs w:val="32"/>
          <w:highlight w:val="none"/>
        </w:rPr>
        <w:t>最高</w:t>
      </w:r>
      <w:r>
        <w:rPr>
          <w:rFonts w:hint="eastAsia" w:ascii="仿宋_GB2312" w:eastAsia="仿宋_GB2312" w:cs="Courier New"/>
          <w:color w:val="auto"/>
          <w:sz w:val="32"/>
          <w:szCs w:val="32"/>
          <w:highlight w:val="none"/>
          <w:lang w:val="en-US" w:eastAsia="zh-CN"/>
        </w:rPr>
        <w:t>20</w:t>
      </w:r>
      <w:r>
        <w:rPr>
          <w:rFonts w:hint="eastAsia" w:ascii="仿宋_GB2312" w:eastAsia="仿宋_GB2312" w:cs="Courier New"/>
          <w:color w:val="auto"/>
          <w:sz w:val="32"/>
          <w:szCs w:val="32"/>
          <w:highlight w:val="none"/>
        </w:rPr>
        <w:t>0万元</w:t>
      </w:r>
      <w:r>
        <w:rPr>
          <w:rFonts w:hint="eastAsia" w:ascii="仿宋_GB2312" w:eastAsia="仿宋_GB2312" w:cs="Courier New"/>
          <w:color w:val="auto"/>
          <w:sz w:val="32"/>
          <w:szCs w:val="32"/>
          <w:highlight w:val="none"/>
          <w:lang w:val="en-US" w:eastAsia="zh-CN"/>
        </w:rPr>
        <w:t>资金支持</w:t>
      </w:r>
      <w:r>
        <w:rPr>
          <w:rFonts w:hint="eastAsia" w:ascii="仿宋_GB2312" w:eastAsia="仿宋_GB2312" w:cs="Courier New"/>
          <w:color w:val="auto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1"/>
        <w:rPr>
          <w:rFonts w:hint="eastAsia" w:ascii="仿宋_GB2312" w:eastAsia="仿宋_GB2312" w:cs="Courier New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eastAsia="黑体" w:cs="黑体"/>
          <w:bCs/>
          <w:color w:val="auto"/>
          <w:sz w:val="32"/>
          <w:szCs w:val="32"/>
          <w:highlight w:val="none"/>
          <w:lang w:eastAsia="zh-CN"/>
        </w:rPr>
        <w:t>第</w:t>
      </w:r>
      <w:r>
        <w:rPr>
          <w:rFonts w:hint="eastAsia" w:ascii="黑体" w:eastAsia="黑体" w:cs="黑体"/>
          <w:bCs/>
          <w:color w:val="auto"/>
          <w:sz w:val="32"/>
          <w:szCs w:val="32"/>
          <w:highlight w:val="none"/>
          <w:lang w:val="en-US" w:eastAsia="zh-CN"/>
        </w:rPr>
        <w:t>七</w:t>
      </w:r>
      <w:r>
        <w:rPr>
          <w:rFonts w:hint="eastAsia" w:ascii="黑体" w:eastAsia="黑体" w:cs="黑体"/>
          <w:bCs/>
          <w:color w:val="auto"/>
          <w:sz w:val="32"/>
          <w:szCs w:val="32"/>
          <w:highlight w:val="none"/>
          <w:lang w:eastAsia="zh-CN"/>
        </w:rPr>
        <w:t>条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eastAsia="仿宋_GB2312" w:cs="Courier New"/>
          <w:color w:val="auto"/>
          <w:sz w:val="32"/>
          <w:szCs w:val="32"/>
          <w:highlight w:val="none"/>
          <w:lang w:val="en-US" w:eastAsia="zh-CN"/>
        </w:rPr>
        <w:t>支持科技成果转移转化。对</w:t>
      </w:r>
      <w:r>
        <w:rPr>
          <w:rFonts w:hint="eastAsia" w:ascii="仿宋_GB2312" w:eastAsia="仿宋_GB2312" w:cs="Courier New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开展科技</w:t>
      </w:r>
      <w:r>
        <w:rPr>
          <w:rFonts w:hint="eastAsia" w:ascii="仿宋_GB2312" w:eastAsia="仿宋_GB2312" w:cs="Courier New"/>
          <w:color w:val="auto"/>
          <w:sz w:val="32"/>
          <w:szCs w:val="32"/>
          <w:highlight w:val="none"/>
          <w:lang w:val="en-US" w:eastAsia="zh-CN"/>
        </w:rPr>
        <w:t>成果筛选与价值评估、</w:t>
      </w:r>
      <w:r>
        <w:rPr>
          <w:rFonts w:hint="eastAsia" w:ascii="仿宋_GB2312" w:eastAsia="仿宋_GB2312" w:cs="Courier New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知识产权布局与运营、</w:t>
      </w:r>
      <w:r>
        <w:rPr>
          <w:rFonts w:hint="eastAsia" w:ascii="仿宋_GB2312" w:eastAsia="仿宋_GB2312" w:cs="Courier New"/>
          <w:color w:val="auto"/>
          <w:sz w:val="32"/>
          <w:szCs w:val="32"/>
          <w:highlight w:val="none"/>
          <w:lang w:val="en-US" w:eastAsia="zh-CN"/>
        </w:rPr>
        <w:t>供需对接、技术交易、落地孵化等专业服务的技术转移机构，</w:t>
      </w:r>
      <w:r>
        <w:rPr>
          <w:rFonts w:hint="eastAsia" w:ascii="仿宋_GB2312" w:eastAsia="仿宋_GB2312" w:cs="Courier New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根据年度转化科技成果项目的数量和质量、服务企业的数量和效果，</w:t>
      </w:r>
      <w:r>
        <w:rPr>
          <w:rFonts w:hint="eastAsia" w:ascii="仿宋_GB2312" w:eastAsia="仿宋_GB2312" w:cs="Courier New"/>
          <w:color w:val="auto"/>
          <w:sz w:val="32"/>
          <w:szCs w:val="32"/>
          <w:highlight w:val="none"/>
          <w:lang w:val="en-US" w:eastAsia="zh-CN"/>
        </w:rPr>
        <w:t>采取后补助方式，给予最高100万元资金支持。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N/>
        <w:bidi w:val="0"/>
        <w:adjustRightInd/>
        <w:spacing w:before="0" w:beforeAutospacing="0" w:afterAutospacing="0" w:line="560" w:lineRule="exact"/>
        <w:ind w:left="0" w:right="0" w:firstLine="640" w:firstLineChars="200"/>
        <w:jc w:val="left"/>
        <w:textAlignment w:val="auto"/>
        <w:outlineLvl w:val="1"/>
        <w:rPr>
          <w:rFonts w:hint="eastAsia" w:ascii="黑体" w:eastAsia="黑体" w:cs="黑体"/>
          <w:bCs/>
          <w:color w:val="auto"/>
          <w:sz w:val="32"/>
          <w:szCs w:val="32"/>
          <w:highlight w:val="none"/>
        </w:rPr>
      </w:pPr>
      <w:r>
        <w:rPr>
          <w:rFonts w:hint="eastAsia" w:ascii="黑体" w:eastAsia="黑体" w:cs="黑体"/>
          <w:bCs/>
          <w:color w:val="auto"/>
          <w:sz w:val="32"/>
          <w:szCs w:val="32"/>
          <w:highlight w:val="none"/>
        </w:rPr>
        <w:t xml:space="preserve">第八条  </w:t>
      </w:r>
      <w:r>
        <w:rPr>
          <w:rFonts w:hint="eastAsia" w:ascii="仿宋_GB2312" w:eastAsia="仿宋_GB2312" w:cs="Courier New"/>
          <w:bCs w:val="0"/>
          <w:color w:val="auto"/>
          <w:sz w:val="32"/>
          <w:szCs w:val="32"/>
          <w:highlight w:val="none"/>
        </w:rPr>
        <w:t>支持中试服务机构建设。支持企业围绕技术研发转化、性能工艺改进、工艺放大熟化、产品型式试验、产品性能测试等工程化验证需求，建设中试验证平台，对中试服务能力突出、成效显著的企业，采取后补助方式，给予最高100万元资金支持。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N/>
        <w:bidi w:val="0"/>
        <w:adjustRightInd/>
        <w:spacing w:before="0" w:beforeAutospacing="0" w:afterAutospacing="0" w:line="560" w:lineRule="exact"/>
        <w:ind w:left="0" w:right="0" w:firstLine="640" w:firstLineChars="200"/>
        <w:jc w:val="left"/>
        <w:textAlignment w:val="auto"/>
        <w:outlineLvl w:val="1"/>
        <w:rPr>
          <w:rFonts w:hint="eastAsia" w:ascii="仿宋_GB2312" w:eastAsia="仿宋_GB2312" w:cs="Courier New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eastAsia="黑体" w:cs="黑体"/>
          <w:bCs/>
          <w:color w:val="auto"/>
          <w:sz w:val="32"/>
          <w:szCs w:val="32"/>
          <w:highlight w:val="none"/>
        </w:rPr>
        <w:t>第</w:t>
      </w:r>
      <w:r>
        <w:rPr>
          <w:rFonts w:hint="eastAsia" w:ascii="黑体" w:eastAsia="黑体" w:cs="黑体"/>
          <w:bCs/>
          <w:color w:val="auto"/>
          <w:sz w:val="32"/>
          <w:szCs w:val="32"/>
          <w:highlight w:val="none"/>
          <w:lang w:val="en-US" w:eastAsia="zh-CN"/>
        </w:rPr>
        <w:t>九</w:t>
      </w:r>
      <w:r>
        <w:rPr>
          <w:rFonts w:hint="eastAsia" w:ascii="黑体" w:eastAsia="黑体" w:cs="黑体"/>
          <w:bCs/>
          <w:color w:val="auto"/>
          <w:sz w:val="32"/>
          <w:szCs w:val="32"/>
          <w:highlight w:val="none"/>
        </w:rPr>
        <w:t xml:space="preserve">条  </w:t>
      </w:r>
      <w:r>
        <w:rPr>
          <w:rFonts w:hint="eastAsia" w:ascii="仿宋_GB2312" w:eastAsia="仿宋_GB2312" w:cs="Courier New"/>
          <w:color w:val="auto"/>
          <w:sz w:val="32"/>
          <w:szCs w:val="32"/>
          <w:highlight w:val="none"/>
        </w:rPr>
        <w:t>支持创新</w:t>
      </w:r>
      <w:r>
        <w:rPr>
          <w:rFonts w:hint="eastAsia" w:ascii="仿宋_GB2312" w:eastAsia="仿宋_GB2312" w:cs="Courier New"/>
          <w:color w:val="auto"/>
          <w:sz w:val="32"/>
          <w:szCs w:val="32"/>
          <w:highlight w:val="none"/>
          <w:lang w:val="en-US" w:eastAsia="zh-CN"/>
        </w:rPr>
        <w:t>平台建设</w:t>
      </w:r>
      <w:r>
        <w:rPr>
          <w:rFonts w:hint="eastAsia" w:ascii="仿宋_GB2312" w:eastAsia="仿宋_GB2312" w:cs="Courier New"/>
          <w:color w:val="auto"/>
          <w:sz w:val="32"/>
          <w:szCs w:val="32"/>
          <w:highlight w:val="none"/>
        </w:rPr>
        <w:t>。对在我区</w:t>
      </w:r>
      <w:r>
        <w:rPr>
          <w:rFonts w:hint="eastAsia" w:ascii="仿宋_GB2312" w:eastAsia="仿宋_GB2312" w:cs="Courier New"/>
          <w:color w:val="auto"/>
          <w:sz w:val="32"/>
          <w:szCs w:val="32"/>
          <w:highlight w:val="none"/>
          <w:lang w:val="en-US" w:eastAsia="zh-CN"/>
        </w:rPr>
        <w:t>建设</w:t>
      </w:r>
      <w:r>
        <w:rPr>
          <w:rFonts w:hint="eastAsia" w:ascii="仿宋_GB2312" w:eastAsia="仿宋_GB2312" w:cs="Courier New"/>
          <w:color w:val="auto"/>
          <w:sz w:val="32"/>
          <w:szCs w:val="32"/>
          <w:highlight w:val="none"/>
        </w:rPr>
        <w:t>市级及以上重点实验室、</w:t>
      </w:r>
      <w:r>
        <w:rPr>
          <w:rFonts w:hint="eastAsia" w:ascii="仿宋_GB2312" w:eastAsia="仿宋_GB2312" w:cs="Courier New"/>
          <w:color w:val="auto"/>
          <w:sz w:val="32"/>
          <w:szCs w:val="32"/>
          <w:highlight w:val="none"/>
          <w:lang w:val="en-US" w:eastAsia="zh-CN"/>
        </w:rPr>
        <w:t>创新中心、</w:t>
      </w:r>
      <w:r>
        <w:rPr>
          <w:rFonts w:hint="eastAsia" w:ascii="仿宋_GB2312" w:eastAsia="仿宋_GB2312" w:cs="Courier New"/>
          <w:color w:val="auto"/>
          <w:sz w:val="32"/>
          <w:szCs w:val="32"/>
          <w:highlight w:val="none"/>
        </w:rPr>
        <w:t>工程研究中心、企业技术中心、外资研发中心</w:t>
      </w:r>
      <w:r>
        <w:rPr>
          <w:rFonts w:hint="eastAsia" w:ascii="仿宋_GB2312" w:eastAsia="仿宋_GB2312" w:cs="Courier New"/>
          <w:color w:val="auto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eastAsia="仿宋_GB2312" w:cs="Courier New"/>
          <w:color w:val="auto"/>
          <w:sz w:val="32"/>
          <w:szCs w:val="32"/>
          <w:highlight w:val="none"/>
          <w:lang w:val="en-US" w:eastAsia="zh-CN"/>
        </w:rPr>
        <w:t>校（院）企合作平台</w:t>
      </w:r>
      <w:r>
        <w:rPr>
          <w:rFonts w:hint="eastAsia" w:ascii="仿宋_GB2312" w:eastAsia="仿宋_GB2312" w:cs="Courier New"/>
          <w:color w:val="auto"/>
          <w:sz w:val="32"/>
          <w:szCs w:val="32"/>
          <w:highlight w:val="none"/>
        </w:rPr>
        <w:t>等研发平台，给予</w:t>
      </w:r>
      <w:r>
        <w:rPr>
          <w:rFonts w:hint="eastAsia" w:ascii="仿宋_GB2312" w:eastAsia="仿宋_GB2312" w:cs="Courier New"/>
          <w:color w:val="auto"/>
          <w:sz w:val="32"/>
          <w:szCs w:val="32"/>
          <w:highlight w:val="none"/>
          <w:lang w:eastAsia="zh-CN"/>
        </w:rPr>
        <w:t>一次性</w:t>
      </w:r>
      <w:r>
        <w:rPr>
          <w:rFonts w:hint="eastAsia" w:ascii="仿宋_GB2312" w:eastAsia="仿宋_GB2312" w:cs="Courier New"/>
          <w:color w:val="auto"/>
          <w:sz w:val="32"/>
          <w:szCs w:val="32"/>
          <w:highlight w:val="none"/>
          <w:lang w:val="en-US" w:eastAsia="zh-CN"/>
        </w:rPr>
        <w:t>建设</w:t>
      </w:r>
      <w:r>
        <w:rPr>
          <w:rFonts w:hint="eastAsia" w:ascii="仿宋_GB2312" w:eastAsia="仿宋_GB2312" w:cs="Courier New"/>
          <w:color w:val="auto"/>
          <w:sz w:val="32"/>
          <w:szCs w:val="32"/>
          <w:highlight w:val="none"/>
          <w:lang w:eastAsia="zh-CN"/>
        </w:rPr>
        <w:t>资金支持</w:t>
      </w:r>
      <w:r>
        <w:rPr>
          <w:rFonts w:hint="eastAsia" w:ascii="仿宋_GB2312" w:eastAsia="仿宋_GB2312" w:cs="Courier New"/>
          <w:color w:val="auto"/>
          <w:sz w:val="32"/>
          <w:szCs w:val="32"/>
          <w:highlight w:val="none"/>
        </w:rPr>
        <w:t>，市级平台</w:t>
      </w:r>
      <w:r>
        <w:rPr>
          <w:rFonts w:hint="eastAsia" w:ascii="仿宋_GB2312" w:eastAsia="仿宋_GB2312" w:cs="Courier New"/>
          <w:color w:val="auto"/>
          <w:sz w:val="32"/>
          <w:szCs w:val="32"/>
          <w:highlight w:val="none"/>
          <w:lang w:val="en-US" w:eastAsia="zh-CN"/>
        </w:rPr>
        <w:t>给予</w:t>
      </w:r>
      <w:r>
        <w:rPr>
          <w:rFonts w:hint="eastAsia" w:ascii="仿宋_GB2312" w:eastAsia="仿宋_GB2312" w:cs="Courier New"/>
          <w:color w:val="auto"/>
          <w:sz w:val="32"/>
          <w:szCs w:val="32"/>
          <w:highlight w:val="none"/>
        </w:rPr>
        <w:t>最高</w:t>
      </w:r>
      <w:r>
        <w:rPr>
          <w:rFonts w:hint="eastAsia" w:ascii="仿宋_GB2312" w:eastAsia="仿宋_GB2312" w:cs="Courier New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eastAsia="仿宋_GB2312" w:cs="Courier New"/>
          <w:color w:val="auto"/>
          <w:sz w:val="32"/>
          <w:szCs w:val="32"/>
          <w:highlight w:val="none"/>
        </w:rPr>
        <w:t>0万元</w:t>
      </w:r>
      <w:r>
        <w:rPr>
          <w:rFonts w:hint="eastAsia" w:ascii="仿宋_GB2312" w:eastAsia="仿宋_GB2312" w:cs="Courier New"/>
          <w:color w:val="auto"/>
          <w:sz w:val="32"/>
          <w:szCs w:val="32"/>
          <w:highlight w:val="none"/>
          <w:lang w:val="en-US" w:eastAsia="zh-CN"/>
        </w:rPr>
        <w:t>资金支持</w:t>
      </w:r>
      <w:r>
        <w:rPr>
          <w:rFonts w:hint="eastAsia" w:ascii="仿宋_GB2312" w:eastAsia="仿宋_GB2312" w:cs="Courier New"/>
          <w:color w:val="auto"/>
          <w:sz w:val="32"/>
          <w:szCs w:val="32"/>
          <w:highlight w:val="none"/>
        </w:rPr>
        <w:t>，国家级平台</w:t>
      </w:r>
      <w:r>
        <w:rPr>
          <w:rFonts w:hint="eastAsia" w:ascii="仿宋_GB2312" w:eastAsia="仿宋_GB2312" w:cs="Courier New"/>
          <w:color w:val="auto"/>
          <w:sz w:val="32"/>
          <w:szCs w:val="32"/>
          <w:highlight w:val="none"/>
          <w:lang w:val="en-US" w:eastAsia="zh-CN"/>
        </w:rPr>
        <w:t>给予</w:t>
      </w:r>
      <w:r>
        <w:rPr>
          <w:rFonts w:hint="eastAsia" w:ascii="仿宋_GB2312" w:eastAsia="仿宋_GB2312" w:cs="Courier New"/>
          <w:color w:val="auto"/>
          <w:sz w:val="32"/>
          <w:szCs w:val="32"/>
          <w:highlight w:val="none"/>
        </w:rPr>
        <w:t>最高</w:t>
      </w:r>
      <w:r>
        <w:rPr>
          <w:rFonts w:hint="eastAsia" w:ascii="仿宋_GB2312" w:eastAsia="仿宋_GB2312" w:cs="Courier New"/>
          <w:color w:val="auto"/>
          <w:sz w:val="32"/>
          <w:szCs w:val="32"/>
          <w:highlight w:val="none"/>
          <w:lang w:val="en-US" w:eastAsia="zh-CN"/>
        </w:rPr>
        <w:t>50</w:t>
      </w:r>
      <w:r>
        <w:rPr>
          <w:rFonts w:hint="eastAsia" w:ascii="仿宋_GB2312" w:eastAsia="仿宋_GB2312" w:cs="Courier New"/>
          <w:color w:val="auto"/>
          <w:sz w:val="32"/>
          <w:szCs w:val="32"/>
          <w:highlight w:val="none"/>
        </w:rPr>
        <w:t>万元</w:t>
      </w:r>
      <w:r>
        <w:rPr>
          <w:rFonts w:hint="eastAsia" w:ascii="仿宋_GB2312" w:eastAsia="仿宋_GB2312" w:cs="Courier New"/>
          <w:color w:val="auto"/>
          <w:sz w:val="32"/>
          <w:szCs w:val="32"/>
          <w:highlight w:val="none"/>
          <w:lang w:val="en-US" w:eastAsia="zh-CN"/>
        </w:rPr>
        <w:t>资金支持</w:t>
      </w:r>
      <w:r>
        <w:rPr>
          <w:rFonts w:hint="eastAsia" w:ascii="仿宋_GB2312" w:eastAsia="仿宋_GB2312" w:cs="Courier New"/>
          <w:color w:val="auto"/>
          <w:sz w:val="32"/>
          <w:szCs w:val="32"/>
          <w:highlight w:val="none"/>
        </w:rPr>
        <w:t>。单个企业不重复</w:t>
      </w:r>
      <w:r>
        <w:rPr>
          <w:rFonts w:hint="eastAsia" w:ascii="仿宋_GB2312" w:eastAsia="仿宋_GB2312" w:cs="Courier New"/>
          <w:color w:val="auto"/>
          <w:sz w:val="32"/>
          <w:szCs w:val="32"/>
          <w:highlight w:val="none"/>
          <w:lang w:val="en-US" w:eastAsia="zh-CN"/>
        </w:rPr>
        <w:t>支持</w:t>
      </w:r>
      <w:r>
        <w:rPr>
          <w:rFonts w:hint="eastAsia" w:ascii="仿宋_GB2312" w:eastAsia="仿宋_GB2312" w:cs="Courier New"/>
          <w:color w:val="auto"/>
          <w:sz w:val="32"/>
          <w:szCs w:val="32"/>
          <w:highlight w:val="none"/>
        </w:rPr>
        <w:t>，晋级享受差额支持。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eastAsia="黑体" w:cs="黑体"/>
          <w:bCs/>
          <w:sz w:val="32"/>
          <w:szCs w:val="32"/>
          <w:highlight w:val="none"/>
          <w:lang w:eastAsia="zh-CN"/>
        </w:rPr>
        <w:t>第</w:t>
      </w:r>
      <w:r>
        <w:rPr>
          <w:rFonts w:hint="eastAsia" w:ascii="黑体" w:eastAsia="黑体" w:cs="黑体"/>
          <w:bCs/>
          <w:sz w:val="32"/>
          <w:szCs w:val="32"/>
          <w:highlight w:val="none"/>
          <w:lang w:val="en-US" w:eastAsia="zh-CN"/>
        </w:rPr>
        <w:t>十</w:t>
      </w:r>
      <w:r>
        <w:rPr>
          <w:rFonts w:hint="eastAsia" w:ascii="黑体" w:eastAsia="黑体" w:cs="黑体"/>
          <w:bCs/>
          <w:sz w:val="32"/>
          <w:szCs w:val="32"/>
          <w:highlight w:val="none"/>
          <w:lang w:eastAsia="zh-CN"/>
        </w:rPr>
        <w:t>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支持特色产业园区建设。鼓励专业化企业和机构建设运营特色产业园区，依据专业服务、产业配套、企业引育、风险防控等运营成效，给予最高500万元年度运营经费支持。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bookmarkStart w:id="0" w:name="OLE_LINK1"/>
      <w:r>
        <w:rPr>
          <w:rFonts w:hint="eastAsia" w:ascii="黑体" w:eastAsia="黑体" w:cs="黑体"/>
          <w:bCs/>
          <w:sz w:val="32"/>
          <w:szCs w:val="32"/>
          <w:highlight w:val="none"/>
          <w:lang w:eastAsia="zh-CN"/>
        </w:rPr>
        <w:t>第</w:t>
      </w:r>
      <w:r>
        <w:rPr>
          <w:rFonts w:hint="eastAsia" w:ascii="黑体" w:eastAsia="黑体" w:cs="黑体"/>
          <w:bCs/>
          <w:sz w:val="32"/>
          <w:szCs w:val="32"/>
          <w:highlight w:val="none"/>
          <w:lang w:val="en-US" w:eastAsia="zh-CN"/>
        </w:rPr>
        <w:t>十一</w:t>
      </w:r>
      <w:r>
        <w:rPr>
          <w:rFonts w:hint="eastAsia" w:ascii="黑体" w:eastAsia="黑体" w:cs="黑体"/>
          <w:bCs/>
          <w:sz w:val="32"/>
          <w:szCs w:val="32"/>
          <w:highlight w:val="none"/>
          <w:lang w:eastAsia="zh-CN"/>
        </w:rPr>
        <w:t>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支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重点产业聚链成群。支持本区各主导产业链主企业牵头补链、延链、强链，促进上下游中小企业集聚发展和建设协同配套的产业链供应链体系，根据产业体系建设实际成效给予最高100万元资金扶持。</w:t>
      </w:r>
      <w:bookmarkEnd w:id="0"/>
    </w:p>
    <w:p>
      <w:pPr>
        <w:keepNext w:val="0"/>
        <w:keepLines w:val="0"/>
        <w:widowControl/>
        <w:suppressLineNumbers w:val="0"/>
        <w:spacing w:line="560" w:lineRule="exact"/>
        <w:ind w:firstLine="640" w:firstLineChars="200"/>
        <w:jc w:val="both"/>
      </w:pPr>
      <w:r>
        <w:rPr>
          <w:rFonts w:hint="eastAsia" w:ascii="仿宋_GB2312" w:eastAsia="仿宋_GB2312"/>
          <w:sz w:val="32"/>
          <w:szCs w:val="32"/>
          <w:highlight w:val="none"/>
        </w:rPr>
        <w:t>本</w:t>
      </w:r>
      <w:r>
        <w:rPr>
          <w:rFonts w:hint="eastAsia" w:ascii="仿宋_GB2312" w:eastAsia="仿宋_GB2312"/>
          <w:spacing w:val="-11"/>
          <w:sz w:val="32"/>
          <w:szCs w:val="32"/>
          <w:highlight w:val="none"/>
          <w:lang w:eastAsia="zh-CN"/>
        </w:rPr>
        <w:t>措施</w:t>
      </w:r>
      <w:r>
        <w:rPr>
          <w:rFonts w:hint="eastAsia" w:ascii="仿宋_GB2312" w:eastAsia="仿宋_GB2312"/>
          <w:spacing w:val="-11"/>
          <w:sz w:val="32"/>
          <w:szCs w:val="32"/>
          <w:highlight w:val="none"/>
        </w:rPr>
        <w:t>由</w:t>
      </w:r>
      <w:r>
        <w:rPr>
          <w:rFonts w:hint="eastAsia" w:ascii="仿宋_GB2312" w:eastAsia="仿宋_GB2312"/>
          <w:spacing w:val="-11"/>
          <w:sz w:val="32"/>
          <w:szCs w:val="32"/>
          <w:highlight w:val="none"/>
          <w:lang w:val="en-US" w:eastAsia="zh-CN"/>
        </w:rPr>
        <w:t>北京市延庆区科学技术和经济信息化局</w:t>
      </w:r>
      <w:r>
        <w:rPr>
          <w:rFonts w:hint="eastAsia" w:ascii="仿宋_GB2312" w:eastAsia="仿宋_GB2312"/>
          <w:spacing w:val="-11"/>
          <w:sz w:val="32"/>
          <w:szCs w:val="32"/>
          <w:highlight w:val="none"/>
        </w:rPr>
        <w:t>（</w:t>
      </w:r>
      <w:r>
        <w:rPr>
          <w:rFonts w:hint="eastAsia" w:ascii="仿宋_GB2312" w:eastAsia="仿宋_GB2312"/>
          <w:spacing w:val="-11"/>
          <w:sz w:val="32"/>
          <w:szCs w:val="32"/>
          <w:highlight w:val="none"/>
          <w:lang w:eastAsia="zh-CN"/>
        </w:rPr>
        <w:t>中关村</w:t>
      </w:r>
      <w:r>
        <w:rPr>
          <w:rFonts w:hint="eastAsia" w:ascii="仿宋_GB2312" w:eastAsia="仿宋_GB2312"/>
          <w:spacing w:val="-11"/>
          <w:sz w:val="32"/>
          <w:szCs w:val="32"/>
          <w:highlight w:val="none"/>
          <w:lang w:val="en-US" w:eastAsia="zh-CN"/>
        </w:rPr>
        <w:t>科技园区</w:t>
      </w:r>
      <w:r>
        <w:rPr>
          <w:rFonts w:hint="eastAsia" w:ascii="仿宋_GB2312" w:eastAsia="仿宋_GB2312"/>
          <w:spacing w:val="-11"/>
          <w:sz w:val="32"/>
          <w:szCs w:val="32"/>
          <w:highlight w:val="none"/>
        </w:rPr>
        <w:t>延庆园管</w:t>
      </w:r>
      <w:r>
        <w:rPr>
          <w:rFonts w:hint="eastAsia" w:ascii="仿宋_GB2312" w:eastAsia="仿宋_GB2312"/>
          <w:spacing w:val="-11"/>
          <w:sz w:val="32"/>
          <w:szCs w:val="32"/>
          <w:highlight w:val="none"/>
          <w:lang w:val="en-US" w:eastAsia="zh-CN"/>
        </w:rPr>
        <w:t>理</w:t>
      </w:r>
      <w:r>
        <w:rPr>
          <w:rFonts w:hint="eastAsia" w:ascii="仿宋_GB2312" w:eastAsia="仿宋_GB2312"/>
          <w:spacing w:val="-11"/>
          <w:sz w:val="32"/>
          <w:szCs w:val="32"/>
          <w:highlight w:val="none"/>
        </w:rPr>
        <w:t>委</w:t>
      </w:r>
      <w:r>
        <w:rPr>
          <w:rFonts w:hint="eastAsia" w:ascii="仿宋_GB2312" w:eastAsia="仿宋_GB2312"/>
          <w:spacing w:val="-11"/>
          <w:sz w:val="32"/>
          <w:szCs w:val="32"/>
          <w:highlight w:val="none"/>
          <w:lang w:val="en-US" w:eastAsia="zh-CN"/>
        </w:rPr>
        <w:t>员</w:t>
      </w:r>
      <w:r>
        <w:rPr>
          <w:rFonts w:hint="eastAsia" w:ascii="仿宋_GB2312" w:eastAsia="仿宋_GB2312"/>
          <w:spacing w:val="-11"/>
          <w:sz w:val="32"/>
          <w:szCs w:val="32"/>
          <w:highlight w:val="none"/>
        </w:rPr>
        <w:t>会）负责解释</w:t>
      </w:r>
      <w:r>
        <w:rPr>
          <w:rFonts w:hint="eastAsia" w:ascii="仿宋_GB2312" w:eastAsia="仿宋_GB2312"/>
          <w:spacing w:val="-11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自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印发之日</w:t>
      </w:r>
      <w:r>
        <w:rPr>
          <w:rFonts w:hint="eastAsia" w:ascii="仿宋_GB2312" w:hAnsi="仿宋_GB2312" w:eastAsia="仿宋_GB2312" w:cs="仿宋_GB2312"/>
          <w:sz w:val="32"/>
          <w:szCs w:val="32"/>
        </w:rPr>
        <w:t>起施行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原《延庆区关于加强科技创新引领高质量发展支持办法》（京延科信发〔2025〕2号</w:t>
      </w:r>
      <w:r>
        <w:rPr>
          <w:rFonts w:hint="eastAsia" w:ascii="仿宋_GB2312" w:eastAsia="仿宋_GB2312"/>
          <w:sz w:val="32"/>
          <w:szCs w:val="32"/>
          <w:highlight w:val="none"/>
        </w:rPr>
        <w:t>）同时废止。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同一项目、同一事项同时符合本措施多项条款或延庆区其他扶持政策的，按照“从优不重复”原则给予支持。执行期间，法律、法规、规章另有规定或遇政策调整的，从其规定。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highlight w:val="none"/>
        </w:rPr>
      </w:pPr>
    </w:p>
    <w:sectPr>
      <w:footerReference r:id="rId3" w:type="default"/>
      <w:footerReference r:id="rId4" w:type="even"/>
      <w:pgSz w:w="11906" w:h="16838"/>
      <w:pgMar w:top="1474" w:right="1587" w:bottom="1474" w:left="1587" w:header="851" w:footer="992" w:gutter="0"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Noto Sans Syriac Eastern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2312">
    <w:altName w:val="仿宋"/>
    <w:panose1 w:val="02000000000000000000"/>
    <w:charset w:val="00"/>
    <w:family w:val="auto"/>
    <w:pitch w:val="default"/>
    <w:sig w:usb0="00000000" w:usb1="00000000" w:usb2="00000012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</w:pPr>
    <w:r>
      <mc:AlternateContent>
        <mc:Choice Requires="wps">
          <w:drawing>
            <wp:anchor distT="0" distB="0" distL="113665" distR="113665" simplePos="0" relativeHeight="251659264" behindDoc="0" locked="0" layoutInCell="1" allowOverlap="1">
              <wp:simplePos x="0" y="0"/>
              <wp:positionH relativeFrom="margin">
                <wp:posOffset>4803775</wp:posOffset>
              </wp:positionH>
              <wp:positionV relativeFrom="paragraph">
                <wp:posOffset>-262255</wp:posOffset>
              </wp:positionV>
              <wp:extent cx="622300" cy="23050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2300" cy="2305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13"/>
                            <w:rPr>
                              <w:rFonts w:hint="eastAsia" w:asci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false" upright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left:378.25pt;margin-top:-20.65pt;height:18.15pt;width:49pt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BYAAABkcnMvUEsBAhQAFAAAAAgAh07iQOxZpTnc&#10;AAAACgEAAA8AAAAAAAAAAQAgAAAAOAAAAGRycy9kb3ducmV2LnhtbFBLAQIUABQAAAAIAIdO4kAT&#10;2vB9zQEAAHQDAAAOAAAAAAAAAAEAIAAAAEEBAABkcnMvZTJvRG9jLnhtbFBLBQYAAAAABgAGAFkB&#10;AACA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3"/>
                      <w:rPr>
                        <w:rFonts w:hint="eastAsia" w:asci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ge">
                <wp:posOffset>9606915</wp:posOffset>
              </wp:positionV>
              <wp:extent cx="1828800" cy="1828800"/>
              <wp:effectExtent l="0" t="0" r="0" b="0"/>
              <wp:wrapNone/>
              <wp:docPr id="2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1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false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5" o:spid="_x0000_s1026" o:spt="202" type="#_x0000_t202" style="position:absolute;left:0pt;margin-top:756.45pt;height:144pt;width:144pt;mso-position-horizontal:outside;mso-position-horizontal-relative:margin;mso-position-vertical-relative:page;mso-wrap-style:none;z-index:251660288;mso-width-relative:page;mso-height-relative:page;" filled="f" stroked="f" coordsize="21600,21600" o:gfxdata="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WAAAAZHJzL1BLAQIUABQAAAAIAIdO4kCPvpOO1AAAAAoBAAAPAAAAAAAA&#10;AAEAIAAAADgAAABkcnMvZG93bnJldi54bWxQSwECFAAUAAAACACHTuJAbRYtkscBAAB7AwAADgAA&#10;AAAAAAABACAAAAA5AQAAZHJzL2Uyb0RvYy54bWxQSwUGAAAAAAYABgBZAQAAc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false"/>
  <w:bordersDoNotSurroundFooter w:val="fals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420"/>
  <w:hyphenationZone w:val="360"/>
  <w:evenAndOddHeaders w:val="true"/>
  <w:drawingGridHorizontalSpacing w:val="105"/>
  <w:drawingGridVerticalSpacing w:val="156"/>
  <w:displayHorizontalDrawingGridEvery w:val="1"/>
  <w:displayVerticalDrawingGridEvery w:val="1"/>
  <w:noPunctuationKerning w:val="true"/>
  <w:characterSpacingControl w:val="compressPunctuation"/>
  <w:doNotValidateAgainstSchema/>
  <w:doNotDemarcateInvalidXml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k1MWZhMDg2ZmE1NzA3N2IwYTM1NWU2ZmRkNTQxOTAifQ=="/>
  </w:docVars>
  <w:rsids>
    <w:rsidRoot w:val="00C06DD2"/>
    <w:rsid w:val="001D12AC"/>
    <w:rsid w:val="009905C4"/>
    <w:rsid w:val="03983B0F"/>
    <w:rsid w:val="05AC7CD5"/>
    <w:rsid w:val="062B2DFD"/>
    <w:rsid w:val="062C0CFF"/>
    <w:rsid w:val="06D22892"/>
    <w:rsid w:val="07444310"/>
    <w:rsid w:val="07B66386"/>
    <w:rsid w:val="07E04497"/>
    <w:rsid w:val="08874A92"/>
    <w:rsid w:val="099377CB"/>
    <w:rsid w:val="09D13629"/>
    <w:rsid w:val="0B352404"/>
    <w:rsid w:val="0D186278"/>
    <w:rsid w:val="0F8B118C"/>
    <w:rsid w:val="1061735A"/>
    <w:rsid w:val="10A02A15"/>
    <w:rsid w:val="10E15433"/>
    <w:rsid w:val="11095E14"/>
    <w:rsid w:val="13596EAB"/>
    <w:rsid w:val="147D6BCA"/>
    <w:rsid w:val="167B0167"/>
    <w:rsid w:val="16D911F8"/>
    <w:rsid w:val="187F1162"/>
    <w:rsid w:val="193A514B"/>
    <w:rsid w:val="194D4555"/>
    <w:rsid w:val="1A7C1C81"/>
    <w:rsid w:val="1AEF468E"/>
    <w:rsid w:val="1B136891"/>
    <w:rsid w:val="1B6044BF"/>
    <w:rsid w:val="1CCB73E3"/>
    <w:rsid w:val="1D3F66AD"/>
    <w:rsid w:val="1E277364"/>
    <w:rsid w:val="1FF57F5C"/>
    <w:rsid w:val="206848D3"/>
    <w:rsid w:val="20D9162C"/>
    <w:rsid w:val="20E51D75"/>
    <w:rsid w:val="211C60E8"/>
    <w:rsid w:val="21DC52E5"/>
    <w:rsid w:val="220A7126"/>
    <w:rsid w:val="22A16626"/>
    <w:rsid w:val="257DA613"/>
    <w:rsid w:val="25C9788B"/>
    <w:rsid w:val="25D908D5"/>
    <w:rsid w:val="26377520"/>
    <w:rsid w:val="26797161"/>
    <w:rsid w:val="27895353"/>
    <w:rsid w:val="27E561AD"/>
    <w:rsid w:val="281178FD"/>
    <w:rsid w:val="28C9421D"/>
    <w:rsid w:val="291D4E95"/>
    <w:rsid w:val="299B1B74"/>
    <w:rsid w:val="2AED63FF"/>
    <w:rsid w:val="2CBA5779"/>
    <w:rsid w:val="2CDD4252"/>
    <w:rsid w:val="2FA67067"/>
    <w:rsid w:val="2FBC45F2"/>
    <w:rsid w:val="30536D05"/>
    <w:rsid w:val="3098113D"/>
    <w:rsid w:val="310E37E5"/>
    <w:rsid w:val="31197302"/>
    <w:rsid w:val="314F1BC2"/>
    <w:rsid w:val="3172765E"/>
    <w:rsid w:val="32847649"/>
    <w:rsid w:val="337121D4"/>
    <w:rsid w:val="338A1F13"/>
    <w:rsid w:val="33E681B6"/>
    <w:rsid w:val="34FD36E3"/>
    <w:rsid w:val="37963B52"/>
    <w:rsid w:val="38B927E7"/>
    <w:rsid w:val="3946010D"/>
    <w:rsid w:val="39F632B2"/>
    <w:rsid w:val="3A323D7F"/>
    <w:rsid w:val="3A8752B5"/>
    <w:rsid w:val="3B1B651A"/>
    <w:rsid w:val="3B2C2F74"/>
    <w:rsid w:val="3B777025"/>
    <w:rsid w:val="3BBF16F2"/>
    <w:rsid w:val="3BF46CAE"/>
    <w:rsid w:val="3C6856D5"/>
    <w:rsid w:val="3C746980"/>
    <w:rsid w:val="3DD034F3"/>
    <w:rsid w:val="3EA76D05"/>
    <w:rsid w:val="3F1D4F90"/>
    <w:rsid w:val="3F6B9733"/>
    <w:rsid w:val="3FEE27CF"/>
    <w:rsid w:val="400B75FC"/>
    <w:rsid w:val="40EA38FC"/>
    <w:rsid w:val="40F66B4C"/>
    <w:rsid w:val="413B411D"/>
    <w:rsid w:val="41601281"/>
    <w:rsid w:val="42033988"/>
    <w:rsid w:val="432804C5"/>
    <w:rsid w:val="465B295F"/>
    <w:rsid w:val="46667440"/>
    <w:rsid w:val="475A2C17"/>
    <w:rsid w:val="48B67F09"/>
    <w:rsid w:val="4B7319F2"/>
    <w:rsid w:val="4BBEE62A"/>
    <w:rsid w:val="4C3F1485"/>
    <w:rsid w:val="4D4E0B28"/>
    <w:rsid w:val="4D8F7F77"/>
    <w:rsid w:val="4E77352D"/>
    <w:rsid w:val="4FE505CC"/>
    <w:rsid w:val="50250266"/>
    <w:rsid w:val="50CD10CD"/>
    <w:rsid w:val="51C07CD4"/>
    <w:rsid w:val="5317755F"/>
    <w:rsid w:val="53605111"/>
    <w:rsid w:val="53D8047F"/>
    <w:rsid w:val="540F7CBD"/>
    <w:rsid w:val="54210D44"/>
    <w:rsid w:val="545033D7"/>
    <w:rsid w:val="55DF066E"/>
    <w:rsid w:val="56AE958C"/>
    <w:rsid w:val="56F40A6F"/>
    <w:rsid w:val="57491B13"/>
    <w:rsid w:val="587A0A23"/>
    <w:rsid w:val="59564CDC"/>
    <w:rsid w:val="59A27392"/>
    <w:rsid w:val="59D941FA"/>
    <w:rsid w:val="5A056A12"/>
    <w:rsid w:val="5BD73B37"/>
    <w:rsid w:val="5D72616D"/>
    <w:rsid w:val="5DE349EC"/>
    <w:rsid w:val="5E494F87"/>
    <w:rsid w:val="5E833A8F"/>
    <w:rsid w:val="5ECB1347"/>
    <w:rsid w:val="5F333E68"/>
    <w:rsid w:val="62BB05B6"/>
    <w:rsid w:val="62D37915"/>
    <w:rsid w:val="62EB7D8F"/>
    <w:rsid w:val="632930B9"/>
    <w:rsid w:val="637244D5"/>
    <w:rsid w:val="63D87C65"/>
    <w:rsid w:val="641A130C"/>
    <w:rsid w:val="64CA10D0"/>
    <w:rsid w:val="65CEE003"/>
    <w:rsid w:val="66065E78"/>
    <w:rsid w:val="684921C0"/>
    <w:rsid w:val="68947C28"/>
    <w:rsid w:val="68E4072F"/>
    <w:rsid w:val="69AB1384"/>
    <w:rsid w:val="6BF6995E"/>
    <w:rsid w:val="6C9C167F"/>
    <w:rsid w:val="6CA82041"/>
    <w:rsid w:val="6CA9147F"/>
    <w:rsid w:val="6D542D5C"/>
    <w:rsid w:val="6DFEB98A"/>
    <w:rsid w:val="6E106C60"/>
    <w:rsid w:val="6F6AD625"/>
    <w:rsid w:val="6F7D1BA2"/>
    <w:rsid w:val="6F7F43B4"/>
    <w:rsid w:val="6FD9207B"/>
    <w:rsid w:val="6FFFBCAC"/>
    <w:rsid w:val="70C01A70"/>
    <w:rsid w:val="72063EF0"/>
    <w:rsid w:val="736A0DF1"/>
    <w:rsid w:val="74DB7AFE"/>
    <w:rsid w:val="75E55642"/>
    <w:rsid w:val="75F754E7"/>
    <w:rsid w:val="77220C5B"/>
    <w:rsid w:val="77EDC783"/>
    <w:rsid w:val="78951039"/>
    <w:rsid w:val="78C06ABA"/>
    <w:rsid w:val="7B116B6D"/>
    <w:rsid w:val="7B141D30"/>
    <w:rsid w:val="7B7049AB"/>
    <w:rsid w:val="7B9D6653"/>
    <w:rsid w:val="7BFF5F31"/>
    <w:rsid w:val="7D3B6123"/>
    <w:rsid w:val="7D952E84"/>
    <w:rsid w:val="7E337BC9"/>
    <w:rsid w:val="7EEE12F9"/>
    <w:rsid w:val="7EFF9EB5"/>
    <w:rsid w:val="7F6DE17F"/>
    <w:rsid w:val="7F7BF5D0"/>
    <w:rsid w:val="7F7C05AB"/>
    <w:rsid w:val="7F7F2BAC"/>
    <w:rsid w:val="7FE9D56F"/>
    <w:rsid w:val="7FFFDFAD"/>
    <w:rsid w:val="9F7F0B89"/>
    <w:rsid w:val="AB3FC749"/>
    <w:rsid w:val="AF3EFC94"/>
    <w:rsid w:val="AF76A81B"/>
    <w:rsid w:val="BAFF68C0"/>
    <w:rsid w:val="BBBDD633"/>
    <w:rsid w:val="BBDF9FB4"/>
    <w:rsid w:val="C9EB14BC"/>
    <w:rsid w:val="E39F6B99"/>
    <w:rsid w:val="EBFD9E10"/>
    <w:rsid w:val="EBFE111E"/>
    <w:rsid w:val="ED7D062B"/>
    <w:rsid w:val="EEC72C54"/>
    <w:rsid w:val="EFFEE8F7"/>
    <w:rsid w:val="F3EE4FDB"/>
    <w:rsid w:val="F7FF1E70"/>
    <w:rsid w:val="FAFFE9BD"/>
    <w:rsid w:val="FBFDA0C1"/>
    <w:rsid w:val="FBFE7F45"/>
    <w:rsid w:val="FCFBEBF8"/>
    <w:rsid w:val="FE965EE1"/>
    <w:rsid w:val="FEEF9B85"/>
    <w:rsid w:val="FF7FE5B0"/>
    <w:rsid w:val="FFDFEA1F"/>
    <w:rsid w:val="FFF79E40"/>
    <w:rsid w:val="FFFBB196"/>
    <w:rsid w:val="FFFF264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99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5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hAnsi="Times New Roman" w:eastAsia="黑体"/>
      <w:b/>
      <w:sz w:val="32"/>
    </w:rPr>
  </w:style>
  <w:style w:type="paragraph" w:styleId="6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22">
    <w:name w:val="Default Paragraph Font"/>
    <w:qFormat/>
    <w:uiPriority w:val="0"/>
  </w:style>
  <w:style w:type="table" w:default="1" w:styleId="2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  <w:rPr>
      <w:rFonts w:ascii="Calibri" w:hAnsi="Calibri"/>
    </w:rPr>
  </w:style>
  <w:style w:type="paragraph" w:styleId="3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7">
    <w:name w:val="Normal Indent"/>
    <w:basedOn w:val="1"/>
    <w:next w:val="1"/>
    <w:qFormat/>
    <w:uiPriority w:val="0"/>
    <w:pPr>
      <w:ind w:firstLine="200" w:firstLineChars="200"/>
    </w:pPr>
  </w:style>
  <w:style w:type="paragraph" w:styleId="8">
    <w:name w:val="Body Text Indent"/>
    <w:basedOn w:val="1"/>
    <w:next w:val="7"/>
    <w:qFormat/>
    <w:uiPriority w:val="0"/>
    <w:pPr>
      <w:ind w:firstLine="200" w:firstLineChars="200"/>
    </w:pPr>
    <w:rPr>
      <w:rFonts w:ascii="Calibri" w:hAnsi="Calibri" w:eastAsia="仿宋_GB2312"/>
      <w:sz w:val="32"/>
      <w:szCs w:val="22"/>
    </w:rPr>
  </w:style>
  <w:style w:type="paragraph" w:styleId="9">
    <w:name w:val="Block Text"/>
    <w:basedOn w:val="1"/>
    <w:qFormat/>
    <w:uiPriority w:val="0"/>
    <w:pPr>
      <w:spacing w:after="120"/>
      <w:ind w:left="700" w:leftChars="700" w:right="700" w:rightChars="700"/>
    </w:pPr>
  </w:style>
  <w:style w:type="paragraph" w:styleId="10">
    <w:name w:val="Plain Text"/>
    <w:basedOn w:val="1"/>
    <w:next w:val="11"/>
    <w:qFormat/>
    <w:uiPriority w:val="0"/>
    <w:rPr>
      <w:rFonts w:ascii="宋体" w:cs="Courier New"/>
      <w:szCs w:val="21"/>
      <w:lang w:bidi="ar-SA"/>
    </w:rPr>
  </w:style>
  <w:style w:type="paragraph" w:styleId="11">
    <w:name w:val="toc 2"/>
    <w:basedOn w:val="1"/>
    <w:next w:val="1"/>
    <w:qFormat/>
    <w:uiPriority w:val="0"/>
    <w:pPr>
      <w:widowControl w:val="0"/>
      <w:ind w:left="200" w:leftChars="20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styleId="12">
    <w:name w:val="Body Text Indent 2"/>
    <w:basedOn w:val="1"/>
    <w:qFormat/>
    <w:uiPriority w:val="0"/>
    <w:pPr>
      <w:tabs>
        <w:tab w:val="left" w:pos="8460"/>
      </w:tabs>
      <w:ind w:firstLine="200" w:firstLineChars="200"/>
    </w:pPr>
    <w:rPr>
      <w:rFonts w:ascii="仿宋_GB2312" w:eastAsia="仿宋_GB2312" w:cs="Times New Roman"/>
      <w:sz w:val="32"/>
      <w:szCs w:val="20"/>
      <w:lang w:bidi="ar-SA"/>
    </w:rPr>
  </w:style>
  <w:style w:type="paragraph" w:styleId="13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4">
    <w:name w:val="header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5">
    <w:name w:val="index heading"/>
    <w:basedOn w:val="1"/>
    <w:next w:val="16"/>
    <w:qFormat/>
    <w:uiPriority w:val="0"/>
    <w:rPr>
      <w:rFonts w:ascii="Arial" w:hAnsi="Arial"/>
      <w:b/>
      <w:sz w:val="21"/>
    </w:rPr>
  </w:style>
  <w:style w:type="paragraph" w:styleId="16">
    <w:name w:val="index 1"/>
    <w:basedOn w:val="1"/>
    <w:next w:val="1"/>
    <w:qFormat/>
    <w:uiPriority w:val="0"/>
    <w:rPr>
      <w:sz w:val="21"/>
    </w:rPr>
  </w:style>
  <w:style w:type="paragraph" w:styleId="17">
    <w:name w:val="index 9"/>
    <w:basedOn w:val="1"/>
    <w:next w:val="1"/>
    <w:semiHidden/>
    <w:qFormat/>
    <w:uiPriority w:val="99"/>
    <w:pPr>
      <w:ind w:left="3360"/>
      <w:jc w:val="left"/>
    </w:pPr>
  </w:style>
  <w:style w:type="paragraph" w:styleId="18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cs="宋体"/>
      <w:kern w:val="0"/>
      <w:sz w:val="24"/>
      <w:szCs w:val="24"/>
      <w:lang w:val="en-US" w:eastAsia="zh-CN" w:bidi="ar"/>
    </w:rPr>
  </w:style>
  <w:style w:type="paragraph" w:styleId="19">
    <w:name w:val="Normal (Web)"/>
    <w:basedOn w:val="1"/>
    <w:qFormat/>
    <w:uiPriority w:val="0"/>
    <w:pPr>
      <w:widowControl/>
      <w:spacing w:before="100" w:beforeAutospacing="1" w:after="119"/>
      <w:ind w:firstLine="420"/>
    </w:pPr>
    <w:rPr>
      <w:rFonts w:ascii="宋体" w:cs="宋体"/>
      <w:kern w:val="0"/>
      <w:sz w:val="20"/>
      <w:szCs w:val="20"/>
      <w:lang w:bidi="ar-SA"/>
    </w:rPr>
  </w:style>
  <w:style w:type="paragraph" w:styleId="20">
    <w:name w:val="Body Text First Indent 2"/>
    <w:basedOn w:val="8"/>
    <w:next w:val="12"/>
    <w:qFormat/>
    <w:uiPriority w:val="0"/>
    <w:pPr>
      <w:spacing w:after="120"/>
      <w:ind w:left="200" w:leftChars="200"/>
    </w:pPr>
    <w:rPr>
      <w:rFonts w:ascii="Times New Roman" w:hAnsi="Times New Roman" w:eastAsia="宋体" w:cs="Times New Roman"/>
      <w:sz w:val="21"/>
      <w:szCs w:val="24"/>
      <w:lang w:val="en-US" w:eastAsia="zh-CN" w:bidi="ar-SA"/>
    </w:rPr>
  </w:style>
  <w:style w:type="character" w:styleId="23">
    <w:name w:val="Strong"/>
    <w:qFormat/>
    <w:uiPriority w:val="0"/>
    <w:rPr>
      <w:b/>
    </w:rPr>
  </w:style>
  <w:style w:type="character" w:styleId="24">
    <w:name w:val="Hyperlink"/>
    <w:basedOn w:val="22"/>
    <w:qFormat/>
    <w:uiPriority w:val="0"/>
    <w:rPr>
      <w:rFonts w:hint="default" w:ascii="Arial" w:hAnsi="Arial" w:cs="Arial"/>
      <w:color w:val="000000"/>
      <w:sz w:val="18"/>
      <w:szCs w:val="18"/>
      <w:u w:val="none"/>
    </w:rPr>
  </w:style>
  <w:style w:type="paragraph" w:customStyle="1" w:styleId="25">
    <w:name w:val="Default"/>
    <w:next w:val="1"/>
    <w:qFormat/>
    <w:uiPriority w:val="0"/>
    <w:pPr>
      <w:widowControl w:val="0"/>
      <w:autoSpaceDE w:val="0"/>
      <w:autoSpaceDN w:val="0"/>
      <w:adjustRightInd w:val="0"/>
      <w:snapToGrid w:val="0"/>
      <w:spacing w:line="560" w:lineRule="exact"/>
      <w:ind w:firstLine="880" w:firstLineChars="200"/>
    </w:pPr>
    <w:rPr>
      <w:rFonts w:ascii="方正仿宋_GB2312" w:hAnsi="方正仿宋_GB2312" w:eastAsia="方正仿宋_GB2312" w:cs="仿宋_GB2312"/>
      <w:color w:val="000000"/>
      <w:sz w:val="24"/>
      <w:szCs w:val="24"/>
      <w:lang w:val="en-US" w:eastAsia="zh-CN" w:bidi="ar-SA"/>
    </w:rPr>
  </w:style>
  <w:style w:type="paragraph" w:customStyle="1" w:styleId="26">
    <w:name w:val="TOC 11"/>
    <w:next w:val="1"/>
    <w:qFormat/>
    <w:uiPriority w:val="0"/>
    <w:pPr>
      <w:wordWrap w:val="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customStyle="1" w:styleId="27">
    <w:name w:val="公文正文"/>
    <w:basedOn w:val="1"/>
    <w:qFormat/>
    <w:uiPriority w:val="0"/>
    <w:pPr>
      <w:snapToGrid w:val="0"/>
      <w:spacing w:line="560" w:lineRule="exact"/>
      <w:ind w:firstLine="177" w:firstLineChars="177"/>
    </w:pPr>
    <w:rPr>
      <w:rFonts w:ascii="仿宋_GB2312" w:eastAsia="仿宋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1361</Words>
  <Characters>1391</Characters>
  <Lines>9</Lines>
  <Paragraphs>2</Paragraphs>
  <TotalTime>0</TotalTime>
  <ScaleCrop>false</ScaleCrop>
  <LinksUpToDate>false</LinksUpToDate>
  <CharactersWithSpaces>1411</CharactersWithSpaces>
  <Application>WPS Office_11.8.2.9980_F1E327BC-269C-435d-A152-05C5408002CA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2023-02-12T14:55:00Z</dcterms:created>
  <dc:creator>Administrator</dc:creator>
  <cp:lastModifiedBy>uos</cp:lastModifiedBy>
  <cp:lastPrinted>2026-08-18T18:42:00Z</cp:lastPrinted>
  <dcterms:modified xsi:type="dcterms:W3CDTF">2026-09-03T08:58:24Z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2052-11.8.2.9980</vt:lpwstr>
  </property>
  <property fmtid="{D5CDD505-2E9C-101B-9397-08002B2CF9AE}" pid="3" name="ICV">
    <vt:lpwstr>950EDAD4AB131C0093717E6ADB93E2A5_43</vt:lpwstr>
  </property>
  <property fmtid="{D5CDD505-2E9C-101B-9397-08002B2CF9AE}" pid="4" name="KSOTemplateDocerSaveRecord">
    <vt:lpwstr>eyJoZGlkIjoiNGYxZTM3OTZjMWUxZWQ4NjQ4ZGM3NDcwYmMwNTIwYWYiLCJ1c2VySWQiOiI2OTI5MjYzOTgifQ==</vt:lpwstr>
  </property>
</Properties>
</file>