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F26E">
      <w:pPr>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附件</w:t>
      </w:r>
      <w:r>
        <w:rPr>
          <w:rFonts w:hint="eastAsia" w:ascii="仿宋_GB2312" w:hAnsi="仿宋_GB2312" w:eastAsia="仿宋_GB2312" w:cs="仿宋_GB2312"/>
          <w:b w:val="0"/>
          <w:bCs w:val="0"/>
          <w:sz w:val="32"/>
          <w:szCs w:val="32"/>
          <w:lang w:val="en-US" w:eastAsia="zh-CN"/>
        </w:rPr>
        <w:t>2</w:t>
      </w:r>
    </w:p>
    <w:p w14:paraId="7F324C0B">
      <w:pPr>
        <w:pStyle w:val="2"/>
        <w:rPr>
          <w:rFonts w:hint="eastAsia"/>
          <w:lang w:val="en-US" w:eastAsia="zh-CN"/>
        </w:rPr>
      </w:pPr>
    </w:p>
    <w:p w14:paraId="31340607">
      <w:pPr>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昌平区</w:t>
      </w:r>
      <w:r>
        <w:rPr>
          <w:rFonts w:hint="eastAsia" w:ascii="方正小标宋简体" w:hAnsi="方正小标宋简体" w:eastAsia="方正小标宋简体" w:cs="方正小标宋简体"/>
          <w:sz w:val="44"/>
          <w:szCs w:val="36"/>
          <w:lang w:eastAsia="zh-CN"/>
        </w:rPr>
        <w:t>“十五五”时期应急管理事业发展规划（</w:t>
      </w:r>
      <w:r>
        <w:rPr>
          <w:rFonts w:hint="eastAsia" w:ascii="方正小标宋简体" w:hAnsi="方正小标宋简体" w:eastAsia="方正小标宋简体" w:cs="方正小标宋简体"/>
          <w:sz w:val="44"/>
          <w:szCs w:val="36"/>
          <w:lang w:val="en-US" w:eastAsia="zh-CN"/>
        </w:rPr>
        <w:t>征求意见稿）</w:t>
      </w:r>
      <w:r>
        <w:rPr>
          <w:rFonts w:hint="eastAsia" w:ascii="方正小标宋简体" w:hAnsi="方正小标宋简体" w:eastAsia="方正小标宋简体" w:cs="方正小标宋简体"/>
          <w:sz w:val="44"/>
          <w:szCs w:val="44"/>
          <w:lang w:eastAsia="zh-CN"/>
        </w:rPr>
        <w:t>》的起草说明</w:t>
      </w:r>
    </w:p>
    <w:p w14:paraId="4FEE702F">
      <w:pPr>
        <w:rPr>
          <w:rFonts w:hint="default"/>
          <w:lang w:val="en-US" w:eastAsia="zh-CN"/>
        </w:rPr>
      </w:pPr>
    </w:p>
    <w:p w14:paraId="7237C249">
      <w:pPr>
        <w:pStyle w:val="16"/>
        <w:keepNext w:val="0"/>
        <w:keepLines w:val="0"/>
        <w:pageBreakBefore w:val="0"/>
        <w:widowControl w:val="0"/>
        <w:tabs>
          <w:tab w:val="right" w:leader="dot" w:pos="8306"/>
        </w:tabs>
        <w:kinsoku/>
        <w:wordWrap/>
        <w:overflowPunct/>
        <w:topLinePunct w:val="0"/>
        <w:autoSpaceDE/>
        <w:autoSpaceDN/>
        <w:bidi w:val="0"/>
        <w:adjustRightInd/>
        <w:snapToGrid/>
        <w:spacing w:after="0" w:line="560" w:lineRule="exact"/>
        <w:ind w:firstLine="640" w:firstLineChars="200"/>
        <w:jc w:val="both"/>
        <w:textAlignment w:val="auto"/>
        <w:outlineLvl w:val="0"/>
        <w:rPr>
          <w:rFonts w:hint="default" w:ascii="黑体" w:hAnsi="黑体" w:eastAsia="黑体" w:cs="黑体"/>
          <w:sz w:val="32"/>
          <w:szCs w:val="32"/>
          <w:lang w:val="en-US" w:eastAsia="zh-CN"/>
        </w:rPr>
      </w:pPr>
      <w:bookmarkStart w:id="0" w:name="_Toc2539"/>
      <w:bookmarkStart w:id="1" w:name="OLE_LINK2"/>
      <w:r>
        <w:rPr>
          <w:rFonts w:hint="eastAsia" w:ascii="黑体" w:hAnsi="黑体" w:eastAsia="黑体" w:cs="黑体"/>
          <w:sz w:val="32"/>
          <w:szCs w:val="32"/>
        </w:rPr>
        <w:t>一、</w:t>
      </w:r>
      <w:bookmarkEnd w:id="0"/>
      <w:r>
        <w:rPr>
          <w:rFonts w:hint="eastAsia" w:ascii="黑体" w:hAnsi="黑体" w:eastAsia="黑体" w:cs="黑体"/>
          <w:sz w:val="32"/>
          <w:szCs w:val="32"/>
          <w:lang w:eastAsia="zh-CN"/>
        </w:rPr>
        <w:t>起草背景</w:t>
      </w:r>
    </w:p>
    <w:bookmarkEnd w:id="1"/>
    <w:p w14:paraId="51B5A6B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十五五”时期是我国基本实现社会主义现代化夯实基础、全面发力的关键时期，是实现应急管理体系和能力现代化的关键时期。为统筹发展和安全，推进治理模式向事前转型，维护人民群众生命财产安全和社会稳定大局，</w:t>
      </w:r>
      <w:r>
        <w:rPr>
          <w:rFonts w:hint="eastAsia" w:ascii="Times New Roman" w:hAnsi="Times New Roman" w:cs="Times New Roman"/>
          <w:color w:val="000000"/>
          <w:sz w:val="32"/>
          <w:szCs w:val="32"/>
          <w:lang w:val="en-US" w:eastAsia="zh-CN"/>
        </w:rPr>
        <w:t>把昌平区</w:t>
      </w:r>
      <w:r>
        <w:rPr>
          <w:rFonts w:hint="eastAsia" w:ascii="Times New Roman" w:hAnsi="Times New Roman" w:eastAsia="仿宋_GB2312" w:cs="Times New Roman"/>
          <w:color w:val="000000"/>
          <w:sz w:val="32"/>
          <w:szCs w:val="32"/>
        </w:rPr>
        <w:t>建成科教引领、宜业宜居的</w:t>
      </w:r>
      <w:r>
        <w:rPr>
          <w:rFonts w:hint="eastAsia" w:ascii="Times New Roman" w:hAnsi="Times New Roman" w:cs="Times New Roman"/>
          <w:color w:val="000000"/>
          <w:sz w:val="32"/>
          <w:szCs w:val="32"/>
          <w:lang w:val="en-US" w:eastAsia="zh-CN"/>
        </w:rPr>
        <w:t>国际一流现代化新城</w:t>
      </w:r>
      <w:r>
        <w:rPr>
          <w:rFonts w:hint="eastAsia" w:ascii="Times New Roman" w:hAnsi="Times New Roman" w:eastAsia="仿宋_GB2312" w:cs="Times New Roman"/>
          <w:color w:val="000000"/>
          <w:sz w:val="32"/>
          <w:szCs w:val="32"/>
        </w:rPr>
        <w:t>创造安全稳定的社会环境。</w:t>
      </w:r>
    </w:p>
    <w:p w14:paraId="616D5B40">
      <w:pPr>
        <w:pStyle w:val="16"/>
        <w:keepNext w:val="0"/>
        <w:keepLines w:val="0"/>
        <w:pageBreakBefore w:val="0"/>
        <w:widowControl w:val="0"/>
        <w:tabs>
          <w:tab w:val="right" w:leader="dot" w:pos="8306"/>
        </w:tabs>
        <w:kinsoku/>
        <w:wordWrap/>
        <w:overflowPunct/>
        <w:topLinePunct w:val="0"/>
        <w:autoSpaceDE/>
        <w:autoSpaceDN/>
        <w:bidi w:val="0"/>
        <w:adjustRightInd/>
        <w:snapToGrid/>
        <w:spacing w:after="0" w:line="560" w:lineRule="exact"/>
        <w:ind w:firstLine="640" w:firstLineChars="200"/>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起草依据</w:t>
      </w:r>
    </w:p>
    <w:p w14:paraId="729797BB">
      <w:pPr>
        <w:rPr>
          <w:rFonts w:hint="eastAsia" w:ascii="仿宋_GB2312" w:hAnsi="仿宋_GB2312" w:eastAsia="仿宋_GB2312" w:cs="仿宋_GB2312"/>
          <w:kern w:val="2"/>
          <w:sz w:val="32"/>
          <w:szCs w:val="32"/>
          <w:lang w:val="en-US" w:eastAsia="zh-CN" w:bidi="ar-SA"/>
        </w:rPr>
      </w:pPr>
      <w:r>
        <w:rPr>
          <w:rFonts w:hint="eastAsia" w:ascii="Times New Roman" w:hAnsi="Times New Roman" w:cs="Times New Roman"/>
          <w:color w:val="000000"/>
          <w:sz w:val="32"/>
          <w:szCs w:val="32"/>
          <w:lang w:val="en-US" w:eastAsia="zh-CN"/>
        </w:rPr>
        <w:t>依据</w:t>
      </w:r>
      <w:r>
        <w:rPr>
          <w:rFonts w:hint="eastAsia" w:cs="仿宋_GB2312"/>
          <w:kern w:val="2"/>
          <w:sz w:val="32"/>
          <w:szCs w:val="32"/>
          <w:lang w:val="en-US" w:eastAsia="zh-CN" w:bidi="ar-SA"/>
        </w:rPr>
        <w:t>应急部</w:t>
      </w:r>
      <w:r>
        <w:rPr>
          <w:rFonts w:hint="eastAsia" w:ascii="仿宋_GB2312" w:hAnsi="仿宋_GB2312" w:eastAsia="仿宋_GB2312" w:cs="仿宋_GB2312"/>
          <w:kern w:val="2"/>
          <w:sz w:val="32"/>
          <w:szCs w:val="32"/>
          <w:lang w:val="en-US" w:eastAsia="zh-CN" w:bidi="ar-SA"/>
        </w:rPr>
        <w:t>、北京市及昌平区“十五五”规划</w:t>
      </w:r>
      <w:r>
        <w:rPr>
          <w:rFonts w:hint="eastAsia" w:cs="仿宋_GB2312"/>
          <w:kern w:val="2"/>
          <w:sz w:val="32"/>
          <w:szCs w:val="32"/>
          <w:lang w:val="en-US" w:eastAsia="zh-CN" w:bidi="ar-SA"/>
        </w:rPr>
        <w:t>，以及</w:t>
      </w:r>
      <w:r>
        <w:rPr>
          <w:rFonts w:hint="eastAsia" w:ascii="仿宋_GB2312" w:hAnsi="仿宋_GB2312" w:eastAsia="仿宋_GB2312" w:cs="仿宋_GB2312"/>
          <w:sz w:val="32"/>
          <w:szCs w:val="32"/>
        </w:rPr>
        <w:t>《中华人民共和国突发事件应对法》《中华人民共和国安全生产法》</w:t>
      </w:r>
      <w:r>
        <w:rPr>
          <w:rFonts w:hint="eastAsia" w:cs="仿宋_GB2312"/>
          <w:sz w:val="32"/>
          <w:szCs w:val="32"/>
          <w:lang w:val="en-US" w:eastAsia="zh-CN"/>
        </w:rPr>
        <w:t>等法律法规，</w:t>
      </w:r>
      <w:r>
        <w:rPr>
          <w:rFonts w:hint="eastAsia" w:ascii="仿宋_GB2312" w:hAnsi="仿宋_GB2312" w:eastAsia="仿宋_GB2312" w:cs="仿宋_GB2312"/>
          <w:sz w:val="32"/>
          <w:szCs w:val="32"/>
        </w:rPr>
        <w:t>结合“十四五”时期我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应急管理取得的重要成效与宝贵经验</w:t>
      </w:r>
      <w:r>
        <w:rPr>
          <w:rFonts w:hint="eastAsia" w:cs="仿宋_GB2312"/>
          <w:sz w:val="32"/>
          <w:szCs w:val="32"/>
          <w:lang w:eastAsia="zh-CN"/>
        </w:rPr>
        <w:t>，</w:t>
      </w:r>
      <w:r>
        <w:rPr>
          <w:rFonts w:hint="eastAsia" w:cs="仿宋_GB2312"/>
          <w:sz w:val="32"/>
          <w:szCs w:val="32"/>
          <w:lang w:val="en-US" w:eastAsia="zh-CN"/>
        </w:rPr>
        <w:t>特</w:t>
      </w:r>
      <w:r>
        <w:rPr>
          <w:rFonts w:hint="eastAsia" w:ascii="仿宋_GB2312" w:hAnsi="仿宋_GB2312" w:eastAsia="仿宋_GB2312" w:cs="仿宋_GB2312"/>
          <w:kern w:val="2"/>
          <w:sz w:val="32"/>
          <w:szCs w:val="32"/>
          <w:lang w:val="en-US" w:eastAsia="zh-CN" w:bidi="ar-SA"/>
        </w:rPr>
        <w:t>编制本规划。</w:t>
      </w:r>
    </w:p>
    <w:p w14:paraId="26B76302">
      <w:pPr>
        <w:pStyle w:val="16"/>
        <w:keepNext w:val="0"/>
        <w:keepLines w:val="0"/>
        <w:pageBreakBefore w:val="0"/>
        <w:widowControl w:val="0"/>
        <w:tabs>
          <w:tab w:val="right" w:leader="dot" w:pos="8306"/>
        </w:tabs>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三、起草</w:t>
      </w:r>
      <w:bookmarkStart w:id="2" w:name="_GoBack"/>
      <w:bookmarkEnd w:id="2"/>
      <w:r>
        <w:rPr>
          <w:rFonts w:hint="eastAsia" w:ascii="黑体" w:hAnsi="黑体" w:eastAsia="黑体" w:cs="黑体"/>
          <w:sz w:val="32"/>
          <w:szCs w:val="32"/>
          <w:lang w:val="en-US" w:eastAsia="zh-CN"/>
        </w:rPr>
        <w:t>思路和主要目标</w:t>
      </w:r>
    </w:p>
    <w:p w14:paraId="20182F4B">
      <w:pPr>
        <w:rPr>
          <w:rFonts w:hint="eastAsia"/>
          <w:lang w:val="en-US" w:eastAsia="zh-CN"/>
        </w:rPr>
      </w:pPr>
      <w:r>
        <w:rPr>
          <w:rFonts w:hint="eastAsia"/>
          <w:lang w:val="en-US" w:eastAsia="zh-CN"/>
        </w:rPr>
        <w:t>“十五五”时期的应急管理工作以习近平新时代中国特色社会主义思想为指导，深入贯彻落实党的二十大和二十届历次全会精神，坚持人民至上、生命至上，坚定不移贯彻总体国家安全观，统筹发展和安全，以推进治理模式向事前转移为主线，以城市安全韧性建设为目标，以基层应急建设为重点，以智慧应急建设为驱动，着力推进应急管理体系和应急能力现代化。</w:t>
      </w:r>
    </w:p>
    <w:p w14:paraId="3EC37738">
      <w:pPr>
        <w:rPr>
          <w:rFonts w:hint="eastAsia"/>
          <w:lang w:val="en-US" w:eastAsia="zh-CN"/>
        </w:rPr>
      </w:pPr>
      <w:r>
        <w:rPr>
          <w:rFonts w:hint="eastAsia"/>
          <w:lang w:val="en-US" w:eastAsia="zh-CN"/>
        </w:rPr>
        <w:t>规划围绕“推动应急管理体系和能力现代化建设取得重大进展”这一总目标，设定了四个子目标，分别为：灾害事故防控能力显著加强、应急处置能力明显增强、安全生产水平持续提升和应急保障能力显著增强。同时，明确了六个指标，分别是单位地区生产总值生产安全事故死亡率和规划建设消防救援站数量两个约束性指标，以及十万常住人口火灾死亡率、年均每百万人口因自然灾害死亡率、年均因自然灾害直接经济损失占地区生产总值比例和人均应急避难场所面积四个预期性指标。</w:t>
      </w:r>
    </w:p>
    <w:p w14:paraId="0D1FDD59">
      <w:pPr>
        <w:pStyle w:val="16"/>
        <w:keepNext w:val="0"/>
        <w:keepLines w:val="0"/>
        <w:pageBreakBefore w:val="0"/>
        <w:widowControl w:val="0"/>
        <w:tabs>
          <w:tab w:val="right" w:leader="dot" w:pos="8306"/>
        </w:tabs>
        <w:kinsoku/>
        <w:wordWrap/>
        <w:overflowPunct/>
        <w:topLinePunct w:val="0"/>
        <w:autoSpaceDE/>
        <w:autoSpaceDN/>
        <w:bidi w:val="0"/>
        <w:adjustRightInd/>
        <w:snapToGrid/>
        <w:spacing w:after="0" w:line="560" w:lineRule="exact"/>
        <w:ind w:firstLine="640" w:firstLineChars="200"/>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四、主要内容</w:t>
      </w:r>
    </w:p>
    <w:p w14:paraId="566BEEE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《昌平区“十五五”时期应急管理事业发展规划》</w:t>
      </w:r>
      <w:r>
        <w:rPr>
          <w:rFonts w:hint="eastAsia" w:cs="仿宋_GB2312"/>
          <w:sz w:val="32"/>
          <w:szCs w:val="32"/>
          <w:lang w:val="en-US" w:eastAsia="zh-CN"/>
        </w:rPr>
        <w:t>的主要内容共提出了七项主要任务、谋划了八项重点工程，具体如下</w:t>
      </w:r>
      <w:r>
        <w:rPr>
          <w:rFonts w:hint="eastAsia" w:ascii="仿宋_GB2312" w:hAnsi="仿宋_GB2312" w:eastAsia="仿宋_GB2312" w:cs="仿宋_GB2312"/>
          <w:sz w:val="32"/>
          <w:szCs w:val="32"/>
          <w:lang w:val="en-US" w:eastAsia="zh-CN"/>
        </w:rPr>
        <w:t>：</w:t>
      </w:r>
    </w:p>
    <w:p w14:paraId="7C30F22B">
      <w:pPr>
        <w:numPr>
          <w:ilvl w:val="0"/>
          <w:numId w:val="2"/>
        </w:numPr>
        <w:rPr>
          <w:rFonts w:hint="default"/>
          <w:lang w:val="en-US" w:eastAsia="zh-CN"/>
        </w:rPr>
      </w:pPr>
      <w:r>
        <w:rPr>
          <w:rFonts w:hint="eastAsia" w:ascii="楷体_GB2312" w:hAnsi="楷体_GB2312" w:eastAsia="楷体_GB2312" w:cs="楷体_GB2312"/>
          <w:lang w:val="en-US" w:eastAsia="zh-CN"/>
        </w:rPr>
        <w:t>健全应急管理指挥体系</w:t>
      </w:r>
      <w:r>
        <w:rPr>
          <w:rFonts w:hint="eastAsia"/>
          <w:lang w:val="en-US" w:eastAsia="zh-CN"/>
        </w:rPr>
        <w:t>。从强化统筹抓总职能、严格行业监管责任、优化全区应急预案体系、推进复杂场景协同救援四个方面做出具体任务安排。</w:t>
      </w:r>
    </w:p>
    <w:p w14:paraId="5F1D64D6">
      <w:pPr>
        <w:numPr>
          <w:ilvl w:val="0"/>
          <w:numId w:val="2"/>
        </w:numPr>
        <w:rPr>
          <w:rFonts w:hint="default"/>
          <w:lang w:val="en-US" w:eastAsia="zh-CN"/>
        </w:rPr>
      </w:pPr>
      <w:r>
        <w:rPr>
          <w:rFonts w:hint="eastAsia" w:ascii="楷体_GB2312" w:hAnsi="楷体_GB2312" w:eastAsia="楷体_GB2312" w:cs="楷体_GB2312"/>
          <w:b w:val="0"/>
          <w:bCs w:val="0"/>
          <w:color w:val="000000"/>
          <w:kern w:val="2"/>
          <w:sz w:val="32"/>
          <w:szCs w:val="32"/>
          <w:lang w:val="en-US" w:eastAsia="zh-CN" w:bidi="ar-SA"/>
        </w:rPr>
        <w:t>完善安全生产风险治理体系。</w:t>
      </w:r>
      <w:r>
        <w:rPr>
          <w:rFonts w:hint="eastAsia"/>
          <w:lang w:val="en-US" w:eastAsia="zh-CN"/>
        </w:rPr>
        <w:t>从持续深化事故预防措施、深化重点行业领域监管、全力提升本质安全水平和增强安全生产执法效能四个方面做出具体任务安排，并提出了安全生产监管能力提升重点工程。</w:t>
      </w:r>
    </w:p>
    <w:p w14:paraId="7F11F1BA">
      <w:pPr>
        <w:numPr>
          <w:ilvl w:val="0"/>
          <w:numId w:val="2"/>
        </w:numPr>
        <w:rPr>
          <w:rFonts w:hint="default"/>
          <w:lang w:val="en-US" w:eastAsia="zh-CN"/>
        </w:rPr>
      </w:pPr>
      <w:r>
        <w:rPr>
          <w:rFonts w:hint="eastAsia" w:ascii="楷体_GB2312" w:hAnsi="楷体_GB2312" w:eastAsia="楷体_GB2312" w:cs="楷体_GB2312"/>
          <w:b w:val="0"/>
          <w:bCs w:val="0"/>
          <w:color w:val="000000"/>
          <w:kern w:val="2"/>
          <w:sz w:val="32"/>
          <w:szCs w:val="32"/>
          <w:lang w:val="en-US" w:eastAsia="zh-CN" w:bidi="ar-SA"/>
        </w:rPr>
        <w:t>构建城乡安全韧性体系</w:t>
      </w:r>
      <w:r>
        <w:rPr>
          <w:rFonts w:hint="eastAsia"/>
          <w:lang w:val="en-US" w:eastAsia="zh-CN"/>
        </w:rPr>
        <w:t>。</w:t>
      </w:r>
      <w:r>
        <w:rPr>
          <w:rFonts w:hint="eastAsia" w:ascii="仿宋_GB2312" w:hAnsi="仿宋_GB2312" w:eastAsia="仿宋_GB2312" w:cs="仿宋_GB2312"/>
          <w:b w:val="0"/>
          <w:bCs w:val="0"/>
          <w:color w:val="000000"/>
          <w:kern w:val="2"/>
          <w:sz w:val="32"/>
          <w:szCs w:val="32"/>
          <w:lang w:val="en-US" w:eastAsia="zh-CN" w:bidi="ar-SA"/>
        </w:rPr>
        <w:t>从健全自然灾害防范体制机制、构建高效预警响应机制、推进韧性城市建设三个方面做出具体任务安排，并提出了应急避险避难空间建设</w:t>
      </w:r>
      <w:r>
        <w:rPr>
          <w:rFonts w:hint="eastAsia"/>
          <w:lang w:val="en-US" w:eastAsia="zh-CN"/>
        </w:rPr>
        <w:t>重点工程。</w:t>
      </w:r>
    </w:p>
    <w:p w14:paraId="35CAF27E">
      <w:pPr>
        <w:numPr>
          <w:ilvl w:val="0"/>
          <w:numId w:val="2"/>
        </w:numPr>
        <w:rPr>
          <w:rFonts w:hint="eastAsia" w:ascii="仿宋_GB2312" w:hAnsi="仿宋_GB2312" w:eastAsia="仿宋_GB2312" w:cs="仿宋_GB2312"/>
          <w:b w:val="0"/>
          <w:bCs w:val="0"/>
          <w:color w:val="000000"/>
          <w:kern w:val="2"/>
          <w:sz w:val="32"/>
          <w:szCs w:val="32"/>
          <w:lang w:val="en-US" w:eastAsia="zh-CN" w:bidi="ar-SA"/>
        </w:rPr>
      </w:pPr>
      <w:r>
        <w:rPr>
          <w:rFonts w:hint="eastAsia" w:ascii="楷体_GB2312" w:hAnsi="楷体_GB2312" w:eastAsia="楷体_GB2312" w:cs="楷体_GB2312"/>
          <w:b w:val="0"/>
          <w:bCs w:val="0"/>
          <w:color w:val="000000"/>
          <w:kern w:val="2"/>
          <w:sz w:val="32"/>
          <w:szCs w:val="32"/>
          <w:lang w:val="en-US" w:eastAsia="zh-CN" w:bidi="ar-SA"/>
        </w:rPr>
        <w:t>健全区域消防管理体系</w:t>
      </w:r>
      <w:r>
        <w:rPr>
          <w:rFonts w:hint="eastAsia"/>
          <w:lang w:val="en-US" w:eastAsia="zh-CN"/>
        </w:rPr>
        <w:t>。</w:t>
      </w:r>
      <w:r>
        <w:rPr>
          <w:rFonts w:hint="eastAsia" w:ascii="仿宋_GB2312" w:hAnsi="仿宋_GB2312" w:eastAsia="仿宋_GB2312" w:cs="仿宋_GB2312"/>
          <w:b w:val="0"/>
          <w:bCs w:val="0"/>
          <w:color w:val="000000"/>
          <w:kern w:val="2"/>
          <w:sz w:val="32"/>
          <w:szCs w:val="32"/>
          <w:lang w:val="en-US" w:eastAsia="zh-CN" w:bidi="ar-SA"/>
        </w:rPr>
        <w:t>从健全现代化火灾风险防控体系、夯实现代化公共消防设施基础、提升综合性消防救援实战能力和构建智慧化消防支撑体系四个方面做出具体任务安排，并提出了多层次消防站点建设和升级优化消防装备配备两个重点工程。</w:t>
      </w:r>
    </w:p>
    <w:p w14:paraId="16889A7A">
      <w:pPr>
        <w:numPr>
          <w:ilvl w:val="0"/>
          <w:numId w:val="2"/>
        </w:numPr>
        <w:rPr>
          <w:rFonts w:hint="default"/>
          <w:lang w:val="en-US" w:eastAsia="zh-CN"/>
        </w:rPr>
      </w:pPr>
      <w:r>
        <w:rPr>
          <w:rFonts w:hint="eastAsia" w:ascii="楷体_GB2312" w:hAnsi="楷体_GB2312" w:eastAsia="楷体_GB2312" w:cs="楷体_GB2312"/>
          <w:b w:val="0"/>
          <w:bCs w:val="0"/>
          <w:color w:val="000000"/>
          <w:kern w:val="2"/>
          <w:sz w:val="32"/>
          <w:szCs w:val="32"/>
          <w:lang w:val="en-US" w:eastAsia="zh-CN" w:bidi="ar-SA"/>
        </w:rPr>
        <w:t>强化区域防震减灾工作体系</w:t>
      </w:r>
      <w:r>
        <w:rPr>
          <w:rFonts w:hint="eastAsia"/>
          <w:lang w:val="en-US" w:eastAsia="zh-CN"/>
        </w:rPr>
        <w:t>。</w:t>
      </w:r>
      <w:r>
        <w:rPr>
          <w:rFonts w:hint="eastAsia" w:ascii="仿宋_GB2312" w:hAnsi="仿宋_GB2312" w:eastAsia="仿宋_GB2312" w:cs="仿宋_GB2312"/>
          <w:b w:val="0"/>
          <w:bCs w:val="0"/>
          <w:color w:val="000000"/>
          <w:kern w:val="2"/>
          <w:sz w:val="32"/>
          <w:szCs w:val="32"/>
          <w:lang w:val="en-US" w:eastAsia="zh-CN" w:bidi="ar-SA"/>
        </w:rPr>
        <w:t>从提升灾害风险防治能力、提高灾害监测预警信息保障能力</w:t>
      </w:r>
      <w:r>
        <w:rPr>
          <w:rFonts w:hint="eastAsia" w:cs="仿宋_GB2312"/>
          <w:b w:val="0"/>
          <w:bCs w:val="0"/>
          <w:color w:val="000000"/>
          <w:kern w:val="2"/>
          <w:sz w:val="32"/>
          <w:szCs w:val="32"/>
          <w:lang w:val="en-US" w:eastAsia="zh-CN" w:bidi="ar-SA"/>
        </w:rPr>
        <w:t>和</w:t>
      </w:r>
      <w:r>
        <w:rPr>
          <w:rFonts w:hint="eastAsia" w:ascii="仿宋_GB2312" w:hAnsi="仿宋_GB2312" w:eastAsia="仿宋_GB2312" w:cs="仿宋_GB2312"/>
          <w:b w:val="0"/>
          <w:bCs w:val="0"/>
          <w:color w:val="000000"/>
          <w:kern w:val="2"/>
          <w:sz w:val="32"/>
          <w:szCs w:val="32"/>
          <w:lang w:val="en-US" w:eastAsia="zh-CN" w:bidi="ar-SA"/>
        </w:rPr>
        <w:t>提升公众防震避险能力</w:t>
      </w:r>
      <w:r>
        <w:rPr>
          <w:rFonts w:hint="eastAsia" w:cs="仿宋_GB2312"/>
          <w:b w:val="0"/>
          <w:bCs w:val="0"/>
          <w:color w:val="000000"/>
          <w:kern w:val="2"/>
          <w:sz w:val="32"/>
          <w:szCs w:val="32"/>
          <w:lang w:val="en-US" w:eastAsia="zh-CN" w:bidi="ar-SA"/>
        </w:rPr>
        <w:t>三</w:t>
      </w:r>
      <w:r>
        <w:rPr>
          <w:rFonts w:hint="eastAsia" w:ascii="仿宋_GB2312" w:hAnsi="仿宋_GB2312" w:eastAsia="仿宋_GB2312" w:cs="仿宋_GB2312"/>
          <w:b w:val="0"/>
          <w:bCs w:val="0"/>
          <w:color w:val="000000"/>
          <w:kern w:val="2"/>
          <w:sz w:val="32"/>
          <w:szCs w:val="32"/>
          <w:lang w:val="en-US" w:eastAsia="zh-CN" w:bidi="ar-SA"/>
        </w:rPr>
        <w:t>个方面做出具体任务安排，并提出了地震安全韧性提升</w:t>
      </w:r>
      <w:r>
        <w:rPr>
          <w:rFonts w:hint="eastAsia" w:ascii="仿宋_GB2312" w:hAnsi="仿宋_GB2312" w:eastAsia="仿宋_GB2312" w:cs="仿宋_GB2312"/>
          <w:lang w:val="en-US" w:eastAsia="zh-CN"/>
        </w:rPr>
        <w:t>重点工程。</w:t>
      </w:r>
    </w:p>
    <w:p w14:paraId="30220844">
      <w:pPr>
        <w:numPr>
          <w:ilvl w:val="0"/>
          <w:numId w:val="2"/>
        </w:numPr>
        <w:rPr>
          <w:rFonts w:hint="default"/>
          <w:lang w:val="en-US" w:eastAsia="zh-CN"/>
        </w:rPr>
      </w:pPr>
      <w:r>
        <w:rPr>
          <w:rFonts w:hint="eastAsia" w:ascii="楷体_GB2312" w:hAnsi="楷体_GB2312" w:eastAsia="楷体_GB2312" w:cs="楷体_GB2312"/>
          <w:b w:val="0"/>
          <w:bCs w:val="0"/>
          <w:color w:val="000000"/>
          <w:kern w:val="2"/>
          <w:sz w:val="32"/>
          <w:szCs w:val="32"/>
          <w:lang w:val="en-US" w:eastAsia="zh-CN" w:bidi="ar-SA"/>
        </w:rPr>
        <w:t>强化区域应急准备能力</w:t>
      </w:r>
      <w:r>
        <w:rPr>
          <w:rFonts w:hint="eastAsia"/>
          <w:lang w:val="en-US" w:eastAsia="zh-CN"/>
        </w:rPr>
        <w:t>。</w:t>
      </w:r>
      <w:r>
        <w:rPr>
          <w:rFonts w:hint="eastAsia" w:ascii="仿宋_GB2312" w:hAnsi="仿宋_GB2312" w:eastAsia="仿宋_GB2312" w:cs="仿宋_GB2312"/>
          <w:b w:val="0"/>
          <w:bCs w:val="0"/>
          <w:color w:val="000000"/>
          <w:kern w:val="2"/>
          <w:sz w:val="32"/>
          <w:szCs w:val="32"/>
          <w:lang w:val="en-US" w:eastAsia="zh-CN" w:bidi="ar-SA"/>
        </w:rPr>
        <w:t>从提升应急物资储备能力、推进应急救援装备升级</w:t>
      </w:r>
      <w:r>
        <w:rPr>
          <w:rFonts w:hint="eastAsia" w:cs="仿宋_GB2312"/>
          <w:b w:val="0"/>
          <w:bCs w:val="0"/>
          <w:color w:val="000000"/>
          <w:kern w:val="2"/>
          <w:sz w:val="32"/>
          <w:szCs w:val="32"/>
          <w:lang w:val="en-US" w:eastAsia="zh-CN" w:bidi="ar-SA"/>
        </w:rPr>
        <w:t>、持续提升专业应急救援队伍能力和</w:t>
      </w:r>
      <w:r>
        <w:rPr>
          <w:rFonts w:hint="eastAsia" w:ascii="仿宋_GB2312" w:hAnsi="仿宋_GB2312" w:eastAsia="仿宋_GB2312" w:cs="仿宋_GB2312"/>
          <w:b w:val="0"/>
          <w:bCs w:val="0"/>
          <w:color w:val="000000"/>
          <w:kern w:val="2"/>
          <w:sz w:val="32"/>
          <w:szCs w:val="32"/>
          <w:lang w:val="en-US" w:eastAsia="zh-CN" w:bidi="ar-SA"/>
        </w:rPr>
        <w:t>加强科技支撑能力建设</w:t>
      </w:r>
      <w:r>
        <w:rPr>
          <w:rFonts w:hint="eastAsia" w:cs="仿宋_GB2312"/>
          <w:b w:val="0"/>
          <w:bCs w:val="0"/>
          <w:color w:val="000000"/>
          <w:kern w:val="2"/>
          <w:sz w:val="32"/>
          <w:szCs w:val="32"/>
          <w:lang w:val="en-US" w:eastAsia="zh-CN" w:bidi="ar-SA"/>
        </w:rPr>
        <w:t>四</w:t>
      </w:r>
      <w:r>
        <w:rPr>
          <w:rFonts w:hint="eastAsia" w:ascii="仿宋_GB2312" w:hAnsi="仿宋_GB2312" w:eastAsia="仿宋_GB2312" w:cs="仿宋_GB2312"/>
          <w:b w:val="0"/>
          <w:bCs w:val="0"/>
          <w:color w:val="000000"/>
          <w:kern w:val="2"/>
          <w:sz w:val="32"/>
          <w:szCs w:val="32"/>
          <w:lang w:val="en-US" w:eastAsia="zh-CN" w:bidi="ar-SA"/>
        </w:rPr>
        <w:t>个方面做出具体任务安排，并提出了应急物资储备能力建设</w:t>
      </w:r>
      <w:r>
        <w:rPr>
          <w:rFonts w:hint="eastAsia" w:cs="仿宋_GB2312"/>
          <w:b w:val="0"/>
          <w:bCs w:val="0"/>
          <w:color w:val="000000"/>
          <w:kern w:val="2"/>
          <w:sz w:val="32"/>
          <w:szCs w:val="32"/>
          <w:lang w:val="en-US" w:eastAsia="zh-CN" w:bidi="ar-SA"/>
        </w:rPr>
        <w:t>、应急装备能力建设和全域智慧应急一体化三个</w:t>
      </w:r>
      <w:r>
        <w:rPr>
          <w:rFonts w:hint="eastAsia" w:ascii="仿宋_GB2312" w:hAnsi="仿宋_GB2312" w:eastAsia="仿宋_GB2312" w:cs="仿宋_GB2312"/>
          <w:lang w:val="en-US" w:eastAsia="zh-CN"/>
        </w:rPr>
        <w:t>重点工程。</w:t>
      </w:r>
    </w:p>
    <w:p w14:paraId="70DFC259">
      <w:pPr>
        <w:numPr>
          <w:ilvl w:val="0"/>
          <w:numId w:val="2"/>
        </w:numPr>
        <w:rPr>
          <w:rFonts w:hint="default"/>
          <w:lang w:val="en-US" w:eastAsia="zh-CN"/>
        </w:rPr>
      </w:pPr>
      <w:r>
        <w:rPr>
          <w:rFonts w:hint="eastAsia" w:ascii="楷体_GB2312" w:hAnsi="楷体_GB2312" w:eastAsia="楷体_GB2312" w:cs="楷体_GB2312"/>
          <w:b w:val="0"/>
          <w:bCs w:val="0"/>
          <w:color w:val="000000"/>
          <w:kern w:val="2"/>
          <w:sz w:val="32"/>
          <w:szCs w:val="32"/>
          <w:lang w:val="en-US" w:eastAsia="zh-CN" w:bidi="ar-SA"/>
        </w:rPr>
        <w:t>提升基层应急能力</w:t>
      </w:r>
      <w:r>
        <w:rPr>
          <w:rFonts w:hint="eastAsia"/>
          <w:lang w:val="en-US" w:eastAsia="zh-CN"/>
        </w:rPr>
        <w:t>。</w:t>
      </w:r>
      <w:r>
        <w:rPr>
          <w:rFonts w:hint="eastAsia" w:ascii="仿宋_GB2312" w:hAnsi="仿宋_GB2312" w:eastAsia="仿宋_GB2312" w:cs="仿宋_GB2312"/>
          <w:b w:val="0"/>
          <w:bCs w:val="0"/>
          <w:color w:val="000000"/>
          <w:kern w:val="2"/>
          <w:sz w:val="32"/>
          <w:szCs w:val="32"/>
          <w:lang w:val="en-US" w:eastAsia="zh-CN" w:bidi="ar-SA"/>
        </w:rPr>
        <w:t>从加强基层应急能力建设</w:t>
      </w:r>
      <w:r>
        <w:rPr>
          <w:rFonts w:hint="eastAsia" w:cs="仿宋_GB2312"/>
          <w:b w:val="0"/>
          <w:bCs w:val="0"/>
          <w:color w:val="000000"/>
          <w:kern w:val="2"/>
          <w:sz w:val="32"/>
          <w:szCs w:val="32"/>
          <w:lang w:val="en-US" w:eastAsia="zh-CN" w:bidi="ar-SA"/>
        </w:rPr>
        <w:t>和</w:t>
      </w:r>
      <w:r>
        <w:rPr>
          <w:rFonts w:hint="eastAsia" w:ascii="仿宋_GB2312" w:hAnsi="仿宋_GB2312" w:eastAsia="仿宋_GB2312" w:cs="仿宋_GB2312"/>
          <w:b w:val="0"/>
          <w:bCs w:val="0"/>
          <w:color w:val="000000"/>
          <w:kern w:val="2"/>
          <w:sz w:val="32"/>
          <w:szCs w:val="32"/>
          <w:lang w:val="en-US" w:eastAsia="zh-CN" w:bidi="ar-SA"/>
        </w:rPr>
        <w:t>健全社会力量动员体系</w:t>
      </w:r>
      <w:r>
        <w:rPr>
          <w:rFonts w:hint="eastAsia" w:cs="仿宋_GB2312"/>
          <w:b w:val="0"/>
          <w:bCs w:val="0"/>
          <w:color w:val="000000"/>
          <w:kern w:val="2"/>
          <w:sz w:val="32"/>
          <w:szCs w:val="32"/>
          <w:lang w:val="en-US" w:eastAsia="zh-CN" w:bidi="ar-SA"/>
        </w:rPr>
        <w:t>两个</w:t>
      </w:r>
      <w:r>
        <w:rPr>
          <w:rFonts w:hint="eastAsia" w:ascii="仿宋_GB2312" w:hAnsi="仿宋_GB2312" w:eastAsia="仿宋_GB2312" w:cs="仿宋_GB2312"/>
          <w:b w:val="0"/>
          <w:bCs w:val="0"/>
          <w:color w:val="000000"/>
          <w:kern w:val="2"/>
          <w:sz w:val="32"/>
          <w:szCs w:val="32"/>
          <w:lang w:val="en-US" w:eastAsia="zh-CN" w:bidi="ar-SA"/>
        </w:rPr>
        <w:t>方面做出具体任务安排</w:t>
      </w:r>
      <w:r>
        <w:rPr>
          <w:rFonts w:hint="eastAsia" w:ascii="仿宋_GB2312" w:hAnsi="仿宋_GB2312" w:eastAsia="仿宋_GB2312" w:cs="仿宋_GB2312"/>
          <w:lang w:val="en-US" w:eastAsia="zh-CN"/>
        </w:rPr>
        <w:t>。</w:t>
      </w:r>
    </w:p>
    <w:p w14:paraId="7434E609">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国标黑体">
    <w:panose1 w:val="020005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00B35"/>
    <w:multiLevelType w:val="multilevel"/>
    <w:tmpl w:val="84D00B35"/>
    <w:lvl w:ilvl="0" w:tentative="0">
      <w:start w:val="1"/>
      <w:numFmt w:val="decimal"/>
      <w:suff w:val="space"/>
      <w:lvlText w:val="%1"/>
      <w:lvlJc w:val="left"/>
      <w:pPr>
        <w:tabs>
          <w:tab w:val="left" w:pos="0"/>
        </w:tabs>
        <w:ind w:left="432" w:hanging="432"/>
      </w:pPr>
      <w:rPr>
        <w:rFonts w:hint="default" w:ascii="黑体" w:hAnsi="黑体" w:eastAsia="黑体" w:cs="黑体"/>
      </w:rPr>
    </w:lvl>
    <w:lvl w:ilvl="1" w:tentative="0">
      <w:start w:val="1"/>
      <w:numFmt w:val="decimal"/>
      <w:suff w:val="space"/>
      <w:lvlText w:val="%1.%2"/>
      <w:lvlJc w:val="left"/>
      <w:pPr>
        <w:tabs>
          <w:tab w:val="left" w:pos="0"/>
        </w:tabs>
        <w:ind w:left="575" w:hanging="575"/>
      </w:pPr>
      <w:rPr>
        <w:rFonts w:hint="default" w:ascii="楷体_GB2312" w:hAnsi="楷体_GB2312" w:eastAsia="楷体_GB2312" w:cs="Times New Roman"/>
      </w:rPr>
    </w:lvl>
    <w:lvl w:ilvl="2" w:tentative="0">
      <w:start w:val="1"/>
      <w:numFmt w:val="decimal"/>
      <w:pStyle w:val="6"/>
      <w:suff w:val="space"/>
      <w:lvlText w:val="%1.%2.%3"/>
      <w:lvlJc w:val="left"/>
      <w:pPr>
        <w:tabs>
          <w:tab w:val="left" w:pos="420"/>
        </w:tabs>
        <w:ind w:left="720" w:hanging="720"/>
      </w:pPr>
      <w:rPr>
        <w:rFonts w:hint="default" w:ascii="仿宋_GB2312" w:hAnsi="仿宋_GB2312" w:eastAsia="仿宋_GB2312" w:cs="仿宋_GB2312"/>
      </w:rPr>
    </w:lvl>
    <w:lvl w:ilvl="3" w:tentative="0">
      <w:start w:val="1"/>
      <w:numFmt w:val="decimal"/>
      <w:pStyle w:val="7"/>
      <w:lvlText w:val="%1.%2.%3.%4."/>
      <w:lvlJc w:val="left"/>
      <w:pPr>
        <w:ind w:left="864" w:hanging="864"/>
      </w:pPr>
      <w:rPr>
        <w:rFonts w:hint="default"/>
      </w:rPr>
    </w:lvl>
    <w:lvl w:ilvl="4" w:tentative="0">
      <w:start w:val="1"/>
      <w:numFmt w:val="decimal"/>
      <w:pStyle w:val="8"/>
      <w:lvlText w:val="%1.%2.%3.%4.%5."/>
      <w:lvlJc w:val="left"/>
      <w:pPr>
        <w:ind w:left="1008" w:hanging="1008"/>
      </w:pPr>
      <w:rPr>
        <w:rFonts w:hint="default"/>
      </w:rPr>
    </w:lvl>
    <w:lvl w:ilvl="5" w:tentative="0">
      <w:start w:val="1"/>
      <w:numFmt w:val="decimal"/>
      <w:pStyle w:val="9"/>
      <w:lvlText w:val="%1.%2.%3.%4.%5.%6."/>
      <w:lvlJc w:val="left"/>
      <w:pPr>
        <w:ind w:left="1151" w:hanging="1151"/>
      </w:pPr>
      <w:rPr>
        <w:rFonts w:hint="default"/>
      </w:rPr>
    </w:lvl>
    <w:lvl w:ilvl="6" w:tentative="0">
      <w:start w:val="1"/>
      <w:numFmt w:val="decimal"/>
      <w:pStyle w:val="10"/>
      <w:lvlText w:val="%1.%2.%3.%4.%5.%6.%7."/>
      <w:lvlJc w:val="left"/>
      <w:pPr>
        <w:ind w:left="1296" w:hanging="1296"/>
      </w:pPr>
      <w:rPr>
        <w:rFonts w:hint="default"/>
      </w:rPr>
    </w:lvl>
    <w:lvl w:ilvl="7" w:tentative="0">
      <w:start w:val="1"/>
      <w:numFmt w:val="decimal"/>
      <w:pStyle w:val="11"/>
      <w:lvlText w:val="%1.%2.%3.%4.%5.%6.%7.%8."/>
      <w:lvlJc w:val="left"/>
      <w:pPr>
        <w:ind w:left="1440" w:hanging="1440"/>
      </w:pPr>
      <w:rPr>
        <w:rFonts w:hint="default"/>
      </w:rPr>
    </w:lvl>
    <w:lvl w:ilvl="8" w:tentative="0">
      <w:start w:val="1"/>
      <w:numFmt w:val="decimal"/>
      <w:pStyle w:val="12"/>
      <w:lvlText w:val="%1.%2.%3.%4.%5.%6.%7.%8.%9."/>
      <w:lvlJc w:val="left"/>
      <w:pPr>
        <w:ind w:left="1583" w:hanging="1583"/>
      </w:pPr>
      <w:rPr>
        <w:rFonts w:hint="default"/>
      </w:rPr>
    </w:lvl>
  </w:abstractNum>
  <w:abstractNum w:abstractNumId="1">
    <w:nsid w:val="4D86073E"/>
    <w:multiLevelType w:val="singleLevel"/>
    <w:tmpl w:val="4D86073E"/>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D502C"/>
    <w:rsid w:val="07543BF8"/>
    <w:rsid w:val="07F92E1C"/>
    <w:rsid w:val="09C66FA5"/>
    <w:rsid w:val="0AA778E7"/>
    <w:rsid w:val="0E7D05E8"/>
    <w:rsid w:val="0F6E5376"/>
    <w:rsid w:val="136710C8"/>
    <w:rsid w:val="14F1337E"/>
    <w:rsid w:val="1A4F4276"/>
    <w:rsid w:val="1A8824AD"/>
    <w:rsid w:val="1C303C8B"/>
    <w:rsid w:val="1F2A31BD"/>
    <w:rsid w:val="1FDE634D"/>
    <w:rsid w:val="200510DA"/>
    <w:rsid w:val="264C65D9"/>
    <w:rsid w:val="277C644C"/>
    <w:rsid w:val="29692DBE"/>
    <w:rsid w:val="348A5030"/>
    <w:rsid w:val="3530006D"/>
    <w:rsid w:val="3554238D"/>
    <w:rsid w:val="48177359"/>
    <w:rsid w:val="4CE5528E"/>
    <w:rsid w:val="4D987354"/>
    <w:rsid w:val="4EEA6049"/>
    <w:rsid w:val="4F0F3EEC"/>
    <w:rsid w:val="56335B29"/>
    <w:rsid w:val="588B414C"/>
    <w:rsid w:val="5BFA1EC5"/>
    <w:rsid w:val="5C033FE5"/>
    <w:rsid w:val="5D7D190D"/>
    <w:rsid w:val="61996410"/>
    <w:rsid w:val="62623397"/>
    <w:rsid w:val="64B260A4"/>
    <w:rsid w:val="653E14EB"/>
    <w:rsid w:val="68866137"/>
    <w:rsid w:val="6EFC5F35"/>
    <w:rsid w:val="72605062"/>
    <w:rsid w:val="7685243E"/>
    <w:rsid w:val="7C493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82" w:firstLineChars="200"/>
      <w:jc w:val="both"/>
    </w:pPr>
    <w:rPr>
      <w:rFonts w:ascii="仿宋_GB2312" w:hAnsi="仿宋_GB2312" w:eastAsia="仿宋_GB2312" w:cstheme="minorBidi"/>
      <w:kern w:val="2"/>
      <w:sz w:val="32"/>
      <w:szCs w:val="24"/>
      <w:lang w:val="en-US" w:eastAsia="zh-CN" w:bidi="ar-SA"/>
    </w:rPr>
  </w:style>
  <w:style w:type="paragraph" w:styleId="4">
    <w:name w:val="heading 1"/>
    <w:basedOn w:val="1"/>
    <w:next w:val="1"/>
    <w:link w:val="25"/>
    <w:qFormat/>
    <w:uiPriority w:val="0"/>
    <w:pPr>
      <w:tabs>
        <w:tab w:val="left" w:pos="420"/>
      </w:tabs>
      <w:spacing w:beforeAutospacing="0" w:afterAutospacing="0" w:line="560" w:lineRule="exact"/>
      <w:ind w:left="0" w:firstLine="880" w:firstLineChars="200"/>
      <w:jc w:val="left"/>
      <w:outlineLvl w:val="0"/>
    </w:pPr>
    <w:rPr>
      <w:rFonts w:hint="eastAsia" w:ascii="黑体" w:hAnsi="黑体" w:eastAsia="黑体" w:cs="宋体"/>
      <w:bCs/>
      <w:kern w:val="44"/>
      <w:szCs w:val="48"/>
      <w:lang w:bidi="ar"/>
    </w:rPr>
  </w:style>
  <w:style w:type="paragraph" w:styleId="5">
    <w:name w:val="heading 2"/>
    <w:basedOn w:val="1"/>
    <w:next w:val="1"/>
    <w:link w:val="26"/>
    <w:semiHidden/>
    <w:unhideWhenUsed/>
    <w:qFormat/>
    <w:uiPriority w:val="0"/>
    <w:pPr>
      <w:keepNext/>
      <w:keepLines/>
      <w:tabs>
        <w:tab w:val="left" w:pos="0"/>
      </w:tabs>
      <w:spacing w:beforeLines="0" w:beforeAutospacing="0" w:afterLines="0" w:afterAutospacing="0" w:line="560" w:lineRule="exact"/>
      <w:ind w:left="0" w:firstLine="1604" w:firstLineChars="200"/>
      <w:outlineLvl w:val="1"/>
    </w:pPr>
    <w:rPr>
      <w:rFonts w:ascii="楷体_GB2312" w:hAnsi="楷体_GB2312" w:eastAsia="楷体_GB2312"/>
    </w:rPr>
  </w:style>
  <w:style w:type="paragraph" w:styleId="6">
    <w:name w:val="heading 3"/>
    <w:basedOn w:val="1"/>
    <w:next w:val="1"/>
    <w:link w:val="27"/>
    <w:semiHidden/>
    <w:unhideWhenUsed/>
    <w:qFormat/>
    <w:uiPriority w:val="0"/>
    <w:pPr>
      <w:keepNext/>
      <w:keepLines/>
      <w:numPr>
        <w:ilvl w:val="2"/>
        <w:numId w:val="1"/>
      </w:numPr>
      <w:spacing w:beforeLines="0" w:beforeAutospacing="0" w:afterLines="0" w:afterAutospacing="0" w:line="560" w:lineRule="exact"/>
      <w:ind w:left="0" w:firstLine="880" w:firstLineChars="200"/>
      <w:outlineLvl w:val="2"/>
    </w:pPr>
    <w:rPr>
      <w:rFonts w:cs="Times New Roman"/>
      <w:szCs w:val="2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jc w:val="center"/>
    </w:pPr>
    <w:rPr>
      <w:rFonts w:ascii="华文中宋" w:eastAsia="华文中宋"/>
      <w:b/>
      <w:bCs/>
      <w:color w:val="000000"/>
      <w:sz w:val="36"/>
      <w:szCs w:val="20"/>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3">
    <w:name w:val="Normal Indent"/>
    <w:basedOn w:val="1"/>
    <w:next w:val="1"/>
    <w:qFormat/>
    <w:uiPriority w:val="0"/>
    <w:pPr>
      <w:ind w:firstLine="420" w:firstLineChars="200"/>
    </w:pPr>
  </w:style>
  <w:style w:type="paragraph" w:styleId="14">
    <w:name w:val="Body Text Indent"/>
    <w:basedOn w:val="1"/>
    <w:next w:val="15"/>
    <w:qFormat/>
    <w:uiPriority w:val="0"/>
    <w:pPr>
      <w:suppressAutoHyphens/>
      <w:spacing w:line="560" w:lineRule="exact"/>
      <w:ind w:firstLine="640"/>
    </w:pPr>
    <w:rPr>
      <w:rFonts w:eastAsia="仿宋_GB2312"/>
      <w:kern w:val="1"/>
      <w:sz w:val="32"/>
      <w:lang w:eastAsia="ar-SA"/>
    </w:rPr>
  </w:style>
  <w:style w:type="paragraph" w:styleId="15">
    <w:name w:val="Body Text First Indent 2"/>
    <w:basedOn w:val="14"/>
    <w:next w:val="1"/>
    <w:qFormat/>
    <w:uiPriority w:val="0"/>
    <w:pPr>
      <w:ind w:firstLine="420"/>
    </w:pPr>
  </w:style>
  <w:style w:type="paragraph" w:styleId="16">
    <w:name w:val="toc 1"/>
    <w:basedOn w:val="1"/>
    <w:next w:val="1"/>
    <w:qFormat/>
    <w:uiPriority w:val="39"/>
  </w:style>
  <w:style w:type="paragraph" w:styleId="17">
    <w:name w:val="footnote text"/>
    <w:basedOn w:val="1"/>
    <w:next w:val="15"/>
    <w:qFormat/>
    <w:uiPriority w:val="0"/>
    <w:pPr>
      <w:snapToGrid w:val="0"/>
      <w:jc w:val="left"/>
    </w:pPr>
    <w:rPr>
      <w:sz w:val="18"/>
      <w:szCs w:val="18"/>
    </w:r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1">
    <w:name w:val="FollowedHyperlink"/>
    <w:basedOn w:val="20"/>
    <w:qFormat/>
    <w:uiPriority w:val="0"/>
    <w:rPr>
      <w:rFonts w:hint="eastAsia" w:ascii="微软雅黑" w:hAnsi="微软雅黑" w:eastAsia="微软雅黑" w:cs="微软雅黑"/>
      <w:color w:val="333333"/>
      <w:u w:val="none"/>
    </w:rPr>
  </w:style>
  <w:style w:type="character" w:styleId="22">
    <w:name w:val="Emphasis"/>
    <w:basedOn w:val="20"/>
    <w:qFormat/>
    <w:uiPriority w:val="0"/>
  </w:style>
  <w:style w:type="character" w:styleId="23">
    <w:name w:val="Hyperlink"/>
    <w:basedOn w:val="20"/>
    <w:qFormat/>
    <w:uiPriority w:val="0"/>
    <w:rPr>
      <w:rFonts w:ascii="微软雅黑" w:hAnsi="微软雅黑" w:eastAsia="微软雅黑" w:cs="微软雅黑"/>
      <w:color w:val="333333"/>
      <w:u w:val="none"/>
    </w:rPr>
  </w:style>
  <w:style w:type="character" w:styleId="24">
    <w:name w:val="HTML Code"/>
    <w:basedOn w:val="20"/>
    <w:qFormat/>
    <w:uiPriority w:val="0"/>
    <w:rPr>
      <w:rFonts w:ascii="Courier New" w:hAnsi="Courier New"/>
      <w:sz w:val="20"/>
    </w:rPr>
  </w:style>
  <w:style w:type="character" w:customStyle="1" w:styleId="25">
    <w:name w:val="标题 1 Char"/>
    <w:link w:val="4"/>
    <w:qFormat/>
    <w:uiPriority w:val="0"/>
    <w:rPr>
      <w:rFonts w:hint="default" w:ascii="黑体" w:hAnsi="黑体" w:eastAsia="黑体" w:cs="宋体"/>
      <w:kern w:val="44"/>
      <w:sz w:val="32"/>
    </w:rPr>
  </w:style>
  <w:style w:type="character" w:customStyle="1" w:styleId="26">
    <w:name w:val="标题 2 Char"/>
    <w:link w:val="5"/>
    <w:qFormat/>
    <w:uiPriority w:val="0"/>
    <w:rPr>
      <w:rFonts w:ascii="楷体_GB2312" w:hAnsi="楷体_GB2312" w:eastAsia="楷体_GB2312"/>
    </w:rPr>
  </w:style>
  <w:style w:type="character" w:customStyle="1" w:styleId="27">
    <w:name w:val="标题 3 Char"/>
    <w:link w:val="6"/>
    <w:qFormat/>
    <w:uiPriority w:val="0"/>
    <w:rPr>
      <w:rFonts w:cs="Times New Roman"/>
      <w:szCs w:val="22"/>
    </w:rPr>
  </w:style>
  <w:style w:type="character" w:customStyle="1" w:styleId="28">
    <w:name w:val="zwxxgk_bnt6"/>
    <w:basedOn w:val="20"/>
    <w:qFormat/>
    <w:uiPriority w:val="0"/>
  </w:style>
  <w:style w:type="character" w:customStyle="1" w:styleId="29">
    <w:name w:val="zwxxgk_bnt5"/>
    <w:basedOn w:val="20"/>
    <w:qFormat/>
    <w:uiPriority w:val="0"/>
  </w:style>
  <w:style w:type="character" w:customStyle="1" w:styleId="30">
    <w:name w:val="zwxxgk_bnt51"/>
    <w:basedOn w:val="20"/>
    <w:qFormat/>
    <w:uiPriority w:val="0"/>
  </w:style>
  <w:style w:type="character" w:customStyle="1" w:styleId="31">
    <w:name w:val="zwxxgk_bnt52"/>
    <w:basedOn w:val="2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2024-07-01T11:52:00Z</dcterms:created>
  <dc:creator>Administrator</dc:creator>
  <cp:lastModifiedBy>HIGC</cp:lastModifiedBy>
  <dcterms:modified xsi:type="dcterms:W3CDTF">2026-09-02T16:25:45Z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9E470CD439EEB69589DD976AA055EBDC_42</vt:lpwstr>
  </property>
</Properties>
</file>