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A6081">
      <w:pPr>
        <w:pStyle w:val="2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/>
        <w:jc w:val="left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附件1：</w:t>
      </w:r>
    </w:p>
    <w:p w14:paraId="29563FD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</w:p>
    <w:p w14:paraId="0B3C323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</w:pPr>
    </w:p>
    <w:p w14:paraId="03636032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</w:rPr>
        <w:t>“十五五”时期数智丰台发展规划</w:t>
      </w:r>
    </w:p>
    <w:p w14:paraId="3092627F">
      <w:pPr>
        <w:jc w:val="center"/>
        <w:rPr>
          <w:rFonts w:ascii="Times New Roman" w:hAnsi="Times New Roman" w:cs="Times New Roman"/>
          <w:u w:val="none"/>
        </w:rPr>
      </w:pPr>
    </w:p>
    <w:p w14:paraId="51573A31">
      <w:pPr>
        <w:jc w:val="center"/>
        <w:rPr>
          <w:rFonts w:ascii="Times New Roman" w:hAnsi="Times New Roman" w:cs="Times New Roman"/>
          <w:sz w:val="32"/>
          <w:szCs w:val="32"/>
          <w:u w:val="none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公众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征求意见稿）</w:t>
      </w:r>
    </w:p>
    <w:p w14:paraId="33A128D7">
      <w:pPr>
        <w:jc w:val="center"/>
        <w:rPr>
          <w:rFonts w:ascii="Times New Roman" w:hAnsi="Times New Roman" w:cs="Times New Roman"/>
          <w:u w:val="none"/>
        </w:rPr>
      </w:pPr>
    </w:p>
    <w:p w14:paraId="2A6D222F">
      <w:pPr>
        <w:rPr>
          <w:rFonts w:ascii="Times New Roman" w:hAnsi="Times New Roman" w:cs="Times New Roman"/>
          <w:u w:val="none"/>
        </w:rPr>
      </w:pPr>
    </w:p>
    <w:p w14:paraId="3942752D">
      <w:pPr>
        <w:rPr>
          <w:rFonts w:ascii="Times New Roman" w:hAnsi="Times New Roman" w:cs="Times New Roman"/>
          <w:u w:val="none"/>
        </w:rPr>
      </w:pPr>
    </w:p>
    <w:p w14:paraId="2F0BD5CC">
      <w:pPr>
        <w:rPr>
          <w:rFonts w:ascii="Times New Roman" w:hAnsi="Times New Roman" w:cs="Times New Roman"/>
          <w:u w:val="none"/>
        </w:rPr>
      </w:pPr>
    </w:p>
    <w:p w14:paraId="0A9C75E5">
      <w:pPr>
        <w:rPr>
          <w:rFonts w:ascii="Times New Roman" w:hAnsi="Times New Roman" w:cs="Times New Roman"/>
          <w:u w:val="none"/>
        </w:rPr>
      </w:pPr>
    </w:p>
    <w:p w14:paraId="678D8E6F">
      <w:pPr>
        <w:rPr>
          <w:rFonts w:ascii="Times New Roman" w:hAnsi="Times New Roman" w:cs="Times New Roman"/>
          <w:u w:val="none"/>
        </w:rPr>
      </w:pPr>
    </w:p>
    <w:p w14:paraId="1105DF15">
      <w:pPr>
        <w:rPr>
          <w:rFonts w:ascii="Times New Roman" w:hAnsi="Times New Roman" w:cs="Times New Roman"/>
          <w:u w:val="none"/>
        </w:rPr>
      </w:pPr>
    </w:p>
    <w:p w14:paraId="6ABBAB14">
      <w:pPr>
        <w:rPr>
          <w:rFonts w:ascii="Times New Roman" w:hAnsi="Times New Roman" w:cs="Times New Roman"/>
          <w:u w:val="none"/>
        </w:rPr>
      </w:pPr>
    </w:p>
    <w:p w14:paraId="2E318B6F">
      <w:pPr>
        <w:rPr>
          <w:rFonts w:ascii="Times New Roman" w:hAnsi="Times New Roman" w:cs="Times New Roman"/>
          <w:u w:val="none"/>
        </w:rPr>
      </w:pPr>
    </w:p>
    <w:p w14:paraId="7BD36D05">
      <w:pPr>
        <w:rPr>
          <w:rFonts w:ascii="Times New Roman" w:hAnsi="Times New Roman" w:cs="Times New Roman"/>
          <w:u w:val="none"/>
        </w:rPr>
      </w:pPr>
    </w:p>
    <w:p w14:paraId="3A8D1988">
      <w:pPr>
        <w:rPr>
          <w:rFonts w:ascii="Times New Roman" w:hAnsi="Times New Roman" w:cs="Times New Roman"/>
          <w:u w:val="none"/>
        </w:rPr>
      </w:pPr>
    </w:p>
    <w:p w14:paraId="47A8EA2D">
      <w:pPr>
        <w:rPr>
          <w:rFonts w:ascii="Times New Roman" w:hAnsi="Times New Roman" w:cs="Times New Roman"/>
          <w:u w:val="none"/>
        </w:rPr>
      </w:pPr>
    </w:p>
    <w:p w14:paraId="6F7ED87A">
      <w:pPr>
        <w:rPr>
          <w:rFonts w:ascii="Times New Roman" w:hAnsi="Times New Roman" w:cs="Times New Roman"/>
          <w:u w:val="none"/>
        </w:rPr>
      </w:pPr>
    </w:p>
    <w:p w14:paraId="65BF2EDA">
      <w:pPr>
        <w:rPr>
          <w:rFonts w:ascii="Times New Roman" w:hAnsi="Times New Roman" w:cs="Times New Roman"/>
          <w:u w:val="none"/>
        </w:rPr>
      </w:pPr>
    </w:p>
    <w:p w14:paraId="4E03DAC1">
      <w:pPr>
        <w:rPr>
          <w:rFonts w:ascii="Times New Roman" w:hAnsi="Times New Roman" w:cs="Times New Roman"/>
          <w:u w:val="none"/>
        </w:rPr>
      </w:pPr>
    </w:p>
    <w:p w14:paraId="23B0FC1F">
      <w:pPr>
        <w:rPr>
          <w:rFonts w:ascii="Times New Roman" w:hAnsi="Times New Roman" w:cs="Times New Roman"/>
          <w:u w:val="none"/>
        </w:rPr>
      </w:pPr>
    </w:p>
    <w:p w14:paraId="18C84F0B">
      <w:pPr>
        <w:rPr>
          <w:rFonts w:ascii="Times New Roman" w:hAnsi="Times New Roman" w:cs="Times New Roman"/>
          <w:u w:val="none"/>
        </w:rPr>
      </w:pPr>
    </w:p>
    <w:p w14:paraId="1ADC2299">
      <w:pPr>
        <w:rPr>
          <w:rFonts w:ascii="Times New Roman" w:hAnsi="Times New Roman" w:cs="Times New Roman"/>
          <w:u w:val="none"/>
        </w:rPr>
      </w:pPr>
    </w:p>
    <w:p w14:paraId="5A9D955C">
      <w:pPr>
        <w:rPr>
          <w:rFonts w:ascii="Times New Roman" w:hAnsi="Times New Roman" w:cs="Times New Roman"/>
          <w:u w:val="none"/>
        </w:rPr>
      </w:pPr>
    </w:p>
    <w:p w14:paraId="243401E2">
      <w:pPr>
        <w:rPr>
          <w:rFonts w:ascii="Times New Roman" w:hAnsi="Times New Roman" w:cs="Times New Roman"/>
          <w:u w:val="none"/>
        </w:rPr>
      </w:pPr>
    </w:p>
    <w:p w14:paraId="1D1155DC">
      <w:pPr>
        <w:rPr>
          <w:rFonts w:ascii="Times New Roman" w:hAnsi="Times New Roman" w:cs="Times New Roman"/>
          <w:u w:val="none"/>
        </w:rPr>
      </w:pPr>
    </w:p>
    <w:p w14:paraId="2EBDF6D1">
      <w:pPr>
        <w:rPr>
          <w:rFonts w:ascii="Times New Roman" w:hAnsi="Times New Roman" w:cs="Times New Roman"/>
          <w:u w:val="none"/>
        </w:rPr>
      </w:pPr>
    </w:p>
    <w:p w14:paraId="2FE121C1">
      <w:pPr>
        <w:rPr>
          <w:rFonts w:ascii="Times New Roman" w:hAnsi="Times New Roman" w:cs="Times New Roman"/>
          <w:u w:val="none"/>
        </w:rPr>
      </w:pPr>
    </w:p>
    <w:p w14:paraId="0DB72CB9">
      <w:pPr>
        <w:rPr>
          <w:rFonts w:ascii="Times New Roman" w:hAnsi="Times New Roman" w:cs="Times New Roman"/>
          <w:u w:val="none"/>
        </w:rPr>
      </w:pPr>
    </w:p>
    <w:p w14:paraId="7AD1A833">
      <w:pPr>
        <w:pStyle w:val="8"/>
        <w:spacing w:line="360" w:lineRule="auto"/>
        <w:jc w:val="center"/>
        <w:rPr>
          <w:rFonts w:ascii="黑体" w:hAnsi="黑体" w:eastAsia="黑体" w:cs="黑体"/>
          <w:sz w:val="32"/>
          <w:szCs w:val="32"/>
          <w:u w:val="none"/>
          <w:lang w:val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zh-CN"/>
        </w:rPr>
        <w:t>202</w:t>
      </w:r>
      <w:r>
        <w:rPr>
          <w:rFonts w:hint="eastAsia" w:ascii="黑体" w:hAnsi="黑体" w:eastAsia="黑体" w:cs="黑体"/>
          <w:sz w:val="32"/>
          <w:szCs w:val="32"/>
          <w:u w:val="none"/>
        </w:rPr>
        <w:t>6</w:t>
      </w:r>
      <w:r>
        <w:rPr>
          <w:rFonts w:hint="eastAsia" w:ascii="黑体" w:hAnsi="黑体" w:eastAsia="黑体" w:cs="黑体"/>
          <w:sz w:val="32"/>
          <w:szCs w:val="32"/>
          <w:u w:val="none"/>
          <w:lang w:val="zh-CN"/>
        </w:rPr>
        <w:t>年</w:t>
      </w: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9</w:t>
      </w:r>
      <w:bookmarkStart w:id="237" w:name="_GoBack"/>
      <w:bookmarkEnd w:id="237"/>
      <w:r>
        <w:rPr>
          <w:rFonts w:hint="eastAsia" w:ascii="黑体" w:hAnsi="黑体" w:eastAsia="黑体" w:cs="黑体"/>
          <w:sz w:val="32"/>
          <w:szCs w:val="32"/>
          <w:u w:val="none"/>
          <w:lang w:val="zh-CN"/>
        </w:rPr>
        <w:t>月</w:t>
      </w:r>
    </w:p>
    <w:sdt>
      <w:sdtPr>
        <w:rPr>
          <w:rFonts w:ascii="Calibri" w:hAnsi="Calibri" w:eastAsia="宋体" w:cs="宋体"/>
          <w:b/>
          <w:color w:val="auto"/>
          <w:kern w:val="2"/>
          <w:sz w:val="21"/>
          <w:szCs w:val="24"/>
          <w:u w:val="none"/>
          <w:lang w:val="zh-CN" w:eastAsia="zh-CN" w:bidi="ar-SA"/>
        </w:rPr>
        <w:id w:val="147461755"/>
        <w:docPartObj>
          <w:docPartGallery w:val="Table of Contents"/>
          <w:docPartUnique/>
        </w:docPartObj>
      </w:sdtPr>
      <w:sdtEndPr>
        <w:rPr>
          <w:rFonts w:ascii="Calibri" w:hAnsi="Calibri" w:eastAsia="宋体" w:cs="宋体"/>
          <w:b/>
          <w:color w:val="auto"/>
          <w:kern w:val="2"/>
          <w:sz w:val="21"/>
          <w:szCs w:val="24"/>
          <w:u w:val="none"/>
          <w:lang w:val="zh-CN" w:eastAsia="zh-CN" w:bidi="ar-SA"/>
        </w:rPr>
      </w:sdtEndPr>
      <w:sdtContent>
        <w:p w14:paraId="2DF8EC2F">
          <w:pPr>
            <w:pStyle w:val="22"/>
            <w:keepNext w:val="0"/>
            <w:keepLines w:val="0"/>
            <w:widowControl w:val="0"/>
            <w:jc w:val="center"/>
            <w:rPr>
              <w:b/>
              <w:color w:val="auto"/>
              <w:u w:val="none"/>
            </w:rPr>
          </w:pPr>
          <w:r>
            <w:rPr>
              <w:b/>
              <w:color w:val="auto"/>
              <w:u w:val="none"/>
              <w:lang w:val="zh-CN"/>
            </w:rPr>
            <w:t>目录</w:t>
          </w:r>
        </w:p>
        <w:p w14:paraId="3A8FB65A">
          <w:pPr>
            <w:pStyle w:val="10"/>
            <w:tabs>
              <w:tab w:val="right" w:leader="dot" w:pos="8845"/>
            </w:tabs>
          </w:pPr>
          <w:r>
            <w:rPr>
              <w:u w:val="none"/>
            </w:rPr>
            <w:fldChar w:fldCharType="begin"/>
          </w:r>
          <w:r>
            <w:rPr>
              <w:u w:val="none"/>
            </w:rPr>
            <w:instrText xml:space="preserve"> TOC \o "1-3" \h \z \u </w:instrText>
          </w:r>
          <w:r>
            <w:rPr>
              <w:u w:val="none"/>
            </w:rPr>
            <w:fldChar w:fldCharType="separate"/>
          </w:r>
          <w:r>
            <w:rPr>
              <w:u w:val="none"/>
            </w:rPr>
            <w:fldChar w:fldCharType="begin"/>
          </w:r>
          <w:r>
            <w:instrText xml:space="preserve"> HYPERLINK \l _Toc5409 </w:instrText>
          </w:r>
          <w:r>
            <w:fldChar w:fldCharType="separate"/>
          </w:r>
          <w:r>
            <w:rPr>
              <w:rFonts w:hint="eastAsia" w:ascii="Times New Roman" w:hAnsi="Times New Roman" w:eastAsia="黑体" w:cs="Times New Roman"/>
              <w:szCs w:val="32"/>
              <w:lang w:val="en-US" w:eastAsia="zh-CN"/>
            </w:rPr>
            <w:t xml:space="preserve">第一章 </w:t>
          </w:r>
          <w:r>
            <w:rPr>
              <w:rFonts w:hint="eastAsia" w:ascii="Times New Roman" w:hAnsi="Times New Roman" w:eastAsia="黑体" w:cs="Times New Roman"/>
              <w:szCs w:val="32"/>
            </w:rPr>
            <w:t>总体</w:t>
          </w:r>
          <w:r>
            <w:rPr>
              <w:rFonts w:hint="eastAsia" w:ascii="Times New Roman" w:hAnsi="Times New Roman" w:eastAsia="黑体" w:cs="Times New Roman"/>
              <w:szCs w:val="32"/>
              <w:lang w:val="en-US" w:eastAsia="zh-CN"/>
            </w:rPr>
            <w:t>要求</w:t>
          </w:r>
          <w:r>
            <w:tab/>
          </w:r>
          <w:r>
            <w:fldChar w:fldCharType="begin"/>
          </w:r>
          <w:r>
            <w:instrText xml:space="preserve"> PAGEREF _Toc5409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u w:val="none"/>
            </w:rPr>
            <w:fldChar w:fldCharType="end"/>
          </w:r>
        </w:p>
        <w:p w14:paraId="1ED3F7AD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lang w:val="zh-CN"/>
            </w:rPr>
            <w:instrText xml:space="preserve"> HYPERLINK \l _Toc10317 </w:instrText>
          </w:r>
          <w:r>
            <w:rPr>
              <w:rFonts w:hint="eastAsia" w:ascii="楷体_GB2312" w:hAnsi="楷体_GB2312" w:eastAsia="楷体_GB2312" w:cs="楷体_GB2312"/>
              <w:bCs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lang w:val="en-US" w:eastAsia="zh-CN"/>
            </w:rPr>
            <w:t>第一节 指导思想</w:t>
          </w:r>
          <w:r>
            <w:rPr>
              <w:rFonts w:hint="eastAsia" w:ascii="楷体_GB2312" w:hAnsi="楷体_GB2312" w:eastAsia="楷体_GB2312" w:cs="楷体_GB2312"/>
            </w:rPr>
            <w:tab/>
          </w:r>
          <w:r>
            <w:rPr>
              <w:rFonts w:hint="eastAsia" w:ascii="楷体_GB2312" w:hAnsi="楷体_GB2312" w:eastAsia="楷体_GB2312" w:cs="楷体_GB2312"/>
            </w:rPr>
            <w:fldChar w:fldCharType="begin"/>
          </w:r>
          <w:r>
            <w:rPr>
              <w:rFonts w:hint="eastAsia" w:ascii="楷体_GB2312" w:hAnsi="楷体_GB2312" w:eastAsia="楷体_GB2312" w:cs="楷体_GB2312"/>
            </w:rPr>
            <w:instrText xml:space="preserve"> PAGEREF _Toc10317 \h </w:instrText>
          </w:r>
          <w:r>
            <w:rPr>
              <w:rFonts w:hint="eastAsia" w:ascii="楷体_GB2312" w:hAnsi="楷体_GB2312" w:eastAsia="楷体_GB2312" w:cs="楷体_GB2312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</w:rPr>
            <w:t>1</w:t>
          </w:r>
          <w:r>
            <w:rPr>
              <w:rFonts w:hint="eastAsia" w:ascii="楷体_GB2312" w:hAnsi="楷体_GB2312" w:eastAsia="楷体_GB2312" w:cs="楷体_GB2312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3D136C86">
          <w:pPr>
            <w:pStyle w:val="11"/>
            <w:tabs>
              <w:tab w:val="right" w:leader="dot" w:pos="8845"/>
            </w:tabs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lang w:val="zh-CN"/>
            </w:rPr>
            <w:instrText xml:space="preserve"> HYPERLINK \l _Toc12596 </w:instrText>
          </w:r>
          <w:r>
            <w:rPr>
              <w:rFonts w:hint="eastAsia" w:ascii="楷体_GB2312" w:hAnsi="楷体_GB2312" w:eastAsia="楷体_GB2312" w:cs="楷体_GB2312"/>
              <w:bCs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lang w:val="en-US" w:eastAsia="zh-CN"/>
            </w:rPr>
            <w:t xml:space="preserve">第二节 </w:t>
          </w:r>
          <w:r>
            <w:rPr>
              <w:rFonts w:hint="eastAsia" w:ascii="楷体_GB2312" w:hAnsi="楷体_GB2312" w:eastAsia="楷体_GB2312" w:cs="楷体_GB2312"/>
            </w:rPr>
            <w:t>发展目标</w:t>
          </w:r>
          <w:r>
            <w:rPr>
              <w:rFonts w:hint="eastAsia" w:ascii="楷体_GB2312" w:hAnsi="楷体_GB2312" w:eastAsia="楷体_GB2312" w:cs="楷体_GB2312"/>
            </w:rPr>
            <w:tab/>
          </w:r>
          <w:r>
            <w:rPr>
              <w:rFonts w:hint="eastAsia" w:ascii="楷体_GB2312" w:hAnsi="楷体_GB2312" w:eastAsia="楷体_GB2312" w:cs="楷体_GB2312"/>
            </w:rPr>
            <w:fldChar w:fldCharType="begin"/>
          </w:r>
          <w:r>
            <w:rPr>
              <w:rFonts w:hint="eastAsia" w:ascii="楷体_GB2312" w:hAnsi="楷体_GB2312" w:eastAsia="楷体_GB2312" w:cs="楷体_GB2312"/>
            </w:rPr>
            <w:instrText xml:space="preserve"> PAGEREF _Toc12596 \h </w:instrText>
          </w:r>
          <w:r>
            <w:rPr>
              <w:rFonts w:hint="eastAsia" w:ascii="楷体_GB2312" w:hAnsi="楷体_GB2312" w:eastAsia="楷体_GB2312" w:cs="楷体_GB2312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</w:rPr>
            <w:t>1</w:t>
          </w:r>
          <w:r>
            <w:rPr>
              <w:rFonts w:hint="eastAsia" w:ascii="楷体_GB2312" w:hAnsi="楷体_GB2312" w:eastAsia="楷体_GB2312" w:cs="楷体_GB2312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7338BD9A">
          <w:pPr>
            <w:pStyle w:val="10"/>
            <w:tabs>
              <w:tab w:val="right" w:leader="dot" w:pos="8845"/>
            </w:tabs>
          </w:pPr>
          <w:r>
            <w:rPr>
              <w:bCs/>
              <w:u w:val="none"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_Toc12521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szCs w:val="32"/>
              <w:lang w:val="en-US" w:eastAsia="zh-CN"/>
            </w:rPr>
            <w:t xml:space="preserve">第二章 </w:t>
          </w:r>
          <w:r>
            <w:rPr>
              <w:rFonts w:hint="eastAsia" w:ascii="Times New Roman" w:hAnsi="Times New Roman" w:eastAsia="黑体" w:cs="Times New Roman"/>
              <w:szCs w:val="32"/>
            </w:rPr>
            <w:t>深化政府履职智慧化转型</w:t>
          </w:r>
          <w:r>
            <w:rPr>
              <w:rFonts w:hint="eastAsia" w:ascii="Times New Roman" w:hAnsi="Times New Roman" w:eastAsia="黑体" w:cs="Times New Roman"/>
              <w:szCs w:val="32"/>
              <w:lang w:eastAsia="zh-CN"/>
            </w:rPr>
            <w:t>，</w:t>
          </w:r>
          <w:r>
            <w:rPr>
              <w:rFonts w:hint="eastAsia" w:ascii="Times New Roman" w:hAnsi="Times New Roman" w:eastAsia="黑体" w:cs="Times New Roman"/>
              <w:szCs w:val="32"/>
            </w:rPr>
            <w:t>建设</w:t>
          </w:r>
          <w:r>
            <w:rPr>
              <w:rFonts w:hint="eastAsia" w:ascii="Times New Roman" w:hAnsi="Times New Roman" w:eastAsia="黑体" w:cs="Times New Roman"/>
              <w:szCs w:val="32"/>
              <w:lang w:val="en-US" w:eastAsia="zh-CN"/>
            </w:rPr>
            <w:t>数智</w:t>
          </w:r>
          <w:r>
            <w:rPr>
              <w:rFonts w:hint="eastAsia" w:ascii="Times New Roman" w:hAnsi="Times New Roman" w:eastAsia="黑体" w:cs="Times New Roman"/>
              <w:szCs w:val="32"/>
            </w:rPr>
            <w:t>服务之城</w:t>
          </w:r>
          <w:r>
            <w:tab/>
          </w:r>
          <w:r>
            <w:fldChar w:fldCharType="begin"/>
          </w:r>
          <w:r>
            <w:instrText xml:space="preserve"> PAGEREF _Toc12521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u w:val="none"/>
              <w:lang w:val="zh-CN"/>
            </w:rPr>
            <w:fldChar w:fldCharType="end"/>
          </w:r>
        </w:p>
        <w:p w14:paraId="2D6FE54D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_Toc32126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第四节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优化数据驱动的政府运行决策体系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_Toc32126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2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27DEEA30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_Toc9176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第五节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构建精准高效的经济治理和市场监管体系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_Toc9176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3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662C8F58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_Toc32491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第六节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健全智能协同的城市综合管理体系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_Toc32491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4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73F2FF5C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_Toc27643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第七节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锻造全域可控的城市安全韧性能力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_Toc27643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4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1365A4B2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_Toc12258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第八节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强化绿色发展的生态环境治理体系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_Toc12258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5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4198E5B0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_Toc28954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第九节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打造智慧便捷的政务服务供给体系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_Toc28954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5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3FC16ABF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_Toc15384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完善普惠优质的数字生活保障体系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_Toc15384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6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40CF98C9">
          <w:pPr>
            <w:pStyle w:val="10"/>
            <w:tabs>
              <w:tab w:val="right" w:leader="dot" w:pos="8845"/>
            </w:tabs>
          </w:pPr>
          <w:r>
            <w:rPr>
              <w:bCs/>
              <w:u w:val="none"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_Toc20192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w w:val="95"/>
              <w:szCs w:val="32"/>
              <w:lang w:val="en-US" w:eastAsia="zh-CN"/>
            </w:rPr>
            <w:t xml:space="preserve">第三章 </w:t>
          </w:r>
          <w:r>
            <w:rPr>
              <w:rFonts w:hint="eastAsia" w:ascii="Times New Roman" w:hAnsi="Times New Roman" w:eastAsia="黑体" w:cs="Times New Roman"/>
              <w:w w:val="95"/>
              <w:szCs w:val="32"/>
            </w:rPr>
            <w:t>加快全域数字化转型集聚提质</w:t>
          </w:r>
          <w:r>
            <w:rPr>
              <w:rFonts w:hint="eastAsia" w:ascii="Times New Roman" w:hAnsi="Times New Roman" w:eastAsia="黑体" w:cs="Times New Roman"/>
              <w:w w:val="95"/>
              <w:szCs w:val="32"/>
              <w:lang w:eastAsia="zh-CN"/>
            </w:rPr>
            <w:t>，</w:t>
          </w:r>
          <w:r>
            <w:rPr>
              <w:rFonts w:hint="eastAsia" w:ascii="Times New Roman" w:hAnsi="Times New Roman" w:eastAsia="黑体" w:cs="Times New Roman"/>
              <w:w w:val="95"/>
              <w:szCs w:val="32"/>
            </w:rPr>
            <w:t>打造人工智能特色领航区</w:t>
          </w:r>
          <w:r>
            <w:tab/>
          </w:r>
          <w:r>
            <w:fldChar w:fldCharType="begin"/>
          </w:r>
          <w:r>
            <w:instrText xml:space="preserve"> PAGEREF _Toc20192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u w:val="none"/>
              <w:lang w:val="zh-CN"/>
            </w:rPr>
            <w:fldChar w:fldCharType="end"/>
          </w:r>
        </w:p>
        <w:p w14:paraId="3C241D32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_Toc7215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第十一节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推动支柱产业数字化转型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_Toc7215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7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5BEECEB7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_Toc16511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第十二节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加速成长产业数字化提效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_Toc16511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7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4F7E21C9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_Toc5954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第十三节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加快未来产业数字化突破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_Toc5954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8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78E9BCA6">
          <w:pPr>
            <w:pStyle w:val="10"/>
            <w:tabs>
              <w:tab w:val="right" w:leader="dot" w:pos="8845"/>
            </w:tabs>
          </w:pPr>
          <w:r>
            <w:rPr>
              <w:bCs/>
              <w:u w:val="none"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_Toc20115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w w:val="95"/>
              <w:szCs w:val="32"/>
              <w:lang w:val="en-US" w:eastAsia="zh-CN"/>
            </w:rPr>
            <w:t xml:space="preserve">第四章 </w:t>
          </w:r>
          <w:r>
            <w:rPr>
              <w:rFonts w:hint="eastAsia" w:ascii="Times New Roman" w:hAnsi="Times New Roman" w:eastAsia="黑体" w:cs="Times New Roman"/>
              <w:w w:val="95"/>
              <w:szCs w:val="32"/>
            </w:rPr>
            <w:t>聚焦垂直产业领域，打造“北京链谷”特色数据产业集群</w:t>
          </w:r>
          <w:r>
            <w:tab/>
          </w:r>
          <w:r>
            <w:fldChar w:fldCharType="begin"/>
          </w:r>
          <w:r>
            <w:instrText xml:space="preserve"> PAGEREF _Toc20115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bCs/>
              <w:u w:val="none"/>
              <w:lang w:val="zh-CN"/>
            </w:rPr>
            <w:fldChar w:fldCharType="end"/>
          </w:r>
        </w:p>
        <w:p w14:paraId="050B165B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_Toc8643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第十四节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系统布局“北京链谷”的整体发展体系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_Toc8643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8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322CBD7C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_Toc30974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第十五节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构建“一心多点”的空间布局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_Toc30974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9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50E67095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_Toc3159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第十六节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打造“三翼”关键能力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_Toc3159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9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46BF28A6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_Toc9434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第十七节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探索“三基”支撑体系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_Toc9434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10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4B0C83DE">
          <w:pPr>
            <w:pStyle w:val="10"/>
            <w:tabs>
              <w:tab w:val="right" w:leader="dot" w:pos="8845"/>
            </w:tabs>
          </w:pPr>
          <w:r>
            <w:rPr>
              <w:bCs/>
              <w:u w:val="none"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_Toc19100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w w:val="95"/>
              <w:szCs w:val="32"/>
              <w:lang w:val="en-US" w:eastAsia="zh-CN"/>
            </w:rPr>
            <w:t xml:space="preserve">第五章 </w:t>
          </w:r>
          <w:r>
            <w:rPr>
              <w:rFonts w:hint="eastAsia" w:ascii="Times New Roman" w:hAnsi="Times New Roman" w:eastAsia="黑体" w:cs="Times New Roman"/>
              <w:w w:val="95"/>
              <w:szCs w:val="32"/>
            </w:rPr>
            <w:t>筑牢集约化智能数字底座，打造</w:t>
          </w:r>
          <w:r>
            <w:rPr>
              <w:rFonts w:hint="eastAsia" w:ascii="Times New Roman" w:hAnsi="Times New Roman" w:eastAsia="黑体" w:cs="Times New Roman"/>
              <w:w w:val="95"/>
              <w:szCs w:val="32"/>
              <w:lang w:eastAsia="zh-CN"/>
            </w:rPr>
            <w:t>“丰智汇”数智城市中枢</w:t>
          </w:r>
          <w:r>
            <w:tab/>
          </w:r>
          <w:r>
            <w:fldChar w:fldCharType="begin"/>
          </w:r>
          <w:r>
            <w:instrText xml:space="preserve"> PAGEREF _Toc19100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u w:val="none"/>
              <w:lang w:val="zh-CN"/>
            </w:rPr>
            <w:fldChar w:fldCharType="end"/>
          </w:r>
        </w:p>
        <w:p w14:paraId="30CF1496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_Toc5802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第十八节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推动数字底座向数智城市中枢转型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_Toc5802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10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59B116E1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_Toc6385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第十九节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构建优质规范的数据资源管理体系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_Toc6385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11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373B22A1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_Toc17272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第二十节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建设协同的数字基础设施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_Toc17272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11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3C9D0CE5">
          <w:pPr>
            <w:pStyle w:val="10"/>
            <w:tabs>
              <w:tab w:val="right" w:leader="dot" w:pos="8845"/>
            </w:tabs>
          </w:pPr>
          <w:r>
            <w:rPr>
              <w:bCs/>
              <w:u w:val="none"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_Toc16831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w w:val="100"/>
              <w:szCs w:val="32"/>
              <w:lang w:val="en-US" w:eastAsia="zh-CN"/>
            </w:rPr>
            <w:t xml:space="preserve">第六章 </w:t>
          </w:r>
          <w:r>
            <w:rPr>
              <w:rFonts w:hint="eastAsia" w:ascii="Times New Roman" w:hAnsi="Times New Roman" w:eastAsia="黑体" w:cs="Times New Roman"/>
              <w:w w:val="100"/>
              <w:szCs w:val="32"/>
            </w:rPr>
            <w:t>探索量子技术应用场景，打造国内先行全域量子城</w:t>
          </w:r>
          <w:r>
            <w:tab/>
          </w:r>
          <w:r>
            <w:fldChar w:fldCharType="begin"/>
          </w:r>
          <w:r>
            <w:instrText xml:space="preserve"> PAGEREF _Toc16831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u w:val="none"/>
              <w:lang w:val="zh-CN"/>
            </w:rPr>
            <w:fldChar w:fldCharType="end"/>
          </w:r>
        </w:p>
        <w:p w14:paraId="02F5D3E3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_Toc22404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第二十一节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构建精准施策的量子应用场景培育体系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_Toc22404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12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4C9CEBDF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_Toc1495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第二十二节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建设安全可控的新型量子算网设施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_Toc1495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12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6E2EA3BD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_Toc1956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第二十三节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构建可持续发展的量子应用场景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_Toc1956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13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1C4C0787">
          <w:pPr>
            <w:pStyle w:val="10"/>
            <w:tabs>
              <w:tab w:val="right" w:leader="dot" w:pos="8845"/>
            </w:tabs>
          </w:pPr>
          <w:r>
            <w:rPr>
              <w:bCs/>
              <w:u w:val="none"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_Toc2266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szCs w:val="32"/>
              <w:lang w:val="en-US" w:eastAsia="zh-CN"/>
            </w:rPr>
            <w:t xml:space="preserve">第七章 </w:t>
          </w:r>
          <w:r>
            <w:rPr>
              <w:rFonts w:hint="eastAsia" w:ascii="Times New Roman" w:hAnsi="Times New Roman" w:eastAsia="黑体" w:cs="Times New Roman"/>
              <w:szCs w:val="32"/>
            </w:rPr>
            <w:t>完善一体化的安全保障体系，提升精准化保障能力</w:t>
          </w:r>
          <w:r>
            <w:tab/>
          </w:r>
          <w:r>
            <w:fldChar w:fldCharType="begin"/>
          </w:r>
          <w:r>
            <w:instrText xml:space="preserve"> PAGEREF _Toc2266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bCs/>
              <w:u w:val="none"/>
              <w:lang w:val="zh-CN"/>
            </w:rPr>
            <w:fldChar w:fldCharType="end"/>
          </w:r>
        </w:p>
        <w:p w14:paraId="1CD75D28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_Toc10900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第二十四节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完善安全管理体系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_Toc10900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13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554C2C6A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_Toc27079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第二十五节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强化数据安全管理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_Toc27079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14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6A70E343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_Toc16827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第二十六节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强化网络安全管理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_Toc16827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14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6D8C4634">
          <w:pPr>
            <w:pStyle w:val="10"/>
            <w:tabs>
              <w:tab w:val="right" w:leader="dot" w:pos="8845"/>
            </w:tabs>
          </w:pPr>
          <w:r>
            <w:rPr>
              <w:bCs/>
              <w:u w:val="none"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_Toc12584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Times New Roman" w:hAnsi="Times New Roman" w:eastAsia="黑体" w:cs="Times New Roman"/>
              <w:szCs w:val="32"/>
            </w:rPr>
            <w:t>第八章 保障举措</w:t>
          </w:r>
          <w:r>
            <w:tab/>
          </w:r>
          <w:r>
            <w:fldChar w:fldCharType="begin"/>
          </w:r>
          <w:r>
            <w:instrText xml:space="preserve"> PAGEREF _Toc12584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bCs/>
              <w:u w:val="none"/>
              <w:lang w:val="zh-CN"/>
            </w:rPr>
            <w:fldChar w:fldCharType="end"/>
          </w:r>
        </w:p>
        <w:p w14:paraId="172A2875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_Toc5432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第二十九节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加强工作统筹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_Toc5432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14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4F150397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_Toc18803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第三十节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加强资金保障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_Toc18803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14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61D8A9A8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_Toc25906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第三十一节 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加强人才建设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_Toc25906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14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6BE51B59">
          <w:pPr>
            <w:pStyle w:val="11"/>
            <w:tabs>
              <w:tab w:val="right" w:leader="dot" w:pos="8845"/>
            </w:tabs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</w:pP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HYPERLINK \l _Toc7061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en-US" w:eastAsia="zh-CN"/>
            </w:rPr>
            <w:t xml:space="preserve">第三十二节 </w:t>
          </w:r>
          <w:r>
            <w:rPr>
              <w:rFonts w:hint="default" w:ascii="楷体_GB2312" w:hAnsi="楷体_GB2312" w:eastAsia="楷体_GB2312" w:cs="楷体_GB2312"/>
              <w:bCs/>
              <w:u w:val="none"/>
              <w:lang w:val="zh-CN"/>
            </w:rPr>
            <w:t>强化运营支撑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ab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begin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instrText xml:space="preserve"> PAGEREF _Toc7061 \h </w:instrTex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separate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t>15</w:t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  <w:r>
            <w:rPr>
              <w:rFonts w:hint="eastAsia" w:ascii="楷体_GB2312" w:hAnsi="楷体_GB2312" w:eastAsia="楷体_GB2312" w:cs="楷体_GB2312"/>
              <w:bCs/>
              <w:u w:val="none"/>
              <w:lang w:val="zh-CN"/>
            </w:rPr>
            <w:fldChar w:fldCharType="end"/>
          </w:r>
        </w:p>
        <w:p w14:paraId="2D610361">
          <w:pPr>
            <w:pStyle w:val="11"/>
            <w:tabs>
              <w:tab w:val="right" w:leader="dot" w:pos="8845"/>
            </w:tabs>
          </w:pPr>
          <w:r>
            <w:rPr>
              <w:bCs/>
              <w:u w:val="none"/>
              <w:lang w:val="zh-CN"/>
            </w:rPr>
            <w:fldChar w:fldCharType="end"/>
          </w:r>
          <w:bookmarkStart w:id="0" w:name="_Toc27563"/>
          <w:bookmarkStart w:id="1" w:name="_Toc23458"/>
          <w:bookmarkStart w:id="2" w:name="_Toc15093"/>
          <w:bookmarkStart w:id="3" w:name="_Toc17812"/>
          <w:bookmarkStart w:id="4" w:name="_Toc231216369"/>
          <w:bookmarkStart w:id="5" w:name="_Toc26215"/>
          <w:bookmarkStart w:id="6" w:name="_Toc212063968"/>
        </w:p>
      </w:sdtContent>
    </w:sdt>
    <w:p w14:paraId="54979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</w:p>
    <w:p w14:paraId="43033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  <w:lang w:val="en-US" w:eastAsia="zh-CN"/>
        </w:rPr>
        <w:t>依据区委、区政府决策部署，贯彻落实《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</w:rPr>
        <w:t>关于深化智慧城市发展 推进城市全域数字化转型的指导意见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  <w:lang w:val="en-US" w:eastAsia="zh-CN"/>
        </w:rPr>
        <w:t>》《“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</w:rPr>
        <w:t>十五五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</w:rPr>
        <w:t>时期数智北京发展规划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  <w:lang w:val="en-US" w:eastAsia="zh-CN"/>
        </w:rPr>
        <w:t>》，衔接《北京市丰台区国民经济和社会发展第十五个五年规划纲要》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</w:rPr>
        <w:t>《丰台区深化智慧城市建设推进城市全域数字化转型实施方案（2025-2027）》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u w:val="none"/>
          <w:lang w:val="en-US" w:eastAsia="zh-CN"/>
        </w:rPr>
        <w:t>编制本规划。</w:t>
      </w:r>
      <w:bookmarkEnd w:id="0"/>
    </w:p>
    <w:p w14:paraId="06EE9B8D">
      <w:pPr>
        <w:spacing w:line="240" w:lineRule="auto"/>
        <w:ind w:firstLine="0" w:firstLineChars="0"/>
        <w:rPr>
          <w:rFonts w:hint="eastAsia"/>
          <w:u w:val="none"/>
        </w:rPr>
      </w:pPr>
    </w:p>
    <w:p w14:paraId="1827C595">
      <w:pPr>
        <w:pStyle w:val="2"/>
        <w:keepNext w:val="0"/>
        <w:keepLines w:val="0"/>
        <w:numPr>
          <w:ilvl w:val="0"/>
          <w:numId w:val="0"/>
        </w:numPr>
        <w:spacing w:before="0" w:after="0" w:line="560" w:lineRule="exact"/>
        <w:ind w:leftChars="0" w:firstLine="0" w:firstLineChars="0"/>
        <w:jc w:val="center"/>
        <w:rPr>
          <w:rFonts w:hint="eastAsia" w:ascii="Times New Roman" w:hAnsi="Times New Roman" w:eastAsia="黑体" w:cs="Times New Roman"/>
          <w:b w:val="0"/>
          <w:sz w:val="32"/>
          <w:szCs w:val="32"/>
          <w:u w:val="none"/>
          <w:lang w:eastAsia="zh-CN"/>
        </w:rPr>
      </w:pPr>
      <w:bookmarkStart w:id="7" w:name="_Toc5409"/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  <w:lang w:val="en-US" w:eastAsia="zh-CN"/>
        </w:rPr>
        <w:t xml:space="preserve">第一章 </w:t>
      </w:r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</w:rPr>
        <w:t>总体</w:t>
      </w:r>
      <w:bookmarkEnd w:id="1"/>
      <w:bookmarkEnd w:id="2"/>
      <w:bookmarkEnd w:id="3"/>
      <w:bookmarkEnd w:id="4"/>
      <w:bookmarkEnd w:id="5"/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  <w:lang w:val="en-US" w:eastAsia="zh-CN"/>
        </w:rPr>
        <w:t>要求</w:t>
      </w:r>
      <w:bookmarkEnd w:id="7"/>
    </w:p>
    <w:p w14:paraId="10F8D28E">
      <w:pPr>
        <w:spacing w:line="240" w:lineRule="auto"/>
        <w:ind w:firstLine="0" w:firstLineChars="0"/>
        <w:rPr>
          <w:rFonts w:hint="eastAsia"/>
          <w:u w:val="none"/>
        </w:rPr>
      </w:pPr>
      <w:bookmarkStart w:id="8" w:name="_Toc20648"/>
      <w:bookmarkStart w:id="9" w:name="_Toc32595"/>
      <w:bookmarkStart w:id="10" w:name="_Toc24762"/>
      <w:bookmarkStart w:id="11" w:name="_Toc15125"/>
      <w:bookmarkStart w:id="12" w:name="_Toc231216370"/>
    </w:p>
    <w:p w14:paraId="215C0285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b w:val="0"/>
          <w:u w:val="none"/>
        </w:rPr>
      </w:pPr>
      <w:bookmarkStart w:id="13" w:name="_Toc10317"/>
      <w:r>
        <w:rPr>
          <w:rFonts w:hint="eastAsia"/>
          <w:b w:val="0"/>
          <w:u w:val="none"/>
          <w:lang w:val="en-US" w:eastAsia="zh-CN"/>
        </w:rPr>
        <w:t xml:space="preserve">第一节 </w:t>
      </w:r>
      <w:bookmarkEnd w:id="8"/>
      <w:bookmarkEnd w:id="9"/>
      <w:bookmarkEnd w:id="10"/>
      <w:bookmarkEnd w:id="11"/>
      <w:bookmarkEnd w:id="12"/>
      <w:r>
        <w:rPr>
          <w:rFonts w:hint="eastAsia"/>
          <w:b w:val="0"/>
          <w:u w:val="none"/>
          <w:lang w:val="en-US" w:eastAsia="zh-CN"/>
        </w:rPr>
        <w:t>指导思想</w:t>
      </w:r>
      <w:bookmarkEnd w:id="13"/>
    </w:p>
    <w:p w14:paraId="1EB19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以习近平新时代中国特色社会主义思想为引领，全面落实数字中国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和数智北京发展部署，紧扣丰台区“四区一枢纽”功能定位与“三化五区”主要目标，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持续深化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先锋引领、倍增追赶、合作发展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，以数据要素和前沿技术应用为关键引擎，聚焦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“北京链谷”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特色数据产业集群、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  <w:lang w:eastAsia="zh-CN"/>
        </w:rPr>
        <w:t>“丰智汇”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数智城市中枢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和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“全域量子城”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  <w:t>先行区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等赛道，打造国际化数字标杆城市的重要承载区，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为全区的农村城市化、城市现代化和全域场景化提供新动能。</w:t>
      </w:r>
    </w:p>
    <w:p w14:paraId="5FA11654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b w:val="0"/>
          <w:u w:val="none"/>
        </w:rPr>
      </w:pPr>
      <w:bookmarkStart w:id="14" w:name="_Toc24673"/>
      <w:bookmarkStart w:id="15" w:name="_Toc231216371"/>
      <w:bookmarkStart w:id="16" w:name="_Toc12596"/>
      <w:bookmarkStart w:id="17" w:name="_Toc26185"/>
      <w:bookmarkStart w:id="18" w:name="_Toc1803"/>
      <w:bookmarkStart w:id="19" w:name="_Toc15531"/>
      <w:r>
        <w:rPr>
          <w:rFonts w:hint="eastAsia"/>
          <w:b w:val="0"/>
          <w:u w:val="none"/>
          <w:lang w:val="en-US" w:eastAsia="zh-CN"/>
        </w:rPr>
        <w:t xml:space="preserve">第二节 </w:t>
      </w:r>
      <w:r>
        <w:rPr>
          <w:rFonts w:hint="eastAsia"/>
          <w:b w:val="0"/>
          <w:u w:val="none"/>
        </w:rPr>
        <w:t>发展目标</w:t>
      </w:r>
      <w:bookmarkEnd w:id="14"/>
      <w:bookmarkEnd w:id="15"/>
      <w:bookmarkEnd w:id="16"/>
      <w:bookmarkEnd w:id="17"/>
      <w:bookmarkEnd w:id="18"/>
      <w:bookmarkEnd w:id="19"/>
    </w:p>
    <w:p w14:paraId="489DBA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以数据要素市场化配置改革为核心动力，以“丰智汇”为统一数字基座，以“量子安全”为特色保障，构建“1411”发展架构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以区政府网站、京通、京办、京智为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1个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出入口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  <w:t>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数字化转型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”“数据产业”“全域量子城”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  <w:t>“智慧化治理”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4领域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数智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场景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sz w:val="32"/>
          <w:szCs w:val="32"/>
          <w:u w:val="none"/>
          <w:lang w:val="en-US" w:eastAsia="zh-CN"/>
        </w:rPr>
        <w:t>打造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1个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“丰智汇”数智城市中枢，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形成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1套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政策、安全、运行保障体系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，打造“数据驱动、量子伴行、平台赋能”的数智丰台新模式，实现全市发展位次的跃升，建设智产、智治、智城协同发展的高水平“数智丰台”。</w:t>
      </w:r>
    </w:p>
    <w:tbl>
      <w:tblPr>
        <w:tblStyle w:val="15"/>
        <w:tblW w:w="87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497"/>
        <w:gridCol w:w="3488"/>
        <w:gridCol w:w="1070"/>
        <w:gridCol w:w="914"/>
        <w:gridCol w:w="1082"/>
      </w:tblGrid>
      <w:tr w14:paraId="4E4F7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CFAA9">
            <w:pPr>
              <w:snapToGrid w:val="0"/>
              <w:jc w:val="center"/>
              <w:rPr>
                <w:rFonts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</w:pPr>
            <w:bookmarkStart w:id="20" w:name="_Toc30029"/>
            <w:bookmarkStart w:id="21" w:name="_Toc28223"/>
            <w:bookmarkStart w:id="22" w:name="_Toc10902"/>
            <w:bookmarkStart w:id="23" w:name="_Toc231216373"/>
            <w:bookmarkStart w:id="24" w:name="_Toc31635"/>
            <w:r>
              <w:rPr>
                <w:rFonts w:hint="eastAsia"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  <w:t>序号</w:t>
            </w:r>
          </w:p>
        </w:tc>
        <w:tc>
          <w:tcPr>
            <w:tcW w:w="14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DB0B9">
            <w:pPr>
              <w:snapToGrid w:val="0"/>
              <w:jc w:val="center"/>
              <w:rPr>
                <w:rFonts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  <w:t>类别</w:t>
            </w: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02BFD">
            <w:pPr>
              <w:snapToGrid w:val="0"/>
              <w:jc w:val="center"/>
              <w:rPr>
                <w:rFonts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  <w:t>指标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1F255">
            <w:pPr>
              <w:snapToGrid w:val="0"/>
              <w:jc w:val="center"/>
              <w:rPr>
                <w:rFonts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  <w:t>单位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B3BF0">
            <w:pPr>
              <w:snapToGrid w:val="0"/>
              <w:jc w:val="center"/>
              <w:rPr>
                <w:rFonts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  <w:t>2030年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9A222">
            <w:pPr>
              <w:snapToGrid w:val="0"/>
              <w:jc w:val="center"/>
              <w:rPr>
                <w:rFonts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sz w:val="24"/>
                <w:highlight w:val="none"/>
                <w:u w:val="none"/>
              </w:rPr>
              <w:t>属性</w:t>
            </w:r>
          </w:p>
        </w:tc>
      </w:tr>
      <w:tr w14:paraId="48FBB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EBA4B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</w:t>
            </w:r>
          </w:p>
        </w:tc>
        <w:tc>
          <w:tcPr>
            <w:tcW w:w="14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54CF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智慧化治理和服务</w:t>
            </w: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5CCC6">
            <w:pPr>
              <w:snapToGrid w:val="0"/>
              <w:jc w:val="left"/>
              <w:rPr>
                <w:rFonts w:ascii="Times New Roman" w:hAnsi="Times New Roman" w:eastAsia="仿宋" w:cs="仿宋"/>
                <w:strike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政务服务“一网通办”率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B366C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D28C2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100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5BCD2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约束性</w:t>
            </w:r>
          </w:p>
        </w:tc>
      </w:tr>
      <w:tr w14:paraId="5C4CC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511F6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2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0ED3A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63D0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重点园区的智慧化管理和服务平台覆盖率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563CE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F20CC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100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72FD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3286A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6C386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3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979DC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F41C3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公立医疗机构电子病历共享应用覆盖率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13E8B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28781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100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6B7CD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73754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FE12C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vertAlign w:val="superscript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4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DC660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B0665">
            <w:pPr>
              <w:snapToGrid w:val="0"/>
              <w:jc w:val="left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智慧</w:t>
            </w: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  <w:t>社区覆盖</w:t>
            </w: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率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D0F16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41F3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&gt;9</w:t>
            </w: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804CD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020B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ACEF7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FBCE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6698">
            <w:pPr>
              <w:snapToGrid w:val="0"/>
              <w:jc w:val="left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丰台区直属医疗机构医保智能审核</w:t>
            </w: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  <w:t>率</w:t>
            </w: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50295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78283">
            <w:pPr>
              <w:snapToGrid w:val="0"/>
              <w:jc w:val="center"/>
              <w:rPr>
                <w:rFonts w:hint="default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10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505C9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3BD8D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4EE02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6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64FF2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8C228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政府决策一网慧治接入率</w:t>
            </w: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D25D5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7971D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100</w:t>
            </w:r>
          </w:p>
        </w:tc>
        <w:tc>
          <w:tcPr>
            <w:tcW w:w="10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3B747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43C4E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D8769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7</w:t>
            </w:r>
          </w:p>
        </w:tc>
        <w:tc>
          <w:tcPr>
            <w:tcW w:w="14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8E965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量子技术应用</w:t>
            </w: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CC049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量子技术应用场景数量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FD80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个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B4FA2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&gt;8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3F0C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15F4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2FA2E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8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01FFF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46414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量子城域网关键节点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83186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个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A1CC3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&gt;4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614B4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6E76F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9E9B9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9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78D60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478F7">
            <w:pPr>
              <w:snapToGrid w:val="0"/>
              <w:jc w:val="left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量子安全政务应用覆盖率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5141D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A349B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&gt;</w:t>
            </w: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8</w:t>
            </w: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2E4B2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45CEE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530CB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10</w:t>
            </w:r>
          </w:p>
        </w:tc>
        <w:tc>
          <w:tcPr>
            <w:tcW w:w="14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99FA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数据产业</w:t>
            </w: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46839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pacing w:val="-9"/>
                <w:sz w:val="24"/>
                <w:highlight w:val="none"/>
                <w:u w:val="none"/>
              </w:rPr>
              <w:t>高质量数据集数量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CDAEC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个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4F805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&gt;30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8BE48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71012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F8CAB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11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1C4BC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F2CDC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pacing w:val="-9"/>
                <w:sz w:val="24"/>
                <w:highlight w:val="none"/>
                <w:u w:val="none"/>
              </w:rPr>
              <w:t>量子技术赋能产业市场主体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4BF44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个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3EFDD">
            <w:pPr>
              <w:snapToGrid w:val="0"/>
              <w:jc w:val="center"/>
              <w:rPr>
                <w:rFonts w:hint="default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&gt;</w:t>
            </w: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2F84E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3F28D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60870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</w:t>
            </w: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2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5530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6174E">
            <w:pPr>
              <w:snapToGrid w:val="0"/>
              <w:jc w:val="left"/>
              <w:rPr>
                <w:rFonts w:hint="eastAsia" w:ascii="Times New Roman" w:hAnsi="Times New Roman" w:eastAsia="仿宋" w:cs="仿宋"/>
                <w:spacing w:val="-9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pacing w:val="-9"/>
                <w:sz w:val="24"/>
                <w:highlight w:val="none"/>
                <w:u w:val="none"/>
              </w:rPr>
              <w:t>公共数据</w:t>
            </w:r>
            <w:r>
              <w:rPr>
                <w:rFonts w:hint="eastAsia" w:ascii="Times New Roman" w:hAnsi="Times New Roman" w:eastAsia="仿宋" w:cs="仿宋"/>
                <w:spacing w:val="-9"/>
                <w:sz w:val="24"/>
                <w:highlight w:val="none"/>
                <w:u w:val="none"/>
                <w:lang w:val="en-US" w:eastAsia="zh-CN"/>
              </w:rPr>
              <w:t>开发应用</w:t>
            </w:r>
            <w:r>
              <w:rPr>
                <w:rFonts w:hint="eastAsia" w:ascii="Times New Roman" w:hAnsi="Times New Roman" w:eastAsia="仿宋" w:cs="仿宋"/>
                <w:spacing w:val="-9"/>
                <w:sz w:val="24"/>
                <w:highlight w:val="none"/>
                <w:u w:val="none"/>
              </w:rPr>
              <w:t>场景数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4D273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个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2BE21">
            <w:pPr>
              <w:snapToGrid w:val="0"/>
              <w:jc w:val="center"/>
              <w:rPr>
                <w:rFonts w:hint="default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&gt;</w:t>
            </w: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BA162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49CA0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CDD9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</w:t>
            </w: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3</w:t>
            </w:r>
          </w:p>
        </w:tc>
        <w:tc>
          <w:tcPr>
            <w:tcW w:w="149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5189C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数字底座</w:t>
            </w: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D6587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全要素数字资源“一本账”覆盖率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3042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B6658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100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48C2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13B80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9BB1A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</w:t>
            </w: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4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C62CB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4D922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政务外网IPV6普及率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F31DC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8684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100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87C61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3720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51088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</w:t>
            </w: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5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D3B2C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3D374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非涉密政务系统上云率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5E730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%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23BB8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100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4C234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  <w:tr w14:paraId="4F001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B697C">
            <w:pPr>
              <w:snapToGrid w:val="0"/>
              <w:jc w:val="center"/>
              <w:rPr>
                <w:rFonts w:hint="default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  <w:t>16</w:t>
            </w:r>
          </w:p>
        </w:tc>
        <w:tc>
          <w:tcPr>
            <w:tcW w:w="1497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1DDD4">
            <w:pPr>
              <w:snapToGrid w:val="0"/>
              <w:jc w:val="left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</w:p>
        </w:tc>
        <w:tc>
          <w:tcPr>
            <w:tcW w:w="34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D2F75">
            <w:pPr>
              <w:snapToGrid w:val="0"/>
              <w:jc w:val="left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可调度智能算力规模</w:t>
            </w:r>
          </w:p>
        </w:tc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F6E84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PFLOPS</w:t>
            </w:r>
          </w:p>
        </w:tc>
        <w:tc>
          <w:tcPr>
            <w:tcW w:w="9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17854">
            <w:pPr>
              <w:snapToGrid w:val="0"/>
              <w:jc w:val="center"/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&gt;</w:t>
            </w: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ascii="Times New Roman" w:hAnsi="Times New Roman" w:eastAsia="仿宋" w:cs="仿宋"/>
                <w:sz w:val="24"/>
                <w:highlight w:val="none"/>
                <w:u w:val="none"/>
              </w:rPr>
              <w:t>0</w:t>
            </w: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00</w:t>
            </w:r>
          </w:p>
        </w:tc>
        <w:tc>
          <w:tcPr>
            <w:tcW w:w="108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F1CE2">
            <w:pPr>
              <w:snapToGrid w:val="0"/>
              <w:jc w:val="center"/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仿宋" w:cs="仿宋"/>
                <w:sz w:val="24"/>
                <w:highlight w:val="none"/>
                <w:u w:val="none"/>
              </w:rPr>
              <w:t>预期性</w:t>
            </w:r>
          </w:p>
        </w:tc>
      </w:tr>
    </w:tbl>
    <w:p w14:paraId="66C089E2">
      <w:pPr>
        <w:spacing w:line="560" w:lineRule="exact"/>
        <w:jc w:val="center"/>
        <w:rPr>
          <w:rFonts w:ascii="Times New Roman" w:hAnsi="Times New Roman" w:eastAsia="仿宋" w:cs="仿宋"/>
          <w:sz w:val="32"/>
          <w:szCs w:val="32"/>
          <w:u w:val="none"/>
        </w:rPr>
      </w:pPr>
      <w:r>
        <w:rPr>
          <w:rFonts w:hint="eastAsia" w:ascii="Times New Roman" w:hAnsi="Times New Roman" w:eastAsia="仿宋" w:cs="仿宋"/>
          <w:b/>
          <w:sz w:val="32"/>
          <w:szCs w:val="32"/>
          <w:u w:val="none"/>
        </w:rPr>
        <w:t>表1 数智丰台建设主要发展指标</w:t>
      </w:r>
    </w:p>
    <w:p w14:paraId="77369BE1">
      <w:pPr>
        <w:spacing w:line="240" w:lineRule="auto"/>
        <w:ind w:firstLine="0" w:firstLineChars="0"/>
        <w:rPr>
          <w:rFonts w:hint="eastAsia"/>
          <w:u w:val="none"/>
        </w:rPr>
      </w:pPr>
    </w:p>
    <w:p w14:paraId="5CB70D3B">
      <w:pPr>
        <w:pStyle w:val="2"/>
        <w:keepNext w:val="0"/>
        <w:keepLines w:val="0"/>
        <w:numPr>
          <w:ilvl w:val="0"/>
          <w:numId w:val="0"/>
        </w:numPr>
        <w:spacing w:before="0" w:after="0" w:line="560" w:lineRule="exact"/>
        <w:ind w:left="-10" w:leftChars="0" w:firstLine="0" w:firstLineChars="0"/>
        <w:jc w:val="center"/>
        <w:rPr>
          <w:rFonts w:hint="eastAsia" w:ascii="Times New Roman" w:hAnsi="Times New Roman" w:eastAsia="黑体" w:cs="Times New Roman"/>
          <w:b w:val="0"/>
          <w:sz w:val="32"/>
          <w:szCs w:val="32"/>
          <w:u w:val="none"/>
        </w:rPr>
      </w:pPr>
      <w:bookmarkStart w:id="25" w:name="_Toc12521"/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  <w:lang w:val="en-US" w:eastAsia="zh-CN"/>
        </w:rPr>
        <w:t xml:space="preserve">第二章 </w:t>
      </w:r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</w:rPr>
        <w:t>深化政府履职智慧化转型</w:t>
      </w:r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  <w:lang w:eastAsia="zh-CN"/>
        </w:rPr>
        <w:t>，</w:t>
      </w:r>
      <w:bookmarkEnd w:id="6"/>
      <w:bookmarkEnd w:id="20"/>
      <w:bookmarkEnd w:id="21"/>
      <w:bookmarkEnd w:id="22"/>
      <w:bookmarkEnd w:id="23"/>
      <w:bookmarkEnd w:id="24"/>
      <w:bookmarkStart w:id="26" w:name="_Toc231216374"/>
      <w:bookmarkStart w:id="27" w:name="_Toc23278"/>
      <w:bookmarkStart w:id="28" w:name="_Toc9109"/>
      <w:bookmarkStart w:id="29" w:name="_Toc26529"/>
      <w:bookmarkStart w:id="30" w:name="_Toc30887"/>
      <w:bookmarkStart w:id="31" w:name="_Toc212063969"/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</w:rPr>
        <w:t>建设</w:t>
      </w:r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  <w:lang w:val="en-US" w:eastAsia="zh-CN"/>
        </w:rPr>
        <w:t>数智</w:t>
      </w:r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</w:rPr>
        <w:t>服务之城</w:t>
      </w:r>
      <w:bookmarkEnd w:id="25"/>
      <w:bookmarkEnd w:id="26"/>
      <w:bookmarkEnd w:id="27"/>
      <w:bookmarkEnd w:id="28"/>
      <w:bookmarkEnd w:id="29"/>
      <w:bookmarkEnd w:id="30"/>
    </w:p>
    <w:p w14:paraId="373FAAD3">
      <w:pPr>
        <w:spacing w:line="240" w:lineRule="auto"/>
        <w:ind w:firstLine="0" w:firstLineChars="0"/>
        <w:rPr>
          <w:rFonts w:hint="eastAsia"/>
          <w:u w:val="none"/>
        </w:rPr>
      </w:pPr>
      <w:bookmarkStart w:id="32" w:name="_Toc212063992"/>
      <w:bookmarkStart w:id="33" w:name="_Toc231216375"/>
      <w:bookmarkStart w:id="34" w:name="_Toc8488"/>
      <w:bookmarkStart w:id="35" w:name="_Toc20495"/>
      <w:bookmarkStart w:id="36" w:name="_Toc1300"/>
      <w:bookmarkStart w:id="37" w:name="_Toc31957"/>
      <w:bookmarkStart w:id="38" w:name="_Toc212063991"/>
    </w:p>
    <w:p w14:paraId="55A5AA25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39" w:name="_Toc32126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第四节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优化数据驱动的政府运行决策</w:t>
      </w:r>
      <w:bookmarkEnd w:id="32"/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体系</w:t>
      </w:r>
      <w:bookmarkEnd w:id="33"/>
      <w:bookmarkEnd w:id="34"/>
      <w:bookmarkEnd w:id="35"/>
      <w:bookmarkEnd w:id="36"/>
      <w:bookmarkEnd w:id="37"/>
      <w:bookmarkEnd w:id="39"/>
    </w:p>
    <w:p w14:paraId="6D018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健全数字化决策指挥体系。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优化区域级决策专题建设，促进“京智”平台与“日月巡丰”领导驾驶舱深度融合，强化多领域数据统计监测与综合分析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建立常态化数据更新机制，为政府运行动态监测提供支撑。</w:t>
      </w:r>
    </w:p>
    <w:p w14:paraId="18B3A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深化协同办公数字化建设。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实现“京办”全域覆盖，AI赋能升级区级协同办公（OA）系统，推动政务数据平台、业务办理系统深度互联互通，实现数据同源校验与业务智能联动，提升行政办公精度与效率。</w:t>
      </w:r>
    </w:p>
    <w:p w14:paraId="28AA0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trike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推进职能部门智慧化转型。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聚焦关键领域，探索大模型等前沿技术深度应用，实现关键业务数字化覆盖，优化公文运转、会议筹备、督查督办等机关办公服务，深化数智检察体系建设，全面提高行政效能。</w:t>
      </w:r>
    </w:p>
    <w:p w14:paraId="6E4DE50C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40" w:name="_Toc212063993"/>
      <w:bookmarkStart w:id="41" w:name="_Toc6811"/>
      <w:bookmarkStart w:id="42" w:name="_Toc9176"/>
      <w:bookmarkStart w:id="43" w:name="_Toc224"/>
      <w:bookmarkStart w:id="44" w:name="_Toc24527"/>
      <w:bookmarkStart w:id="45" w:name="_Toc231216376"/>
      <w:bookmarkStart w:id="46" w:name="_Toc3154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第五节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构建精准高效的经济治理</w:t>
      </w:r>
      <w:bookmarkEnd w:id="40"/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和市场监管体系</w:t>
      </w:r>
      <w:bookmarkEnd w:id="41"/>
      <w:bookmarkEnd w:id="42"/>
      <w:bookmarkEnd w:id="43"/>
      <w:bookmarkEnd w:id="44"/>
      <w:bookmarkEnd w:id="45"/>
      <w:bookmarkEnd w:id="46"/>
    </w:p>
    <w:p w14:paraId="4D452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强化经济运行监测与风险预警能力。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优化“京策”平台应用，构建数据驱动的政策服务体系，推动产业发展、消费就业、项目投资等多元数据全域汇聚，提升区域经济前瞻研判能力，为政策优化提供数据支撑。</w:t>
      </w:r>
    </w:p>
    <w:p w14:paraId="334496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深化智慧园区一体化建设。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以人工智能赋能园区管理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丰台创新中心智慧园区等特色园区建设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支持丽泽金融商务区建设全球数字金融标杆区，推动智慧园区与智慧交通、智慧楼宇等场景深度融合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聚焦南中轴地区功能定位，开展数据资源集中管理与动态监控。</w:t>
      </w:r>
    </w:p>
    <w:p w14:paraId="4DC0D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加快智慧市场监管体系建设。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将覆盖企业全生命周期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社保、税务、公安、司法等领域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市场数据汇入统一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数据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底座，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支撑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开展智能分析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促进跨部门、跨层级业务协同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优化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服务市场主体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能力，提升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监管效能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</w:p>
    <w:bookmarkEnd w:id="38"/>
    <w:p w14:paraId="51499A0C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47" w:name="_Toc212063994"/>
      <w:bookmarkStart w:id="48" w:name="_Toc7936"/>
      <w:bookmarkStart w:id="49" w:name="_Toc17737"/>
      <w:bookmarkStart w:id="50" w:name="_Toc5567"/>
      <w:bookmarkStart w:id="51" w:name="_Toc14057"/>
      <w:bookmarkStart w:id="52" w:name="_Toc32491"/>
      <w:bookmarkStart w:id="53" w:name="_Toc231216377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>第</w:t>
      </w:r>
      <w:r>
        <w:rPr>
          <w:rFonts w:hint="eastAsia" w:cs="Times New Roman"/>
          <w:b w:val="0"/>
          <w:bCs w:val="0"/>
          <w:u w:val="none"/>
          <w:lang w:val="en-US" w:eastAsia="zh-CN"/>
        </w:rPr>
        <w:t>六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健全智能协同的城市综合管理</w:t>
      </w:r>
      <w:bookmarkEnd w:id="47"/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体系</w:t>
      </w:r>
      <w:bookmarkEnd w:id="48"/>
      <w:bookmarkEnd w:id="49"/>
      <w:bookmarkEnd w:id="50"/>
      <w:bookmarkEnd w:id="51"/>
      <w:bookmarkEnd w:id="52"/>
      <w:bookmarkEnd w:id="53"/>
    </w:p>
    <w:p w14:paraId="5E86D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构建五级联动的智慧网格治理体系。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深度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融合全市网格化城市管理平台试点成果，加强与市民热线、城管执法、环境监测等领域数据联动，推进“多格合一”“一网统管”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提升全域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精细化治理水平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</w:p>
    <w:p w14:paraId="0EFF7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深化“未诉先办”数字化升级。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推动城市运行管理平台向街镇延伸，对“接诉即办”高频诉求、公共媒体热点议题、政务服务综合质效开展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智能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动态监测，推动“未诉先办”向“主动治理”升级，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确保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民生服务响应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精准高效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</w:p>
    <w:p w14:paraId="19EB3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深化“双智”驱动的现代化交通治理。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加快“路城一体”交通基础设施数字化转型，建设双智城市区级数据平台，强化道路感知设备与智能网联设施布局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搭建信号灯故障自动监测与自适应控制系统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持续改善城市出行环境。</w:t>
      </w:r>
    </w:p>
    <w:p w14:paraId="0995F312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outlineLvl w:val="1"/>
        <w:rPr>
          <w:rFonts w:hint="default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</w:pPr>
      <w:bookmarkStart w:id="54" w:name="_Toc27263"/>
      <w:bookmarkStart w:id="55" w:name="_Toc22583"/>
      <w:bookmarkStart w:id="56" w:name="_Toc27643"/>
      <w:bookmarkStart w:id="57" w:name="_Toc231216378"/>
      <w:bookmarkStart w:id="58" w:name="_Toc6495"/>
      <w:bookmarkStart w:id="59" w:name="_Toc4811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第七节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锻造全域可控的城市安全韧性能力</w:t>
      </w:r>
      <w:bookmarkEnd w:id="54"/>
      <w:bookmarkEnd w:id="55"/>
      <w:bookmarkEnd w:id="56"/>
      <w:bookmarkEnd w:id="57"/>
      <w:bookmarkEnd w:id="58"/>
      <w:bookmarkEnd w:id="59"/>
    </w:p>
    <w:p w14:paraId="23B19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完善风险智能监测预警网络。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聚焦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城市安全重点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领域，健全风险信息共享与应急联动机制。实施城市生命线运行监测工程，推进管线“一网统管”，扩大高点监控覆盖范围，开发“来丰即知”数智中心软件平台，支撑维稳和社会面综合治理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</w:p>
    <w:p w14:paraId="192CD9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强化执法规范与重点场景防控。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推进执法规范信息化建设，完善前端安防设施布局，打造融合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多维数据的综合治理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平台，建立统筹协调、应急指挥等运行机制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落地矛盾纠纷排查模块，优化风险管控地图，提升基层安全治理效能。</w:t>
      </w:r>
    </w:p>
    <w:p w14:paraId="0CC8F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构建智慧高效的应急管理体系。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建设应急管理综合信息系平台，推进行业感知体系建设，建立“全面感知－分级预警－分级处置”机制，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持续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加强应急基础数据汇聚与指挥能力。融入北京市五级应急广播体系，实现主动发布终端全域覆盖。</w:t>
      </w:r>
    </w:p>
    <w:p w14:paraId="2CA3D561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60" w:name="_Toc31426"/>
      <w:bookmarkStart w:id="61" w:name="_Toc3824"/>
      <w:bookmarkStart w:id="62" w:name="_Toc12258"/>
      <w:bookmarkStart w:id="63" w:name="_Toc231216379"/>
      <w:bookmarkStart w:id="64" w:name="_Toc21416"/>
      <w:bookmarkStart w:id="65" w:name="_Toc24371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第八节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强化绿色发展的生态环境治理体系</w:t>
      </w:r>
      <w:bookmarkEnd w:id="60"/>
      <w:bookmarkEnd w:id="61"/>
      <w:bookmarkEnd w:id="62"/>
      <w:bookmarkEnd w:id="63"/>
      <w:bookmarkEnd w:id="64"/>
      <w:bookmarkEnd w:id="65"/>
    </w:p>
    <w:p w14:paraId="50E3A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优化生态监测预警体系。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完善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生态环境监测网络布局，探索制定区域生态环境大数据信息资源标准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人工智能技术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开展空气质量全时空、区域化实时研判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开展噪声污染全域普查监测，构建社区级动态声地图，提升污染源头动态感知与早期预警能力。</w:t>
      </w:r>
    </w:p>
    <w:p w14:paraId="7B7A7D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深化重点领域智能治理。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强化移动污染源全流程管控，完善“实时监控－预警处置－数据分析”闭环管理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推进汽修行业环保监管智能化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通过智能监控提升设施运行规范性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加强水生态治理，运用数字孪生与数据模型分析预测趋势，提升小流域治理精细化水平。</w:t>
      </w:r>
    </w:p>
    <w:p w14:paraId="5CC3A188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66" w:name="_Toc703"/>
      <w:bookmarkStart w:id="67" w:name="_Toc27480"/>
      <w:bookmarkStart w:id="68" w:name="_Toc231216380"/>
      <w:bookmarkStart w:id="69" w:name="_Toc28954"/>
      <w:bookmarkStart w:id="70" w:name="_Toc6638"/>
      <w:bookmarkStart w:id="71" w:name="_Toc5453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第九节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打造智慧便捷的政务服务供给体系</w:t>
      </w:r>
      <w:bookmarkEnd w:id="66"/>
      <w:bookmarkEnd w:id="67"/>
      <w:bookmarkEnd w:id="68"/>
      <w:bookmarkEnd w:id="69"/>
      <w:bookmarkEnd w:id="70"/>
      <w:bookmarkEnd w:id="71"/>
    </w:p>
    <w:p w14:paraId="13ED7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ascii="仿宋_GB2312" w:hAnsi="仿宋_GB2312" w:eastAsia="仿宋_GB2312" w:cs="仿宋_GB2312"/>
          <w:b/>
          <w:bCs/>
          <w:sz w:val="30"/>
          <w:szCs w:val="30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u w:val="none"/>
        </w:rPr>
        <w:t>推进线上政务智办升级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深化“多规合一”等市级平台应用，升级区级综合受理系统，迭代“京通”丰台区旗舰店，升级政务服务AI大模型“丰小政”，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>优化政务服务平台移动端功能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，推广企业电子印章使用，推动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政务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服务“掌上好办”。</w:t>
      </w:r>
    </w:p>
    <w:p w14:paraId="0B093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02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u w:val="none"/>
        </w:rPr>
        <w:t>开创“丰速办”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u w:val="none"/>
          <w:lang w:val="en-US" w:eastAsia="zh-CN"/>
        </w:rPr>
        <w:t>服务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u w:val="none"/>
        </w:rPr>
        <w:t>品牌。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部署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>AI政务机器人</w:t>
      </w:r>
      <w:r>
        <w:rPr>
          <w:rFonts w:hint="eastAsia" w:ascii="仿宋_GB2312" w:hAnsi="仿宋_GB2312" w:eastAsia="仿宋_GB2312" w:cs="仿宋_GB2312"/>
          <w:sz w:val="30"/>
          <w:szCs w:val="30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，升级全流程引导式智能问答，提供智能咨询、表单辅助填写、帮办代办等服务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引入AI协助晚间值守，拓展延时办、晚间办等服务，打造“不打烊”政务服务大厅。</w:t>
      </w:r>
    </w:p>
    <w:p w14:paraId="7807A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优化涉企服务环境。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完善“政府效能+企业体验”营商评价体系，搭建“丰企通”专属服务通道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构建企业服务与诉求办理“一体化”融合枢纽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；深化政企数据分析，精准集成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服务；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持续推进“一件事”“一类事”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办理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助力营商环境优化。</w:t>
      </w:r>
    </w:p>
    <w:p w14:paraId="7511D094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72" w:name="_Toc11824"/>
      <w:bookmarkStart w:id="73" w:name="_Toc12072"/>
      <w:bookmarkStart w:id="74" w:name="_Toc15384"/>
      <w:bookmarkStart w:id="75" w:name="_Toc21026"/>
      <w:bookmarkStart w:id="76" w:name="_Toc19806"/>
      <w:bookmarkStart w:id="77" w:name="_Toc231216381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第十节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完善普惠优质的数字生活保障体系</w:t>
      </w:r>
      <w:bookmarkEnd w:id="72"/>
      <w:bookmarkEnd w:id="73"/>
      <w:bookmarkEnd w:id="74"/>
      <w:bookmarkEnd w:id="75"/>
      <w:bookmarkEnd w:id="76"/>
      <w:bookmarkEnd w:id="77"/>
    </w:p>
    <w:p w14:paraId="2DB28B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推进智慧教育发展。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完善丰台区教育大数据资源体系，搭建“线上线下混合式教学系统”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跨学段教育大模型平台，推动人工智能、编程教育进校园，实现教育资源高效流转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补齐校园安防视频盲区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实现校园安全网上巡查。</w:t>
      </w:r>
    </w:p>
    <w:p w14:paraId="348CB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打造智慧医疗服务。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推进卫生健康数字平台建设，深化智慧家医服务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建设慢病智能监测系统，布局互联网诊疗、AI医疗辅助等智慧场景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强化“三医”协同和跨部门数据共享，规范医疗数据收集标注，促进数据要素合规流转。</w:t>
      </w:r>
    </w:p>
    <w:p w14:paraId="2C0C3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加快智慧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平安小区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建设。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系统布局智慧平安小区设施，完善前端安防设备建设，积极应用人脸识别、车辆识别等技术构建智慧平安小区管控系统，并依托平台联动及数据共享，支持区域智慧社区建设。</w:t>
      </w:r>
    </w:p>
    <w:p w14:paraId="0B3D6F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拓展智慧文旅服务。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整合区域旅游资源，重点联动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区内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重要文旅节点，做好与市级数据的衔接共享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依托多元平台提供旅游全周期一体化、精细化服务，强化文旅数字营销推广</w:t>
      </w:r>
    </w:p>
    <w:p w14:paraId="09026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强化数字化社会保障。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推进城市建设领域数字化治理，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打造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</w:rPr>
        <w:t>智慧工地管控体系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构建智慧养老体系，推进互联网平台适老化改造与无障碍出行设施建设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依托市级智慧人社平台，运用大数据实现人岗精准匹配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开展智慧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社会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救助，实现困难群众动态监测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实施人工智能素养提升行动，提高全民人工智能素养与技能。</w:t>
      </w:r>
    </w:p>
    <w:p w14:paraId="2C7E4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科技赋能农业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转型发展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充分挖掘利用农业种业资源优势，联合科研机构、龙头企业搭建AI转化平台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加强农业科技成果落地转化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推动农业设施智能化升级，建成智慧农业园区集群。</w:t>
      </w:r>
    </w:p>
    <w:bookmarkEnd w:id="31"/>
    <w:p w14:paraId="695732A9">
      <w:pPr>
        <w:spacing w:line="240" w:lineRule="auto"/>
        <w:ind w:firstLine="0" w:firstLineChars="0"/>
        <w:rPr>
          <w:rFonts w:hint="eastAsia"/>
          <w:u w:val="none"/>
        </w:rPr>
      </w:pPr>
      <w:bookmarkStart w:id="78" w:name="_Toc23330"/>
      <w:bookmarkStart w:id="79" w:name="_Toc22302"/>
      <w:bookmarkStart w:id="80" w:name="_Toc13937"/>
      <w:bookmarkStart w:id="81" w:name="_Toc23213"/>
      <w:bookmarkStart w:id="82" w:name="_Toc231216383"/>
      <w:bookmarkStart w:id="83" w:name="_Toc212063985"/>
      <w:bookmarkStart w:id="84" w:name="_Toc212063986"/>
    </w:p>
    <w:p w14:paraId="3C29E8C9">
      <w:pPr>
        <w:pStyle w:val="2"/>
        <w:keepNext w:val="0"/>
        <w:keepLines w:val="0"/>
        <w:numPr>
          <w:ilvl w:val="0"/>
          <w:numId w:val="0"/>
        </w:numPr>
        <w:spacing w:before="0" w:after="0" w:line="560" w:lineRule="exact"/>
        <w:ind w:left="-10" w:firstLine="0"/>
        <w:jc w:val="center"/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</w:rPr>
      </w:pPr>
      <w:bookmarkStart w:id="85" w:name="_Toc20192"/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  <w:lang w:val="en-US" w:eastAsia="zh-CN"/>
        </w:rPr>
        <w:t xml:space="preserve">第三章 </w:t>
      </w:r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</w:rPr>
        <w:t>加快全域数字化转型集聚提质</w:t>
      </w:r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  <w:lang w:eastAsia="zh-CN"/>
        </w:rPr>
        <w:t>，</w:t>
      </w:r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</w:rPr>
        <w:t>打造人工智能特色领航区</w:t>
      </w:r>
      <w:bookmarkEnd w:id="85"/>
    </w:p>
    <w:p w14:paraId="6A2F93AF">
      <w:pPr>
        <w:spacing w:line="240" w:lineRule="auto"/>
        <w:ind w:firstLine="0" w:firstLineChars="0"/>
        <w:rPr>
          <w:rFonts w:hint="eastAsia"/>
          <w:u w:val="none"/>
        </w:rPr>
      </w:pPr>
    </w:p>
    <w:p w14:paraId="3E52303E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86" w:name="_Toc7215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第十一节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推动支柱产业数字化转型</w:t>
      </w:r>
      <w:bookmarkEnd w:id="78"/>
      <w:bookmarkEnd w:id="79"/>
      <w:bookmarkEnd w:id="80"/>
      <w:bookmarkEnd w:id="81"/>
      <w:bookmarkEnd w:id="82"/>
      <w:bookmarkEnd w:id="86"/>
    </w:p>
    <w:p w14:paraId="63E79A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bookmarkStart w:id="87" w:name="OLE_LINK172"/>
      <w:bookmarkStart w:id="88" w:name="OLE_LINK171"/>
      <w:r>
        <w:rPr>
          <w:rFonts w:hint="eastAsia" w:ascii="仿宋_GB2312" w:hAnsi="仿宋_GB2312" w:eastAsia="仿宋_GB2312" w:cs="仿宋_GB2312"/>
          <w:b/>
          <w:sz w:val="32"/>
          <w:u w:val="none"/>
        </w:rPr>
        <w:t>以数字化赋能轨道</w:t>
      </w:r>
      <w:r>
        <w:rPr>
          <w:rFonts w:hint="eastAsia" w:ascii="仿宋_GB2312" w:hAnsi="仿宋_GB2312" w:eastAsia="仿宋_GB2312" w:cs="仿宋_GB2312"/>
          <w:b/>
          <w:sz w:val="32"/>
          <w:u w:val="none"/>
          <w:lang w:val="en-US" w:eastAsia="zh-CN"/>
        </w:rPr>
        <w:t>交通</w:t>
      </w:r>
      <w:r>
        <w:rPr>
          <w:rFonts w:hint="eastAsia" w:ascii="仿宋_GB2312" w:hAnsi="仿宋_GB2312" w:eastAsia="仿宋_GB2312" w:cs="仿宋_GB2312"/>
          <w:b/>
          <w:sz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sz w:val="32"/>
          <w:u w:val="none"/>
          <w:lang w:val="en-US" w:eastAsia="zh-CN"/>
        </w:rPr>
        <w:t>航空航天</w:t>
      </w:r>
      <w:r>
        <w:rPr>
          <w:rFonts w:hint="eastAsia" w:ascii="仿宋_GB2312" w:hAnsi="仿宋_GB2312" w:eastAsia="仿宋_GB2312" w:cs="仿宋_GB2312"/>
          <w:b/>
          <w:sz w:val="32"/>
          <w:u w:val="none"/>
        </w:rPr>
        <w:t>产业</w:t>
      </w:r>
      <w:bookmarkEnd w:id="87"/>
      <w:bookmarkEnd w:id="88"/>
      <w:r>
        <w:rPr>
          <w:rFonts w:hint="eastAsia" w:ascii="仿宋_GB2312" w:hAnsi="仿宋_GB2312" w:eastAsia="仿宋_GB2312" w:cs="仿宋_GB2312"/>
          <w:b/>
          <w:sz w:val="32"/>
          <w:u w:val="none"/>
        </w:rPr>
        <w:t>。</w:t>
      </w:r>
      <w:r>
        <w:rPr>
          <w:rFonts w:hint="eastAsia" w:ascii="仿宋_GB2312" w:hAnsi="仿宋_GB2312" w:eastAsia="仿宋_GB2312" w:cs="仿宋_GB2312"/>
          <w:sz w:val="32"/>
          <w:u w:val="none"/>
        </w:rPr>
        <w:t>以国家轨道交通高新技术产业化基地为中心，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鼓励数字化赋能</w:t>
      </w:r>
      <w:r>
        <w:rPr>
          <w:rFonts w:hint="eastAsia" w:ascii="仿宋_GB2312" w:hAnsi="仿宋_GB2312" w:eastAsia="仿宋_GB2312" w:cs="仿宋_GB2312"/>
          <w:sz w:val="32"/>
          <w:u w:val="none"/>
        </w:rPr>
        <w:t>轨道交通产业链，推动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新技术</w:t>
      </w:r>
      <w:r>
        <w:rPr>
          <w:rFonts w:hint="eastAsia" w:ascii="仿宋_GB2312" w:hAnsi="仿宋_GB2312" w:eastAsia="仿宋_GB2312" w:cs="仿宋_GB2312"/>
          <w:sz w:val="32"/>
          <w:u w:val="none"/>
        </w:rPr>
        <w:t>落地验证</w:t>
      </w:r>
      <w:r>
        <w:rPr>
          <w:rFonts w:hint="eastAsia" w:ascii="仿宋_GB2312" w:hAnsi="仿宋_GB2312" w:eastAsia="仿宋_GB2312" w:cs="仿宋_GB2312"/>
          <w:sz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发挥</w:t>
      </w:r>
      <w:r>
        <w:rPr>
          <w:rFonts w:hint="eastAsia" w:ascii="仿宋_GB2312" w:hAnsi="仿宋_GB2312" w:eastAsia="仿宋_GB2312" w:cs="仿宋_GB2312"/>
          <w:sz w:val="32"/>
          <w:u w:val="none"/>
        </w:rPr>
        <w:t>航天科技、航天科工集团等大院大所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驻区优势</w:t>
      </w:r>
      <w:r>
        <w:rPr>
          <w:rFonts w:hint="eastAsia" w:ascii="仿宋_GB2312" w:hAnsi="仿宋_GB2312" w:eastAsia="仿宋_GB2312" w:cs="仿宋_GB2312"/>
          <w:sz w:val="32"/>
          <w:u w:val="none"/>
        </w:rPr>
        <w:t>，强化央地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数据</w:t>
      </w:r>
      <w:r>
        <w:rPr>
          <w:rFonts w:hint="eastAsia" w:ascii="仿宋_GB2312" w:hAnsi="仿宋_GB2312" w:eastAsia="仿宋_GB2312" w:cs="仿宋_GB2312"/>
          <w:sz w:val="32"/>
          <w:u w:val="none"/>
        </w:rPr>
        <w:t>协同，探索构建“龙头企业+配套企业”数字化供应链体系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</w:t>
      </w:r>
    </w:p>
    <w:p w14:paraId="3F3BB9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以数字化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  <w:lang w:val="en-US" w:eastAsia="zh-CN"/>
        </w:rPr>
        <w:t>做强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新兴金融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科技服务产业。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以丽泽金融商务区为主要载体，紧扣数字金融、科技金融、产业金融重点领域，构建全链条数字化金融服务生态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探索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数字化技术重构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科技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服务流程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鼓励知识产权服务机构搭建数字化专利数据库与智能分析平台，拓展专利价值数字化评估等高端服务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</w:p>
    <w:p w14:paraId="0CDD2716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89" w:name="_Toc17861"/>
      <w:bookmarkStart w:id="90" w:name="_Toc231216384"/>
      <w:bookmarkStart w:id="91" w:name="_Toc23809"/>
      <w:bookmarkStart w:id="92" w:name="_Toc6792"/>
      <w:bookmarkStart w:id="93" w:name="_Toc6286"/>
      <w:bookmarkStart w:id="94" w:name="_Toc16511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第十二节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加速成长产业数字化提效</w:t>
      </w:r>
      <w:bookmarkEnd w:id="89"/>
      <w:bookmarkEnd w:id="90"/>
      <w:bookmarkEnd w:id="91"/>
      <w:bookmarkEnd w:id="92"/>
      <w:bookmarkEnd w:id="93"/>
      <w:bookmarkEnd w:id="94"/>
    </w:p>
    <w:p w14:paraId="7769F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培育壮大人工智能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  <w:lang w:val="en-US" w:eastAsia="zh-CN"/>
        </w:rPr>
        <w:t>智能制造</w:t>
      </w: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产业。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深入实施“人工智能+”行动，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工业智能全链条全环节集聚发展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优化智能制造产业空间，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探索建设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河西智能制造标注基地</w:t>
      </w:r>
      <w:r>
        <w:rPr>
          <w:rFonts w:ascii="仿宋_GB2312" w:hAnsi="仿宋_GB2312" w:eastAsia="仿宋_GB2312" w:cs="仿宋_GB2312"/>
          <w:sz w:val="32"/>
          <w:szCs w:val="32"/>
          <w:u w:val="none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智能制造领域厂房、中试基地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</w:p>
    <w:p w14:paraId="41533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加速布局高端商务产业。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推动法律服务、会计、审计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税务服务等重点产业数字化转型，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鼓励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区块链、XR虚拟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广告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拍摄、数字人构建等平台搭建和技术应用。</w:t>
      </w:r>
    </w:p>
    <w:p w14:paraId="57F354DD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95" w:name="_Toc5954"/>
      <w:bookmarkStart w:id="96" w:name="_Toc11494"/>
      <w:bookmarkStart w:id="97" w:name="_Toc4295"/>
      <w:bookmarkStart w:id="98" w:name="_Toc21672"/>
      <w:bookmarkStart w:id="99" w:name="_Toc231216385"/>
      <w:bookmarkStart w:id="100" w:name="_Toc11513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第十三节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加快未来产业数字化突破</w:t>
      </w:r>
      <w:bookmarkEnd w:id="95"/>
      <w:bookmarkEnd w:id="96"/>
      <w:bookmarkEnd w:id="97"/>
      <w:bookmarkEnd w:id="98"/>
      <w:bookmarkEnd w:id="99"/>
      <w:bookmarkEnd w:id="100"/>
    </w:p>
    <w:p w14:paraId="0ABD0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未来健康领域。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依托天坛医院等创新平台，采用“政府引导、央企牵头、市场化运营”模式，建立丰台脑机科学研究中心，破题医疗行业标注产业发展</w:t>
      </w:r>
      <w:r>
        <w:rPr>
          <w:rFonts w:hint="eastAsia" w:ascii="宋体" w:hAnsi="宋体"/>
          <w:sz w:val="24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探索搭建“央地协同”转化平台，推动脑机接口科技创新与产业培育全链条突破。</w:t>
      </w:r>
    </w:p>
    <w:p w14:paraId="2F5A8B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未来消费领域。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推进首都商务新区国际消费体验区建设，以“两园一河”与红色文化资源为枢纽，深化文旅消费数字化转型，推动传统商圈数字化改造与AI沉浸式场景落地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;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区内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平台型企业，推进全域数字化消费平台建设。</w:t>
      </w:r>
    </w:p>
    <w:bookmarkEnd w:id="83"/>
    <w:p w14:paraId="309F140D">
      <w:pPr>
        <w:spacing w:line="240" w:lineRule="auto"/>
        <w:ind w:firstLine="0" w:firstLineChars="0"/>
        <w:rPr>
          <w:rFonts w:hint="eastAsia"/>
          <w:u w:val="none"/>
        </w:rPr>
      </w:pPr>
      <w:bookmarkStart w:id="101" w:name="_Toc10409"/>
      <w:bookmarkStart w:id="102" w:name="_Toc231216386"/>
      <w:bookmarkStart w:id="103" w:name="_Toc9543"/>
      <w:bookmarkStart w:id="104" w:name="_Toc17706"/>
      <w:bookmarkStart w:id="105" w:name="_Toc9039"/>
    </w:p>
    <w:p w14:paraId="7EDFB0AB">
      <w:pPr>
        <w:pStyle w:val="2"/>
        <w:keepNext w:val="0"/>
        <w:keepLines w:val="0"/>
        <w:numPr>
          <w:ilvl w:val="0"/>
          <w:numId w:val="0"/>
        </w:numPr>
        <w:spacing w:before="0" w:after="0" w:line="560" w:lineRule="exact"/>
        <w:ind w:left="-10" w:firstLine="0"/>
        <w:jc w:val="center"/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</w:rPr>
      </w:pPr>
      <w:bookmarkStart w:id="106" w:name="_Toc20115"/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  <w:lang w:val="en-US" w:eastAsia="zh-CN"/>
        </w:rPr>
        <w:t xml:space="preserve">第四章 </w:t>
      </w:r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</w:rPr>
        <w:t>聚焦垂直产业领域，打造“北京链谷”</w:t>
      </w:r>
      <w:bookmarkEnd w:id="101"/>
      <w:bookmarkEnd w:id="102"/>
      <w:bookmarkEnd w:id="103"/>
      <w:bookmarkEnd w:id="104"/>
      <w:bookmarkEnd w:id="105"/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</w:rPr>
        <w:t>特色数据产业集群</w:t>
      </w:r>
      <w:bookmarkEnd w:id="106"/>
    </w:p>
    <w:p w14:paraId="2E2BEBAA">
      <w:pPr>
        <w:spacing w:line="240" w:lineRule="auto"/>
        <w:ind w:firstLine="0" w:firstLineChars="0"/>
        <w:rPr>
          <w:rFonts w:hint="eastAsia"/>
          <w:u w:val="none"/>
        </w:rPr>
      </w:pPr>
      <w:bookmarkStart w:id="107" w:name="_Toc1980"/>
      <w:bookmarkStart w:id="108" w:name="_Toc231216387"/>
      <w:bookmarkStart w:id="109" w:name="_Toc11386"/>
      <w:bookmarkStart w:id="110" w:name="_Toc28098"/>
      <w:bookmarkStart w:id="111" w:name="_Toc21011"/>
    </w:p>
    <w:p w14:paraId="304A0DF7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112" w:name="_Toc8643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第十四节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系统布局“北京链谷”的整体发展体系</w:t>
      </w:r>
      <w:bookmarkEnd w:id="107"/>
      <w:bookmarkEnd w:id="108"/>
      <w:bookmarkEnd w:id="109"/>
      <w:bookmarkEnd w:id="110"/>
      <w:bookmarkEnd w:id="111"/>
      <w:bookmarkEnd w:id="112"/>
    </w:p>
    <w:p w14:paraId="2BB4A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/>
          <w:bCs/>
          <w:sz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构建明确的发展目标。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研究区域</w:t>
      </w:r>
      <w:r>
        <w:rPr>
          <w:rFonts w:hint="eastAsia" w:ascii="仿宋_GB2312" w:hAnsi="仿宋_GB2312" w:eastAsia="仿宋_GB2312" w:cs="仿宋_GB2312"/>
          <w:sz w:val="32"/>
          <w:u w:val="none"/>
        </w:rPr>
        <w:t>“产业数据要素化”实施方案，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推动建设</w:t>
      </w:r>
      <w:r>
        <w:rPr>
          <w:rFonts w:hint="eastAsia" w:ascii="仿宋_GB2312" w:hAnsi="仿宋_GB2312" w:eastAsia="仿宋_GB2312" w:cs="仿宋_GB2312"/>
          <w:sz w:val="32"/>
          <w:u w:val="none"/>
        </w:rPr>
        <w:t>国内领先的“产业互联网平台”“特色数据产业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集聚区</w:t>
      </w:r>
      <w:r>
        <w:rPr>
          <w:rFonts w:hint="eastAsia" w:ascii="仿宋_GB2312" w:hAnsi="仿宋_GB2312" w:eastAsia="仿宋_GB2312" w:cs="仿宋_GB2312"/>
          <w:sz w:val="32"/>
          <w:u w:val="none"/>
        </w:rPr>
        <w:t>”，推动“平台经济”成为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区域</w:t>
      </w:r>
      <w:r>
        <w:rPr>
          <w:rFonts w:hint="eastAsia" w:ascii="仿宋_GB2312" w:hAnsi="仿宋_GB2312" w:eastAsia="仿宋_GB2312" w:cs="仿宋_GB2312"/>
          <w:sz w:val="32"/>
          <w:u w:val="none"/>
        </w:rPr>
        <w:t>新质生产力代表。</w:t>
      </w:r>
    </w:p>
    <w:p w14:paraId="5A9974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推进关键领域的创新突破。</w:t>
      </w:r>
      <w:r>
        <w:rPr>
          <w:rFonts w:hint="eastAsia" w:ascii="仿宋_GB2312" w:hAnsi="仿宋_GB2312" w:eastAsia="仿宋_GB2312" w:cs="仿宋_GB2312"/>
          <w:sz w:val="32"/>
          <w:u w:val="none"/>
        </w:rPr>
        <w:t>以数据产业集聚区为载体，打造“产业互联网平台集聚区”“产业数据要素市场化配置改革创新策源地”，推动产业数据全生命周期市场化配置试验和创新，培育“丰钛链”“丰花链”等数据产业品牌。</w:t>
      </w:r>
    </w:p>
    <w:p w14:paraId="1CE2DDC6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113" w:name="_Toc30974"/>
      <w:bookmarkStart w:id="114" w:name="_Toc20067"/>
      <w:bookmarkStart w:id="115" w:name="_Toc17006"/>
      <w:bookmarkStart w:id="116" w:name="_Toc25171"/>
      <w:bookmarkStart w:id="117" w:name="_Toc10081"/>
      <w:bookmarkStart w:id="118" w:name="_Toc231216388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第十五节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构建“一心多点”的空间布局</w:t>
      </w:r>
      <w:bookmarkEnd w:id="113"/>
      <w:bookmarkEnd w:id="114"/>
      <w:bookmarkEnd w:id="115"/>
      <w:bookmarkEnd w:id="116"/>
      <w:bookmarkEnd w:id="117"/>
      <w:bookmarkEnd w:id="118"/>
    </w:p>
    <w:p w14:paraId="1C988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以中关村丰台园为主要承载区。</w:t>
      </w:r>
      <w:r>
        <w:rPr>
          <w:rFonts w:hint="eastAsia" w:ascii="仿宋_GB2312" w:hAnsi="仿宋_GB2312" w:eastAsia="仿宋_GB2312" w:cs="仿宋_GB2312"/>
          <w:sz w:val="32"/>
          <w:u w:val="none"/>
        </w:rPr>
        <w:t>承担“北京链谷”统筹协调、技术创新、总部集聚等关键职能，依托国联视讯、交控科技、泛华集团等优势企业，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打造</w:t>
      </w:r>
      <w:r>
        <w:rPr>
          <w:rFonts w:hint="eastAsia" w:ascii="仿宋_GB2312" w:hAnsi="仿宋_GB2312" w:eastAsia="仿宋_GB2312" w:cs="仿宋_GB2312"/>
          <w:sz w:val="32"/>
          <w:u w:val="none"/>
        </w:rPr>
        <w:t>先进材料、智能制造、城市建设等特色领域示范性数据应用场景。</w:t>
      </w:r>
    </w:p>
    <w:p w14:paraId="37E4A1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  <w:lang w:val="en-US" w:eastAsia="zh-CN"/>
        </w:rPr>
        <w:t>推动各功能区</w:t>
      </w: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产业链协同。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南中轴地区</w:t>
      </w:r>
      <w:r>
        <w:rPr>
          <w:rFonts w:hint="eastAsia" w:ascii="仿宋_GB2312" w:hAnsi="仿宋_GB2312" w:eastAsia="仿宋_GB2312" w:cs="仿宋_GB2312"/>
          <w:sz w:val="32"/>
          <w:u w:val="none"/>
        </w:rPr>
        <w:t>重点聚焦公共数据价值化探索，培育数据技术、数据资产评估等新业态</w:t>
      </w:r>
      <w:r>
        <w:rPr>
          <w:rFonts w:hint="eastAsia" w:ascii="仿宋_GB2312" w:hAnsi="仿宋_GB2312" w:eastAsia="仿宋_GB2312" w:cs="仿宋_GB2312"/>
          <w:sz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河西地区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/>
          <w:lang w:val="en-US" w:eastAsia="zh-CN"/>
        </w:rPr>
        <w:t>聚焦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/>
        </w:rPr>
        <w:t>智能制造等领域数据产业培育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u w:val="none"/>
        </w:rPr>
        <w:t>强化</w:t>
      </w:r>
      <w:r>
        <w:rPr>
          <w:rFonts w:hint="eastAsia" w:ascii="仿宋_GB2312" w:hAnsi="仿宋_GB2312" w:eastAsia="仿宋_GB2312" w:cs="仿宋_GB2312"/>
          <w:sz w:val="32"/>
          <w:u w:val="none"/>
        </w:rPr>
        <w:t>算力支撑服务</w:t>
      </w:r>
      <w:r>
        <w:rPr>
          <w:rFonts w:hint="eastAsia" w:ascii="仿宋_GB2312" w:hAnsi="仿宋_GB2312" w:eastAsia="仿宋_GB2312" w:cs="仿宋_GB2312"/>
          <w:sz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丽泽金融商务区</w:t>
      </w:r>
      <w:r>
        <w:rPr>
          <w:rFonts w:hint="eastAsia" w:ascii="仿宋_GB2312" w:hAnsi="仿宋_GB2312" w:eastAsia="仿宋_GB2312" w:cs="仿宋_GB2312"/>
          <w:sz w:val="32"/>
          <w:u w:val="none"/>
        </w:rPr>
        <w:t>聚焦金融科技数据产业培育，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探索</w:t>
      </w:r>
      <w:r>
        <w:rPr>
          <w:rFonts w:hint="eastAsia" w:ascii="仿宋_GB2312" w:hAnsi="仿宋_GB2312" w:eastAsia="仿宋_GB2312" w:cs="仿宋_GB2312"/>
          <w:sz w:val="32"/>
          <w:u w:val="none"/>
        </w:rPr>
        <w:t>“数据+产业+金融”融合生态</w:t>
      </w:r>
      <w:r>
        <w:rPr>
          <w:rFonts w:hint="eastAsia" w:ascii="仿宋_GB2312" w:hAnsi="仿宋_GB2312" w:eastAsia="仿宋_GB2312" w:cs="仿宋_GB2312"/>
          <w:sz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五里店地区</w:t>
      </w:r>
      <w:r>
        <w:rPr>
          <w:rFonts w:hint="eastAsia" w:ascii="仿宋_GB2312" w:hAnsi="仿宋_GB2312" w:eastAsia="仿宋_GB2312" w:cs="仿宋_GB2312"/>
          <w:sz w:val="32"/>
          <w:u w:val="none"/>
        </w:rPr>
        <w:t>依托首汇健康科技园等资源优势，重点聚焦医药、康养等领域特色数据产业培育。</w:t>
      </w:r>
    </w:p>
    <w:p w14:paraId="57C745A0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119" w:name="_Toc231216389"/>
      <w:bookmarkStart w:id="120" w:name="_Toc13108"/>
      <w:bookmarkStart w:id="121" w:name="_Toc11603"/>
      <w:bookmarkStart w:id="122" w:name="_Toc3159"/>
      <w:bookmarkStart w:id="123" w:name="_Toc26759"/>
      <w:bookmarkStart w:id="124" w:name="_Toc26407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第十六节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打造“三翼”关键能力</w:t>
      </w:r>
      <w:bookmarkEnd w:id="119"/>
      <w:bookmarkEnd w:id="120"/>
      <w:bookmarkEnd w:id="121"/>
      <w:bookmarkEnd w:id="122"/>
      <w:bookmarkEnd w:id="123"/>
      <w:bookmarkEnd w:id="124"/>
    </w:p>
    <w:p w14:paraId="1F221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优势领域推广“产业互联网平台”发展模式</w:t>
      </w:r>
      <w:r>
        <w:rPr>
          <w:rFonts w:hint="eastAsia" w:ascii="仿宋_GB2312" w:hAnsi="仿宋_GB2312" w:eastAsia="仿宋_GB2312" w:cs="仿宋_GB2312"/>
          <w:sz w:val="32"/>
          <w:u w:val="none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u w:val="none"/>
          <w:lang w:val="en-US" w:eastAsia="zh-CN"/>
        </w:rPr>
        <w:t>发挥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国联视讯产业互联网平台辐射带动效应</w:t>
      </w:r>
      <w:r>
        <w:rPr>
          <w:rFonts w:hint="eastAsia" w:ascii="仿宋_GB2312" w:hAnsi="仿宋_GB2312" w:eastAsia="仿宋_GB2312" w:cs="仿宋_GB2312"/>
          <w:sz w:val="32"/>
          <w:u w:val="none"/>
        </w:rPr>
        <w:t>，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支持</w:t>
      </w:r>
      <w:r>
        <w:rPr>
          <w:rFonts w:hint="eastAsia" w:ascii="仿宋_GB2312" w:hAnsi="仿宋_GB2312" w:eastAsia="仿宋_GB2312" w:cs="仿宋_GB2312"/>
          <w:sz w:val="32"/>
          <w:u w:val="none"/>
        </w:rPr>
        <w:t>建设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多领域</w:t>
      </w:r>
      <w:r>
        <w:rPr>
          <w:rFonts w:hint="eastAsia" w:ascii="仿宋_GB2312" w:hAnsi="仿宋_GB2312" w:eastAsia="仿宋_GB2312" w:cs="仿宋_GB2312"/>
          <w:sz w:val="32"/>
          <w:u w:val="none"/>
        </w:rPr>
        <w:t>产业互联网平台</w:t>
      </w:r>
      <w:r>
        <w:rPr>
          <w:rFonts w:hint="eastAsia" w:ascii="仿宋_GB2312" w:hAnsi="仿宋_GB2312" w:eastAsia="仿宋_GB2312" w:cs="仿宋_GB2312"/>
          <w:sz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u w:val="none"/>
        </w:rPr>
        <w:t>打造“产业平台—数据场景—数据生态”模式，推动“产品+内容+生态”数据应用场景落地。</w:t>
      </w:r>
    </w:p>
    <w:p w14:paraId="18EBC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强化优质数据资源的供给能力建设。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强化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政务服务、医疗健康等领域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公共数据高质量数据集建设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。支持链长企业围绕</w:t>
      </w:r>
      <w:r>
        <w:rPr>
          <w:rFonts w:hint="eastAsia" w:ascii="仿宋_GB2312" w:hAnsi="仿宋_GB2312" w:eastAsia="仿宋_GB2312" w:cs="仿宋_GB2312"/>
          <w:sz w:val="32"/>
          <w:u w:val="none"/>
        </w:rPr>
        <w:t>先进材料、智能制造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等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建设覆盖全链条、多模态的行业高质量数据集。</w:t>
      </w:r>
    </w:p>
    <w:p w14:paraId="02F26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协同推进“数据要素×”应用场景的探索创新。</w:t>
      </w:r>
      <w:r>
        <w:rPr>
          <w:rFonts w:hint="eastAsia" w:ascii="仿宋_GB2312" w:hAnsi="仿宋_GB2312" w:eastAsia="仿宋_GB2312" w:cs="仿宋_GB2312"/>
          <w:sz w:val="32"/>
          <w:u w:val="none"/>
        </w:rPr>
        <w:t>支持企业围绕数据要素×技术创新、数据要素×智能制造等领域打造一批典型场景。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建设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数据衍生应用示范区，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面向医疗健康、城市治理等领域推动衍生数据安全合规落地。</w:t>
      </w:r>
    </w:p>
    <w:p w14:paraId="48A6F668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125" w:name="_Toc9434"/>
      <w:bookmarkStart w:id="126" w:name="_Toc32538"/>
      <w:bookmarkStart w:id="127" w:name="_Toc22099"/>
      <w:bookmarkStart w:id="128" w:name="_Toc231216390"/>
      <w:bookmarkStart w:id="129" w:name="_Toc17520"/>
      <w:bookmarkStart w:id="130" w:name="_Toc17457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第十七节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探索“三基”支撑体系</w:t>
      </w:r>
      <w:bookmarkEnd w:id="125"/>
      <w:bookmarkEnd w:id="126"/>
      <w:bookmarkEnd w:id="127"/>
      <w:bookmarkEnd w:id="128"/>
      <w:bookmarkEnd w:id="129"/>
      <w:bookmarkEnd w:id="130"/>
    </w:p>
    <w:p w14:paraId="73602D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探索系统性的制度规则体系</w:t>
      </w:r>
      <w:r>
        <w:rPr>
          <w:rFonts w:hint="eastAsia" w:ascii="仿宋_GB2312" w:hAnsi="仿宋_GB2312" w:eastAsia="仿宋_GB2312" w:cs="仿宋_GB2312"/>
          <w:sz w:val="32"/>
          <w:u w:val="none"/>
        </w:rPr>
        <w:t>。探索数据资源建设、流通、应用全流程标准和路径</w:t>
      </w:r>
      <w:r>
        <w:rPr>
          <w:rFonts w:hint="eastAsia" w:ascii="仿宋_GB2312" w:hAnsi="仿宋_GB2312" w:eastAsia="仿宋_GB2312" w:cs="仿宋_GB2312"/>
          <w:sz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u w:val="none"/>
        </w:rPr>
        <w:t>推动建设钛、花卉、城市建设等重点领域的“丰台首创型”数据资源标准和规范。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鼓励链长企业牵头成立衍生数据、城建数据创新实验室，开发衍生产品。</w:t>
      </w:r>
    </w:p>
    <w:p w14:paraId="78D69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探索安全合规的技术信任体系</w:t>
      </w:r>
      <w:r>
        <w:rPr>
          <w:rFonts w:hint="eastAsia" w:ascii="仿宋_GB2312" w:hAnsi="仿宋_GB2312" w:eastAsia="仿宋_GB2312" w:cs="仿宋_GB2312"/>
          <w:sz w:val="32"/>
          <w:u w:val="none"/>
        </w:rPr>
        <w:t>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探索建设开放互联、可信流通的区域可信数据空间，整合政务服务、产业发展、民生保障等政企数据，嵌入隐私计算、区块链存证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量子加密等技术，建立安全合规的共享机制。</w:t>
      </w:r>
    </w:p>
    <w:p w14:paraId="4E800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培育专业高效的生态服务体系。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依托</w:t>
      </w:r>
      <w:r>
        <w:rPr>
          <w:rFonts w:hint="eastAsia" w:ascii="仿宋_GB2312" w:hAnsi="仿宋_GB2312" w:eastAsia="仿宋_GB2312" w:cs="仿宋_GB2312"/>
          <w:sz w:val="32"/>
          <w:u w:val="none"/>
        </w:rPr>
        <w:t>“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北京链谷</w:t>
      </w:r>
      <w:r>
        <w:rPr>
          <w:rFonts w:hint="eastAsia" w:ascii="仿宋_GB2312" w:hAnsi="仿宋_GB2312" w:eastAsia="仿宋_GB2312" w:cs="仿宋_GB2312"/>
          <w:sz w:val="32"/>
          <w:u w:val="none"/>
        </w:rPr>
        <w:t>”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大力发展数据采集、存储、传输等业态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培育引进第三方专业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数据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服务机构。依托丰台法务区建设，有序开展数据跨境流动试点。探索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制定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产业数据领域专业服务规范。</w:t>
      </w:r>
    </w:p>
    <w:bookmarkEnd w:id="84"/>
    <w:p w14:paraId="25BEAEBC">
      <w:pPr>
        <w:spacing w:line="240" w:lineRule="auto"/>
        <w:ind w:firstLine="0" w:firstLineChars="0"/>
        <w:rPr>
          <w:rFonts w:hint="eastAsia"/>
          <w:u w:val="none"/>
        </w:rPr>
      </w:pPr>
      <w:bookmarkStart w:id="131" w:name="_Toc10700"/>
      <w:bookmarkStart w:id="132" w:name="_Toc3132"/>
      <w:bookmarkStart w:id="133" w:name="_Toc231216395"/>
      <w:bookmarkStart w:id="134" w:name="_Toc380"/>
      <w:bookmarkStart w:id="135" w:name="_Toc19655"/>
      <w:bookmarkStart w:id="136" w:name="_Toc212064016"/>
    </w:p>
    <w:p w14:paraId="481A8930">
      <w:pPr>
        <w:pStyle w:val="2"/>
        <w:keepNext w:val="0"/>
        <w:keepLines w:val="0"/>
        <w:numPr>
          <w:ilvl w:val="0"/>
          <w:numId w:val="0"/>
        </w:numPr>
        <w:spacing w:before="0" w:after="0" w:line="560" w:lineRule="exact"/>
        <w:ind w:left="-10" w:firstLine="0"/>
        <w:jc w:val="center"/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  <w:lang w:eastAsia="zh-CN"/>
        </w:rPr>
      </w:pPr>
      <w:bookmarkStart w:id="137" w:name="_Toc19100"/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  <w:lang w:val="en-US" w:eastAsia="zh-CN"/>
        </w:rPr>
        <w:t xml:space="preserve">第五章 </w:t>
      </w:r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</w:rPr>
        <w:t>筑牢集约化智能数字底座，打造</w:t>
      </w:r>
      <w:bookmarkEnd w:id="131"/>
      <w:bookmarkEnd w:id="132"/>
      <w:bookmarkEnd w:id="133"/>
      <w:bookmarkEnd w:id="134"/>
      <w:bookmarkEnd w:id="135"/>
      <w:r>
        <w:rPr>
          <w:rFonts w:hint="eastAsia" w:ascii="Times New Roman" w:hAnsi="Times New Roman" w:eastAsia="黑体" w:cs="Times New Roman"/>
          <w:b w:val="0"/>
          <w:w w:val="95"/>
          <w:sz w:val="32"/>
          <w:szCs w:val="32"/>
          <w:u w:val="none"/>
          <w:lang w:eastAsia="zh-CN"/>
        </w:rPr>
        <w:t>“丰智汇”数智城市中枢</w:t>
      </w:r>
      <w:bookmarkEnd w:id="137"/>
    </w:p>
    <w:p w14:paraId="65A9B540">
      <w:pPr>
        <w:spacing w:line="240" w:lineRule="auto"/>
        <w:ind w:firstLine="0" w:firstLineChars="0"/>
        <w:rPr>
          <w:rFonts w:hint="eastAsia"/>
          <w:u w:val="none"/>
        </w:rPr>
      </w:pPr>
    </w:p>
    <w:p w14:paraId="40976C7A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</w:pPr>
      <w:bookmarkStart w:id="138" w:name="_Toc31126"/>
      <w:bookmarkStart w:id="139" w:name="_Toc231216396"/>
      <w:bookmarkStart w:id="140" w:name="_Toc5802"/>
      <w:bookmarkStart w:id="141" w:name="_Toc9531"/>
      <w:bookmarkStart w:id="142" w:name="_Toc15660"/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>第</w:t>
      </w:r>
      <w:r>
        <w:rPr>
          <w:rFonts w:hint="eastAsia" w:cs="Times New Roman"/>
          <w:b w:val="0"/>
          <w:bCs w:val="0"/>
          <w:szCs w:val="24"/>
          <w:u w:val="none"/>
          <w:lang w:val="en-US" w:eastAsia="zh-CN"/>
        </w:rPr>
        <w:t>十八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 xml:space="preserve">节 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  <w:t>推动数字底座向数智城市中枢转型</w:t>
      </w:r>
      <w:bookmarkEnd w:id="138"/>
      <w:bookmarkEnd w:id="139"/>
      <w:bookmarkEnd w:id="140"/>
      <w:bookmarkEnd w:id="141"/>
      <w:bookmarkEnd w:id="142"/>
    </w:p>
    <w:p w14:paraId="54A13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bidi="ar"/>
        </w:rPr>
        <w:t>构筑数字资源一体化建设和管理体系。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加快布局数字资源一体化安全可信管理，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探索构建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bidi="ar"/>
        </w:rPr>
        <w:t>“云网数算量”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集约建设管理模式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提升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全链条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数字资源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内生安全。</w:t>
      </w:r>
    </w:p>
    <w:p w14:paraId="351B4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bidi="ar"/>
        </w:rPr>
        <w:t>建设全要素全领域的平台化服务能力。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向政府部门、企事业单位、社会公众提供高质量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数据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资源服务，为各领域场景应用提供标准化调用接口，实现运营有主体、服务有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渠道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保障。</w:t>
      </w:r>
    </w:p>
    <w:p w14:paraId="42072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</w:rPr>
        <w:t>全面实现数字资源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bidi="ar"/>
        </w:rPr>
        <w:t>多元化供给。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提升算力+云服务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、大模型、高质量数据集等各类新型数字资源供给水平，落实全域场景化要求，构建集约、完备、高性价比的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</w:rPr>
        <w:t>新型数字资源供给体系。</w:t>
      </w:r>
    </w:p>
    <w:p w14:paraId="7D401FAE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</w:pPr>
      <w:bookmarkStart w:id="143" w:name="_Toc6385"/>
      <w:bookmarkStart w:id="144" w:name="_Toc171"/>
      <w:bookmarkStart w:id="145" w:name="_Toc231216397"/>
      <w:bookmarkStart w:id="146" w:name="_Toc1492"/>
      <w:bookmarkStart w:id="147" w:name="_Toc12496"/>
      <w:bookmarkStart w:id="148" w:name="_Toc10128"/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>第</w:t>
      </w:r>
      <w:r>
        <w:rPr>
          <w:rFonts w:hint="eastAsia" w:cs="Times New Roman"/>
          <w:b w:val="0"/>
          <w:bCs w:val="0"/>
          <w:szCs w:val="24"/>
          <w:u w:val="none"/>
          <w:lang w:val="en-US" w:eastAsia="zh-CN"/>
        </w:rPr>
        <w:t>十九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 xml:space="preserve">节 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  <w:t>构建优质规范的数据资源管理体系</w:t>
      </w:r>
      <w:bookmarkEnd w:id="143"/>
      <w:bookmarkEnd w:id="144"/>
      <w:bookmarkEnd w:id="145"/>
      <w:bookmarkEnd w:id="146"/>
      <w:bookmarkEnd w:id="147"/>
      <w:bookmarkEnd w:id="148"/>
    </w:p>
    <w:p w14:paraId="41B22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bidi="ar"/>
        </w:rPr>
        <w:t>完善数据分类分级管理和归集治理机制。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有序推进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区级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公共数据分类分级，提升数据完整性与时效性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开展“一数一源一标准”治理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统筹协调数据共享，深化数据“汇、治、用”全流程管理。</w:t>
      </w:r>
    </w:p>
    <w:p w14:paraId="42A80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bidi="ar"/>
        </w:rPr>
        <w:t>有序推进公共数据开放管理。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建立健全公共数据开放管理体系，明确数据开放主体责任与管理流程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规范公共数据开放目录编制与动态维护，推动数据供需精准匹配，推动公共数据与社会数据资源有序融合与创新应用。</w:t>
      </w:r>
    </w:p>
    <w:p w14:paraId="74A6B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 w:bidi="ar"/>
        </w:rPr>
        <w:t>实现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bidi="ar"/>
        </w:rPr>
        <w:t>数据赋能基层治理。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推进数据赋能基层减负，加强公共数据安全高效共享，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基层报表数量多、采集重复等问题。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探索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“一表通”与数据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平台互联互通，实现“一方采集、多方共用”。</w:t>
      </w:r>
    </w:p>
    <w:p w14:paraId="7EA0FD4C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</w:pPr>
      <w:bookmarkStart w:id="149" w:name="_Toc26470"/>
      <w:bookmarkStart w:id="150" w:name="_Toc29794"/>
      <w:bookmarkStart w:id="151" w:name="_Toc4896"/>
      <w:bookmarkStart w:id="152" w:name="_Toc27682"/>
      <w:bookmarkStart w:id="153" w:name="_Toc17272"/>
      <w:bookmarkStart w:id="154" w:name="_Toc231216398"/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 xml:space="preserve">第二十节 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  <w:t>建设协同的数字基础设施</w:t>
      </w:r>
      <w:bookmarkEnd w:id="149"/>
      <w:bookmarkEnd w:id="150"/>
      <w:bookmarkEnd w:id="151"/>
      <w:bookmarkEnd w:id="152"/>
      <w:bookmarkEnd w:id="153"/>
      <w:bookmarkEnd w:id="154"/>
    </w:p>
    <w:p w14:paraId="3E17EB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 w:bidi="ar"/>
        </w:rPr>
        <w:t>强化市区共性组件建设。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 w:bidi="ar"/>
        </w:rPr>
        <w:t>依托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市级统一支撑资源，提升时空地理信息、城市码等关键组件能力，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bidi="ar"/>
        </w:rPr>
        <w:t>完善时空地理信息“一张图”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bidi="ar"/>
        </w:rPr>
        <w:t>强化城市码应用能力，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bidi="ar"/>
        </w:rPr>
        <w:t>实现“一码通办、一码通享”。</w:t>
      </w:r>
    </w:p>
    <w:p w14:paraId="2913D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  <w:lang w:bidi="ar"/>
        </w:rPr>
        <w:t>提升多云纳管能力。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加强政务云精细化管理，推进信创云建设扩容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bidi="ar"/>
        </w:rPr>
        <w:t>优化运维管理、安全管理、灾备管理等能力。完成政务系统信息化能力提升与终端设备替换，促进跨部门数据共享与业务协同。</w:t>
      </w:r>
    </w:p>
    <w:p w14:paraId="5A7BD0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Cs/>
          <w:sz w:val="32"/>
          <w:szCs w:val="32"/>
          <w:u w:val="none"/>
          <w:lang w:bidi="ar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u w:val="none"/>
          <w:lang w:bidi="ar"/>
        </w:rPr>
        <w:t>建设推动感知资源多元整合汇聚。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bidi="ar"/>
        </w:rPr>
        <w:t>依托“双智城市”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 w:bidi="ar"/>
        </w:rPr>
        <w:t>推动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传统基础设施数智化改造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bidi="ar"/>
        </w:rPr>
        <w:t>深化“雪亮工程”建设，推广视频安防体系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 w:bidi="ar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bidi="ar"/>
        </w:rPr>
        <w:t>落实花园城市特色区建设要求，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 w:bidi="ar"/>
        </w:rPr>
        <w:t>探索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bidi="ar"/>
        </w:rPr>
        <w:t>树木数字身份证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bidi="ar"/>
        </w:rPr>
        <w:t>为数字化园林管理提供支撑。</w:t>
      </w:r>
    </w:p>
    <w:p w14:paraId="7FDCDFE7">
      <w:pPr>
        <w:spacing w:line="240" w:lineRule="auto"/>
        <w:ind w:firstLine="0" w:firstLineChars="0"/>
        <w:rPr>
          <w:rFonts w:hint="eastAsia"/>
          <w:u w:val="none"/>
        </w:rPr>
      </w:pPr>
      <w:bookmarkStart w:id="155" w:name="_Toc16303"/>
      <w:bookmarkStart w:id="156" w:name="_Toc31867"/>
      <w:bookmarkStart w:id="157" w:name="_Toc2525"/>
      <w:bookmarkStart w:id="158" w:name="_Toc8363"/>
      <w:bookmarkStart w:id="159" w:name="_Toc231216391"/>
      <w:bookmarkStart w:id="160" w:name="_Toc231216399"/>
      <w:bookmarkStart w:id="161" w:name="_Toc21890"/>
      <w:bookmarkStart w:id="162" w:name="_Toc7649"/>
      <w:bookmarkStart w:id="163" w:name="_Toc32110"/>
      <w:bookmarkStart w:id="164" w:name="_Toc734"/>
    </w:p>
    <w:p w14:paraId="1C4A8CFC">
      <w:pPr>
        <w:pStyle w:val="2"/>
        <w:keepNext w:val="0"/>
        <w:keepLines w:val="0"/>
        <w:numPr>
          <w:ilvl w:val="0"/>
          <w:numId w:val="0"/>
        </w:numPr>
        <w:spacing w:before="0" w:after="0" w:line="560" w:lineRule="exact"/>
        <w:ind w:left="630" w:leftChars="0"/>
        <w:jc w:val="center"/>
        <w:rPr>
          <w:rFonts w:hint="eastAsia" w:ascii="Times New Roman" w:hAnsi="Times New Roman" w:eastAsia="黑体" w:cs="Times New Roman"/>
          <w:b w:val="0"/>
          <w:w w:val="100"/>
          <w:sz w:val="32"/>
          <w:szCs w:val="32"/>
          <w:u w:val="none"/>
        </w:rPr>
      </w:pPr>
      <w:bookmarkStart w:id="165" w:name="_Toc16831"/>
      <w:r>
        <w:rPr>
          <w:rFonts w:hint="eastAsia" w:ascii="Times New Roman" w:hAnsi="Times New Roman" w:eastAsia="黑体" w:cs="Times New Roman"/>
          <w:b w:val="0"/>
          <w:w w:val="100"/>
          <w:sz w:val="32"/>
          <w:szCs w:val="32"/>
          <w:u w:val="none"/>
          <w:lang w:val="en-US" w:eastAsia="zh-CN"/>
        </w:rPr>
        <w:t xml:space="preserve">第六章 </w:t>
      </w:r>
      <w:r>
        <w:rPr>
          <w:rFonts w:hint="eastAsia" w:ascii="Times New Roman" w:hAnsi="Times New Roman" w:eastAsia="黑体" w:cs="Times New Roman"/>
          <w:b w:val="0"/>
          <w:w w:val="100"/>
          <w:sz w:val="32"/>
          <w:szCs w:val="32"/>
          <w:u w:val="none"/>
        </w:rPr>
        <w:t>探索量子技术应用场景，打造国内先行全域量子城</w:t>
      </w:r>
      <w:bookmarkEnd w:id="155"/>
      <w:bookmarkEnd w:id="156"/>
      <w:bookmarkEnd w:id="157"/>
      <w:bookmarkEnd w:id="158"/>
      <w:bookmarkEnd w:id="159"/>
      <w:bookmarkEnd w:id="165"/>
    </w:p>
    <w:p w14:paraId="46EF70CD">
      <w:pPr>
        <w:spacing w:line="240" w:lineRule="auto"/>
        <w:ind w:firstLine="0" w:firstLineChars="0"/>
        <w:rPr>
          <w:rFonts w:hint="eastAsia"/>
          <w:u w:val="none"/>
        </w:rPr>
      </w:pPr>
      <w:bookmarkStart w:id="166" w:name="_Toc2087"/>
      <w:bookmarkStart w:id="167" w:name="_Toc6260"/>
      <w:bookmarkStart w:id="168" w:name="_Toc11563"/>
      <w:bookmarkStart w:id="169" w:name="_Toc231216392"/>
      <w:bookmarkStart w:id="170" w:name="_Toc12122"/>
    </w:p>
    <w:p w14:paraId="5D49A059">
      <w:pPr>
        <w:pStyle w:val="3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</w:pPr>
      <w:bookmarkStart w:id="171" w:name="_Toc22404"/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>第</w:t>
      </w:r>
      <w:r>
        <w:rPr>
          <w:rFonts w:hint="eastAsia" w:cs="Times New Roman"/>
          <w:b w:val="0"/>
          <w:bCs w:val="0"/>
          <w:szCs w:val="24"/>
          <w:u w:val="none"/>
          <w:lang w:val="en-US" w:eastAsia="zh-CN"/>
        </w:rPr>
        <w:t>二十一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 xml:space="preserve">节 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  <w:t>构建精准施策的</w:t>
      </w:r>
      <w:bookmarkEnd w:id="166"/>
      <w:bookmarkEnd w:id="167"/>
      <w:bookmarkEnd w:id="168"/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  <w:t>量子应用场景培育体系</w:t>
      </w:r>
      <w:bookmarkEnd w:id="169"/>
      <w:bookmarkEnd w:id="170"/>
      <w:bookmarkEnd w:id="171"/>
    </w:p>
    <w:p w14:paraId="30798F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前瞻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布局政务服务、城市治理等领域量子应用场景，</w:t>
      </w:r>
      <w:r>
        <w:rPr>
          <w:rFonts w:hint="eastAsia" w:ascii="仿宋_GB2312" w:hAnsi="仿宋_GB2312" w:eastAsia="仿宋_GB2312" w:cs="仿宋_GB2312"/>
          <w:sz w:val="32"/>
          <w:u w:val="none"/>
        </w:rPr>
        <w:t>构建“政产研用”多元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协同</w:t>
      </w:r>
      <w:r>
        <w:rPr>
          <w:rFonts w:hint="eastAsia" w:ascii="仿宋_GB2312" w:hAnsi="仿宋_GB2312" w:eastAsia="仿宋_GB2312" w:cs="仿宋_GB2312"/>
          <w:sz w:val="32"/>
          <w:u w:val="none"/>
        </w:rPr>
        <w:t>体系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。探索“量子应用场景揭榜挂帅”机制，定期发布量子技术应用需求榜单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立足数智丰台建设发展定位，探索量子技术与城市数字化、智能化建设深度融合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。</w:t>
      </w:r>
    </w:p>
    <w:p w14:paraId="48A0B99B">
      <w:pPr>
        <w:pStyle w:val="3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</w:pPr>
      <w:bookmarkStart w:id="172" w:name="_Toc15333"/>
      <w:bookmarkStart w:id="173" w:name="_Toc18725"/>
      <w:bookmarkStart w:id="174" w:name="_Toc1495"/>
      <w:bookmarkStart w:id="175" w:name="_Toc231216393"/>
      <w:bookmarkStart w:id="176" w:name="_Toc22987"/>
      <w:bookmarkStart w:id="177" w:name="_Toc27721"/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>第</w:t>
      </w:r>
      <w:r>
        <w:rPr>
          <w:rFonts w:hint="eastAsia" w:cs="Times New Roman"/>
          <w:b w:val="0"/>
          <w:bCs w:val="0"/>
          <w:szCs w:val="24"/>
          <w:u w:val="none"/>
          <w:lang w:val="en-US" w:eastAsia="zh-CN"/>
        </w:rPr>
        <w:t>二十二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 xml:space="preserve">节 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  <w:t>建设安全可控的新型量子算网设施</w:t>
      </w:r>
      <w:bookmarkEnd w:id="172"/>
      <w:bookmarkEnd w:id="173"/>
      <w:bookmarkEnd w:id="174"/>
      <w:bookmarkEnd w:id="175"/>
      <w:bookmarkEnd w:id="176"/>
      <w:bookmarkEnd w:id="177"/>
    </w:p>
    <w:p w14:paraId="526889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统筹建设量子网络。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率先在政务网络等关键领域部署量子保密通信网，推进区内电子政务外网节点抗量子传输安全升级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分步推动全区党政机关单位、国资企业等关键基础设施和重要信息系统量子密码改造。</w:t>
      </w:r>
    </w:p>
    <w:p w14:paraId="1A5176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</w:rPr>
        <w:t>统筹谋划量子计算。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依托中关村丰台园西区等重要载体，探索高标准集超导、光量子等多种技术路径于一体的量子计算中心，提供开放共享的办公场地，吸引高校、科研院所、创新企业进行技术验证和应用探索。</w:t>
      </w:r>
    </w:p>
    <w:p w14:paraId="66B157E2">
      <w:pPr>
        <w:pStyle w:val="3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</w:pPr>
      <w:bookmarkStart w:id="178" w:name="_Toc19840"/>
      <w:bookmarkStart w:id="179" w:name="_Toc1956"/>
      <w:bookmarkStart w:id="180" w:name="_Toc14413"/>
      <w:bookmarkStart w:id="181" w:name="_Toc22100"/>
      <w:bookmarkStart w:id="182" w:name="_Toc231216394"/>
      <w:bookmarkStart w:id="183" w:name="_Toc14826"/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>第二十</w:t>
      </w:r>
      <w:r>
        <w:rPr>
          <w:rFonts w:hint="eastAsia" w:cs="Times New Roman"/>
          <w:b w:val="0"/>
          <w:bCs w:val="0"/>
          <w:szCs w:val="24"/>
          <w:u w:val="none"/>
          <w:lang w:val="en-US" w:eastAsia="zh-CN"/>
        </w:rPr>
        <w:t>三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  <w:lang w:val="en-US" w:eastAsia="zh-CN"/>
        </w:rPr>
        <w:t xml:space="preserve">节 </w:t>
      </w:r>
      <w:r>
        <w:rPr>
          <w:rFonts w:hint="eastAsia" w:ascii="Times New Roman" w:hAnsi="Times New Roman" w:eastAsia="楷体_GB2312" w:cs="Times New Roman"/>
          <w:b w:val="0"/>
          <w:bCs w:val="0"/>
          <w:szCs w:val="24"/>
          <w:u w:val="none"/>
        </w:rPr>
        <w:t>构建可持续发展的量子应用场景</w:t>
      </w:r>
      <w:bookmarkEnd w:id="178"/>
      <w:bookmarkEnd w:id="179"/>
      <w:bookmarkEnd w:id="180"/>
      <w:bookmarkEnd w:id="181"/>
      <w:bookmarkEnd w:id="182"/>
      <w:bookmarkEnd w:id="183"/>
    </w:p>
    <w:p w14:paraId="24B362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jc w:val="left"/>
        <w:textAlignment w:val="auto"/>
        <w:rPr>
          <w:rFonts w:ascii="仿宋_GB2312" w:hAnsi="仿宋_GB2312" w:eastAsia="仿宋_GB2312" w:cs="仿宋_GB2312"/>
          <w:bCs/>
          <w:sz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“量子+安全”。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在政务安全、城市安全、金融安全等领域，基于量子加密、量子传感、量子监测等技术，全面夯实各类数据、核心业务运行安全底座，有效保障数据共享与业务协同安全。</w:t>
      </w:r>
    </w:p>
    <w:p w14:paraId="74E5D8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Cs/>
          <w:sz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“量子+数字化管理”。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依托量子保密通信、量子加密认证等核心技术，为数字化办公、云印章等搭建安全加密屏障，实现办公数据传输、存储</w:t>
      </w:r>
      <w:r>
        <w:rPr>
          <w:rFonts w:hint="eastAsia" w:ascii="仿宋_GB2312" w:hAnsi="仿宋_GB2312" w:eastAsia="仿宋_GB2312" w:cs="仿宋_GB2312"/>
          <w:bCs/>
          <w:sz w:val="32"/>
          <w:u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环节加密防护，全面提升数字化办公效率与安全水平。</w:t>
      </w:r>
    </w:p>
    <w:p w14:paraId="49D82C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ascii="仿宋_GB2312" w:hAnsi="仿宋_GB2312" w:eastAsia="仿宋_GB2312" w:cs="仿宋_GB2312"/>
          <w:bCs/>
          <w:sz w:val="32"/>
          <w:u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u w:val="none"/>
        </w:rPr>
        <w:t>“量子+民生”。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在教育领域，以量子技术赋能</w:t>
      </w:r>
      <w:r>
        <w:rPr>
          <w:rFonts w:hint="eastAsia" w:ascii="仿宋_GB2312" w:hAnsi="仿宋_GB2312" w:eastAsia="仿宋_GB2312" w:cs="仿宋_GB2312"/>
          <w:bCs/>
          <w:sz w:val="32"/>
          <w:u w:val="none"/>
          <w:lang w:val="en-US" w:eastAsia="zh-CN"/>
        </w:rPr>
        <w:t>智慧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教育，实现对教务数据端到端量子加密保护</w:t>
      </w:r>
      <w:r>
        <w:rPr>
          <w:rFonts w:hint="eastAsia" w:ascii="仿宋_GB2312" w:hAnsi="仿宋_GB2312" w:eastAsia="仿宋_GB2312" w:cs="仿宋_GB2312"/>
          <w:bCs/>
          <w:sz w:val="32"/>
          <w:u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在医疗领域，</w:t>
      </w:r>
      <w:r>
        <w:rPr>
          <w:rFonts w:hint="eastAsia" w:ascii="仿宋_GB2312" w:hAnsi="仿宋_GB2312" w:eastAsia="仿宋_GB2312" w:cs="仿宋_GB2312"/>
          <w:bCs/>
          <w:sz w:val="32"/>
          <w:u w:val="none"/>
          <w:lang w:val="en-US" w:eastAsia="zh-CN"/>
        </w:rPr>
        <w:t>鼓励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重点医疗机构</w:t>
      </w:r>
      <w:r>
        <w:rPr>
          <w:rFonts w:hint="eastAsia" w:ascii="仿宋_GB2312" w:hAnsi="仿宋_GB2312" w:eastAsia="仿宋_GB2312" w:cs="仿宋_GB2312"/>
          <w:bCs/>
          <w:sz w:val="32"/>
          <w:u w:val="none"/>
          <w:lang w:val="en-US" w:eastAsia="zh-CN"/>
        </w:rPr>
        <w:t>开展</w:t>
      </w:r>
      <w:r>
        <w:rPr>
          <w:rFonts w:hint="eastAsia" w:ascii="仿宋_GB2312" w:hAnsi="仿宋_GB2312" w:eastAsia="仿宋_GB2312" w:cs="仿宋_GB2312"/>
          <w:bCs/>
          <w:sz w:val="32"/>
          <w:u w:val="none"/>
        </w:rPr>
        <w:t>IT系统抗量子计算安全升级应用，推动卫健云密码升级改造，打造具备抗量子攻击能力的医疗数据安全防护体系。</w:t>
      </w:r>
    </w:p>
    <w:p w14:paraId="24DF684C">
      <w:pPr>
        <w:spacing w:line="240" w:lineRule="auto"/>
        <w:ind w:firstLine="0" w:firstLineChars="0"/>
        <w:rPr>
          <w:rFonts w:hint="eastAsia"/>
          <w:u w:val="none"/>
        </w:rPr>
      </w:pPr>
    </w:p>
    <w:p w14:paraId="0BC91865">
      <w:pPr>
        <w:pStyle w:val="2"/>
        <w:numPr>
          <w:ilvl w:val="0"/>
          <w:numId w:val="0"/>
        </w:numPr>
        <w:spacing w:before="0" w:after="0" w:line="560" w:lineRule="exact"/>
        <w:ind w:firstLineChars="0"/>
        <w:jc w:val="center"/>
        <w:rPr>
          <w:rFonts w:hint="eastAsia" w:ascii="Times New Roman" w:hAnsi="Times New Roman" w:eastAsia="黑体" w:cs="Times New Roman"/>
          <w:b w:val="0"/>
          <w:sz w:val="32"/>
          <w:szCs w:val="32"/>
          <w:u w:val="none"/>
        </w:rPr>
      </w:pPr>
      <w:bookmarkStart w:id="184" w:name="_Toc2266"/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  <w:lang w:val="en-US" w:eastAsia="zh-CN"/>
        </w:rPr>
        <w:t xml:space="preserve">第七章 </w:t>
      </w:r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</w:rPr>
        <w:t>完善一体化的安全保障体系，提升精准化保障能力</w:t>
      </w:r>
      <w:bookmarkEnd w:id="160"/>
      <w:bookmarkEnd w:id="161"/>
      <w:bookmarkEnd w:id="162"/>
      <w:bookmarkEnd w:id="163"/>
      <w:bookmarkEnd w:id="164"/>
      <w:bookmarkEnd w:id="184"/>
    </w:p>
    <w:p w14:paraId="4BD31AD0">
      <w:pPr>
        <w:keepNext w:val="0"/>
        <w:keepLines w:val="0"/>
        <w:ind w:left="630" w:leftChars="0"/>
        <w:jc w:val="both"/>
        <w:rPr>
          <w:rFonts w:hint="eastAsia"/>
          <w:b/>
          <w:u w:val="none"/>
        </w:rPr>
      </w:pPr>
    </w:p>
    <w:p w14:paraId="1EB9EF45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185" w:name="_Toc13659"/>
      <w:bookmarkStart w:id="186" w:name="_Toc231216400"/>
      <w:bookmarkStart w:id="187" w:name="_Toc10900"/>
      <w:bookmarkStart w:id="188" w:name="_Toc25276"/>
      <w:bookmarkStart w:id="189" w:name="_Toc30491"/>
      <w:bookmarkStart w:id="190" w:name="_Toc28198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>第二十</w:t>
      </w:r>
      <w:r>
        <w:rPr>
          <w:rFonts w:hint="eastAsia" w:cs="Times New Roman"/>
          <w:b w:val="0"/>
          <w:bCs w:val="0"/>
          <w:u w:val="none"/>
          <w:lang w:val="en-US" w:eastAsia="zh-CN"/>
        </w:rPr>
        <w:t>四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完善安全管理体系</w:t>
      </w:r>
      <w:bookmarkEnd w:id="185"/>
      <w:bookmarkEnd w:id="186"/>
      <w:bookmarkEnd w:id="187"/>
      <w:bookmarkEnd w:id="188"/>
      <w:bookmarkEnd w:id="189"/>
      <w:bookmarkEnd w:id="190"/>
    </w:p>
    <w:p w14:paraId="627E1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u w:val="none"/>
        </w:rPr>
        <w:t>构建网信、宣传、数据管理等部门共同参与的安全管理运行机制，制定全流程政务数据安全管理制度，明确部门责任，加强工作协调。落实网络安全工作责任制，完善安全管理标准与考核机制，定期开展网络安全攻防演练，提升实战化防护能力。</w:t>
      </w:r>
    </w:p>
    <w:p w14:paraId="7953BB0A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191" w:name="_Toc231216401"/>
      <w:bookmarkStart w:id="192" w:name="_Toc25528"/>
      <w:bookmarkStart w:id="193" w:name="_Toc8021"/>
      <w:bookmarkStart w:id="194" w:name="_Toc11092"/>
      <w:bookmarkStart w:id="195" w:name="_Toc30006"/>
      <w:bookmarkStart w:id="196" w:name="_Toc27079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>第二十</w:t>
      </w:r>
      <w:r>
        <w:rPr>
          <w:rFonts w:hint="eastAsia" w:cs="Times New Roman"/>
          <w:b w:val="0"/>
          <w:bCs w:val="0"/>
          <w:u w:val="none"/>
          <w:lang w:val="en-US" w:eastAsia="zh-CN"/>
        </w:rPr>
        <w:t>五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强化数据安全管理</w:t>
      </w:r>
      <w:bookmarkEnd w:id="191"/>
      <w:bookmarkEnd w:id="192"/>
      <w:bookmarkEnd w:id="193"/>
      <w:bookmarkEnd w:id="194"/>
      <w:bookmarkEnd w:id="195"/>
      <w:bookmarkEnd w:id="196"/>
    </w:p>
    <w:p w14:paraId="124D3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优化</w:t>
      </w:r>
      <w:r>
        <w:rPr>
          <w:rFonts w:hint="eastAsia" w:ascii="仿宋_GB2312" w:hAnsi="仿宋_GB2312" w:eastAsia="仿宋_GB2312" w:cs="仿宋_GB2312"/>
          <w:sz w:val="32"/>
          <w:u w:val="none"/>
        </w:rPr>
        <w:t>数据加密、访问控制和隐私保护措施。推进数据管理规范化，加强数据采集、储备、流通、使用全过程安全管理。科学选址布局异地灾备节点，实现核心政务数据、公共服务数据实时同步备份，关键业务系统热备部署。</w:t>
      </w:r>
    </w:p>
    <w:p w14:paraId="23FC750B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1"/>
        <w:rPr>
          <w:rFonts w:hint="eastAsia" w:ascii="Times New Roman" w:hAnsi="Times New Roman" w:eastAsia="楷体_GB2312" w:cs="Times New Roman"/>
          <w:b w:val="0"/>
          <w:bCs w:val="0"/>
          <w:u w:val="none"/>
        </w:rPr>
      </w:pPr>
      <w:bookmarkStart w:id="197" w:name="_Toc18847"/>
      <w:bookmarkStart w:id="198" w:name="_Toc231216402"/>
      <w:bookmarkStart w:id="199" w:name="_Toc23556"/>
      <w:bookmarkStart w:id="200" w:name="_Toc15293"/>
      <w:bookmarkStart w:id="201" w:name="_Toc19403"/>
      <w:bookmarkStart w:id="202" w:name="_Toc16827"/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>第二十</w:t>
      </w:r>
      <w:r>
        <w:rPr>
          <w:rFonts w:hint="eastAsia" w:cs="Times New Roman"/>
          <w:b w:val="0"/>
          <w:bCs w:val="0"/>
          <w:u w:val="none"/>
          <w:lang w:val="en-US" w:eastAsia="zh-CN"/>
        </w:rPr>
        <w:t>六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  <w:lang w:val="en-US" w:eastAsia="zh-CN"/>
        </w:rPr>
        <w:t xml:space="preserve">节 </w:t>
      </w:r>
      <w:r>
        <w:rPr>
          <w:rFonts w:hint="eastAsia" w:ascii="Times New Roman" w:hAnsi="Times New Roman" w:eastAsia="楷体_GB2312" w:cs="Times New Roman"/>
          <w:b w:val="0"/>
          <w:bCs w:val="0"/>
          <w:u w:val="none"/>
        </w:rPr>
        <w:t>强化网络安全管理</w:t>
      </w:r>
      <w:bookmarkEnd w:id="197"/>
      <w:bookmarkEnd w:id="198"/>
      <w:bookmarkEnd w:id="199"/>
      <w:bookmarkEnd w:id="200"/>
      <w:bookmarkEnd w:id="201"/>
      <w:bookmarkEnd w:id="202"/>
    </w:p>
    <w:p w14:paraId="3E8CF6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u w:val="none"/>
        </w:rPr>
        <w:t>加强电子政务网络安全综合保障，构建数字网络安全综合保障体系。</w:t>
      </w:r>
      <w:r>
        <w:rPr>
          <w:rFonts w:hint="eastAsia" w:ascii="仿宋_GB2312" w:hAnsi="仿宋_GB2312" w:eastAsia="仿宋_GB2312" w:cs="仿宋_GB2312"/>
          <w:sz w:val="32"/>
          <w:u w:val="none"/>
          <w:lang w:val="en-US" w:eastAsia="zh-CN"/>
        </w:rPr>
        <w:t>探索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建设国家顶级域名同城备份数据中心，构建IP地址全链条管理体系，筑牢网络基础资源安全防线</w:t>
      </w:r>
      <w:r>
        <w:rPr>
          <w:rFonts w:hint="eastAsia" w:ascii="仿宋_GB2312" w:hAnsi="仿宋_GB2312" w:eastAsia="仿宋_GB2312" w:cs="仿宋_GB2312"/>
          <w:sz w:val="32"/>
          <w:u w:val="none"/>
        </w:rPr>
        <w:t>。</w:t>
      </w:r>
    </w:p>
    <w:p w14:paraId="10A99C62">
      <w:pPr>
        <w:spacing w:line="560" w:lineRule="exact"/>
        <w:ind w:firstLine="420" w:firstLineChars="200"/>
        <w:jc w:val="both"/>
        <w:rPr>
          <w:u w:val="none"/>
        </w:rPr>
      </w:pPr>
    </w:p>
    <w:p w14:paraId="4D101B70">
      <w:pPr>
        <w:pStyle w:val="2"/>
        <w:keepNext w:val="0"/>
        <w:keepLines w:val="0"/>
        <w:numPr>
          <w:ilvl w:val="0"/>
          <w:numId w:val="3"/>
        </w:numPr>
        <w:spacing w:before="0" w:after="0" w:line="560" w:lineRule="exact"/>
        <w:ind w:firstLine="0" w:firstLineChars="0"/>
        <w:jc w:val="center"/>
        <w:rPr>
          <w:rFonts w:hint="eastAsia" w:ascii="Times New Roman" w:hAnsi="Times New Roman" w:eastAsia="黑体" w:cs="Times New Roman"/>
          <w:b w:val="0"/>
          <w:sz w:val="32"/>
          <w:szCs w:val="32"/>
          <w:u w:val="none"/>
        </w:rPr>
      </w:pPr>
      <w:bookmarkStart w:id="203" w:name="_Toc24166"/>
      <w:bookmarkStart w:id="204" w:name="_Toc20413"/>
      <w:bookmarkStart w:id="205" w:name="_Toc12584"/>
      <w:bookmarkStart w:id="206" w:name="_Toc26941"/>
      <w:bookmarkStart w:id="207" w:name="_Toc10277"/>
      <w:bookmarkStart w:id="208" w:name="_Toc231216404"/>
      <w:r>
        <w:rPr>
          <w:rFonts w:hint="eastAsia" w:ascii="Times New Roman" w:hAnsi="Times New Roman" w:eastAsia="黑体" w:cs="Times New Roman"/>
          <w:b w:val="0"/>
          <w:sz w:val="32"/>
          <w:szCs w:val="32"/>
          <w:u w:val="none"/>
        </w:rPr>
        <w:t>保障举措</w:t>
      </w:r>
      <w:bookmarkEnd w:id="136"/>
      <w:bookmarkEnd w:id="203"/>
      <w:bookmarkEnd w:id="204"/>
      <w:bookmarkEnd w:id="205"/>
      <w:bookmarkEnd w:id="206"/>
      <w:bookmarkEnd w:id="207"/>
      <w:bookmarkEnd w:id="208"/>
    </w:p>
    <w:p w14:paraId="583FE564">
      <w:pPr>
        <w:numPr>
          <w:ilvl w:val="0"/>
          <w:numId w:val="0"/>
        </w:numPr>
        <w:rPr>
          <w:rFonts w:hint="eastAsia"/>
        </w:rPr>
      </w:pPr>
    </w:p>
    <w:p w14:paraId="400253B8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b w:val="0"/>
          <w:u w:val="none"/>
        </w:rPr>
      </w:pPr>
      <w:bookmarkStart w:id="209" w:name="_Toc212064017"/>
      <w:bookmarkStart w:id="210" w:name="_Toc20968"/>
      <w:bookmarkStart w:id="211" w:name="_Toc231216405"/>
      <w:bookmarkStart w:id="212" w:name="_Toc31410"/>
      <w:bookmarkStart w:id="213" w:name="_Toc13593"/>
      <w:bookmarkStart w:id="214" w:name="_Toc5432"/>
      <w:bookmarkStart w:id="215" w:name="_Toc6360"/>
      <w:r>
        <w:rPr>
          <w:rFonts w:hint="eastAsia"/>
          <w:b w:val="0"/>
          <w:u w:val="none"/>
          <w:lang w:val="en-US" w:eastAsia="zh-CN"/>
        </w:rPr>
        <w:t xml:space="preserve">第二十九节 </w:t>
      </w:r>
      <w:r>
        <w:rPr>
          <w:rFonts w:hint="eastAsia"/>
          <w:b w:val="0"/>
          <w:u w:val="none"/>
        </w:rPr>
        <w:t>加强工作统筹</w:t>
      </w:r>
      <w:bookmarkEnd w:id="209"/>
      <w:bookmarkEnd w:id="210"/>
      <w:bookmarkEnd w:id="211"/>
      <w:bookmarkEnd w:id="212"/>
      <w:bookmarkEnd w:id="213"/>
      <w:bookmarkEnd w:id="214"/>
      <w:bookmarkEnd w:id="215"/>
    </w:p>
    <w:p w14:paraId="52FF5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强化工作推进，将智慧城市建设纳入重要议事日程，针对重大建设任务，建立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定期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调度机制。明确智慧化建设牵头部门，确保各项任务落地落实。构建长效沟通机制，统筹推动智慧城市建设难点解决和重点落实。</w:t>
      </w:r>
    </w:p>
    <w:p w14:paraId="66D9B25E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both"/>
        <w:textAlignment w:val="auto"/>
        <w:rPr>
          <w:rFonts w:hint="eastAsia"/>
          <w:b w:val="0"/>
          <w:u w:val="none"/>
        </w:rPr>
      </w:pPr>
      <w:bookmarkStart w:id="216" w:name="_Toc10979"/>
      <w:bookmarkStart w:id="217" w:name="_Toc17176"/>
      <w:bookmarkStart w:id="218" w:name="_Toc20837"/>
      <w:bookmarkStart w:id="219" w:name="_Toc14469"/>
      <w:bookmarkStart w:id="220" w:name="_Toc231216406"/>
      <w:bookmarkStart w:id="221" w:name="_Toc18803"/>
      <w:bookmarkStart w:id="222" w:name="_Toc212064018"/>
      <w:r>
        <w:rPr>
          <w:rFonts w:hint="eastAsia"/>
          <w:b w:val="0"/>
          <w:u w:val="none"/>
          <w:lang w:val="en-US" w:eastAsia="zh-CN"/>
        </w:rPr>
        <w:t xml:space="preserve">第三十节 </w:t>
      </w:r>
      <w:r>
        <w:rPr>
          <w:rFonts w:hint="eastAsia"/>
          <w:b w:val="0"/>
          <w:u w:val="none"/>
        </w:rPr>
        <w:t>加强资金保障</w:t>
      </w:r>
      <w:bookmarkEnd w:id="216"/>
      <w:bookmarkEnd w:id="217"/>
      <w:bookmarkEnd w:id="218"/>
      <w:bookmarkEnd w:id="219"/>
      <w:bookmarkEnd w:id="220"/>
      <w:bookmarkEnd w:id="221"/>
      <w:bookmarkEnd w:id="222"/>
    </w:p>
    <w:p w14:paraId="666518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加大智慧城市建设资金投入，统筹信息化项目资金管理使用，重点保障区内数据产业创新发展。充分利用国家、市级相关政策资金，发挥财政资金示范引导作用，通过全域场景化吸引社会资本参与智慧城市基础设施建设。</w:t>
      </w:r>
    </w:p>
    <w:p w14:paraId="43C1F926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both"/>
        <w:textAlignment w:val="auto"/>
        <w:rPr>
          <w:rFonts w:hint="eastAsia"/>
          <w:b w:val="0"/>
          <w:u w:val="none"/>
        </w:rPr>
      </w:pPr>
      <w:bookmarkStart w:id="223" w:name="_Toc29944"/>
      <w:bookmarkStart w:id="224" w:name="_Toc231216407"/>
      <w:bookmarkStart w:id="225" w:name="_Toc29074"/>
      <w:bookmarkStart w:id="226" w:name="_Toc8040"/>
      <w:bookmarkStart w:id="227" w:name="_Toc25906"/>
      <w:bookmarkStart w:id="228" w:name="_Toc7328"/>
      <w:bookmarkStart w:id="229" w:name="_Toc212064019"/>
      <w:r>
        <w:rPr>
          <w:rFonts w:hint="eastAsia"/>
          <w:b w:val="0"/>
          <w:u w:val="none"/>
          <w:lang w:val="en-US" w:eastAsia="zh-CN"/>
        </w:rPr>
        <w:t xml:space="preserve">第三十一节 </w:t>
      </w:r>
      <w:r>
        <w:rPr>
          <w:rFonts w:hint="eastAsia"/>
          <w:b w:val="0"/>
          <w:u w:val="none"/>
        </w:rPr>
        <w:t>加强人才建设</w:t>
      </w:r>
      <w:bookmarkEnd w:id="223"/>
      <w:bookmarkEnd w:id="224"/>
      <w:bookmarkEnd w:id="225"/>
      <w:bookmarkEnd w:id="226"/>
      <w:bookmarkEnd w:id="227"/>
      <w:bookmarkEnd w:id="228"/>
      <w:bookmarkEnd w:id="229"/>
    </w:p>
    <w:p w14:paraId="1CB20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提升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智慧城市人才专业化水平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加大人才引进力度。定期开展首席数据官专项培训，加强对智慧城市相关政策、业务和技术学习，提升队伍数字化素养。依托央企央院央所等资源优势，构建高水平智慧城市发展智库。</w:t>
      </w:r>
    </w:p>
    <w:p w14:paraId="48D52CE6">
      <w:pPr>
        <w:pStyle w:val="3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both"/>
        <w:textAlignment w:val="auto"/>
        <w:rPr>
          <w:rFonts w:hint="default"/>
          <w:b w:val="0"/>
          <w:u w:val="none"/>
        </w:rPr>
      </w:pPr>
      <w:bookmarkStart w:id="230" w:name="_Toc7281"/>
      <w:bookmarkStart w:id="231" w:name="_Toc212064020"/>
      <w:bookmarkStart w:id="232" w:name="_Toc28426"/>
      <w:bookmarkStart w:id="233" w:name="_Toc7061"/>
      <w:bookmarkStart w:id="234" w:name="_Toc16381"/>
      <w:bookmarkStart w:id="235" w:name="_Toc25817"/>
      <w:bookmarkStart w:id="236" w:name="_Toc231216408"/>
      <w:r>
        <w:rPr>
          <w:rFonts w:hint="eastAsia"/>
          <w:b w:val="0"/>
          <w:u w:val="none"/>
          <w:lang w:val="en-US" w:eastAsia="zh-CN"/>
        </w:rPr>
        <w:t xml:space="preserve">第三十二节 </w:t>
      </w:r>
      <w:r>
        <w:rPr>
          <w:rFonts w:hint="default"/>
          <w:b w:val="0"/>
          <w:u w:val="none"/>
        </w:rPr>
        <w:t>强化运营支撑</w:t>
      </w:r>
      <w:bookmarkEnd w:id="230"/>
      <w:bookmarkEnd w:id="231"/>
      <w:bookmarkEnd w:id="232"/>
      <w:bookmarkEnd w:id="233"/>
      <w:bookmarkEnd w:id="234"/>
      <w:bookmarkEnd w:id="235"/>
      <w:bookmarkEnd w:id="236"/>
    </w:p>
    <w:p w14:paraId="603E33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支持区属国有数字企业深化业务转型，强化资源整合、资本运作与市场化服务能力。统筹推进数据资产规范治理、安全管控与价值挖掘。深化与行业领军企业、科研院所、技术服务商战略合作，强化技术协同、场景共建、资源共享。</w:t>
      </w:r>
    </w:p>
    <w:p w14:paraId="262F46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eastAsia"/>
          <w:sz w:val="28"/>
          <w:szCs w:val="28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2690FBD-AA48-4312-A8BC-756F001D9B3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7CF1253-E33F-430E-A359-160C3DF197B9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2B165F1-0A2D-494F-A0E3-DFA82AC10BB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43B6E8B-2B46-42CE-ABE4-C723D36203D8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D2C729DA-E785-4267-B331-AB0850F3B24D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5EE70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D8F7D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D54984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D54984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4EA307"/>
    <w:multiLevelType w:val="singleLevel"/>
    <w:tmpl w:val="224EA307"/>
    <w:lvl w:ilvl="0" w:tentative="0">
      <w:start w:val="1"/>
      <w:numFmt w:val="chineseCounting"/>
      <w:pStyle w:val="20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578A715"/>
    <w:multiLevelType w:val="multilevel"/>
    <w:tmpl w:val="2578A715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2802" w:firstLine="0"/>
      </w:pPr>
      <w:rPr>
        <w:rFonts w:hint="eastAsia" w:ascii="Times New Roman" w:hAnsi="Times New Roman" w:eastAsia="楷体_GB2312" w:cs="Times New Roman"/>
        <w:b w:val="0"/>
        <w:bCs/>
        <w:snapToGrid/>
        <w:color w:val="000000"/>
        <w:w w:val="100"/>
        <w:kern w:val="2"/>
        <w:sz w:val="32"/>
        <w:szCs w:val="24"/>
        <w:lang w:val="en-US" w:eastAsia="zh-CN" w:bidi="ar-SA"/>
      </w:rPr>
    </w:lvl>
    <w:lvl w:ilvl="2" w:tentative="0">
      <w:start w:val="1"/>
      <w:numFmt w:val="decimal"/>
      <w:suff w:val="space"/>
      <w:lvlText w:val="%3．"/>
      <w:lvlJc w:val="left"/>
      <w:pPr>
        <w:ind w:left="7384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2">
    <w:nsid w:val="6BE96C8E"/>
    <w:multiLevelType w:val="singleLevel"/>
    <w:tmpl w:val="6BE96C8E"/>
    <w:lvl w:ilvl="0" w:tentative="0">
      <w:start w:val="8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760ED"/>
    <w:rsid w:val="01E85CBE"/>
    <w:rsid w:val="02266F88"/>
    <w:rsid w:val="029B4F58"/>
    <w:rsid w:val="02AD361F"/>
    <w:rsid w:val="02D123CA"/>
    <w:rsid w:val="031511C4"/>
    <w:rsid w:val="036D26E6"/>
    <w:rsid w:val="03A64C0A"/>
    <w:rsid w:val="03D80104"/>
    <w:rsid w:val="041B705F"/>
    <w:rsid w:val="05AD6758"/>
    <w:rsid w:val="0626516B"/>
    <w:rsid w:val="06AD0181"/>
    <w:rsid w:val="09145555"/>
    <w:rsid w:val="09E248C6"/>
    <w:rsid w:val="0A0525B5"/>
    <w:rsid w:val="0B5B4537"/>
    <w:rsid w:val="0D8C46B2"/>
    <w:rsid w:val="0D970709"/>
    <w:rsid w:val="0F715D43"/>
    <w:rsid w:val="10590CA9"/>
    <w:rsid w:val="114F623B"/>
    <w:rsid w:val="14060EC2"/>
    <w:rsid w:val="14421C29"/>
    <w:rsid w:val="15225809"/>
    <w:rsid w:val="15A8465E"/>
    <w:rsid w:val="176C6845"/>
    <w:rsid w:val="17B66AFF"/>
    <w:rsid w:val="18803DEB"/>
    <w:rsid w:val="192F1F43"/>
    <w:rsid w:val="1AC12A04"/>
    <w:rsid w:val="1AD4019B"/>
    <w:rsid w:val="1C1E6EAD"/>
    <w:rsid w:val="1CAF2F66"/>
    <w:rsid w:val="1D1E4091"/>
    <w:rsid w:val="1D2C3247"/>
    <w:rsid w:val="1D451CA0"/>
    <w:rsid w:val="204F24A6"/>
    <w:rsid w:val="20CD08E5"/>
    <w:rsid w:val="22431D5C"/>
    <w:rsid w:val="231812DB"/>
    <w:rsid w:val="23197D16"/>
    <w:rsid w:val="24307E06"/>
    <w:rsid w:val="2499759D"/>
    <w:rsid w:val="24CE3BF0"/>
    <w:rsid w:val="24DB46D7"/>
    <w:rsid w:val="25457FD6"/>
    <w:rsid w:val="262C01E4"/>
    <w:rsid w:val="26C35FA1"/>
    <w:rsid w:val="28461C9C"/>
    <w:rsid w:val="28E3542B"/>
    <w:rsid w:val="28FD7475"/>
    <w:rsid w:val="293C1DCC"/>
    <w:rsid w:val="29ED6D7B"/>
    <w:rsid w:val="2CCC0514"/>
    <w:rsid w:val="301C36FD"/>
    <w:rsid w:val="313C3D20"/>
    <w:rsid w:val="31EE4D09"/>
    <w:rsid w:val="32116F07"/>
    <w:rsid w:val="33D32339"/>
    <w:rsid w:val="341D4AD8"/>
    <w:rsid w:val="351B6414"/>
    <w:rsid w:val="36533351"/>
    <w:rsid w:val="36BB401D"/>
    <w:rsid w:val="37785308"/>
    <w:rsid w:val="387A3DF1"/>
    <w:rsid w:val="38E412DB"/>
    <w:rsid w:val="39015D3B"/>
    <w:rsid w:val="3AFB38FA"/>
    <w:rsid w:val="3C5F4026"/>
    <w:rsid w:val="3D5036CE"/>
    <w:rsid w:val="3E08107B"/>
    <w:rsid w:val="3F5D6CC7"/>
    <w:rsid w:val="3F96635F"/>
    <w:rsid w:val="404E4C20"/>
    <w:rsid w:val="40B00E20"/>
    <w:rsid w:val="42157FA1"/>
    <w:rsid w:val="422A7FD1"/>
    <w:rsid w:val="423A3CCB"/>
    <w:rsid w:val="44577148"/>
    <w:rsid w:val="44661A31"/>
    <w:rsid w:val="450F618C"/>
    <w:rsid w:val="451C0790"/>
    <w:rsid w:val="459E0F59"/>
    <w:rsid w:val="46223350"/>
    <w:rsid w:val="4660634B"/>
    <w:rsid w:val="48392DA1"/>
    <w:rsid w:val="49C31DC5"/>
    <w:rsid w:val="4A6E56C8"/>
    <w:rsid w:val="4AA06B93"/>
    <w:rsid w:val="4C0C48EC"/>
    <w:rsid w:val="4CE12F91"/>
    <w:rsid w:val="4DA34F8D"/>
    <w:rsid w:val="4E3E6DEE"/>
    <w:rsid w:val="4E6043AF"/>
    <w:rsid w:val="4E6F4DC3"/>
    <w:rsid w:val="4EF708A7"/>
    <w:rsid w:val="4F1010E0"/>
    <w:rsid w:val="4F590A44"/>
    <w:rsid w:val="4F910DD0"/>
    <w:rsid w:val="523A3584"/>
    <w:rsid w:val="527C2198"/>
    <w:rsid w:val="58042F3C"/>
    <w:rsid w:val="5832168D"/>
    <w:rsid w:val="58780E92"/>
    <w:rsid w:val="591D499F"/>
    <w:rsid w:val="597822C8"/>
    <w:rsid w:val="59B36DA3"/>
    <w:rsid w:val="5BF37236"/>
    <w:rsid w:val="5C6C7413"/>
    <w:rsid w:val="5CFA6097"/>
    <w:rsid w:val="5DAE28DA"/>
    <w:rsid w:val="5E5E58AB"/>
    <w:rsid w:val="5E9605F6"/>
    <w:rsid w:val="5FC42C7F"/>
    <w:rsid w:val="62175BDC"/>
    <w:rsid w:val="62FE574B"/>
    <w:rsid w:val="645D1453"/>
    <w:rsid w:val="654416AF"/>
    <w:rsid w:val="65A7768C"/>
    <w:rsid w:val="66381A22"/>
    <w:rsid w:val="66F916AD"/>
    <w:rsid w:val="67EB19E9"/>
    <w:rsid w:val="680822C2"/>
    <w:rsid w:val="686449C2"/>
    <w:rsid w:val="686974C1"/>
    <w:rsid w:val="6A631041"/>
    <w:rsid w:val="6BDC6C9B"/>
    <w:rsid w:val="6DD72F4B"/>
    <w:rsid w:val="6E471217"/>
    <w:rsid w:val="6EDE3DAD"/>
    <w:rsid w:val="6F694185"/>
    <w:rsid w:val="6FE0510A"/>
    <w:rsid w:val="710D6845"/>
    <w:rsid w:val="71EC253A"/>
    <w:rsid w:val="74315E98"/>
    <w:rsid w:val="74837979"/>
    <w:rsid w:val="74BD7896"/>
    <w:rsid w:val="76F33DE9"/>
    <w:rsid w:val="787E2C8E"/>
    <w:rsid w:val="789B3A01"/>
    <w:rsid w:val="7AAF466A"/>
    <w:rsid w:val="7C7901E0"/>
    <w:rsid w:val="7D5B4B67"/>
    <w:rsid w:val="7DCF38ED"/>
    <w:rsid w:val="7E3E4F38"/>
    <w:rsid w:val="7E87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line="560" w:lineRule="exact"/>
      <w:ind w:left="2822"/>
      <w:jc w:val="left"/>
      <w:outlineLvl w:val="1"/>
    </w:pPr>
    <w:rPr>
      <w:rFonts w:ascii="Times New Roman" w:hAnsi="Times New Roman" w:eastAsia="楷体_GB2312" w:cs="Times New Roman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jc w:val="both"/>
      <w:outlineLvl w:val="2"/>
    </w:pPr>
    <w:rPr>
      <w:rFonts w:hint="eastAsia" w:eastAsia="楷体" w:cs="Times New Roman"/>
      <w:bCs/>
      <w:sz w:val="32"/>
      <w:szCs w:val="27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1"/>
    <w:pPr>
      <w:ind w:left="820"/>
    </w:pPr>
    <w:rPr>
      <w:sz w:val="32"/>
      <w:szCs w:val="32"/>
    </w:rPr>
  </w:style>
  <w:style w:type="paragraph" w:styleId="6">
    <w:name w:val="Plain Text"/>
    <w:basedOn w:val="1"/>
    <w:next w:val="1"/>
    <w:qFormat/>
    <w:uiPriority w:val="0"/>
    <w:pPr>
      <w:autoSpaceDE w:val="0"/>
      <w:autoSpaceDN w:val="0"/>
      <w:jc w:val="left"/>
    </w:pPr>
    <w:rPr>
      <w:rFonts w:ascii="宋体" w:hAnsi="Courier New" w:eastAsia="仿宋_GB2312" w:cs="Courier New"/>
      <w:kern w:val="0"/>
      <w:sz w:val="22"/>
      <w:szCs w:val="21"/>
      <w:lang w:val="zh-CN" w:bidi="zh-CN"/>
    </w:rPr>
  </w:style>
  <w:style w:type="paragraph" w:styleId="7">
    <w:name w:val="Date"/>
    <w:basedOn w:val="1"/>
    <w:next w:val="1"/>
    <w:qFormat/>
    <w:uiPriority w:val="0"/>
    <w:pPr>
      <w:ind w:left="2500" w:leftChars="2500"/>
    </w:pPr>
    <w:rPr>
      <w:szCs w:val="20"/>
    </w:rPr>
  </w:style>
  <w:style w:type="paragraph" w:styleId="8">
    <w:name w:val="footer"/>
    <w:basedOn w:val="1"/>
    <w:next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Normal (Web)"/>
    <w:basedOn w:val="1"/>
    <w:qFormat/>
    <w:uiPriority w:val="0"/>
    <w:rPr>
      <w:sz w:val="24"/>
    </w:rPr>
  </w:style>
  <w:style w:type="paragraph" w:styleId="13">
    <w:name w:val="Title"/>
    <w:basedOn w:val="1"/>
    <w:qFormat/>
    <w:uiPriority w:val="0"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正文 缩进2字符"/>
    <w:basedOn w:val="1"/>
    <w:qFormat/>
    <w:uiPriority w:val="0"/>
    <w:pPr>
      <w:spacing w:line="288" w:lineRule="auto"/>
    </w:pPr>
    <w:rPr>
      <w:rFonts w:ascii="宋体" w:hAnsi="宋体"/>
      <w:sz w:val="28"/>
      <w:szCs w:val="28"/>
    </w:rPr>
  </w:style>
  <w:style w:type="paragraph" w:customStyle="1" w:styleId="20">
    <w:name w:val="公文-一级标题"/>
    <w:basedOn w:val="1"/>
    <w:next w:val="1"/>
    <w:qFormat/>
    <w:uiPriority w:val="0"/>
    <w:pPr>
      <w:numPr>
        <w:ilvl w:val="0"/>
        <w:numId w:val="2"/>
      </w:numPr>
      <w:adjustRightInd w:val="0"/>
      <w:snapToGrid w:val="0"/>
      <w:spacing w:line="560" w:lineRule="exact"/>
      <w:ind w:firstLine="640" w:firstLineChars="200"/>
      <w:outlineLvl w:val="1"/>
    </w:pPr>
    <w:rPr>
      <w:rFonts w:hint="eastAsia" w:ascii="仿宋_GB2312" w:hAnsi="仿宋_GB2312" w:eastAsia="黑体" w:cs="仿宋_GB2312"/>
      <w:sz w:val="32"/>
      <w:szCs w:val="32"/>
      <w:lang w:val="zh-CN"/>
    </w:rPr>
  </w:style>
  <w:style w:type="character" w:customStyle="1" w:styleId="21">
    <w:name w:val="font11"/>
    <w:basedOn w:val="16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paragraph" w:customStyle="1" w:styleId="22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54A1" w:themeColor="accent1" w:themeShade="BF"/>
      <w:kern w:val="0"/>
      <w:sz w:val="32"/>
      <w:szCs w:val="32"/>
    </w:rPr>
  </w:style>
  <w:style w:type="character" w:customStyle="1" w:styleId="23">
    <w:name w:val="font81"/>
    <w:basedOn w:val="16"/>
    <w:qFormat/>
    <w:uiPriority w:val="0"/>
    <w:rPr>
      <w:rFonts w:hint="eastAsia" w:ascii="仿宋" w:hAnsi="仿宋" w:eastAsia="仿宋" w:cs="仿宋"/>
      <w:b/>
      <w:bCs/>
      <w:color w:val="000000"/>
      <w:sz w:val="32"/>
      <w:szCs w:val="32"/>
      <w:u w:val="none"/>
    </w:rPr>
  </w:style>
  <w:style w:type="character" w:customStyle="1" w:styleId="24">
    <w:name w:val="font112"/>
    <w:basedOn w:val="16"/>
    <w:qFormat/>
    <w:uiPriority w:val="0"/>
    <w:rPr>
      <w:rFonts w:hint="eastAsia" w:ascii="仿宋" w:hAnsi="仿宋" w:eastAsia="仿宋" w:cs="仿宋"/>
      <w:b/>
      <w:bCs/>
      <w:color w:val="FF0000"/>
      <w:sz w:val="32"/>
      <w:szCs w:val="32"/>
      <w:u w:val="none"/>
    </w:rPr>
  </w:style>
  <w:style w:type="paragraph" w:customStyle="1" w:styleId="25">
    <w:name w:val="公文-标题"/>
    <w:basedOn w:val="13"/>
    <w:next w:val="26"/>
    <w:qFormat/>
    <w:uiPriority w:val="0"/>
    <w:pPr>
      <w:keepNext/>
      <w:keepLines/>
      <w:tabs>
        <w:tab w:val="left" w:pos="0"/>
      </w:tabs>
      <w:adjustRightInd w:val="0"/>
      <w:snapToGrid w:val="0"/>
      <w:spacing w:line="640" w:lineRule="exact"/>
      <w:ind w:leftChars="0" w:firstLine="0" w:firstLineChars="0"/>
      <w:outlineLvl w:val="0"/>
    </w:pPr>
    <w:rPr>
      <w:rFonts w:ascii="Times New Roman" w:hAnsi="Times New Roman" w:eastAsia="方正小标宋简体" w:cs="仿宋_GB2312"/>
      <w:b w:val="0"/>
      <w:snapToGrid w:val="0"/>
      <w:color w:val="000000"/>
      <w:kern w:val="0"/>
      <w:sz w:val="44"/>
      <w:szCs w:val="32"/>
      <w:lang w:eastAsia="en-US"/>
    </w:rPr>
  </w:style>
  <w:style w:type="paragraph" w:customStyle="1" w:styleId="26">
    <w:name w:val="公文-正文"/>
    <w:basedOn w:val="1"/>
    <w:qFormat/>
    <w:uiPriority w:val="0"/>
    <w:pPr>
      <w:spacing w:line="560" w:lineRule="exact"/>
      <w:ind w:firstLine="1680" w:firstLineChars="200"/>
    </w:pPr>
    <w:rPr>
      <w:rFonts w:ascii="Times New Roman" w:hAnsi="Times New Roman"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8072</Words>
  <Characters>8165</Characters>
  <Lines>0</Lines>
  <Paragraphs>0</Paragraphs>
  <TotalTime>6</TotalTime>
  <ScaleCrop>false</ScaleCrop>
  <LinksUpToDate>false</LinksUpToDate>
  <CharactersWithSpaces>8351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2026-01-26T07:05:00Z</dcterms:created>
  <dc:creator>Ma zerui</dc:creator>
  <cp:lastModifiedBy>ZE</cp:lastModifiedBy>
  <cp:lastPrinted>2026-09-02T07:37:09Z</cp:lastPrinted>
  <dcterms:modified xsi:type="dcterms:W3CDTF">2026-09-02T07:41:46Z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eyJoZGlkIjoiMDYwMGY3YTQxNDNlYjdjNTUyNGU0MzgwMTE0MjM3ZjAiLCJ1c2VySWQiOiIzNDE1Njg2NzAifQ==</vt:lpwstr>
  </property>
  <property fmtid="{D5CDD505-2E9C-101B-9397-08002B2CF9AE}" pid="4" name="ICV">
    <vt:lpwstr>2D449D126A1E49B39616D4E87BC3F501_13</vt:lpwstr>
  </property>
</Properties>
</file>