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《北京市通州区雪茄烟专业店零售点合理布局规定（征求意见稿）》起草说明</w:t>
      </w:r>
    </w:p>
    <w:p>
      <w:pPr>
        <w:ind w:firstLine="360" w:firstLineChars="200"/>
        <w:rPr>
          <w:rFonts w:hint="eastAsia" w:ascii="仿宋_GB2312" w:hAnsi="仿宋_GB2312" w:eastAsia="仿宋_GB2312" w:cs="仿宋_GB2312"/>
          <w:sz w:val="18"/>
          <w:szCs w:val="18"/>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规范通州区雪茄烟零售市场秩序，切实维护国家利益、消费者利益及未成年人合法权益，促进辖区雪茄烟消费市场健康、规范、有序、专业化发展，北京市通州区烟草专卖局组织开展了《北京市通州区雪茄烟专业店零售点合理布局规定（征求意见稿）》（以下简称《规定（征求意见稿）》）的制定工作。现将有关情况说明如下：</w:t>
      </w:r>
    </w:p>
    <w:p>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制定的背景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年来，雪茄烟消费呈现专业化、差异化的发展趋势。通州作为北京城市副中心，服务业态升级快、消费分层明显，有必要对雪茄烟专业店这一特定业态进行专项规划与管理。制定本《规定（征求意见稿）》，旨在建立一套适应通州实际、符合雪茄烟经营特点的零售点合理布局标准，通过精细化、差异化的布局策略，优化许可资源配置，营造“竞争适度、进退有序、健康发展”的雪茄烟零售市场生态，同时严守未成年人免受其侵害，完善烟草专卖许可管理体系。</w:t>
      </w:r>
    </w:p>
    <w:p>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制定的依据</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《中华人民共和国行政许可法》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《中华人民共和国未成年人保护法》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《中华人民共和国烟草专卖法》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《中华人民共和国烟草专卖法实施条例》</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《烟草专卖许可证管理办法》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《烟草专卖许可证管理办法实施细则》</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《北京市控制吸烟条例》</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《完善烟草专卖零售许可管理优化政务服务工作指引》（国烟法〔2024〕55号）</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三、 制定的过程</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2026年3月北京市通州区烟草专卖局在北京市烟草专卖局总体要求和指导性意见框架下，启动雪茄烟专业店零售点布局规定的制定工作。制定过程中，我局先后组织开展以下环节：</w:t>
      </w:r>
    </w:p>
    <w:p>
      <w:pPr>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（一）制定前评估与市场调研。</w:t>
      </w:r>
      <w:r>
        <w:rPr>
          <w:rFonts w:hint="eastAsia" w:ascii="仿宋_GB2312" w:hAnsi="仿宋_GB2312" w:eastAsia="仿宋_GB2312" w:cs="仿宋_GB2312"/>
          <w:sz w:val="32"/>
          <w:szCs w:val="32"/>
        </w:rPr>
        <w:t>专销联动，摸排辖区内现有雪茄经营户底数、仓储条件、配套业态、消费人群分布，测算副中心雪茄市场合理容量。</w:t>
      </w:r>
    </w:p>
    <w:p>
      <w:pPr>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（二）借鉴兄弟单位经验。</w:t>
      </w:r>
      <w:r>
        <w:rPr>
          <w:rFonts w:hint="eastAsia" w:ascii="仿宋_GB2312" w:hAnsi="仿宋_GB2312" w:eastAsia="仿宋_GB2312" w:cs="仿宋_GB2312"/>
          <w:sz w:val="32"/>
          <w:szCs w:val="32"/>
        </w:rPr>
        <w:t>参考朝阳、海淀、顺义等区已出台的雪茄烟专业店布局规定，结合通州副中心定位差异化设计。</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（三）草案起草与内部论证。</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（四）合法性审查。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最终形成符合本辖区实际的《北京市通州区雪茄烟专业店零售点合理布局规定（征求意见稿）》。</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四、制定的主要内容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《规定（征求意见稿）》分三章，共十四条，主要内容如下：</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（一）第一条至第五条（总则）</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第一条至第四条：明确规定制定的目的、法律依据、适用范围，对“雪茄烟专业店零售点”进行定义，并明确布局遵循原则。</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第五条：明确雪茄烟专业店零售点与《北京市通州区烟草制品零售点合理布局规定》特性，即雪茄专业店总量单独核算、间距不与卷烟、电子烟零售点捆绑，体现差异化布局思路。</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（二）第六条（总量控制）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辖区人口数量结构、经济发展水平、市场消费需求等因素，确定本辖区雪茄烟专业店零售点指导数量上限为60个，并适时对指导数量评估调整。为严格落实总量控制要求，当在营零售点数量已达指导上限时，新增申请一律按“退一进一”原则办理，确保总量只减不增、进出有序，既维护现有经营者的合法权益，又为后续符合条件的主体留有准入空间，体现公开、公平、公正的市场管理导向。</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（三）第七条（经营条件）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明确申请设立需同时具备的四项条件：</w:t>
      </w:r>
    </w:p>
    <w:p>
      <w:pPr>
        <w:numPr>
          <w:ilvl w:val="0"/>
          <w:numId w:val="2"/>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以雪茄烟零售为主营业务，同时配套业务包括但不限于会所、酒吧、茶室、咖啡店、俱乐部等，应与雪茄零售有营销互补关系；</w:t>
      </w:r>
    </w:p>
    <w:p>
      <w:pPr>
        <w:numPr>
          <w:ilvl w:val="0"/>
          <w:numId w:val="2"/>
        </w:numPr>
        <w:ind w:firstLine="640" w:firstLineChars="200"/>
        <w:rPr>
          <w:rFonts w:hint="eastAsia" w:ascii="仿宋_GB2312" w:hAnsi="仿宋_GB2312" w:eastAsia="仿宋_GB2312" w:cs="仿宋_GB2312"/>
          <w:sz w:val="32"/>
          <w:szCs w:val="32"/>
        </w:rPr>
      </w:pPr>
      <w:r>
        <w:rPr>
          <w:rFonts w:hint="eastAsia" w:ascii="仿宋_GB2312" w:hAnsi="宋体" w:eastAsia="仿宋_GB2312" w:cs="Calibri"/>
          <w:kern w:val="0"/>
          <w:sz w:val="32"/>
          <w:szCs w:val="32"/>
        </w:rPr>
        <w:t>经营场所与住所相独立，实际经营面积达到80平方米以上</w:t>
      </w:r>
      <w:r>
        <w:rPr>
          <w:rFonts w:hint="eastAsia" w:ascii="仿宋_GB2312" w:hAnsi="仿宋_GB2312" w:eastAsia="仿宋_GB2312" w:cs="仿宋_GB2312"/>
          <w:sz w:val="32"/>
          <w:szCs w:val="32"/>
        </w:rPr>
        <w:t>；</w:t>
      </w:r>
    </w:p>
    <w:p>
      <w:pPr>
        <w:numPr>
          <w:ilvl w:val="0"/>
          <w:numId w:val="2"/>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经营场所具备5平方米以上专业恒温恒湿系统的独立雪茄房，或配备总容量600升以上具有恒温恒湿功能的雪茄烟柜；</w:t>
      </w:r>
    </w:p>
    <w:p>
      <w:pPr>
        <w:numPr>
          <w:ilvl w:val="0"/>
          <w:numId w:val="2"/>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法律法规规定的其他条件。</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（四）第八条（不予许可情形）</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列出九类不予发放许可证的情形，包括主体资格、特定区域限制（</w:t>
      </w:r>
      <w:r>
        <w:rPr>
          <w:rFonts w:hint="eastAsia" w:ascii="仿宋_GB2312" w:hAnsi="宋体" w:eastAsia="仿宋_GB2312" w:cs="Calibri"/>
          <w:color w:val="000000"/>
          <w:kern w:val="0"/>
          <w:sz w:val="32"/>
          <w:szCs w:val="32"/>
        </w:rPr>
        <w:t>经营场所位于中小学校、幼儿园、少年宫内部及其100米以内的</w:t>
      </w:r>
      <w:r>
        <w:rPr>
          <w:rFonts w:hint="eastAsia" w:ascii="仿宋_GB2312" w:hAnsi="仿宋_GB2312" w:eastAsia="仿宋_GB2312" w:cs="仿宋_GB2312"/>
          <w:sz w:val="32"/>
          <w:szCs w:val="32"/>
        </w:rPr>
        <w:t>）等其他法定情形。与卷烟布局规定的负面清单衔接但更聚焦雪茄场景。</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（五）第九条、第十条（许可证变更与特殊情况申请）</w:t>
      </w:r>
    </w:p>
    <w:p>
      <w:pPr>
        <w:ind w:firstLine="640" w:firstLineChars="200"/>
        <w:rPr>
          <w:rFonts w:hint="eastAsia" w:ascii="仿宋_GB2312" w:hAnsi="宋体" w:eastAsia="仿宋_GB2312" w:cs="Times New Roman"/>
          <w:sz w:val="32"/>
          <w:szCs w:val="32"/>
        </w:rPr>
      </w:pPr>
      <w:r>
        <w:rPr>
          <w:rFonts w:hint="eastAsia" w:ascii="仿宋_GB2312" w:hAnsi="仿宋_GB2312" w:eastAsia="仿宋_GB2312" w:cs="仿宋_GB2312"/>
          <w:sz w:val="32"/>
          <w:szCs w:val="32"/>
        </w:rPr>
        <w:t>第九条：</w:t>
      </w:r>
      <w:r>
        <w:rPr>
          <w:rFonts w:hint="eastAsia" w:ascii="仿宋_GB2312" w:hAnsi="宋体" w:eastAsia="仿宋_GB2312" w:cs="Times New Roman"/>
          <w:sz w:val="32"/>
          <w:szCs w:val="32"/>
        </w:rPr>
        <w:t>因道路规划、中小学校建设等客观原因需变更经营地址的程序。</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本条款旨在明确雪茄烟专业店零售点与中小学校、幼儿园、少年宫之间距离测量的具体操作标准，确保测量工作有据可依、统一规范。为避免重复规定、保持制度统一性，本条款明确直接参照《北京市通州区烟草制品零售点合理布局规定》框架下制定执行。</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（六）第十一条（许可范围双向变更机制）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明确了雪茄烟专业店与普通烟草制品零售点之间相互变更许可范围时，需分别符合对应布局规定的要求。</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（七）第十二条至第十四条（附则）</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第十二条：明确数量计算方式，即涉及的“以上”“上限”含本数。</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w:t>
      </w:r>
      <w:r>
        <w:rPr>
          <w:rFonts w:hint="eastAsia" w:ascii="仿宋_GB2312" w:hAnsi="宋体" w:eastAsia="仿宋_GB2312" w:cs="Times New Roman"/>
          <w:sz w:val="32"/>
          <w:szCs w:val="32"/>
        </w:rPr>
        <w:t>明确解释、实施主体以及文件释义权。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第十四条：明确规定实施日期。</w:t>
      </w:r>
    </w:p>
    <w:p>
      <w:pPr>
        <w:ind w:firstLine="640" w:firstLineChars="200"/>
        <w:rPr>
          <w:rFonts w:hint="eastAsia" w:ascii="仿宋_GB2312" w:eastAsia="仿宋_GB2312"/>
          <w:sz w:val="32"/>
          <w:szCs w:val="32"/>
        </w:rPr>
      </w:pPr>
      <w:r>
        <w:rPr>
          <w:rFonts w:ascii="仿宋_GB2312" w:eastAsia="仿宋_GB2312"/>
          <w:sz w:val="32"/>
          <w:szCs w:val="32"/>
        </w:rPr>
        <w:t>以上为</w:t>
      </w:r>
      <w:r>
        <w:rPr>
          <w:rFonts w:hint="eastAsia" w:ascii="仿宋_GB2312" w:hAnsi="宋体" w:eastAsia="仿宋_GB2312" w:cs="Times New Roman"/>
          <w:sz w:val="32"/>
          <w:szCs w:val="32"/>
        </w:rPr>
        <w:t>《规定（征求意见稿）》</w:t>
      </w:r>
      <w:r>
        <w:rPr>
          <w:rFonts w:ascii="仿宋_GB2312" w:eastAsia="仿宋_GB2312"/>
          <w:sz w:val="32"/>
          <w:szCs w:val="32"/>
        </w:rPr>
        <w:t>的起草说明，现向</w:t>
      </w:r>
      <w:r>
        <w:rPr>
          <w:rFonts w:hint="eastAsia" w:ascii="仿宋_GB2312" w:eastAsia="仿宋_GB2312"/>
          <w:sz w:val="32"/>
          <w:szCs w:val="32"/>
        </w:rPr>
        <w:t>社会公开</w:t>
      </w:r>
      <w:r>
        <w:rPr>
          <w:rFonts w:ascii="仿宋_GB2312" w:eastAsia="仿宋_GB2312"/>
          <w:sz w:val="32"/>
          <w:szCs w:val="32"/>
        </w:rPr>
        <w:t>征求意见。欢迎</w:t>
      </w:r>
      <w:r>
        <w:rPr>
          <w:rFonts w:hint="eastAsia" w:ascii="仿宋_GB2312" w:eastAsia="仿宋_GB2312"/>
          <w:sz w:val="32"/>
          <w:szCs w:val="32"/>
        </w:rPr>
        <w:t>社会各界</w:t>
      </w:r>
      <w:r>
        <w:rPr>
          <w:rFonts w:ascii="仿宋_GB2312" w:eastAsia="仿宋_GB2312"/>
          <w:sz w:val="32"/>
          <w:szCs w:val="32"/>
        </w:rPr>
        <w:t>提出意见</w:t>
      </w:r>
      <w:r>
        <w:rPr>
          <w:rFonts w:hint="eastAsia" w:ascii="仿宋_GB2312" w:eastAsia="仿宋_GB2312"/>
          <w:sz w:val="32"/>
          <w:szCs w:val="32"/>
        </w:rPr>
        <w:t>建议。</w:t>
      </w:r>
    </w:p>
    <w:p>
      <w:pPr>
        <w:ind w:firstLine="483" w:firstLineChars="151"/>
        <w:jc w:val="right"/>
        <w:rPr>
          <w:rFonts w:ascii="仿宋_GB2312" w:eastAsia="仿宋_GB2312"/>
          <w:sz w:val="32"/>
          <w:szCs w:val="32"/>
        </w:rPr>
      </w:pPr>
    </w:p>
    <w:p>
      <w:pPr>
        <w:wordWrap w:val="0"/>
        <w:ind w:firstLine="483" w:firstLineChars="151"/>
        <w:jc w:val="right"/>
        <w:rPr>
          <w:rFonts w:ascii="仿宋_GB2312" w:eastAsia="仿宋_GB2312"/>
          <w:sz w:val="32"/>
          <w:szCs w:val="32"/>
        </w:rPr>
      </w:pPr>
      <w:bookmarkStart w:id="0" w:name="_GoBack"/>
      <w:bookmarkEnd w:id="0"/>
      <w:r>
        <w:rPr>
          <w:rFonts w:hint="eastAsia" w:ascii="仿宋_GB2312" w:eastAsia="仿宋_GB2312"/>
          <w:sz w:val="32"/>
          <w:szCs w:val="32"/>
        </w:rPr>
        <w:t xml:space="preserve"> </w:t>
      </w:r>
    </w:p>
    <w:p>
      <w:pPr>
        <w:ind w:firstLine="640" w:firstLineChars="200"/>
        <w:rPr>
          <w:rFonts w:hint="eastAsia" w:ascii="仿宋_GB2312" w:hAnsi="仿宋_GB2312" w:eastAsia="仿宋_GB2312" w:cs="仿宋_GB2312"/>
          <w:sz w:val="32"/>
          <w:szCs w:val="32"/>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4"/>
                              <w:szCs w:val="40"/>
                            </w:rPr>
                          </w:pPr>
                          <w:r>
                            <w:rPr>
                              <w:rFonts w:hint="eastAsia" w:ascii="宋体" w:hAnsi="宋体" w:eastAsia="宋体" w:cs="宋体"/>
                              <w:sz w:val="24"/>
                              <w:szCs w:val="40"/>
                            </w:rPr>
                            <w:fldChar w:fldCharType="begin"/>
                          </w:r>
                          <w:r>
                            <w:rPr>
                              <w:rFonts w:hint="eastAsia" w:ascii="宋体" w:hAnsi="宋体" w:eastAsia="宋体" w:cs="宋体"/>
                              <w:sz w:val="24"/>
                              <w:szCs w:val="40"/>
                            </w:rPr>
                            <w:instrText xml:space="preserve"> PAGE  \* MERGEFORMAT </w:instrText>
                          </w:r>
                          <w:r>
                            <w:rPr>
                              <w:rFonts w:hint="eastAsia" w:ascii="宋体" w:hAnsi="宋体" w:eastAsia="宋体" w:cs="宋体"/>
                              <w:sz w:val="24"/>
                              <w:szCs w:val="40"/>
                            </w:rPr>
                            <w:fldChar w:fldCharType="separate"/>
                          </w:r>
                          <w:r>
                            <w:rPr>
                              <w:rFonts w:hint="eastAsia" w:ascii="宋体" w:hAnsi="宋体" w:eastAsia="宋体" w:cs="宋体"/>
                              <w:sz w:val="24"/>
                              <w:szCs w:val="40"/>
                            </w:rPr>
                            <w:t>1</w:t>
                          </w:r>
                          <w:r>
                            <w:rPr>
                              <w:rFonts w:hint="eastAsia" w:ascii="宋体" w:hAnsi="宋体" w:eastAsia="宋体" w:cs="宋体"/>
                              <w:sz w:val="24"/>
                              <w:szCs w:val="40"/>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2"/>
                      <w:rPr>
                        <w:rFonts w:hint="eastAsia" w:ascii="宋体" w:hAnsi="宋体" w:eastAsia="宋体" w:cs="宋体"/>
                        <w:sz w:val="24"/>
                        <w:szCs w:val="40"/>
                      </w:rPr>
                    </w:pPr>
                    <w:r>
                      <w:rPr>
                        <w:rFonts w:hint="eastAsia" w:ascii="宋体" w:hAnsi="宋体" w:eastAsia="宋体" w:cs="宋体"/>
                        <w:sz w:val="24"/>
                        <w:szCs w:val="40"/>
                      </w:rPr>
                      <w:fldChar w:fldCharType="begin"/>
                    </w:r>
                    <w:r>
                      <w:rPr>
                        <w:rFonts w:hint="eastAsia" w:ascii="宋体" w:hAnsi="宋体" w:eastAsia="宋体" w:cs="宋体"/>
                        <w:sz w:val="24"/>
                        <w:szCs w:val="40"/>
                      </w:rPr>
                      <w:instrText xml:space="preserve"> PAGE  \* MERGEFORMAT </w:instrText>
                    </w:r>
                    <w:r>
                      <w:rPr>
                        <w:rFonts w:hint="eastAsia" w:ascii="宋体" w:hAnsi="宋体" w:eastAsia="宋体" w:cs="宋体"/>
                        <w:sz w:val="24"/>
                        <w:szCs w:val="40"/>
                      </w:rPr>
                      <w:fldChar w:fldCharType="separate"/>
                    </w:r>
                    <w:r>
                      <w:rPr>
                        <w:rFonts w:hint="eastAsia" w:ascii="宋体" w:hAnsi="宋体" w:eastAsia="宋体" w:cs="宋体"/>
                        <w:sz w:val="24"/>
                        <w:szCs w:val="40"/>
                      </w:rPr>
                      <w:t>1</w:t>
                    </w:r>
                    <w:r>
                      <w:rPr>
                        <w:rFonts w:hint="eastAsia" w:ascii="宋体" w:hAnsi="宋体" w:eastAsia="宋体" w:cs="宋体"/>
                        <w:sz w:val="24"/>
                        <w:szCs w:val="40"/>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AD8937"/>
    <w:multiLevelType w:val="singleLevel"/>
    <w:tmpl w:val="F2AD8937"/>
    <w:lvl w:ilvl="0" w:tentative="0">
      <w:start w:val="1"/>
      <w:numFmt w:val="decimal"/>
      <w:suff w:val="space"/>
      <w:lvlText w:val="%1."/>
      <w:lvlJc w:val="left"/>
    </w:lvl>
  </w:abstractNum>
  <w:abstractNum w:abstractNumId="1">
    <w:nsid w:val="72666A50"/>
    <w:multiLevelType w:val="singleLevel"/>
    <w:tmpl w:val="72666A50"/>
    <w:lvl w:ilvl="0" w:tentative="0">
      <w:start w:val="1"/>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0B8"/>
    <w:rsid w:val="00030AE3"/>
    <w:rsid w:val="001160B8"/>
    <w:rsid w:val="002A6253"/>
    <w:rsid w:val="006C3AEB"/>
    <w:rsid w:val="008D1FEC"/>
    <w:rsid w:val="00B90C38"/>
    <w:rsid w:val="00D33F6D"/>
    <w:rsid w:val="00DF7BFC"/>
    <w:rsid w:val="00F86C5C"/>
    <w:rsid w:val="00FF4540"/>
    <w:rsid w:val="06AA1BA1"/>
    <w:rsid w:val="0EF56A7A"/>
    <w:rsid w:val="10C36704"/>
    <w:rsid w:val="10D66437"/>
    <w:rsid w:val="17FD074D"/>
    <w:rsid w:val="19882298"/>
    <w:rsid w:val="19C21C4E"/>
    <w:rsid w:val="1FDE67BE"/>
    <w:rsid w:val="215F5FD5"/>
    <w:rsid w:val="25891872"/>
    <w:rsid w:val="2A4B17EC"/>
    <w:rsid w:val="2B66014A"/>
    <w:rsid w:val="2B9176D3"/>
    <w:rsid w:val="2C9F40B9"/>
    <w:rsid w:val="2D8103D8"/>
    <w:rsid w:val="31F2397D"/>
    <w:rsid w:val="35646E1B"/>
    <w:rsid w:val="3A6F6E31"/>
    <w:rsid w:val="41F145CF"/>
    <w:rsid w:val="43A22025"/>
    <w:rsid w:val="467001B9"/>
    <w:rsid w:val="4F0911AA"/>
    <w:rsid w:val="5196493C"/>
    <w:rsid w:val="55D94803"/>
    <w:rsid w:val="590824D3"/>
    <w:rsid w:val="59875AED"/>
    <w:rsid w:val="5B295A1E"/>
    <w:rsid w:val="5C2A6C04"/>
    <w:rsid w:val="611834CF"/>
    <w:rsid w:val="6ED35507"/>
    <w:rsid w:val="755D4FA2"/>
    <w:rsid w:val="77E141FF"/>
    <w:rsid w:val="7FB8769F"/>
    <w:rsid w:val="7FE2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293</Words>
  <Characters>1674</Characters>
  <Lines>13</Lines>
  <Paragraphs>3</Paragraphs>
  <TotalTime>1</TotalTime>
  <ScaleCrop>false</ScaleCrop>
  <LinksUpToDate>false</LinksUpToDate>
  <CharactersWithSpaces>1964</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2026-07-14T16:47:00Z</dcterms:created>
  <dc:creator>Administrator</dc:creator>
  <cp:lastModifiedBy>user</cp:lastModifiedBy>
  <cp:lastPrinted>2026-07-16T09:03:00Z</cp:lastPrinted>
  <dcterms:modified xsi:type="dcterms:W3CDTF">2026-08-31T10:34:35Z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KSOTemplateDocerSaveRecord">
    <vt:lpwstr>eyJoZGlkIjoiNjhhODIzYjkzM2VkYjM1NTc4NTk5NjI0MzYyNGIyM2YiLCJ1c2VySWQiOiI1OTA3NjU0NjgifQ==</vt:lpwstr>
  </property>
  <property fmtid="{D5CDD505-2E9C-101B-9397-08002B2CF9AE}" pid="4" name="ICV">
    <vt:lpwstr>D379BE5227E840B1ADE4CF48C92CA6B3_12</vt:lpwstr>
  </property>
</Properties>
</file>