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BECABD">
      <w:pPr>
        <w:widowControl/>
        <w:autoSpaceDE w:val="0"/>
        <w:jc w:val="center"/>
        <w:rPr>
          <w:rFonts w:hint="eastAsia" w:ascii="方正小标宋简体" w:hAnsi="方正小标宋简体" w:eastAsia="方正小标宋简体" w:cs="方正小标宋简体"/>
          <w:color w:val="000000"/>
          <w:kern w:val="0"/>
          <w:sz w:val="44"/>
          <w:szCs w:val="44"/>
        </w:rPr>
      </w:pPr>
      <w:r>
        <w:rPr>
          <w:rFonts w:hint="eastAsia" w:ascii="方正小标宋简体" w:hAnsi="方正小标宋简体" w:eastAsia="方正小标宋简体" w:cs="方正小标宋简体"/>
          <w:color w:val="000000"/>
          <w:kern w:val="0"/>
          <w:sz w:val="44"/>
          <w:szCs w:val="44"/>
        </w:rPr>
        <w:t>北京市通州区雪茄烟专业店零售点</w:t>
      </w:r>
    </w:p>
    <w:p w14:paraId="2667AF07">
      <w:pPr>
        <w:widowControl/>
        <w:autoSpaceDE w:val="0"/>
        <w:jc w:val="center"/>
        <w:rPr>
          <w:rFonts w:hint="eastAsia" w:ascii="方正小标宋简体" w:hAnsi="方正小标宋简体" w:eastAsia="方正小标宋简体" w:cs="方正小标宋简体"/>
          <w:color w:val="000000"/>
          <w:kern w:val="0"/>
          <w:sz w:val="44"/>
          <w:szCs w:val="44"/>
        </w:rPr>
      </w:pPr>
      <w:r>
        <w:rPr>
          <w:rFonts w:hint="eastAsia" w:ascii="方正小标宋简体" w:hAnsi="方正小标宋简体" w:eastAsia="方正小标宋简体" w:cs="方正小标宋简体"/>
          <w:color w:val="000000"/>
          <w:kern w:val="0"/>
          <w:sz w:val="44"/>
          <w:szCs w:val="44"/>
        </w:rPr>
        <w:t>合理布局规定（征求意见稿）</w:t>
      </w:r>
    </w:p>
    <w:p w14:paraId="70B43706">
      <w:pPr>
        <w:widowControl/>
        <w:autoSpaceDE w:val="0"/>
        <w:jc w:val="center"/>
        <w:rPr>
          <w:rFonts w:hint="eastAsia" w:ascii="方正公文小标宋" w:hAnsi="方正公文小标宋" w:eastAsia="宋体" w:cs="Calibri"/>
          <w:color w:val="000000"/>
          <w:kern w:val="0"/>
          <w:sz w:val="18"/>
          <w:szCs w:val="18"/>
        </w:rPr>
      </w:pPr>
      <w:r>
        <w:rPr>
          <w:rFonts w:ascii="方正公文小标宋" w:hAnsi="方正公文小标宋" w:eastAsia="宋体" w:cs="Calibri"/>
          <w:color w:val="000000"/>
          <w:kern w:val="0"/>
          <w:sz w:val="44"/>
          <w:szCs w:val="44"/>
        </w:rPr>
        <w:t xml:space="preserve"> </w:t>
      </w:r>
    </w:p>
    <w:p w14:paraId="059490FF">
      <w:pPr>
        <w:autoSpaceDE w:val="0"/>
        <w:adjustRightInd w:val="0"/>
        <w:snapToGrid w:val="0"/>
        <w:contextualSpacing/>
        <w:jc w:val="center"/>
        <w:rPr>
          <w:rFonts w:hint="eastAsia" w:ascii="黑体" w:hAnsi="宋体" w:eastAsia="黑体" w:cs="Calibri"/>
          <w:color w:val="000000"/>
          <w:sz w:val="32"/>
          <w:szCs w:val="32"/>
        </w:rPr>
      </w:pPr>
      <w:r>
        <w:rPr>
          <w:rFonts w:hint="eastAsia" w:ascii="黑体" w:hAnsi="黑体" w:eastAsia="黑体" w:cs="Calibri"/>
          <w:color w:val="000000"/>
          <w:sz w:val="32"/>
          <w:szCs w:val="32"/>
        </w:rPr>
        <w:t>第一章</w:t>
      </w:r>
      <w:r>
        <w:rPr>
          <w:rFonts w:hint="eastAsia" w:ascii="黑体" w:hAnsi="宋体" w:eastAsia="黑体" w:cs="Calibri"/>
          <w:color w:val="000000"/>
          <w:sz w:val="32"/>
          <w:szCs w:val="32"/>
        </w:rPr>
        <w:t xml:space="preserve">  </w:t>
      </w:r>
      <w:r>
        <w:rPr>
          <w:rFonts w:hint="eastAsia" w:ascii="黑体" w:hAnsi="黑体" w:eastAsia="黑体" w:cs="Calibri"/>
          <w:kern w:val="0"/>
          <w:sz w:val="32"/>
          <w:szCs w:val="32"/>
        </w:rPr>
        <w:t>总  则</w:t>
      </w:r>
    </w:p>
    <w:p w14:paraId="7DF672A5">
      <w:pPr>
        <w:widowControl/>
        <w:shd w:val="clear" w:color="auto" w:fill="FFFFFF"/>
        <w:ind w:firstLine="640" w:firstLineChars="200"/>
        <w:jc w:val="left"/>
        <w:rPr>
          <w:rFonts w:hint="eastAsia" w:ascii="仿宋_GB2312" w:hAnsi="宋体" w:eastAsia="仿宋_GB2312" w:cs="宋体"/>
          <w:color w:val="000000"/>
          <w:kern w:val="0"/>
          <w:sz w:val="32"/>
          <w:szCs w:val="32"/>
        </w:rPr>
      </w:pPr>
      <w:bookmarkStart w:id="0" w:name="_Hlk215735740"/>
      <w:r>
        <w:rPr>
          <w:rFonts w:eastAsia="黑体"/>
          <w:sz w:val="32"/>
          <w:szCs w:val="32"/>
        </w:rPr>
        <w:t>第一条</w:t>
      </w:r>
      <w:bookmarkEnd w:id="0"/>
      <w:r>
        <w:rPr>
          <w:rFonts w:eastAsia="仿宋_GB2312"/>
          <w:sz w:val="32"/>
          <w:szCs w:val="32"/>
        </w:rPr>
        <w:t xml:space="preserve">  </w:t>
      </w:r>
      <w:r>
        <w:rPr>
          <w:rFonts w:hint="eastAsia" w:ascii="仿宋_GB2312" w:hAnsi="宋体" w:eastAsia="仿宋_GB2312" w:cs="宋体"/>
          <w:color w:val="000000"/>
          <w:kern w:val="0"/>
          <w:sz w:val="32"/>
          <w:szCs w:val="32"/>
        </w:rPr>
        <w:t>为加强雪茄烟专业店零售许可管理，规范雪茄烟零售市场秩序，保障国家利益和消费者利益，进一步优化辖区雪茄烟零售市场资源配置，促进雪茄烟零售市场健康、规范、有序、专业化发展，依据</w:t>
      </w:r>
      <w:r>
        <w:rPr>
          <w:rFonts w:ascii="仿宋_GB2312" w:hAnsi="宋体" w:eastAsia="仿宋_GB2312" w:cs="宋体"/>
          <w:color w:val="000000"/>
          <w:kern w:val="0"/>
          <w:sz w:val="32"/>
          <w:szCs w:val="32"/>
        </w:rPr>
        <w:t>《中华人民共和国行政许可法》《中华人民共和国烟草专卖法》《中华人民共和国烟草专卖法实施条例》《烟草专卖许可证管理办法》</w:t>
      </w:r>
      <w:r>
        <w:rPr>
          <w:rFonts w:hint="eastAsia" w:ascii="仿宋_GB2312" w:hAnsi="宋体" w:eastAsia="仿宋_GB2312" w:cs="宋体"/>
          <w:color w:val="000000"/>
          <w:kern w:val="0"/>
          <w:sz w:val="32"/>
          <w:szCs w:val="32"/>
        </w:rPr>
        <w:t>等法律、法规、规章和其</w:t>
      </w:r>
      <w:r>
        <w:rPr>
          <w:rFonts w:hint="eastAsia" w:ascii="仿宋_GB2312" w:hAnsi="宋体" w:eastAsia="仿宋_GB2312" w:cs="宋体"/>
          <w:kern w:val="0"/>
          <w:sz w:val="32"/>
          <w:szCs w:val="32"/>
        </w:rPr>
        <w:t>他规范性文件，结合本区实际，制定本规定。</w:t>
      </w:r>
    </w:p>
    <w:p w14:paraId="14A403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640" w:firstLineChars="200"/>
        <w:rPr>
          <w:rFonts w:ascii="Times New Roman" w:hAnsi="Times New Roman" w:eastAsia="仿宋_GB2312" w:cs="Times New Roman"/>
          <w:color w:val="000000"/>
          <w:kern w:val="0"/>
          <w:sz w:val="32"/>
          <w:szCs w:val="32"/>
        </w:rPr>
      </w:pPr>
      <w:r>
        <w:rPr>
          <w:rFonts w:eastAsia="黑体"/>
          <w:sz w:val="32"/>
          <w:szCs w:val="32"/>
        </w:rPr>
        <w:t>第</w:t>
      </w:r>
      <w:r>
        <w:rPr>
          <w:rFonts w:hint="eastAsia" w:eastAsia="黑体"/>
          <w:sz w:val="32"/>
          <w:szCs w:val="32"/>
        </w:rPr>
        <w:t>二</w:t>
      </w:r>
      <w:r>
        <w:rPr>
          <w:rFonts w:eastAsia="黑体"/>
          <w:sz w:val="32"/>
          <w:szCs w:val="32"/>
        </w:rPr>
        <w:t>条</w:t>
      </w:r>
      <w:r>
        <w:rPr>
          <w:rFonts w:hint="eastAsia" w:eastAsia="黑体"/>
          <w:sz w:val="32"/>
          <w:szCs w:val="32"/>
          <w:lang w:val="en-US" w:eastAsia="zh-CN"/>
        </w:rPr>
        <w:t xml:space="preserve">  </w:t>
      </w:r>
      <w:r>
        <w:rPr>
          <w:rFonts w:hint="eastAsia" w:ascii="Times New Roman" w:hAnsi="Times New Roman" w:eastAsia="仿宋_GB2312" w:cs="Times New Roman"/>
          <w:color w:val="000000"/>
          <w:kern w:val="0"/>
          <w:sz w:val="32"/>
          <w:szCs w:val="32"/>
        </w:rPr>
        <w:t>本规定所称雪茄烟专业店零售点是指依法取得烟草专卖零售许可证（仅限雪茄烟本店零售）的公民、法人及其他组织专门从事雪茄烟零售业务的固定经营场所。</w:t>
      </w:r>
    </w:p>
    <w:p w14:paraId="3CCDACD3">
      <w:pPr>
        <w:widowControl/>
        <w:tabs>
          <w:tab w:val="left" w:pos="3664"/>
          <w:tab w:val="left" w:pos="8244"/>
          <w:tab w:val="left" w:pos="9160"/>
          <w:tab w:val="left" w:pos="10076"/>
          <w:tab w:val="left" w:pos="10992"/>
          <w:tab w:val="left" w:pos="11908"/>
          <w:tab w:val="left" w:pos="12824"/>
          <w:tab w:val="left" w:pos="13740"/>
          <w:tab w:val="left" w:pos="14656"/>
        </w:tabs>
        <w:autoSpaceDE w:val="0"/>
        <w:ind w:firstLine="640" w:firstLineChars="200"/>
        <w:rPr>
          <w:rFonts w:hint="eastAsia" w:ascii="仿宋_GB2312" w:hAnsi="宋体" w:eastAsia="仿宋_GB2312" w:cs="宋体"/>
          <w:color w:val="000000"/>
          <w:kern w:val="0"/>
          <w:sz w:val="31"/>
          <w:szCs w:val="31"/>
        </w:rPr>
      </w:pPr>
      <w:r>
        <w:rPr>
          <w:rFonts w:eastAsia="黑体"/>
          <w:sz w:val="32"/>
          <w:szCs w:val="32"/>
        </w:rPr>
        <w:t>第</w:t>
      </w:r>
      <w:r>
        <w:rPr>
          <w:rFonts w:hint="eastAsia" w:eastAsia="黑体"/>
          <w:sz w:val="32"/>
          <w:szCs w:val="32"/>
        </w:rPr>
        <w:t>三</w:t>
      </w:r>
      <w:r>
        <w:rPr>
          <w:rFonts w:eastAsia="黑体"/>
          <w:sz w:val="32"/>
          <w:szCs w:val="32"/>
        </w:rPr>
        <w:t>条</w:t>
      </w:r>
      <w:r>
        <w:rPr>
          <w:rFonts w:hint="eastAsia" w:eastAsia="黑体"/>
          <w:sz w:val="32"/>
          <w:szCs w:val="32"/>
          <w:lang w:val="en-US" w:eastAsia="zh-CN"/>
        </w:rPr>
        <w:t xml:space="preserve">  </w:t>
      </w:r>
      <w:r>
        <w:rPr>
          <w:rFonts w:hint="eastAsia" w:ascii="仿宋_GB2312" w:hAnsi="宋体" w:eastAsia="仿宋_GB2312" w:cs="宋体"/>
          <w:color w:val="000000"/>
          <w:kern w:val="0"/>
          <w:sz w:val="32"/>
          <w:szCs w:val="32"/>
        </w:rPr>
        <w:t>本规定适用于北京市通州区行政区域内许可范围仅为雪茄烟本店零售的</w:t>
      </w:r>
      <w:r>
        <w:rPr>
          <w:rFonts w:hint="eastAsia" w:ascii="Times New Roman" w:hAnsi="Times New Roman" w:eastAsia="仿宋_GB2312" w:cs="Times New Roman"/>
          <w:color w:val="000000"/>
          <w:kern w:val="0"/>
          <w:sz w:val="32"/>
          <w:szCs w:val="32"/>
        </w:rPr>
        <w:t>雪茄烟专业店零售点</w:t>
      </w:r>
      <w:r>
        <w:rPr>
          <w:rFonts w:hint="eastAsia" w:ascii="仿宋_GB2312" w:hAnsi="宋体" w:eastAsia="仿宋_GB2312" w:cs="宋体"/>
          <w:color w:val="000000"/>
          <w:kern w:val="0"/>
          <w:sz w:val="32"/>
          <w:szCs w:val="32"/>
        </w:rPr>
        <w:t>布局管理。</w:t>
      </w:r>
    </w:p>
    <w:p w14:paraId="61775A15">
      <w:pPr>
        <w:autoSpaceDE w:val="0"/>
        <w:ind w:firstLine="640" w:firstLineChars="200"/>
        <w:rPr>
          <w:rFonts w:hint="eastAsia" w:ascii="仿宋_GB2312" w:hAnsi="宋体" w:eastAsia="仿宋_GB2312" w:cs="宋体"/>
          <w:kern w:val="0"/>
          <w:sz w:val="32"/>
          <w:szCs w:val="32"/>
        </w:rPr>
      </w:pPr>
      <w:r>
        <w:rPr>
          <w:rFonts w:eastAsia="黑体"/>
          <w:sz w:val="32"/>
          <w:szCs w:val="32"/>
        </w:rPr>
        <w:t>第</w:t>
      </w:r>
      <w:r>
        <w:rPr>
          <w:rFonts w:hint="eastAsia" w:eastAsia="黑体"/>
          <w:sz w:val="32"/>
          <w:szCs w:val="32"/>
        </w:rPr>
        <w:t>四</w:t>
      </w:r>
      <w:r>
        <w:rPr>
          <w:rFonts w:eastAsia="黑体"/>
          <w:sz w:val="32"/>
          <w:szCs w:val="32"/>
        </w:rPr>
        <w:t>条</w:t>
      </w:r>
      <w:r>
        <w:rPr>
          <w:rFonts w:hint="eastAsia" w:eastAsia="黑体"/>
          <w:sz w:val="32"/>
          <w:szCs w:val="32"/>
          <w:lang w:val="en-US" w:eastAsia="zh-CN"/>
        </w:rPr>
        <w:t xml:space="preserve">  </w:t>
      </w:r>
      <w:r>
        <w:rPr>
          <w:rFonts w:hint="eastAsia" w:ascii="仿宋_GB2312" w:hAnsi="宋体" w:eastAsia="仿宋_GB2312" w:cs="宋体"/>
          <w:kern w:val="0"/>
          <w:sz w:val="32"/>
          <w:szCs w:val="32"/>
        </w:rPr>
        <w:t>本规定遵循依法行政，总量管理，科学规划，服务社会，均衡发展，信赖保护，尊重市场，保护未成年人身心健康，保障雪茄烟零售市场主体合法权益等原则。</w:t>
      </w:r>
    </w:p>
    <w:p w14:paraId="0AEB5138">
      <w:pPr>
        <w:autoSpaceDE w:val="0"/>
        <w:ind w:firstLine="640" w:firstLineChars="200"/>
        <w:rPr>
          <w:rFonts w:hint="eastAsia" w:ascii="仿宋_GB2312" w:hAnsi="宋体" w:eastAsia="仿宋_GB2312" w:cs="宋体"/>
          <w:kern w:val="0"/>
          <w:sz w:val="32"/>
          <w:szCs w:val="32"/>
        </w:rPr>
      </w:pPr>
      <w:r>
        <w:rPr>
          <w:rFonts w:hint="eastAsia" w:eastAsia="黑体"/>
          <w:sz w:val="32"/>
          <w:szCs w:val="32"/>
        </w:rPr>
        <w:t>第五条</w:t>
      </w:r>
      <w:r>
        <w:rPr>
          <w:rFonts w:hint="eastAsia" w:eastAsia="黑体"/>
          <w:sz w:val="32"/>
          <w:szCs w:val="32"/>
          <w:lang w:val="en-US" w:eastAsia="zh-CN"/>
        </w:rPr>
        <w:t xml:space="preserve">  </w:t>
      </w:r>
      <w:r>
        <w:rPr>
          <w:rFonts w:hint="eastAsia" w:ascii="仿宋_GB2312" w:hAnsi="宋体" w:eastAsia="仿宋_GB2312" w:cs="Calibri"/>
          <w:color w:val="000000"/>
          <w:kern w:val="0"/>
          <w:sz w:val="32"/>
          <w:szCs w:val="32"/>
        </w:rPr>
        <w:t>雪茄烟专业店零</w:t>
      </w:r>
      <w:r>
        <w:rPr>
          <w:rFonts w:hint="eastAsia" w:ascii="仿宋_GB2312" w:hAnsi="宋体" w:eastAsia="仿宋_GB2312" w:cs="Calibri"/>
          <w:kern w:val="0"/>
          <w:sz w:val="32"/>
          <w:szCs w:val="32"/>
        </w:rPr>
        <w:t>售点与《北京市通州区烟草制品零售点合理布局规定》及《北京市电子烟零售点布局规划》</w:t>
      </w:r>
      <w:r>
        <w:rPr>
          <w:rFonts w:hint="eastAsia" w:ascii="仿宋_GB2312" w:hAnsi="宋体" w:eastAsia="仿宋_GB2312" w:cs="Calibri"/>
          <w:color w:val="000000"/>
          <w:kern w:val="0"/>
          <w:sz w:val="32"/>
          <w:szCs w:val="32"/>
        </w:rPr>
        <w:t>中所适用的零售点实行相互独立专项管理，互不作为总量及距离的参照物。</w:t>
      </w:r>
    </w:p>
    <w:p w14:paraId="52EDF604">
      <w:pPr>
        <w:autoSpaceDE w:val="0"/>
        <w:adjustRightInd w:val="0"/>
        <w:snapToGrid w:val="0"/>
        <w:contextualSpacing/>
        <w:jc w:val="center"/>
        <w:rPr>
          <w:rFonts w:hint="eastAsia" w:ascii="黑体" w:hAnsi="宋体" w:eastAsia="黑体" w:cs="Calibri"/>
          <w:color w:val="000000"/>
          <w:sz w:val="31"/>
          <w:szCs w:val="31"/>
        </w:rPr>
      </w:pPr>
      <w:r>
        <w:rPr>
          <w:rFonts w:hint="eastAsia" w:ascii="黑体" w:hAnsi="黑体" w:eastAsia="黑体" w:cs="Calibri"/>
          <w:color w:val="000000"/>
          <w:kern w:val="0"/>
          <w:sz w:val="32"/>
          <w:szCs w:val="32"/>
        </w:rPr>
        <w:t>第二章</w:t>
      </w:r>
      <w:r>
        <w:rPr>
          <w:rFonts w:hint="eastAsia" w:ascii="黑体" w:hAnsi="宋体" w:eastAsia="黑体" w:cs="Calibri"/>
          <w:color w:val="000000"/>
          <w:kern w:val="0"/>
          <w:sz w:val="32"/>
          <w:szCs w:val="32"/>
        </w:rPr>
        <w:t xml:space="preserve">  </w:t>
      </w:r>
      <w:r>
        <w:rPr>
          <w:rFonts w:hint="eastAsia" w:ascii="黑体" w:hAnsi="黑体" w:eastAsia="黑体" w:cs="Calibri"/>
          <w:color w:val="000000"/>
          <w:kern w:val="0"/>
          <w:sz w:val="32"/>
          <w:szCs w:val="32"/>
        </w:rPr>
        <w:t>布局标准</w:t>
      </w:r>
    </w:p>
    <w:p w14:paraId="4D869275">
      <w:pPr>
        <w:autoSpaceDE w:val="0"/>
        <w:ind w:firstLine="640" w:firstLineChars="200"/>
        <w:rPr>
          <w:rFonts w:hint="eastAsia" w:ascii="仿宋_GB2312" w:hAnsi="宋体" w:eastAsia="仿宋_GB2312" w:cs="Calibri"/>
          <w:kern w:val="0"/>
          <w:sz w:val="32"/>
          <w:szCs w:val="32"/>
        </w:rPr>
      </w:pPr>
      <w:r>
        <w:rPr>
          <w:rFonts w:hint="eastAsia" w:ascii="黑体" w:hAnsi="黑体" w:eastAsia="黑体" w:cs="黑体"/>
          <w:kern w:val="0"/>
          <w:sz w:val="32"/>
          <w:szCs w:val="32"/>
        </w:rPr>
        <w:t>第六条</w:t>
      </w:r>
      <w:r>
        <w:rPr>
          <w:rFonts w:hint="eastAsia" w:ascii="仿宋_GB2312" w:hAnsi="宋体" w:eastAsia="仿宋_GB2312" w:cs="Calibri"/>
          <w:kern w:val="0"/>
          <w:sz w:val="32"/>
          <w:szCs w:val="32"/>
        </w:rPr>
        <w:t xml:space="preserve">  雪茄烟专业店实行总量调控管理。本辖区零售点指导数量上限设定为60个，该数值依据辖区人口规模与结构、经济发展水平、市场消费需求等因素综合确定，并将根据实际情况适时评估与动态调整。当辖区在营零售点数量达到指导上限后，新增申请按照“退一进一”原则依次办理。</w:t>
      </w:r>
    </w:p>
    <w:p w14:paraId="5DF126B5">
      <w:pPr>
        <w:autoSpaceDE w:val="0"/>
        <w:ind w:firstLine="640" w:firstLineChars="200"/>
        <w:rPr>
          <w:rFonts w:hint="eastAsia" w:ascii="仿宋_GB2312" w:hAnsi="宋体" w:eastAsia="仿宋_GB2312" w:cs="Calibri"/>
          <w:kern w:val="0"/>
          <w:sz w:val="32"/>
          <w:szCs w:val="32"/>
        </w:rPr>
      </w:pPr>
      <w:r>
        <w:rPr>
          <w:rFonts w:hint="eastAsia" w:ascii="黑体" w:hAnsi="黑体" w:eastAsia="黑体" w:cs="黑体"/>
          <w:kern w:val="0"/>
          <w:sz w:val="32"/>
          <w:szCs w:val="32"/>
        </w:rPr>
        <w:t>第七条</w:t>
      </w:r>
      <w:r>
        <w:rPr>
          <w:rFonts w:hint="eastAsia" w:ascii="仿宋_GB2312" w:hAnsi="宋体" w:eastAsia="仿宋_GB2312" w:cs="Calibri"/>
          <w:kern w:val="0"/>
          <w:sz w:val="32"/>
          <w:szCs w:val="32"/>
        </w:rPr>
        <w:t xml:space="preserve">  申请设立雪茄烟专业店零售点应同时具备以下经营条件：</w:t>
      </w:r>
    </w:p>
    <w:p w14:paraId="45835650">
      <w:pPr>
        <w:autoSpaceDE w:val="0"/>
        <w:ind w:firstLine="640" w:firstLineChars="200"/>
        <w:rPr>
          <w:rFonts w:hint="eastAsia" w:ascii="仿宋_GB2312" w:hAnsi="宋体" w:eastAsia="仿宋_GB2312" w:cs="Calibri"/>
          <w:kern w:val="0"/>
          <w:sz w:val="32"/>
          <w:szCs w:val="32"/>
        </w:rPr>
      </w:pPr>
      <w:r>
        <w:rPr>
          <w:rFonts w:hint="eastAsia" w:ascii="仿宋_GB2312" w:hAnsi="宋体" w:eastAsia="仿宋_GB2312" w:cs="Calibri"/>
          <w:kern w:val="0"/>
          <w:sz w:val="32"/>
          <w:szCs w:val="32"/>
        </w:rPr>
        <w:t>（一）</w:t>
      </w:r>
      <w:r>
        <w:rPr>
          <w:rFonts w:hint="eastAsia" w:ascii="仿宋_GB2312" w:hAnsi="宋体" w:eastAsia="仿宋_GB2312" w:cs="Calibri"/>
          <w:kern w:val="0"/>
          <w:sz w:val="32"/>
          <w:szCs w:val="32"/>
          <w:lang w:val="en-US" w:eastAsia="zh-CN"/>
        </w:rPr>
        <w:t xml:space="preserve">  </w:t>
      </w:r>
      <w:r>
        <w:rPr>
          <w:rFonts w:hint="eastAsia" w:ascii="仿宋_GB2312" w:hAnsi="宋体" w:eastAsia="仿宋_GB2312" w:cs="Calibri"/>
          <w:kern w:val="0"/>
          <w:sz w:val="32"/>
          <w:szCs w:val="32"/>
        </w:rPr>
        <w:t>以雪茄烟零售为主营业务，同时经营其他配套业务的，应与雪茄烟零售业务有互补关系，包括但不限于会所、酒吧、茶室、咖啡店、俱乐部等；</w:t>
      </w:r>
    </w:p>
    <w:p w14:paraId="1727DDF3">
      <w:pPr>
        <w:autoSpaceDE w:val="0"/>
        <w:ind w:firstLine="640" w:firstLineChars="200"/>
        <w:rPr>
          <w:rFonts w:hint="eastAsia" w:ascii="仿宋_GB2312" w:hAnsi="宋体" w:eastAsia="仿宋_GB2312" w:cs="Calibri"/>
          <w:kern w:val="0"/>
          <w:sz w:val="32"/>
          <w:szCs w:val="32"/>
        </w:rPr>
      </w:pPr>
      <w:r>
        <w:rPr>
          <w:rFonts w:hint="eastAsia" w:ascii="仿宋_GB2312" w:hAnsi="宋体" w:eastAsia="仿宋_GB2312" w:cs="Calibri"/>
          <w:kern w:val="0"/>
          <w:sz w:val="32"/>
          <w:szCs w:val="32"/>
        </w:rPr>
        <w:t>（二）</w:t>
      </w:r>
      <w:r>
        <w:rPr>
          <w:rFonts w:hint="eastAsia" w:ascii="仿宋_GB2312" w:hAnsi="宋体" w:eastAsia="仿宋_GB2312" w:cs="Calibri"/>
          <w:kern w:val="0"/>
          <w:sz w:val="32"/>
          <w:szCs w:val="32"/>
          <w:lang w:val="en-US" w:eastAsia="zh-CN"/>
        </w:rPr>
        <w:t xml:space="preserve">  </w:t>
      </w:r>
      <w:r>
        <w:rPr>
          <w:rFonts w:hint="eastAsia" w:ascii="仿宋_GB2312" w:hAnsi="宋体" w:eastAsia="仿宋_GB2312" w:cs="Calibri"/>
          <w:kern w:val="0"/>
          <w:sz w:val="32"/>
          <w:szCs w:val="32"/>
        </w:rPr>
        <w:t>经营场所与住所相独立，实际经营面积达到80平方米以上；</w:t>
      </w:r>
    </w:p>
    <w:p w14:paraId="2AF8605F">
      <w:pPr>
        <w:autoSpaceDE w:val="0"/>
        <w:ind w:firstLine="640" w:firstLineChars="200"/>
        <w:rPr>
          <w:rFonts w:hint="eastAsia" w:ascii="仿宋_GB2312" w:hAnsi="宋体" w:eastAsia="仿宋_GB2312" w:cs="Calibri"/>
          <w:kern w:val="0"/>
          <w:sz w:val="32"/>
          <w:szCs w:val="32"/>
        </w:rPr>
      </w:pPr>
      <w:r>
        <w:rPr>
          <w:rFonts w:hint="eastAsia" w:ascii="仿宋_GB2312" w:hAnsi="宋体" w:eastAsia="仿宋_GB2312" w:cs="Calibri"/>
          <w:kern w:val="0"/>
          <w:sz w:val="32"/>
          <w:szCs w:val="32"/>
        </w:rPr>
        <w:t>（三）</w:t>
      </w:r>
      <w:r>
        <w:rPr>
          <w:rFonts w:hint="eastAsia" w:ascii="仿宋_GB2312" w:hAnsi="宋体" w:eastAsia="仿宋_GB2312" w:cs="Calibri"/>
          <w:kern w:val="0"/>
          <w:sz w:val="32"/>
          <w:szCs w:val="32"/>
          <w:lang w:val="en-US" w:eastAsia="zh-CN"/>
        </w:rPr>
        <w:t xml:space="preserve">  </w:t>
      </w:r>
      <w:r>
        <w:rPr>
          <w:rFonts w:hint="eastAsia" w:ascii="仿宋_GB2312" w:hAnsi="宋体" w:eastAsia="仿宋_GB2312" w:cs="Calibri"/>
          <w:kern w:val="0"/>
          <w:sz w:val="32"/>
          <w:szCs w:val="32"/>
        </w:rPr>
        <w:t>经营场所内具备5平方米以上专业恒温恒湿系统的独立雪茄房</w:t>
      </w:r>
      <w:bookmarkStart w:id="2" w:name="_GoBack"/>
      <w:bookmarkEnd w:id="2"/>
      <w:r>
        <w:rPr>
          <w:rFonts w:hint="eastAsia" w:ascii="仿宋_GB2312" w:hAnsi="宋体" w:eastAsia="仿宋_GB2312" w:cs="Calibri"/>
          <w:kern w:val="0"/>
          <w:sz w:val="32"/>
          <w:szCs w:val="32"/>
        </w:rPr>
        <w:t>或配备总容量600升以上的具有恒温恒湿功能的雪茄烟柜；</w:t>
      </w:r>
    </w:p>
    <w:p w14:paraId="233BCF01">
      <w:pPr>
        <w:widowControl/>
        <w:autoSpaceDE w:val="0"/>
        <w:ind w:firstLine="640" w:firstLineChars="200"/>
        <w:rPr>
          <w:rFonts w:hint="eastAsia" w:ascii="仿宋_GB2312" w:hAnsi="宋体" w:eastAsia="仿宋_GB2312" w:cs="Calibri"/>
          <w:kern w:val="0"/>
          <w:sz w:val="32"/>
          <w:szCs w:val="32"/>
        </w:rPr>
      </w:pPr>
      <w:r>
        <w:rPr>
          <w:rFonts w:hint="eastAsia" w:ascii="仿宋_GB2312" w:hAnsi="宋体" w:eastAsia="仿宋_GB2312" w:cs="Calibri"/>
          <w:kern w:val="0"/>
          <w:sz w:val="32"/>
          <w:szCs w:val="32"/>
        </w:rPr>
        <w:t>（四）</w:t>
      </w:r>
      <w:r>
        <w:rPr>
          <w:rFonts w:hint="eastAsia" w:ascii="仿宋_GB2312" w:hAnsi="宋体" w:eastAsia="仿宋_GB2312" w:cs="Calibri"/>
          <w:kern w:val="0"/>
          <w:sz w:val="32"/>
          <w:szCs w:val="32"/>
          <w:lang w:val="en-US" w:eastAsia="zh-CN"/>
        </w:rPr>
        <w:t xml:space="preserve">  </w:t>
      </w:r>
      <w:r>
        <w:rPr>
          <w:rFonts w:hint="eastAsia" w:ascii="仿宋_GB2312" w:hAnsi="宋体" w:eastAsia="仿宋_GB2312" w:cs="Calibri"/>
          <w:kern w:val="0"/>
          <w:sz w:val="32"/>
          <w:szCs w:val="32"/>
        </w:rPr>
        <w:t>符合法律法规规定的其他条件。</w:t>
      </w:r>
    </w:p>
    <w:p w14:paraId="123D8E3D">
      <w:pPr>
        <w:autoSpaceDE w:val="0"/>
        <w:ind w:firstLine="640" w:firstLineChars="200"/>
        <w:rPr>
          <w:rFonts w:hint="eastAsia" w:ascii="仿宋_GB2312" w:hAnsi="宋体" w:eastAsia="仿宋_GB2312" w:cs="Calibri"/>
          <w:kern w:val="0"/>
          <w:sz w:val="32"/>
          <w:szCs w:val="32"/>
        </w:rPr>
      </w:pPr>
      <w:r>
        <w:rPr>
          <w:rFonts w:hint="eastAsia" w:ascii="黑体" w:hAnsi="黑体" w:eastAsia="黑体" w:cs="Calibri"/>
          <w:kern w:val="0"/>
          <w:sz w:val="32"/>
          <w:szCs w:val="32"/>
        </w:rPr>
        <w:t>第八条</w:t>
      </w:r>
      <w:bookmarkStart w:id="1" w:name="_Hlk215734418"/>
      <w:r>
        <w:rPr>
          <w:rFonts w:hint="eastAsia" w:ascii="黑体" w:hAnsi="宋体" w:eastAsia="黑体" w:cs="Calibri"/>
          <w:kern w:val="0"/>
          <w:sz w:val="32"/>
          <w:szCs w:val="32"/>
        </w:rPr>
        <w:t xml:space="preserve">  </w:t>
      </w:r>
      <w:bookmarkEnd w:id="1"/>
      <w:r>
        <w:rPr>
          <w:rFonts w:hint="eastAsia" w:ascii="仿宋_GB2312" w:hAnsi="宋体" w:eastAsia="仿宋_GB2312" w:cs="Calibri"/>
          <w:kern w:val="0"/>
          <w:sz w:val="32"/>
          <w:szCs w:val="32"/>
        </w:rPr>
        <w:t>有下列情形之一的，不予发放雪茄烟专业店的烟草专卖零售许可证：</w:t>
      </w:r>
    </w:p>
    <w:p w14:paraId="3F124730">
      <w:pPr>
        <w:autoSpaceDE w:val="0"/>
        <w:ind w:firstLine="640" w:firstLineChars="200"/>
        <w:rPr>
          <w:rFonts w:hint="eastAsia" w:ascii="仿宋_GB2312" w:hAnsi="宋体" w:eastAsia="仿宋_GB2312" w:cs="Calibri"/>
          <w:kern w:val="0"/>
          <w:sz w:val="32"/>
          <w:szCs w:val="32"/>
        </w:rPr>
      </w:pPr>
      <w:r>
        <w:rPr>
          <w:rFonts w:hint="eastAsia" w:ascii="仿宋_GB2312" w:hAnsi="宋体" w:eastAsia="仿宋_GB2312" w:cs="Calibri"/>
          <w:kern w:val="0"/>
          <w:sz w:val="32"/>
          <w:szCs w:val="32"/>
        </w:rPr>
        <w:t>（一）</w:t>
      </w:r>
      <w:r>
        <w:rPr>
          <w:rFonts w:hint="eastAsia" w:ascii="仿宋_GB2312" w:hAnsi="宋体" w:eastAsia="仿宋_GB2312" w:cs="Calibri"/>
          <w:kern w:val="0"/>
          <w:sz w:val="32"/>
          <w:szCs w:val="32"/>
          <w:lang w:val="en-US" w:eastAsia="zh-CN"/>
        </w:rPr>
        <w:t xml:space="preserve">  </w:t>
      </w:r>
      <w:r>
        <w:rPr>
          <w:rFonts w:hint="eastAsia" w:ascii="仿宋_GB2312" w:hAnsi="宋体" w:eastAsia="仿宋_GB2312" w:cs="Calibri"/>
          <w:kern w:val="0"/>
          <w:sz w:val="32"/>
          <w:szCs w:val="32"/>
        </w:rPr>
        <w:t>申请人为外商投资的商业企业或者个体工商户从事烟草专卖品零售业务的，或以特许、吸纳加盟店及其他再投资等形式变相从事烟草专卖品经营的；</w:t>
      </w:r>
    </w:p>
    <w:p w14:paraId="54426D04">
      <w:pPr>
        <w:widowControl/>
        <w:autoSpaceDE w:val="0"/>
        <w:ind w:firstLine="640" w:firstLineChars="200"/>
        <w:rPr>
          <w:rFonts w:hint="eastAsia" w:ascii="仿宋_GB2312" w:hAnsi="宋体" w:eastAsia="仿宋_GB2312" w:cs="Calibri"/>
          <w:color w:val="000000"/>
          <w:kern w:val="0"/>
          <w:sz w:val="32"/>
          <w:szCs w:val="32"/>
        </w:rPr>
      </w:pPr>
      <w:r>
        <w:rPr>
          <w:rFonts w:hint="eastAsia" w:ascii="仿宋_GB2312" w:hAnsi="宋体" w:eastAsia="仿宋_GB2312" w:cs="Calibri"/>
          <w:color w:val="000000"/>
          <w:kern w:val="0"/>
          <w:sz w:val="32"/>
          <w:szCs w:val="32"/>
        </w:rPr>
        <w:t>（二）</w:t>
      </w:r>
      <w:r>
        <w:rPr>
          <w:rFonts w:hint="eastAsia" w:ascii="仿宋_GB2312" w:hAnsi="宋体" w:eastAsia="仿宋_GB2312" w:cs="Calibri"/>
          <w:color w:val="000000"/>
          <w:kern w:val="0"/>
          <w:sz w:val="32"/>
          <w:szCs w:val="32"/>
          <w:lang w:val="en-US" w:eastAsia="zh-CN"/>
        </w:rPr>
        <w:t xml:space="preserve">  </w:t>
      </w:r>
      <w:r>
        <w:rPr>
          <w:rFonts w:hint="eastAsia" w:ascii="仿宋_GB2312" w:hAnsi="宋体" w:eastAsia="仿宋_GB2312" w:cs="Calibri"/>
          <w:color w:val="000000"/>
          <w:kern w:val="0"/>
          <w:sz w:val="32"/>
          <w:szCs w:val="32"/>
        </w:rPr>
        <w:t>无固定经营场所或经营场所与住所不相独立的；</w:t>
      </w:r>
    </w:p>
    <w:p w14:paraId="4A0DE105">
      <w:pPr>
        <w:widowControl/>
        <w:autoSpaceDE w:val="0"/>
        <w:ind w:firstLine="640" w:firstLineChars="200"/>
        <w:rPr>
          <w:rFonts w:hint="eastAsia" w:ascii="仿宋_GB2312" w:hAnsi="宋体" w:eastAsia="仿宋_GB2312" w:cs="Calibri"/>
          <w:color w:val="000000"/>
          <w:kern w:val="0"/>
          <w:sz w:val="32"/>
          <w:szCs w:val="32"/>
        </w:rPr>
      </w:pPr>
      <w:r>
        <w:rPr>
          <w:rFonts w:hint="eastAsia" w:ascii="仿宋_GB2312" w:hAnsi="宋体" w:eastAsia="仿宋_GB2312" w:cs="Calibri"/>
          <w:color w:val="000000"/>
          <w:kern w:val="0"/>
          <w:sz w:val="32"/>
          <w:szCs w:val="32"/>
        </w:rPr>
        <w:t>（三）</w:t>
      </w:r>
      <w:r>
        <w:rPr>
          <w:rFonts w:hint="eastAsia" w:ascii="仿宋_GB2312" w:hAnsi="宋体" w:eastAsia="仿宋_GB2312" w:cs="Calibri"/>
          <w:color w:val="000000"/>
          <w:kern w:val="0"/>
          <w:sz w:val="32"/>
          <w:szCs w:val="32"/>
          <w:lang w:val="en-US" w:eastAsia="zh-CN"/>
        </w:rPr>
        <w:t xml:space="preserve">  </w:t>
      </w:r>
      <w:r>
        <w:rPr>
          <w:rFonts w:hint="eastAsia" w:ascii="仿宋_GB2312" w:hAnsi="宋体" w:eastAsia="仿宋_GB2312" w:cs="Calibri"/>
          <w:color w:val="000000"/>
          <w:kern w:val="0"/>
          <w:sz w:val="32"/>
          <w:szCs w:val="32"/>
        </w:rPr>
        <w:t>同一经营场所已办理烟草专卖零售许可证的；</w:t>
      </w:r>
    </w:p>
    <w:p w14:paraId="7CA150DB">
      <w:pPr>
        <w:widowControl/>
        <w:autoSpaceDE w:val="0"/>
        <w:ind w:firstLine="640" w:firstLineChars="200"/>
        <w:rPr>
          <w:rFonts w:hint="eastAsia" w:ascii="仿宋_GB2312" w:hAnsi="宋体" w:eastAsia="仿宋_GB2312" w:cs="Calibri"/>
          <w:color w:val="000000"/>
          <w:kern w:val="0"/>
          <w:sz w:val="32"/>
          <w:szCs w:val="32"/>
        </w:rPr>
      </w:pPr>
      <w:r>
        <w:rPr>
          <w:rFonts w:hint="eastAsia" w:ascii="仿宋_GB2312" w:hAnsi="宋体" w:eastAsia="仿宋_GB2312" w:cs="Calibri"/>
          <w:color w:val="000000"/>
          <w:kern w:val="0"/>
          <w:sz w:val="32"/>
          <w:szCs w:val="32"/>
        </w:rPr>
        <w:t>（四）</w:t>
      </w:r>
      <w:r>
        <w:rPr>
          <w:rFonts w:hint="eastAsia" w:ascii="仿宋_GB2312" w:hAnsi="宋体" w:eastAsia="仿宋_GB2312" w:cs="Calibri"/>
          <w:color w:val="000000"/>
          <w:kern w:val="0"/>
          <w:sz w:val="32"/>
          <w:szCs w:val="32"/>
          <w:lang w:val="en-US" w:eastAsia="zh-CN"/>
        </w:rPr>
        <w:t xml:space="preserve">  </w:t>
      </w:r>
      <w:r>
        <w:rPr>
          <w:rFonts w:hint="eastAsia" w:ascii="仿宋_GB2312" w:hAnsi="宋体" w:eastAsia="仿宋_GB2312" w:cs="Calibri"/>
          <w:color w:val="000000"/>
          <w:kern w:val="0"/>
          <w:sz w:val="32"/>
          <w:szCs w:val="32"/>
        </w:rPr>
        <w:t>经营场所位于中小学校、幼儿园、少年宫内部及其100米以内的；</w:t>
      </w:r>
    </w:p>
    <w:p w14:paraId="02BFD325">
      <w:pPr>
        <w:widowControl/>
        <w:autoSpaceDE w:val="0"/>
        <w:ind w:firstLine="640" w:firstLineChars="200"/>
        <w:rPr>
          <w:rFonts w:hint="eastAsia" w:ascii="仿宋_GB2312" w:hAnsi="宋体" w:eastAsia="仿宋_GB2312" w:cs="Calibri"/>
          <w:color w:val="000000"/>
          <w:kern w:val="0"/>
          <w:sz w:val="32"/>
          <w:szCs w:val="32"/>
        </w:rPr>
      </w:pPr>
      <w:r>
        <w:rPr>
          <w:rFonts w:hint="eastAsia" w:ascii="仿宋_GB2312" w:hAnsi="宋体" w:eastAsia="仿宋_GB2312" w:cs="Calibri"/>
          <w:color w:val="000000"/>
          <w:kern w:val="0"/>
          <w:sz w:val="32"/>
          <w:szCs w:val="32"/>
        </w:rPr>
        <w:t>（五）</w:t>
      </w:r>
      <w:r>
        <w:rPr>
          <w:rFonts w:hint="eastAsia" w:ascii="仿宋_GB2312" w:hAnsi="宋体" w:eastAsia="仿宋_GB2312" w:cs="Calibri"/>
          <w:color w:val="000000"/>
          <w:kern w:val="0"/>
          <w:sz w:val="32"/>
          <w:szCs w:val="32"/>
          <w:lang w:val="en-US" w:eastAsia="zh-CN"/>
        </w:rPr>
        <w:t xml:space="preserve">  </w:t>
      </w:r>
      <w:r>
        <w:rPr>
          <w:rFonts w:hint="eastAsia" w:ascii="仿宋_GB2312" w:hAnsi="宋体" w:eastAsia="仿宋_GB2312" w:cs="Calibri"/>
          <w:color w:val="000000"/>
          <w:kern w:val="0"/>
          <w:sz w:val="32"/>
          <w:szCs w:val="32"/>
        </w:rPr>
        <w:t>经营场所基于安全因素不适用经营雪茄烟的；</w:t>
      </w:r>
    </w:p>
    <w:p w14:paraId="1FADF44C">
      <w:pPr>
        <w:widowControl/>
        <w:autoSpaceDE w:val="0"/>
        <w:ind w:firstLine="640" w:firstLineChars="200"/>
        <w:rPr>
          <w:rFonts w:hint="eastAsia" w:ascii="仿宋_GB2312" w:hAnsi="宋体" w:eastAsia="仿宋_GB2312" w:cs="Calibri"/>
          <w:color w:val="000000"/>
          <w:kern w:val="0"/>
          <w:sz w:val="32"/>
          <w:szCs w:val="32"/>
        </w:rPr>
      </w:pPr>
      <w:r>
        <w:rPr>
          <w:rFonts w:hint="eastAsia" w:ascii="仿宋_GB2312" w:hAnsi="宋体" w:eastAsia="仿宋_GB2312" w:cs="Calibri"/>
          <w:color w:val="000000"/>
          <w:kern w:val="0"/>
          <w:sz w:val="32"/>
          <w:szCs w:val="32"/>
        </w:rPr>
        <w:t>（六）</w:t>
      </w:r>
      <w:r>
        <w:rPr>
          <w:rFonts w:hint="eastAsia" w:ascii="仿宋_GB2312" w:hAnsi="宋体" w:eastAsia="仿宋_GB2312" w:cs="Calibri"/>
          <w:color w:val="000000"/>
          <w:kern w:val="0"/>
          <w:sz w:val="32"/>
          <w:szCs w:val="32"/>
          <w:lang w:val="en-US" w:eastAsia="zh-CN"/>
        </w:rPr>
        <w:t xml:space="preserve">  </w:t>
      </w:r>
      <w:r>
        <w:rPr>
          <w:rFonts w:hint="eastAsia" w:ascii="仿宋_GB2312" w:hAnsi="宋体" w:eastAsia="仿宋_GB2312" w:cs="Calibri"/>
          <w:color w:val="000000"/>
          <w:kern w:val="0"/>
          <w:sz w:val="32"/>
          <w:szCs w:val="32"/>
        </w:rPr>
        <w:t>经营场所不对公众开放或不能自由进出的；</w:t>
      </w:r>
    </w:p>
    <w:p w14:paraId="462CB62F">
      <w:pPr>
        <w:widowControl/>
        <w:autoSpaceDE w:val="0"/>
        <w:ind w:firstLine="640" w:firstLineChars="200"/>
        <w:rPr>
          <w:rFonts w:hint="eastAsia" w:ascii="仿宋_GB2312" w:hAnsi="宋体" w:eastAsia="仿宋_GB2312" w:cs="Calibri"/>
          <w:color w:val="000000"/>
          <w:kern w:val="0"/>
          <w:sz w:val="32"/>
          <w:szCs w:val="32"/>
        </w:rPr>
      </w:pPr>
      <w:r>
        <w:rPr>
          <w:rFonts w:hint="eastAsia" w:ascii="仿宋_GB2312" w:hAnsi="宋体" w:eastAsia="仿宋_GB2312" w:cs="Calibri"/>
          <w:color w:val="000000"/>
          <w:kern w:val="0"/>
          <w:sz w:val="32"/>
          <w:szCs w:val="32"/>
        </w:rPr>
        <w:t>（七）</w:t>
      </w:r>
      <w:r>
        <w:rPr>
          <w:rFonts w:hint="eastAsia" w:ascii="仿宋_GB2312" w:hAnsi="宋体" w:eastAsia="仿宋_GB2312" w:cs="Calibri"/>
          <w:color w:val="000000"/>
          <w:kern w:val="0"/>
          <w:sz w:val="32"/>
          <w:szCs w:val="32"/>
          <w:lang w:val="en-US" w:eastAsia="zh-CN"/>
        </w:rPr>
        <w:t xml:space="preserve">  </w:t>
      </w:r>
      <w:r>
        <w:rPr>
          <w:rFonts w:hint="eastAsia" w:ascii="仿宋_GB2312" w:hAnsi="宋体" w:eastAsia="仿宋_GB2312" w:cs="Calibri"/>
          <w:color w:val="000000"/>
          <w:kern w:val="0"/>
          <w:sz w:val="32"/>
          <w:szCs w:val="32"/>
        </w:rPr>
        <w:t>利用自动售货机或者其他自动售货形式销售或者变相销售烟草制品的；</w:t>
      </w:r>
    </w:p>
    <w:p w14:paraId="072D7545">
      <w:pPr>
        <w:widowControl/>
        <w:autoSpaceDE w:val="0"/>
        <w:ind w:firstLine="640" w:firstLineChars="200"/>
        <w:rPr>
          <w:rFonts w:hint="eastAsia" w:ascii="仿宋_GB2312" w:hAnsi="宋体" w:eastAsia="仿宋_GB2312" w:cs="Calibri"/>
          <w:color w:val="000000"/>
          <w:kern w:val="0"/>
          <w:sz w:val="32"/>
          <w:szCs w:val="32"/>
        </w:rPr>
      </w:pPr>
      <w:r>
        <w:rPr>
          <w:rFonts w:hint="eastAsia" w:ascii="仿宋_GB2312" w:hAnsi="宋体" w:eastAsia="仿宋_GB2312" w:cs="Calibri"/>
          <w:color w:val="000000"/>
          <w:kern w:val="0"/>
          <w:sz w:val="32"/>
          <w:szCs w:val="32"/>
        </w:rPr>
        <w:t>（八）</w:t>
      </w:r>
      <w:r>
        <w:rPr>
          <w:rFonts w:hint="eastAsia" w:ascii="仿宋_GB2312" w:hAnsi="宋体" w:eastAsia="仿宋_GB2312" w:cs="Calibri"/>
          <w:color w:val="000000"/>
          <w:kern w:val="0"/>
          <w:sz w:val="32"/>
          <w:szCs w:val="32"/>
          <w:lang w:val="en-US" w:eastAsia="zh-CN"/>
        </w:rPr>
        <w:t xml:space="preserve">  </w:t>
      </w:r>
      <w:r>
        <w:rPr>
          <w:rFonts w:hint="eastAsia" w:ascii="仿宋_GB2312" w:hAnsi="宋体" w:eastAsia="仿宋_GB2312" w:cs="Calibri"/>
          <w:color w:val="000000"/>
          <w:kern w:val="0"/>
          <w:sz w:val="32"/>
          <w:szCs w:val="32"/>
        </w:rPr>
        <w:t>利用网络销售烟草专卖品的；</w:t>
      </w:r>
    </w:p>
    <w:p w14:paraId="1B87EFCD">
      <w:pPr>
        <w:widowControl/>
        <w:autoSpaceDE w:val="0"/>
        <w:ind w:firstLine="640" w:firstLineChars="200"/>
        <w:rPr>
          <w:rFonts w:hint="eastAsia" w:ascii="仿宋_GB2312" w:hAnsi="宋体" w:eastAsia="仿宋_GB2312" w:cs="Calibri"/>
          <w:color w:val="000000"/>
          <w:kern w:val="0"/>
          <w:sz w:val="32"/>
          <w:szCs w:val="32"/>
        </w:rPr>
      </w:pPr>
      <w:r>
        <w:rPr>
          <w:rFonts w:hint="eastAsia" w:ascii="仿宋_GB2312" w:hAnsi="宋体" w:eastAsia="仿宋_GB2312" w:cs="Calibri"/>
          <w:color w:val="000000"/>
          <w:kern w:val="0"/>
          <w:sz w:val="32"/>
          <w:szCs w:val="32"/>
        </w:rPr>
        <w:t>（九）</w:t>
      </w:r>
      <w:r>
        <w:rPr>
          <w:rFonts w:hint="eastAsia" w:ascii="仿宋_GB2312" w:hAnsi="宋体" w:eastAsia="仿宋_GB2312" w:cs="Calibri"/>
          <w:color w:val="000000"/>
          <w:kern w:val="0"/>
          <w:sz w:val="32"/>
          <w:szCs w:val="32"/>
          <w:lang w:val="en-US" w:eastAsia="zh-CN"/>
        </w:rPr>
        <w:t xml:space="preserve">  </w:t>
      </w:r>
      <w:r>
        <w:rPr>
          <w:rFonts w:hint="eastAsia" w:ascii="仿宋_GB2312" w:hAnsi="宋体" w:eastAsia="仿宋_GB2312" w:cs="Calibri"/>
          <w:color w:val="000000"/>
          <w:kern w:val="0"/>
          <w:sz w:val="32"/>
          <w:szCs w:val="32"/>
        </w:rPr>
        <w:t>其他不符合</w:t>
      </w:r>
      <w:r>
        <w:rPr>
          <w:rFonts w:hint="eastAsia" w:ascii="仿宋_GB2312" w:hAnsi="宋体" w:eastAsia="仿宋_GB2312" w:cs="Calibri"/>
          <w:kern w:val="0"/>
          <w:sz w:val="32"/>
          <w:szCs w:val="32"/>
        </w:rPr>
        <w:t>法律、法规、规章及政策规定的</w:t>
      </w:r>
      <w:r>
        <w:rPr>
          <w:rFonts w:hint="eastAsia" w:ascii="仿宋_GB2312" w:hAnsi="宋体" w:eastAsia="仿宋_GB2312" w:cs="Calibri"/>
          <w:color w:val="000000"/>
          <w:kern w:val="0"/>
          <w:sz w:val="32"/>
          <w:szCs w:val="32"/>
        </w:rPr>
        <w:t>情形。</w:t>
      </w:r>
    </w:p>
    <w:p w14:paraId="44E29BE8">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Calibri"/>
          <w:color w:val="000000"/>
          <w:kern w:val="0"/>
          <w:sz w:val="32"/>
          <w:szCs w:val="32"/>
        </w:rPr>
        <w:t>第九条</w:t>
      </w:r>
      <w:r>
        <w:rPr>
          <w:rFonts w:hint="eastAsia" w:ascii="黑体" w:hAnsi="黑体" w:eastAsia="黑体" w:cs="Calibri"/>
          <w:color w:val="000000"/>
          <w:kern w:val="0"/>
          <w:sz w:val="32"/>
          <w:szCs w:val="32"/>
          <w:lang w:val="en-US" w:eastAsia="zh-CN"/>
        </w:rPr>
        <w:t xml:space="preserve">  </w:t>
      </w:r>
      <w:r>
        <w:rPr>
          <w:rFonts w:hint="eastAsia" w:ascii="仿宋_GB2312" w:hAnsi="仿宋_GB2312" w:eastAsia="仿宋_GB2312" w:cs="仿宋_GB2312"/>
          <w:sz w:val="32"/>
          <w:szCs w:val="32"/>
          <w:shd w:val="clear" w:color="auto" w:fill="FFFFFF"/>
        </w:rPr>
        <w:t>特殊情形</w:t>
      </w:r>
    </w:p>
    <w:p w14:paraId="4959840B">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具有下列情形之一，需重新申领的，经核实后，可按“以一换一”的原则办理：</w:t>
      </w:r>
    </w:p>
    <w:p w14:paraId="63FCDB80">
      <w:pPr>
        <w:widowControl/>
        <w:numPr>
          <w:ilvl w:val="0"/>
          <w:numId w:val="1"/>
        </w:numPr>
        <w:autoSpaceDE w:val="0"/>
        <w:ind w:firstLine="640" w:firstLineChars="200"/>
        <w:rPr>
          <w:rFonts w:hint="eastAsia" w:ascii="仿宋_GB2312" w:hAnsi="宋体" w:eastAsia="仿宋_GB2312" w:cs="Calibri"/>
          <w:color w:val="000000"/>
          <w:kern w:val="0"/>
          <w:sz w:val="32"/>
          <w:szCs w:val="32"/>
        </w:rPr>
      </w:pPr>
      <w:r>
        <w:rPr>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因道路规划、城市建设、中小学校及幼儿园新建或扩建等客观原因，造成无法在原核定地址经营</w:t>
      </w:r>
      <w:r>
        <w:rPr>
          <w:rFonts w:hint="eastAsia" w:ascii="仿宋_GB2312" w:hAnsi="宋体" w:eastAsia="仿宋_GB2312" w:cs="Calibri"/>
          <w:color w:val="000000"/>
          <w:kern w:val="0"/>
          <w:sz w:val="32"/>
          <w:szCs w:val="32"/>
        </w:rPr>
        <w:t>的</w:t>
      </w:r>
      <w:r>
        <w:rPr>
          <w:rFonts w:hint="eastAsia" w:ascii="仿宋_GB2312" w:hAnsi="仿宋_GB2312" w:eastAsia="仿宋_GB2312" w:cs="仿宋_GB2312"/>
          <w:sz w:val="32"/>
          <w:szCs w:val="32"/>
          <w:shd w:val="clear" w:color="auto" w:fill="FFFFFF"/>
        </w:rPr>
        <w:t>；</w:t>
      </w:r>
    </w:p>
    <w:p w14:paraId="69D08028">
      <w:pPr>
        <w:numPr>
          <w:ilvl w:val="0"/>
          <w:numId w:val="1"/>
        </w:num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经营主体为自然人，因原持证人死亡或丧失民事行为能力，其家庭成员需在原经营地址继续经营的；</w:t>
      </w:r>
    </w:p>
    <w:p w14:paraId="30C5D0C2">
      <w:pPr>
        <w:numPr>
          <w:ilvl w:val="0"/>
          <w:numId w:val="1"/>
        </w:numPr>
        <w:ind w:firstLine="640" w:firstLineChars="200"/>
        <w:rPr>
          <w:rFonts w:hint="eastAsia" w:ascii="仿宋_GB2312" w:hAnsi="宋体" w:eastAsia="仿宋_GB2312" w:cs="宋体"/>
          <w:color w:val="000000"/>
          <w:kern w:val="0"/>
          <w:sz w:val="32"/>
          <w:szCs w:val="32"/>
        </w:rPr>
      </w:pPr>
      <w:r>
        <w:rPr>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经营主体类型发生变化，原持证人需在原经营地址继续经营的。</w:t>
      </w:r>
    </w:p>
    <w:p w14:paraId="1D407DAB">
      <w:pPr>
        <w:widowControl/>
        <w:autoSpaceDE w:val="0"/>
        <w:ind w:firstLine="640" w:firstLineChars="200"/>
        <w:rPr>
          <w:rFonts w:hint="eastAsia" w:ascii="仿宋_GB2312" w:hAnsi="宋体" w:eastAsia="仿宋_GB2312" w:cs="Calibri"/>
          <w:color w:val="000000"/>
          <w:kern w:val="0"/>
          <w:sz w:val="32"/>
          <w:szCs w:val="32"/>
        </w:rPr>
      </w:pPr>
      <w:r>
        <w:rPr>
          <w:rFonts w:hint="eastAsia" w:ascii="黑体" w:hAnsi="黑体" w:eastAsia="黑体" w:cs="黑体"/>
          <w:color w:val="000000"/>
          <w:kern w:val="0"/>
          <w:sz w:val="32"/>
          <w:szCs w:val="32"/>
        </w:rPr>
        <w:t>第十条</w:t>
      </w:r>
      <w:r>
        <w:rPr>
          <w:rFonts w:hint="eastAsia" w:ascii="黑体" w:hAnsi="黑体" w:eastAsia="黑体" w:cs="黑体"/>
          <w:color w:val="000000"/>
          <w:kern w:val="0"/>
          <w:sz w:val="32"/>
          <w:szCs w:val="32"/>
          <w:lang w:val="en-US" w:eastAsia="zh-CN"/>
        </w:rPr>
        <w:t xml:space="preserve">  </w:t>
      </w:r>
      <w:r>
        <w:rPr>
          <w:rFonts w:hint="eastAsia" w:ascii="仿宋_GB2312" w:hAnsi="宋体" w:eastAsia="仿宋_GB2312" w:cs="Calibri"/>
          <w:color w:val="000000"/>
          <w:kern w:val="0"/>
          <w:sz w:val="32"/>
          <w:szCs w:val="32"/>
        </w:rPr>
        <w:t>本规定雪茄烟专业店零售点与中小学校、幼儿园、少年宫之间的距离测量规则参照《北京市通州区烟草制品零售点合理布局规定》执行。</w:t>
      </w:r>
    </w:p>
    <w:p w14:paraId="76D58411">
      <w:pPr>
        <w:widowControl/>
        <w:autoSpaceDE w:val="0"/>
        <w:ind w:firstLine="640" w:firstLineChars="200"/>
        <w:rPr>
          <w:rFonts w:hint="eastAsia" w:ascii="仿宋_GB2312" w:hAnsi="宋体" w:eastAsia="仿宋_GB2312" w:cs="Calibri"/>
          <w:color w:val="000000"/>
          <w:kern w:val="0"/>
          <w:sz w:val="32"/>
          <w:szCs w:val="32"/>
        </w:rPr>
      </w:pPr>
      <w:r>
        <w:rPr>
          <w:rFonts w:hint="eastAsia" w:ascii="黑体" w:hAnsi="黑体" w:eastAsia="黑体" w:cs="黑体"/>
          <w:color w:val="000000"/>
          <w:kern w:val="0"/>
          <w:sz w:val="32"/>
          <w:szCs w:val="32"/>
        </w:rPr>
        <w:t>第十一条</w:t>
      </w:r>
      <w:r>
        <w:rPr>
          <w:rFonts w:hint="eastAsia" w:ascii="黑体" w:hAnsi="黑体" w:eastAsia="黑体" w:cs="黑体"/>
          <w:color w:val="000000"/>
          <w:kern w:val="0"/>
          <w:sz w:val="32"/>
          <w:szCs w:val="32"/>
          <w:lang w:val="en-US" w:eastAsia="zh-CN"/>
        </w:rPr>
        <w:t xml:space="preserve">  </w:t>
      </w:r>
      <w:r>
        <w:rPr>
          <w:rFonts w:hint="eastAsia" w:ascii="仿宋_GB2312" w:hAnsi="宋体" w:eastAsia="仿宋_GB2312" w:cs="Calibri"/>
          <w:color w:val="000000"/>
          <w:kern w:val="0"/>
          <w:sz w:val="32"/>
          <w:szCs w:val="32"/>
        </w:rPr>
        <w:t>专营雪茄烟零售业务的持证户申请变更许可范围，兼营或专营其他烟草制品零售业务的，应当符合《北京市通州区烟草制品零售点合理布局规定》。在办理变更后，从雪茄烟专业店零售点数量中核减。兼营或专营烟草制品零售业务的持证户申请变更许可范围为仅专营雪茄烟零售业务的，应当符合本规定。</w:t>
      </w:r>
    </w:p>
    <w:p w14:paraId="6297E420">
      <w:pPr>
        <w:widowControl/>
        <w:autoSpaceDE w:val="0"/>
        <w:ind w:firstLine="640" w:firstLineChars="200"/>
        <w:jc w:val="center"/>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第三章  附  则</w:t>
      </w:r>
    </w:p>
    <w:p w14:paraId="7E8DBC51">
      <w:pPr>
        <w:keepNext w:val="0"/>
        <w:keepLines w:val="0"/>
        <w:pageBreakBefore w:val="0"/>
        <w:widowControl/>
        <w:kinsoku/>
        <w:wordWrap/>
        <w:overflowPunct/>
        <w:topLinePunct w:val="0"/>
        <w:autoSpaceDE w:val="0"/>
        <w:autoSpaceDN/>
        <w:bidi w:val="0"/>
        <w:adjustRightInd/>
        <w:snapToGrid/>
        <w:ind w:firstLine="640" w:firstLineChars="200"/>
        <w:textAlignment w:val="auto"/>
        <w:rPr>
          <w:rFonts w:hint="eastAsia" w:ascii="仿宋_GB2312" w:hAnsi="宋体" w:eastAsia="仿宋_GB2312" w:cs="Calibri"/>
          <w:color w:val="000000"/>
          <w:kern w:val="0"/>
          <w:sz w:val="32"/>
          <w:szCs w:val="32"/>
        </w:rPr>
      </w:pPr>
      <w:r>
        <w:rPr>
          <w:rFonts w:hint="eastAsia" w:ascii="黑体" w:hAnsi="黑体" w:eastAsia="黑体" w:cs="黑体"/>
          <w:color w:val="000000"/>
          <w:kern w:val="0"/>
          <w:sz w:val="32"/>
          <w:szCs w:val="32"/>
        </w:rPr>
        <w:t>第十二条</w:t>
      </w:r>
      <w:r>
        <w:rPr>
          <w:rFonts w:hint="eastAsia" w:ascii="黑体" w:hAnsi="黑体" w:eastAsia="黑体" w:cs="黑体"/>
          <w:color w:val="000000"/>
          <w:kern w:val="0"/>
          <w:sz w:val="32"/>
          <w:szCs w:val="32"/>
          <w:lang w:val="en-US" w:eastAsia="zh-CN"/>
        </w:rPr>
        <w:t xml:space="preserve">  </w:t>
      </w:r>
      <w:r>
        <w:rPr>
          <w:rFonts w:hint="eastAsia" w:ascii="仿宋_GB2312" w:hAnsi="宋体" w:eastAsia="仿宋_GB2312" w:cs="Calibri"/>
          <w:color w:val="000000"/>
          <w:kern w:val="0"/>
          <w:sz w:val="32"/>
          <w:szCs w:val="32"/>
        </w:rPr>
        <w:t>本规定中涉及的“以上”“上限”包含本数。</w:t>
      </w:r>
    </w:p>
    <w:p w14:paraId="14F10D0D">
      <w:pPr>
        <w:keepNext w:val="0"/>
        <w:keepLines w:val="0"/>
        <w:pageBreakBefore w:val="0"/>
        <w:widowControl/>
        <w:kinsoku/>
        <w:wordWrap/>
        <w:overflowPunct/>
        <w:topLinePunct w:val="0"/>
        <w:autoSpaceDE w:val="0"/>
        <w:autoSpaceDN/>
        <w:bidi w:val="0"/>
        <w:adjustRightInd/>
        <w:snapToGrid/>
        <w:ind w:firstLine="640" w:firstLineChars="200"/>
        <w:textAlignment w:val="auto"/>
        <w:rPr>
          <w:rFonts w:hint="eastAsia" w:ascii="仿宋_GB2312" w:hAnsi="宋体" w:eastAsia="仿宋_GB2312" w:cs="Calibri"/>
          <w:color w:val="000000"/>
          <w:kern w:val="0"/>
          <w:sz w:val="32"/>
          <w:szCs w:val="32"/>
        </w:rPr>
      </w:pPr>
      <w:r>
        <w:rPr>
          <w:rFonts w:hint="eastAsia" w:ascii="黑体" w:hAnsi="黑体" w:eastAsia="黑体" w:cs="黑体"/>
          <w:color w:val="000000"/>
          <w:kern w:val="0"/>
          <w:sz w:val="32"/>
          <w:szCs w:val="32"/>
        </w:rPr>
        <w:t>第十三条</w:t>
      </w:r>
      <w:r>
        <w:rPr>
          <w:rFonts w:hint="eastAsia" w:ascii="黑体" w:hAnsi="黑体" w:eastAsia="黑体" w:cs="黑体"/>
          <w:color w:val="000000"/>
          <w:kern w:val="0"/>
          <w:sz w:val="32"/>
          <w:szCs w:val="32"/>
          <w:lang w:val="en-US" w:eastAsia="zh-CN"/>
        </w:rPr>
        <w:t xml:space="preserve">  </w:t>
      </w:r>
      <w:r>
        <w:rPr>
          <w:rFonts w:hint="eastAsia" w:ascii="仿宋_GB2312" w:hAnsi="宋体" w:eastAsia="仿宋_GB2312" w:cs="Calibri"/>
          <w:color w:val="000000"/>
          <w:kern w:val="0"/>
          <w:sz w:val="32"/>
          <w:szCs w:val="32"/>
        </w:rPr>
        <w:t>本规定由北京市通州区烟草专卖局负责解释。本规定实施过程中，法律、法规、规章和其他规范性文件另有规定的，从其规定。遇本规定与上级文件不一致的，以上级文件规定为准。</w:t>
      </w:r>
    </w:p>
    <w:p w14:paraId="096B62E6">
      <w:pPr>
        <w:widowControl/>
        <w:autoSpaceDE w:val="0"/>
        <w:ind w:firstLine="640" w:firstLineChars="200"/>
        <w:rPr>
          <w:rFonts w:hint="eastAsia" w:ascii="仿宋_GB2312" w:hAnsi="宋体" w:eastAsia="仿宋_GB2312" w:cs="Calibri"/>
          <w:color w:val="000000"/>
          <w:kern w:val="0"/>
          <w:sz w:val="32"/>
          <w:szCs w:val="32"/>
        </w:rPr>
      </w:pPr>
      <w:r>
        <w:rPr>
          <w:rFonts w:hint="eastAsia" w:ascii="黑体" w:hAnsi="黑体" w:eastAsia="黑体" w:cs="黑体"/>
          <w:color w:val="000000"/>
          <w:kern w:val="0"/>
          <w:sz w:val="32"/>
          <w:szCs w:val="32"/>
        </w:rPr>
        <w:t>第十四条</w:t>
      </w:r>
      <w:r>
        <w:rPr>
          <w:rFonts w:hint="eastAsia" w:ascii="黑体" w:hAnsi="黑体" w:eastAsia="黑体" w:cs="黑体"/>
          <w:color w:val="000000"/>
          <w:kern w:val="0"/>
          <w:sz w:val="32"/>
          <w:szCs w:val="32"/>
          <w:lang w:val="en-US" w:eastAsia="zh-CN"/>
        </w:rPr>
        <w:t xml:space="preserve">  </w:t>
      </w:r>
      <w:r>
        <w:rPr>
          <w:rFonts w:hint="eastAsia" w:ascii="仿宋_GB2312" w:hAnsi="宋体" w:eastAsia="仿宋_GB2312" w:cs="Calibri"/>
          <w:color w:val="000000"/>
          <w:kern w:val="0"/>
          <w:sz w:val="32"/>
          <w:szCs w:val="32"/>
        </w:rPr>
        <w:t>本规定自2026年X月X日起施行。</w:t>
      </w:r>
    </w:p>
    <w:sectPr>
      <w:headerReference r:id="rId3" w:type="default"/>
      <w:footerReference r:id="rId4" w:type="default"/>
      <w:footerReference r:id="rId5" w:type="even"/>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F2E37DD-50A9-4DA7-97C0-7F06BC94327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1CE48FB6-FA67-4E66-8C84-05F6D5470A8D}"/>
  </w:font>
  <w:font w:name="等线">
    <w:panose1 w:val="02010600030101010101"/>
    <w:charset w:val="86"/>
    <w:family w:val="auto"/>
    <w:pitch w:val="default"/>
    <w:sig w:usb0="A00002BF" w:usb1="38CF7CFA" w:usb2="00000016" w:usb3="00000000" w:csb0="0004000F" w:csb1="00000000"/>
    <w:embedRegular r:id="rId3" w:fontKey="{955D5211-114A-4DFD-8E9E-7A11BFF98363}"/>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embedRegular r:id="rId4" w:fontKey="{8FA887F2-98E7-4CFD-8B29-CD915253F568}"/>
  </w:font>
  <w:font w:name="方正公文小标宋">
    <w:panose1 w:val="02000500000000000000"/>
    <w:charset w:val="86"/>
    <w:family w:val="auto"/>
    <w:pitch w:val="default"/>
    <w:sig w:usb0="A00002BF" w:usb1="38CF7CFA" w:usb2="00000016" w:usb3="00000000" w:csb0="00040001" w:csb1="00000000"/>
    <w:embedRegular r:id="rId5" w:fontKey="{C353F40B-20AA-4219-BD06-5A504FC689B4}"/>
  </w:font>
  <w:font w:name="仿宋_GB2312">
    <w:panose1 w:val="02010609030101010101"/>
    <w:charset w:val="86"/>
    <w:family w:val="modern"/>
    <w:pitch w:val="default"/>
    <w:sig w:usb0="00000001" w:usb1="080E0000" w:usb2="00000000" w:usb3="00000000" w:csb0="00040000" w:csb1="00000000"/>
    <w:embedRegular r:id="rId6" w:fontKey="{4F4B5B6E-426C-4781-AA52-3F60A4F4B1D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04860698"/>
    </w:sdtPr>
    <w:sdtEndPr>
      <w:rPr>
        <w:rFonts w:ascii="宋体" w:hAnsi="宋体" w:eastAsia="宋体"/>
        <w:sz w:val="28"/>
        <w:szCs w:val="28"/>
      </w:rPr>
    </w:sdtEndPr>
    <w:sdtContent>
      <w:p w14:paraId="172D2FD7">
        <w:pPr>
          <w:pStyle w:val="11"/>
          <w:jc w:val="right"/>
          <w:rPr>
            <w:rFonts w:hint="eastAsia"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sdtContent>
  </w:sdt>
  <w:p w14:paraId="4783CBAA">
    <w:pPr>
      <w:pStyle w:val="11"/>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7037289"/>
    </w:sdtPr>
    <w:sdtContent>
      <w:p w14:paraId="1DC8DDEB">
        <w:pPr>
          <w:pStyle w:val="11"/>
          <w:rPr>
            <w:rFonts w:hint="eastAsia"/>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sdtContent>
  </w:sdt>
  <w:p w14:paraId="6E3A21D4">
    <w:pPr>
      <w:pStyle w:val="11"/>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07AB4">
    <w:pPr>
      <w:pStyle w:val="12"/>
      <w:jc w:val="left"/>
      <w:rPr>
        <w:rFonts w:hint="eastAsia" w:ascii="黑体" w:hAnsi="黑体" w:eastAsia="黑体"/>
        <w:b/>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2678D7"/>
    <w:multiLevelType w:val="singleLevel"/>
    <w:tmpl w:val="9F2678D7"/>
    <w:lvl w:ilvl="0" w:tentative="0">
      <w:start w:val="1"/>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TrueTypeFonts/>
  <w:saveSubsetFonts/>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374"/>
    <w:rsid w:val="00022B80"/>
    <w:rsid w:val="00030AE3"/>
    <w:rsid w:val="000D72F3"/>
    <w:rsid w:val="000E62F3"/>
    <w:rsid w:val="001A4716"/>
    <w:rsid w:val="002C26AE"/>
    <w:rsid w:val="0031239A"/>
    <w:rsid w:val="003124EA"/>
    <w:rsid w:val="0039210E"/>
    <w:rsid w:val="00441939"/>
    <w:rsid w:val="004A60B0"/>
    <w:rsid w:val="004F5AFC"/>
    <w:rsid w:val="005044B5"/>
    <w:rsid w:val="00562106"/>
    <w:rsid w:val="00582E23"/>
    <w:rsid w:val="005B569A"/>
    <w:rsid w:val="005E2D02"/>
    <w:rsid w:val="00611841"/>
    <w:rsid w:val="006510B0"/>
    <w:rsid w:val="006D3663"/>
    <w:rsid w:val="007542CF"/>
    <w:rsid w:val="00772893"/>
    <w:rsid w:val="007B4FF1"/>
    <w:rsid w:val="00844374"/>
    <w:rsid w:val="008D1FEC"/>
    <w:rsid w:val="008F60D9"/>
    <w:rsid w:val="00A6154E"/>
    <w:rsid w:val="00B02569"/>
    <w:rsid w:val="00B561ED"/>
    <w:rsid w:val="00BB5E7C"/>
    <w:rsid w:val="00C175F1"/>
    <w:rsid w:val="00C21536"/>
    <w:rsid w:val="00D522F3"/>
    <w:rsid w:val="00D80604"/>
    <w:rsid w:val="00D95AC4"/>
    <w:rsid w:val="00DB6B65"/>
    <w:rsid w:val="00DC7F0C"/>
    <w:rsid w:val="00E8408A"/>
    <w:rsid w:val="00F22DE0"/>
    <w:rsid w:val="00F7494A"/>
    <w:rsid w:val="00FB27D7"/>
    <w:rsid w:val="01255120"/>
    <w:rsid w:val="01E21263"/>
    <w:rsid w:val="029307AF"/>
    <w:rsid w:val="02C72207"/>
    <w:rsid w:val="02D037B2"/>
    <w:rsid w:val="03DF1EFE"/>
    <w:rsid w:val="04B64F53"/>
    <w:rsid w:val="050D4849"/>
    <w:rsid w:val="05B62611"/>
    <w:rsid w:val="076F3599"/>
    <w:rsid w:val="077F7F72"/>
    <w:rsid w:val="079B72E5"/>
    <w:rsid w:val="081606E4"/>
    <w:rsid w:val="08697B9A"/>
    <w:rsid w:val="089F7EAE"/>
    <w:rsid w:val="0B7164E3"/>
    <w:rsid w:val="0CCA3020"/>
    <w:rsid w:val="0CD143AE"/>
    <w:rsid w:val="0E2624D8"/>
    <w:rsid w:val="0E4932EC"/>
    <w:rsid w:val="0F1A028E"/>
    <w:rsid w:val="0F3B3A34"/>
    <w:rsid w:val="0F930041"/>
    <w:rsid w:val="106F0166"/>
    <w:rsid w:val="11522C9B"/>
    <w:rsid w:val="11863AC0"/>
    <w:rsid w:val="123168AA"/>
    <w:rsid w:val="131B2827"/>
    <w:rsid w:val="13992D15"/>
    <w:rsid w:val="13DD5D2E"/>
    <w:rsid w:val="15C42D02"/>
    <w:rsid w:val="15E909BB"/>
    <w:rsid w:val="16B72867"/>
    <w:rsid w:val="176A1687"/>
    <w:rsid w:val="179E57D5"/>
    <w:rsid w:val="17FE5302"/>
    <w:rsid w:val="18932E60"/>
    <w:rsid w:val="18DC18AA"/>
    <w:rsid w:val="18E45469"/>
    <w:rsid w:val="19D83220"/>
    <w:rsid w:val="1B2358C5"/>
    <w:rsid w:val="1C9E61ED"/>
    <w:rsid w:val="1E0A3BC4"/>
    <w:rsid w:val="1E992CF1"/>
    <w:rsid w:val="20BE47F2"/>
    <w:rsid w:val="226118D9"/>
    <w:rsid w:val="22FD3CF7"/>
    <w:rsid w:val="23266E18"/>
    <w:rsid w:val="23FE7D27"/>
    <w:rsid w:val="24341D04"/>
    <w:rsid w:val="24822393"/>
    <w:rsid w:val="249A0C51"/>
    <w:rsid w:val="25227A45"/>
    <w:rsid w:val="26467763"/>
    <w:rsid w:val="26A60202"/>
    <w:rsid w:val="26D1483F"/>
    <w:rsid w:val="276C31F9"/>
    <w:rsid w:val="28577A06"/>
    <w:rsid w:val="29194CBB"/>
    <w:rsid w:val="295B52D4"/>
    <w:rsid w:val="2A420242"/>
    <w:rsid w:val="2A506E02"/>
    <w:rsid w:val="2B373B1E"/>
    <w:rsid w:val="2BE710A1"/>
    <w:rsid w:val="2C192CF1"/>
    <w:rsid w:val="2C251BC9"/>
    <w:rsid w:val="2D0568E8"/>
    <w:rsid w:val="2E312AA7"/>
    <w:rsid w:val="2EFA733D"/>
    <w:rsid w:val="2EFC30B5"/>
    <w:rsid w:val="2FC516F9"/>
    <w:rsid w:val="2FD91648"/>
    <w:rsid w:val="2FE75B13"/>
    <w:rsid w:val="302D0419"/>
    <w:rsid w:val="30491204"/>
    <w:rsid w:val="30E038CF"/>
    <w:rsid w:val="328C72C2"/>
    <w:rsid w:val="32CC7242"/>
    <w:rsid w:val="33D16C01"/>
    <w:rsid w:val="35373099"/>
    <w:rsid w:val="3578720D"/>
    <w:rsid w:val="358E07DF"/>
    <w:rsid w:val="36401AD9"/>
    <w:rsid w:val="37CC6130"/>
    <w:rsid w:val="38BB18EB"/>
    <w:rsid w:val="398E34A3"/>
    <w:rsid w:val="39A3578F"/>
    <w:rsid w:val="3A540249"/>
    <w:rsid w:val="3A775CE5"/>
    <w:rsid w:val="3AD82C28"/>
    <w:rsid w:val="3BB05953"/>
    <w:rsid w:val="3CAF5C0A"/>
    <w:rsid w:val="3D5D5666"/>
    <w:rsid w:val="3E570308"/>
    <w:rsid w:val="3E693B97"/>
    <w:rsid w:val="3EB72B54"/>
    <w:rsid w:val="3ED71449"/>
    <w:rsid w:val="3F5D36FC"/>
    <w:rsid w:val="3F9966FE"/>
    <w:rsid w:val="3FF75270"/>
    <w:rsid w:val="423F17DF"/>
    <w:rsid w:val="42463FFC"/>
    <w:rsid w:val="424678AA"/>
    <w:rsid w:val="44EE4DF6"/>
    <w:rsid w:val="44FA19ED"/>
    <w:rsid w:val="45C142B9"/>
    <w:rsid w:val="46004DE1"/>
    <w:rsid w:val="483D40CA"/>
    <w:rsid w:val="487877F8"/>
    <w:rsid w:val="49667651"/>
    <w:rsid w:val="4AE63307"/>
    <w:rsid w:val="4C0373D9"/>
    <w:rsid w:val="4D435D1E"/>
    <w:rsid w:val="4D5679DC"/>
    <w:rsid w:val="4D7367E0"/>
    <w:rsid w:val="4DA846DC"/>
    <w:rsid w:val="4F1B0EDE"/>
    <w:rsid w:val="4F7E55F7"/>
    <w:rsid w:val="4FAA35A0"/>
    <w:rsid w:val="4FF37764"/>
    <w:rsid w:val="506863A4"/>
    <w:rsid w:val="52181704"/>
    <w:rsid w:val="524C0C63"/>
    <w:rsid w:val="52711F4D"/>
    <w:rsid w:val="52ED0DE3"/>
    <w:rsid w:val="534D53DE"/>
    <w:rsid w:val="5371731E"/>
    <w:rsid w:val="54212AF2"/>
    <w:rsid w:val="54BA6AA3"/>
    <w:rsid w:val="54CF07A0"/>
    <w:rsid w:val="54D43F62"/>
    <w:rsid w:val="560426CB"/>
    <w:rsid w:val="570A1F63"/>
    <w:rsid w:val="587A0A23"/>
    <w:rsid w:val="595400BC"/>
    <w:rsid w:val="59945B14"/>
    <w:rsid w:val="59F36CDF"/>
    <w:rsid w:val="5A490FF5"/>
    <w:rsid w:val="5A72688B"/>
    <w:rsid w:val="5BDC19F5"/>
    <w:rsid w:val="5C661155"/>
    <w:rsid w:val="5C6C2D78"/>
    <w:rsid w:val="5C7D4F86"/>
    <w:rsid w:val="5CBB785C"/>
    <w:rsid w:val="5CD77371"/>
    <w:rsid w:val="5D1C02FB"/>
    <w:rsid w:val="5D891708"/>
    <w:rsid w:val="5D8F6D1E"/>
    <w:rsid w:val="5DE50D1C"/>
    <w:rsid w:val="5E512226"/>
    <w:rsid w:val="5EDA221B"/>
    <w:rsid w:val="5EF62DCD"/>
    <w:rsid w:val="60732927"/>
    <w:rsid w:val="61DC62AA"/>
    <w:rsid w:val="63A04400"/>
    <w:rsid w:val="63B401A2"/>
    <w:rsid w:val="63CF256B"/>
    <w:rsid w:val="65183A9D"/>
    <w:rsid w:val="6558008C"/>
    <w:rsid w:val="65FE0EE5"/>
    <w:rsid w:val="66173D55"/>
    <w:rsid w:val="66AC7883"/>
    <w:rsid w:val="687E630D"/>
    <w:rsid w:val="68BA526B"/>
    <w:rsid w:val="68F465CF"/>
    <w:rsid w:val="690A7BA1"/>
    <w:rsid w:val="69561038"/>
    <w:rsid w:val="6A890F99"/>
    <w:rsid w:val="6AB2229E"/>
    <w:rsid w:val="6C3A254B"/>
    <w:rsid w:val="6D1014FE"/>
    <w:rsid w:val="6D8A12B0"/>
    <w:rsid w:val="6DAF6F69"/>
    <w:rsid w:val="6DB6210A"/>
    <w:rsid w:val="6E137FB4"/>
    <w:rsid w:val="6E9028F6"/>
    <w:rsid w:val="6EFA6397"/>
    <w:rsid w:val="701A2DBF"/>
    <w:rsid w:val="70B63307"/>
    <w:rsid w:val="71A768D5"/>
    <w:rsid w:val="724D5513"/>
    <w:rsid w:val="72897D89"/>
    <w:rsid w:val="73FF111A"/>
    <w:rsid w:val="748C3B60"/>
    <w:rsid w:val="74F55BA9"/>
    <w:rsid w:val="755B7F82"/>
    <w:rsid w:val="75870269"/>
    <w:rsid w:val="75EF43A6"/>
    <w:rsid w:val="76EE5395"/>
    <w:rsid w:val="776E1C43"/>
    <w:rsid w:val="77811976"/>
    <w:rsid w:val="790A0743"/>
    <w:rsid w:val="790C1713"/>
    <w:rsid w:val="79F20909"/>
    <w:rsid w:val="7C7F3FAA"/>
    <w:rsid w:val="7D6E474B"/>
    <w:rsid w:val="7DC47E0B"/>
    <w:rsid w:val="7F7D2A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2F5597" w:themeColor="accent1" w:themeShade="BF"/>
      <w:sz w:val="24"/>
      <w:szCs w:val="24"/>
    </w:rPr>
  </w:style>
  <w:style w:type="paragraph" w:styleId="7">
    <w:name w:val="heading 6"/>
    <w:basedOn w:val="1"/>
    <w:next w:val="1"/>
    <w:link w:val="23"/>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4"/>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jc w:val="left"/>
    </w:pPr>
    <w:rPr>
      <w:sz w:val="18"/>
      <w:szCs w:val="18"/>
    </w:rPr>
  </w:style>
  <w:style w:type="paragraph" w:styleId="12">
    <w:name w:val="header"/>
    <w:basedOn w:val="1"/>
    <w:link w:val="36"/>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8"/>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6">
    <w:name w:val="Table Grid"/>
    <w:basedOn w:val="1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标题 1 字符"/>
    <w:basedOn w:val="17"/>
    <w:link w:val="2"/>
    <w:qFormat/>
    <w:uiPriority w:val="9"/>
    <w:rPr>
      <w:rFonts w:asciiTheme="majorHAnsi" w:hAnsiTheme="majorHAnsi" w:eastAsiaTheme="majorEastAsia" w:cstheme="majorBidi"/>
      <w:color w:val="2F5597"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1">
    <w:name w:val="标题 4 字符"/>
    <w:basedOn w:val="17"/>
    <w:link w:val="5"/>
    <w:semiHidden/>
    <w:qFormat/>
    <w:uiPriority w:val="9"/>
    <w:rPr>
      <w:rFonts w:cstheme="majorBidi"/>
      <w:color w:val="2F5597" w:themeColor="accent1" w:themeShade="BF"/>
      <w:sz w:val="28"/>
      <w:szCs w:val="28"/>
    </w:rPr>
  </w:style>
  <w:style w:type="character" w:customStyle="1" w:styleId="22">
    <w:name w:val="标题 5 字符"/>
    <w:basedOn w:val="17"/>
    <w:link w:val="6"/>
    <w:semiHidden/>
    <w:qFormat/>
    <w:uiPriority w:val="9"/>
    <w:rPr>
      <w:rFonts w:cstheme="majorBidi"/>
      <w:color w:val="2F5597" w:themeColor="accent1" w:themeShade="BF"/>
      <w:sz w:val="24"/>
      <w:szCs w:val="24"/>
    </w:rPr>
  </w:style>
  <w:style w:type="character" w:customStyle="1" w:styleId="23">
    <w:name w:val="标题 6 字符"/>
    <w:basedOn w:val="17"/>
    <w:link w:val="7"/>
    <w:semiHidden/>
    <w:qFormat/>
    <w:uiPriority w:val="9"/>
    <w:rPr>
      <w:rFonts w:cstheme="majorBidi"/>
      <w:b/>
      <w:bCs/>
      <w:color w:val="2F5597"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明显强调1"/>
    <w:basedOn w:val="17"/>
    <w:qFormat/>
    <w:uiPriority w:val="21"/>
    <w:rPr>
      <w:i/>
      <w:iCs/>
      <w:color w:val="2F5597" w:themeColor="accent1" w:themeShade="BF"/>
    </w:rPr>
  </w:style>
  <w:style w:type="paragraph" w:styleId="33">
    <w:name w:val="Intense Quote"/>
    <w:basedOn w:val="1"/>
    <w:next w:val="1"/>
    <w:link w:val="34"/>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4">
    <w:name w:val="明显引用 字符"/>
    <w:basedOn w:val="17"/>
    <w:link w:val="33"/>
    <w:qFormat/>
    <w:uiPriority w:val="30"/>
    <w:rPr>
      <w:i/>
      <w:iCs/>
      <w:color w:val="2F5597" w:themeColor="accent1" w:themeShade="BF"/>
    </w:rPr>
  </w:style>
  <w:style w:type="character" w:customStyle="1" w:styleId="35">
    <w:name w:val="明显参考1"/>
    <w:basedOn w:val="17"/>
    <w:qFormat/>
    <w:uiPriority w:val="32"/>
    <w:rPr>
      <w:b/>
      <w:bCs/>
      <w:smallCaps/>
      <w:color w:val="2F5597" w:themeColor="accent1" w:themeShade="BF"/>
      <w:spacing w:val="5"/>
    </w:rPr>
  </w:style>
  <w:style w:type="character" w:customStyle="1" w:styleId="36">
    <w:name w:val="页眉 字符"/>
    <w:basedOn w:val="17"/>
    <w:link w:val="12"/>
    <w:qFormat/>
    <w:uiPriority w:val="99"/>
    <w:rPr>
      <w:sz w:val="18"/>
      <w:szCs w:val="18"/>
    </w:rPr>
  </w:style>
  <w:style w:type="character" w:customStyle="1" w:styleId="37">
    <w:name w:val="页脚 字符"/>
    <w:basedOn w:val="17"/>
    <w:link w:val="11"/>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ad63cc4b-4f67-4f17-b001-46ac2e222995</errorID>
      <errorWord> </errorWord>
      <group>L1_Punc</group>
      <groupName>标点问题</groupName>
      <ability>L2_Punc</ability>
      <abilityName>标点符号检查</abilityName>
      <candidateList>
        <item/>
      </candidateList>
      <explain>此处空格冗余，建议删除。</explain>
      <paraID>63FCDB80</paraID>
      <start>0</start>
      <end>1</end>
      <status>unmodified</status>
      <modifiedWord/>
      <trackRevisions>false</trackRevisions>
    </reviewItem>
    <reviewItem>
      <errorID>f4a1cd76-a910-4866-a7ee-1f73c03532d9</errorID>
      <errorWord>雪茄烟</errorWord>
      <group>L1_Word</group>
      <groupName>字词问题</groupName>
      <ability>L2_Typo</ability>
      <abilityName>字词错误</abilityName>
      <candidateList>
        <item>中雪茄烟</item>
      </candidateList>
      <explain/>
      <paraID>1D407DAB</paraID>
      <start>8</start>
      <end>11</end>
      <status>unmodified</status>
      <modifiedWord/>
      <trackRevisions>false</trackRevisions>
    </reviewItem>
    <reviewItem>
      <errorID>b9d3d3c6-febb-453c-a45f-9eb977f8da25</errorID>
      <errorWord>在办理</errorWord>
      <group>L1_Word</group>
      <groupName>字词问题</groupName>
      <ability>L2_Typo</ability>
      <abilityName>字词错误</abilityName>
      <candidateList>
        <item>办理</item>
      </candidateList>
      <explain/>
      <paraID>76D58411</paraID>
      <start>71</start>
      <end>74</end>
      <status>unmodified</status>
      <modifiedWord/>
      <trackRevisions>false</trackRevisions>
    </reviewItem>
  </reviewItems>
  <config/>
</contractReview>
</file>

<file path=customXml/itemProps1.xml><?xml version="1.0" encoding="utf-8"?>
<ds:datastoreItem xmlns:ds="http://schemas.openxmlformats.org/officeDocument/2006/customXml" ds:itemID="{dbad9340-0f27-43a2-9632-1d8640a0a618}">
  <ds:schemaRefs/>
</ds:datastoreItem>
</file>

<file path=docProps/app.xml><?xml version="1.0" encoding="utf-8"?>
<Properties xmlns="http://schemas.openxmlformats.org/officeDocument/2006/extended-properties" xmlns:vt="http://schemas.openxmlformats.org/officeDocument/2006/docPropsVTypes">
  <Template>Normal</Template>
  <Pages>4</Pages>
  <Words>1338</Words>
  <Characters>1344</Characters>
  <Lines>12</Lines>
  <Paragraphs>3</Paragraphs>
  <TotalTime>7</TotalTime>
  <ScaleCrop>false</ScaleCrop>
  <LinksUpToDate>false</LinksUpToDate>
  <CharactersWithSpaces>1384</CharactersWithSpaces>
  <Application>WPS Office_12.1.0.26988_F1E327BC-269C-435d-A152-05C5408002CA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2025-12-04T02:50:00Z</dcterms:created>
  <dc:creator>liuminghao</dc:creator>
  <cp:lastModifiedBy>冯兆蕾</cp:lastModifiedBy>
  <cp:lastPrinted>2026-01-05T00:03:00Z</cp:lastPrinted>
  <dcterms:modified xsi:type="dcterms:W3CDTF">2026-08-28T05:54:49Z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eyJoZGlkIjoiOTc3YTJmM2FkZjk1MmM1NmJkOTYwOWZhZWFlYjNkZGYiLCJ1c2VySWQiOiIzNjM3NjUwMDgifQ==</vt:lpwstr>
  </property>
  <property fmtid="{D5CDD505-2E9C-101B-9397-08002B2CF9AE}" pid="3" name="KSOProductBuildVer">
    <vt:lpwstr>2052-12.1.0.26988</vt:lpwstr>
  </property>
  <property fmtid="{D5CDD505-2E9C-101B-9397-08002B2CF9AE}" pid="4" name="ICV">
    <vt:lpwstr>52193D2908A44B0AB97EE0C87852B1F5_13</vt:lpwstr>
  </property>
</Properties>
</file>