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F712A7">
      <w:pPr>
        <w:widowControl w:val="0"/>
        <w:kinsoku w:val="0"/>
        <w:overflowPunct w:val="0"/>
        <w:autoSpaceDE w:val="0"/>
        <w:autoSpaceDN w:val="0"/>
        <w:adjustRightInd w:val="0"/>
        <w:rPr>
          <w:rFonts w:hint="eastAsia" w:ascii="黑体" w:hAnsi="黑体" w:eastAsia="黑体" w:cs="Times New Roman"/>
          <w:sz w:val="36"/>
          <w:szCs w:val="48"/>
          <w:lang w:val="en-US" w:eastAsia="zh-CN" w:bidi="ar-SA"/>
        </w:rPr>
      </w:pPr>
    </w:p>
    <w:p w14:paraId="4E582872">
      <w:pPr>
        <w:widowControl w:val="0"/>
        <w:kinsoku w:val="0"/>
        <w:overflowPunct w:val="0"/>
        <w:autoSpaceDE w:val="0"/>
        <w:autoSpaceDN w:val="0"/>
        <w:adjustRightInd w:val="0"/>
        <w:rPr>
          <w:rFonts w:hint="eastAsia" w:ascii="黑体" w:hAnsi="黑体" w:eastAsia="黑体" w:cs="Times New Roman"/>
          <w:sz w:val="20"/>
          <w:szCs w:val="24"/>
          <w:lang w:val="en-US" w:eastAsia="zh-CN" w:bidi="ar-SA"/>
        </w:rPr>
      </w:pPr>
    </w:p>
    <w:p w14:paraId="1FD8A4EB">
      <w:pPr>
        <w:widowControl w:val="0"/>
        <w:kinsoku w:val="0"/>
        <w:overflowPunct w:val="0"/>
        <w:autoSpaceDE w:val="0"/>
        <w:autoSpaceDN w:val="0"/>
        <w:adjustRightInd w:val="0"/>
        <w:rPr>
          <w:rFonts w:hint="eastAsia" w:ascii="黑体" w:hAnsi="黑体" w:eastAsia="黑体" w:cs="Times New Roman"/>
          <w:sz w:val="20"/>
          <w:szCs w:val="24"/>
          <w:lang w:val="en-US" w:eastAsia="zh-CN" w:bidi="ar-SA"/>
        </w:rPr>
      </w:pPr>
    </w:p>
    <w:p w14:paraId="40452E55">
      <w:bookmarkStart w:id="0" w:name="_Toc170079815"/>
      <w:bookmarkStart w:id="1" w:name="_Toc164869540"/>
      <w:bookmarkStart w:id="2" w:name="_Toc25872"/>
      <w:bookmarkStart w:id="3" w:name="_Toc152056905"/>
      <w:bookmarkStart w:id="4" w:name="_Toc187161374"/>
      <w:bookmarkStart w:id="5" w:name="_Toc186024090"/>
      <w:bookmarkStart w:id="6" w:name="_Toc171429147"/>
      <w:bookmarkStart w:id="7" w:name="_Toc88839007"/>
      <w:bookmarkStart w:id="8" w:name="_Toc187166087"/>
      <w:bookmarkStart w:id="9" w:name="_Toc150175113"/>
      <w:bookmarkStart w:id="10" w:name="_Toc152713203"/>
      <w:bookmarkStart w:id="11" w:name="_Toc162879175"/>
    </w:p>
    <w:p w14:paraId="2B9D546A"/>
    <w:p w14:paraId="438BDF31"/>
    <w:p w14:paraId="3833F3EE"/>
    <w:p w14:paraId="018419B7"/>
    <w:p w14:paraId="41568E56">
      <w:pPr>
        <w:spacing w:line="640" w:lineRule="exact"/>
        <w:ind w:firstLine="0" w:firstLineChars="0"/>
        <w:jc w:val="center"/>
        <w:rPr>
          <w:rFonts w:hint="eastAsia" w:ascii="黑体" w:hAnsi="黑体" w:eastAsia="黑体" w:cs="黑体"/>
          <w:color w:val="000000"/>
          <w:sz w:val="60"/>
          <w:szCs w:val="60"/>
          <w:lang w:val="en-US" w:eastAsia="zh-CN"/>
        </w:rPr>
      </w:pPr>
      <w:r>
        <w:rPr>
          <w:rFonts w:hint="eastAsia" w:ascii="黑体" w:hAnsi="黑体" w:eastAsia="黑体" w:cs="黑体"/>
          <w:color w:val="000000"/>
          <w:sz w:val="60"/>
          <w:szCs w:val="60"/>
          <w:lang w:val="en-US" w:eastAsia="zh-CN"/>
        </w:rPr>
        <w:t>北京市平谷区“十五五”时期</w:t>
      </w:r>
    </w:p>
    <w:p w14:paraId="09C785B2">
      <w:pPr>
        <w:spacing w:line="640" w:lineRule="exact"/>
        <w:ind w:firstLine="0" w:firstLineChars="0"/>
        <w:jc w:val="center"/>
        <w:rPr>
          <w:rFonts w:hint="eastAsia" w:ascii="黑体" w:hAnsi="黑体" w:eastAsia="黑体" w:cs="黑体"/>
          <w:color w:val="000000"/>
          <w:sz w:val="60"/>
          <w:szCs w:val="60"/>
          <w:lang w:val="en-US" w:eastAsia="zh-CN"/>
        </w:rPr>
      </w:pPr>
      <w:r>
        <w:rPr>
          <w:rFonts w:hint="eastAsia" w:ascii="黑体" w:hAnsi="黑体" w:eastAsia="黑体" w:cs="黑体"/>
          <w:color w:val="000000"/>
          <w:sz w:val="60"/>
          <w:szCs w:val="60"/>
          <w:lang w:val="en-US" w:eastAsia="zh-CN"/>
        </w:rPr>
        <w:t>“数智平谷”发展规划</w:t>
      </w:r>
    </w:p>
    <w:p w14:paraId="54F3B384">
      <w:pPr>
        <w:rPr>
          <w:rFonts w:hint="eastAsia" w:ascii="仿宋_GB2312" w:hAnsi="仿宋_GB2312" w:eastAsia="仿宋_GB2312" w:cs="仿宋_GB2312"/>
          <w:b/>
          <w:sz w:val="32"/>
          <w:szCs w:val="32"/>
        </w:rPr>
      </w:pPr>
    </w:p>
    <w:p w14:paraId="109FF533">
      <w:pPr>
        <w:rPr>
          <w:rFonts w:hint="eastAsia" w:ascii="仿宋_GB2312" w:hAnsi="仿宋_GB2312" w:eastAsia="仿宋_GB2312" w:cs="仿宋_GB2312"/>
          <w:sz w:val="32"/>
          <w:szCs w:val="32"/>
        </w:rPr>
      </w:pPr>
    </w:p>
    <w:p w14:paraId="6A0648C3">
      <w:pPr>
        <w:rPr>
          <w:rFonts w:hint="eastAsia" w:ascii="仿宋" w:hAnsi="仿宋" w:eastAsia="仿宋"/>
          <w:sz w:val="28"/>
        </w:rPr>
      </w:pPr>
    </w:p>
    <w:p w14:paraId="23CF1DDA">
      <w:pPr>
        <w:rPr>
          <w:rFonts w:hint="eastAsia" w:ascii="仿宋" w:hAnsi="仿宋" w:eastAsia="仿宋"/>
          <w:sz w:val="28"/>
        </w:rPr>
      </w:pPr>
    </w:p>
    <w:p w14:paraId="313FAA19">
      <w:pPr>
        <w:pStyle w:val="3"/>
        <w:rPr>
          <w:rFonts w:hint="eastAsia" w:ascii="仿宋" w:hAnsi="仿宋" w:eastAsia="仿宋"/>
          <w:sz w:val="28"/>
        </w:rPr>
      </w:pPr>
    </w:p>
    <w:p w14:paraId="325D61B0">
      <w:pPr>
        <w:pStyle w:val="3"/>
        <w:rPr>
          <w:rFonts w:hint="eastAsia" w:ascii="仿宋" w:hAnsi="仿宋" w:eastAsia="仿宋"/>
          <w:sz w:val="28"/>
        </w:rPr>
      </w:pPr>
    </w:p>
    <w:p w14:paraId="4EA96E7B">
      <w:pPr>
        <w:pStyle w:val="3"/>
        <w:rPr>
          <w:rFonts w:hint="eastAsia" w:ascii="仿宋" w:hAnsi="仿宋" w:eastAsia="仿宋"/>
          <w:sz w:val="28"/>
        </w:rPr>
      </w:pPr>
    </w:p>
    <w:p w14:paraId="0A59F0AD">
      <w:pPr>
        <w:rPr>
          <w:rFonts w:hint="eastAsia" w:ascii="仿宋" w:hAnsi="仿宋" w:eastAsia="仿宋"/>
          <w:sz w:val="28"/>
        </w:rPr>
      </w:pPr>
    </w:p>
    <w:p w14:paraId="0FC98072">
      <w:pPr>
        <w:rPr>
          <w:rFonts w:hint="eastAsia" w:ascii="仿宋_GB2312" w:hAnsi="仿宋" w:eastAsia="仿宋_GB2312"/>
          <w:sz w:val="28"/>
        </w:rPr>
      </w:pPr>
    </w:p>
    <w:p w14:paraId="3108D4B7">
      <w:pPr>
        <w:jc w:val="center"/>
        <w:rPr>
          <w:rFonts w:hint="eastAsia" w:ascii="仿宋_GB2312" w:hAnsi="仿宋" w:eastAsia="仿宋_GB2312"/>
          <w:sz w:val="32"/>
          <w:lang w:eastAsia="zh-CN"/>
        </w:rPr>
      </w:pPr>
      <w:r>
        <w:rPr>
          <w:rFonts w:hint="eastAsia" w:ascii="仿宋_GB2312" w:hAnsi="仿宋" w:eastAsia="仿宋_GB2312"/>
          <w:sz w:val="32"/>
        </w:rPr>
        <w:t>北京市</w:t>
      </w:r>
      <w:r>
        <w:rPr>
          <w:rFonts w:hint="eastAsia" w:ascii="仿宋_GB2312" w:hAnsi="仿宋" w:eastAsia="仿宋_GB2312"/>
          <w:sz w:val="32"/>
          <w:lang w:val="en-US" w:eastAsia="zh-CN"/>
        </w:rPr>
        <w:t>平谷</w:t>
      </w:r>
      <w:r>
        <w:rPr>
          <w:rFonts w:hint="eastAsia" w:ascii="仿宋_GB2312" w:hAnsi="仿宋" w:eastAsia="仿宋_GB2312"/>
          <w:sz w:val="32"/>
        </w:rPr>
        <w:t>区</w:t>
      </w:r>
      <w:r>
        <w:rPr>
          <w:rFonts w:hint="eastAsia" w:ascii="仿宋_GB2312" w:hAnsi="仿宋" w:eastAsia="仿宋_GB2312"/>
          <w:sz w:val="32"/>
          <w:lang w:eastAsia="zh-CN"/>
        </w:rPr>
        <w:t>政务服务和数据管理局</w:t>
      </w:r>
    </w:p>
    <w:p w14:paraId="1FA524E7">
      <w:pPr>
        <w:jc w:val="center"/>
        <w:rPr>
          <w:rFonts w:hint="eastAsia" w:ascii="仿宋_GB2312" w:hAnsi="仿宋" w:eastAsia="仿宋_GB2312"/>
          <w:sz w:val="32"/>
        </w:rPr>
      </w:pPr>
      <w:r>
        <w:rPr>
          <w:rFonts w:ascii="仿宋_GB2312" w:hAnsi="仿宋" w:eastAsia="仿宋_GB2312"/>
          <w:sz w:val="32"/>
        </w:rPr>
        <w:t>20</w:t>
      </w:r>
      <w:r>
        <w:rPr>
          <w:rFonts w:hint="eastAsia" w:ascii="仿宋_GB2312" w:hAnsi="仿宋" w:eastAsia="仿宋_GB2312"/>
          <w:sz w:val="32"/>
          <w:lang w:val="en-US" w:eastAsia="zh-CN"/>
        </w:rPr>
        <w:t>26</w:t>
      </w:r>
      <w:r>
        <w:rPr>
          <w:rFonts w:hint="eastAsia" w:ascii="仿宋_GB2312" w:hAnsi="仿宋" w:eastAsia="仿宋_GB2312"/>
          <w:sz w:val="32"/>
        </w:rPr>
        <w:t>年</w:t>
      </w:r>
      <w:r>
        <w:rPr>
          <w:rFonts w:hint="eastAsia" w:ascii="仿宋_GB2312" w:hAnsi="仿宋" w:eastAsia="仿宋_GB2312"/>
          <w:sz w:val="32"/>
          <w:lang w:val="en-US" w:eastAsia="zh-CN"/>
        </w:rPr>
        <w:t>08</w:t>
      </w:r>
      <w:r>
        <w:rPr>
          <w:rFonts w:hint="eastAsia" w:ascii="仿宋_GB2312" w:hAnsi="仿宋" w:eastAsia="仿宋_GB2312"/>
          <w:sz w:val="32"/>
        </w:rPr>
        <w:t>月</w:t>
      </w:r>
    </w:p>
    <w:p w14:paraId="5A52C6AB">
      <w:pPr>
        <w:jc w:val="center"/>
        <w:rPr>
          <w:rFonts w:hint="eastAsia" w:ascii="黑体" w:hAnsi="黑体" w:eastAsia="黑体"/>
          <w:color w:val="000000"/>
          <w:sz w:val="32"/>
          <w:szCs w:val="32"/>
          <w:lang w:val="zh-CN"/>
        </w:rPr>
        <w:sectPr>
          <w:headerReference r:id="rId3" w:type="even"/>
          <w:footerReference r:id="rId4" w:type="even"/>
          <w:type w:val="continuous"/>
          <w:pgSz w:w="11906" w:h="16838"/>
          <w:pgMar w:top="2098" w:right="1474" w:bottom="1984" w:left="1587" w:header="851" w:footer="992" w:gutter="0"/>
          <w:pgNumType w:fmt="decimal"/>
          <w:cols w:space="0" w:num="1"/>
          <w:rtlGutter w:val="0"/>
          <w:docGrid w:type="lines" w:linePitch="312" w:charSpace="0"/>
        </w:sectPr>
      </w:pPr>
    </w:p>
    <w:p w14:paraId="3899EA2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黑体" w:hAnsi="黑体" w:eastAsia="黑体"/>
          <w:b w:val="0"/>
          <w:bCs w:val="0"/>
          <w:color w:val="000000"/>
          <w:sz w:val="32"/>
          <w:szCs w:val="32"/>
        </w:rPr>
      </w:pPr>
      <w:r>
        <w:rPr>
          <w:rFonts w:ascii="黑体" w:hAnsi="黑体" w:eastAsia="黑体"/>
          <w:b w:val="0"/>
          <w:bCs w:val="0"/>
          <w:color w:val="000000"/>
          <w:sz w:val="32"/>
          <w:szCs w:val="32"/>
          <w:lang w:val="zh-CN"/>
        </w:rPr>
        <w:t>目</w:t>
      </w:r>
      <w:r>
        <w:rPr>
          <w:rFonts w:hint="eastAsia" w:ascii="黑体" w:hAnsi="黑体" w:eastAsia="黑体"/>
          <w:b w:val="0"/>
          <w:bCs w:val="0"/>
          <w:color w:val="000000"/>
          <w:sz w:val="32"/>
          <w:szCs w:val="32"/>
          <w:lang w:val="zh-CN"/>
        </w:rPr>
        <w:t xml:space="preserve"> </w:t>
      </w:r>
      <w:r>
        <w:rPr>
          <w:rFonts w:ascii="黑体" w:hAnsi="黑体" w:eastAsia="黑体"/>
          <w:b w:val="0"/>
          <w:bCs w:val="0"/>
          <w:color w:val="000000"/>
          <w:sz w:val="32"/>
          <w:szCs w:val="32"/>
          <w:lang w:val="zh-CN"/>
        </w:rPr>
        <w:t xml:space="preserve"> 录</w:t>
      </w:r>
    </w:p>
    <w:p w14:paraId="4461B0AD">
      <w:pPr>
        <w:pStyle w:val="8"/>
        <w:keepNext w:val="0"/>
        <w:keepLines w:val="0"/>
        <w:pageBreakBefore w:val="0"/>
        <w:widowControl w:val="0"/>
        <w:tabs>
          <w:tab w:val="right" w:leader="dot" w:pos="8845"/>
        </w:tabs>
        <w:kinsoku/>
        <w:wordWrap/>
        <w:overflowPunct/>
        <w:topLinePunct w:val="0"/>
        <w:autoSpaceDE/>
        <w:autoSpaceDN/>
        <w:bidi w:val="0"/>
        <w:adjustRightInd/>
        <w:snapToGrid/>
        <w:spacing w:line="480" w:lineRule="exact"/>
        <w:jc w:val="both"/>
        <w:textAlignment w:val="auto"/>
        <w:rPr>
          <w:rFonts w:hint="eastAsia" w:ascii="Songti SC Regular" w:hAnsi="Songti SC Regular" w:eastAsia="Songti SC Regular" w:cs="Songti SC Regular"/>
          <w:b w:val="0"/>
          <w:sz w:val="28"/>
          <w:szCs w:val="28"/>
          <w:lang w:val="zh-CN"/>
        </w:rPr>
      </w:pPr>
    </w:p>
    <w:p w14:paraId="1164B237">
      <w:pPr>
        <w:pStyle w:val="8"/>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Songti SC" w:hAnsi="Songti SC" w:eastAsia="Songti SC" w:cs="Songti SC"/>
          <w:sz w:val="28"/>
          <w:szCs w:val="28"/>
        </w:rPr>
      </w:pPr>
      <w:r>
        <w:rPr>
          <w:rFonts w:hint="eastAsia" w:ascii="SimSong Regular" w:hAnsi="SimSong Regular" w:eastAsia="SimSong Regular" w:cs="SimSong Regular"/>
          <w:b w:val="0"/>
          <w:sz w:val="28"/>
          <w:szCs w:val="28"/>
          <w:lang w:val="zh-CN"/>
        </w:rPr>
        <w:fldChar w:fldCharType="begin"/>
      </w:r>
      <w:r>
        <w:rPr>
          <w:rFonts w:hint="eastAsia" w:ascii="SimSong Regular" w:hAnsi="SimSong Regular" w:eastAsia="SimSong Regular" w:cs="SimSong Regular"/>
          <w:b w:val="0"/>
          <w:sz w:val="28"/>
          <w:szCs w:val="28"/>
          <w:lang w:val="zh-CN"/>
        </w:rPr>
        <w:instrText xml:space="preserve">TOC \o "1-2" \h \u </w:instrText>
      </w:r>
      <w:r>
        <w:rPr>
          <w:rFonts w:hint="eastAsia" w:ascii="SimSong Regular" w:hAnsi="SimSong Regular" w:eastAsia="SimSong Regular" w:cs="SimSong Regular"/>
          <w:b w:val="0"/>
          <w:sz w:val="28"/>
          <w:szCs w:val="28"/>
          <w:lang w:val="zh-CN"/>
        </w:rPr>
        <w:fldChar w:fldCharType="separate"/>
      </w:r>
      <w:r>
        <w:rPr>
          <w:rFonts w:hint="eastAsia" w:ascii="Songti SC" w:hAnsi="Songti SC" w:eastAsia="Songti SC" w:cs="Songti SC"/>
          <w:sz w:val="28"/>
          <w:szCs w:val="28"/>
          <w:lang w:val="zh-CN"/>
        </w:rPr>
        <w:fldChar w:fldCharType="begin"/>
      </w:r>
      <w:r>
        <w:rPr>
          <w:rFonts w:hint="eastAsia" w:ascii="Songti SC" w:hAnsi="Songti SC" w:eastAsia="Songti SC" w:cs="Songti SC"/>
          <w:sz w:val="28"/>
          <w:szCs w:val="28"/>
          <w:lang w:val="zh-CN"/>
        </w:rPr>
        <w:instrText xml:space="preserve"> HYPERLINK \l _Toc681900026 </w:instrText>
      </w:r>
      <w:r>
        <w:rPr>
          <w:rFonts w:hint="eastAsia" w:ascii="Songti SC" w:hAnsi="Songti SC" w:eastAsia="Songti SC" w:cs="Songti SC"/>
          <w:sz w:val="28"/>
          <w:szCs w:val="28"/>
          <w:lang w:val="zh-CN"/>
        </w:rPr>
        <w:fldChar w:fldCharType="separate"/>
      </w:r>
      <w:r>
        <w:rPr>
          <w:rFonts w:hint="eastAsia" w:ascii="Songti SC" w:hAnsi="Songti SC" w:eastAsia="Songti SC" w:cs="Songti SC"/>
          <w:sz w:val="28"/>
          <w:szCs w:val="28"/>
        </w:rPr>
        <w:t>一、</w:t>
      </w:r>
      <w:r>
        <w:rPr>
          <w:rFonts w:hint="eastAsia" w:ascii="Songti SC" w:hAnsi="Songti SC" w:eastAsia="Songti SC" w:cs="Songti SC"/>
          <w:sz w:val="28"/>
          <w:szCs w:val="28"/>
          <w:lang w:val="en-US" w:eastAsia="zh-CN"/>
        </w:rPr>
        <w:t>发展</w:t>
      </w:r>
      <w:r>
        <w:rPr>
          <w:rFonts w:hint="eastAsia" w:ascii="Songti SC" w:hAnsi="Songti SC" w:eastAsia="Songti SC" w:cs="Songti SC"/>
          <w:sz w:val="28"/>
          <w:szCs w:val="28"/>
        </w:rPr>
        <w:t>现状</w:t>
      </w:r>
      <w:r>
        <w:rPr>
          <w:rFonts w:hint="eastAsia" w:ascii="Songti SC" w:hAnsi="Songti SC" w:eastAsia="Songti SC" w:cs="Songti SC"/>
          <w:sz w:val="28"/>
          <w:szCs w:val="28"/>
        </w:rPr>
        <w:tab/>
      </w:r>
      <w:r>
        <w:rPr>
          <w:rFonts w:hint="eastAsia" w:ascii="Songti SC" w:hAnsi="Songti SC" w:eastAsia="Songti SC" w:cs="Songti SC"/>
          <w:sz w:val="28"/>
          <w:szCs w:val="28"/>
        </w:rPr>
        <w:fldChar w:fldCharType="begin"/>
      </w:r>
      <w:r>
        <w:rPr>
          <w:rFonts w:hint="eastAsia" w:ascii="Songti SC" w:hAnsi="Songti SC" w:eastAsia="Songti SC" w:cs="Songti SC"/>
          <w:sz w:val="28"/>
          <w:szCs w:val="28"/>
        </w:rPr>
        <w:instrText xml:space="preserve"> PAGEREF _Toc681900026 \h </w:instrText>
      </w:r>
      <w:r>
        <w:rPr>
          <w:rFonts w:hint="eastAsia" w:ascii="Songti SC" w:hAnsi="Songti SC" w:eastAsia="Songti SC" w:cs="Songti SC"/>
          <w:sz w:val="28"/>
          <w:szCs w:val="28"/>
        </w:rPr>
        <w:fldChar w:fldCharType="separate"/>
      </w:r>
      <w:r>
        <w:rPr>
          <w:rFonts w:hint="eastAsia" w:ascii="Songti SC" w:hAnsi="Songti SC" w:eastAsia="Songti SC" w:cs="Songti SC"/>
          <w:sz w:val="28"/>
          <w:szCs w:val="28"/>
        </w:rPr>
        <w:t>1</w:t>
      </w:r>
      <w:r>
        <w:rPr>
          <w:rFonts w:hint="eastAsia" w:ascii="Songti SC" w:hAnsi="Songti SC" w:eastAsia="Songti SC" w:cs="Songti SC"/>
          <w:sz w:val="28"/>
          <w:szCs w:val="28"/>
        </w:rPr>
        <w:fldChar w:fldCharType="end"/>
      </w:r>
      <w:r>
        <w:rPr>
          <w:rFonts w:hint="eastAsia" w:ascii="Songti SC" w:hAnsi="Songti SC" w:eastAsia="Songti SC" w:cs="Songti SC"/>
          <w:sz w:val="28"/>
          <w:szCs w:val="28"/>
          <w:lang w:val="zh-CN"/>
        </w:rPr>
        <w:fldChar w:fldCharType="end"/>
      </w:r>
    </w:p>
    <w:p w14:paraId="13F3A648">
      <w:pPr>
        <w:pStyle w:val="8"/>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Songti SC" w:hAnsi="Songti SC" w:eastAsia="Songti SC" w:cs="Songti SC"/>
          <w:sz w:val="28"/>
          <w:szCs w:val="28"/>
        </w:rPr>
      </w:pPr>
      <w:r>
        <w:rPr>
          <w:rFonts w:hint="eastAsia" w:ascii="Songti SC" w:hAnsi="Songti SC" w:eastAsia="Songti SC" w:cs="Songti SC"/>
          <w:sz w:val="28"/>
          <w:szCs w:val="28"/>
          <w:lang w:val="zh-CN"/>
        </w:rPr>
        <w:fldChar w:fldCharType="begin"/>
      </w:r>
      <w:r>
        <w:rPr>
          <w:rFonts w:hint="eastAsia" w:ascii="Songti SC" w:hAnsi="Songti SC" w:eastAsia="Songti SC" w:cs="Songti SC"/>
          <w:sz w:val="28"/>
          <w:szCs w:val="28"/>
          <w:lang w:val="zh-CN"/>
        </w:rPr>
        <w:instrText xml:space="preserve"> HYPERLINK \l _Toc1720996590 </w:instrText>
      </w:r>
      <w:r>
        <w:rPr>
          <w:rFonts w:hint="eastAsia" w:ascii="Songti SC" w:hAnsi="Songti SC" w:eastAsia="Songti SC" w:cs="Songti SC"/>
          <w:sz w:val="28"/>
          <w:szCs w:val="28"/>
          <w:lang w:val="zh-CN"/>
        </w:rPr>
        <w:fldChar w:fldCharType="separate"/>
      </w:r>
      <w:r>
        <w:rPr>
          <w:rFonts w:hint="eastAsia" w:ascii="Songti SC" w:hAnsi="Songti SC" w:eastAsia="Songti SC" w:cs="Songti SC"/>
          <w:sz w:val="28"/>
          <w:szCs w:val="28"/>
        </w:rPr>
        <w:t>二、</w:t>
      </w:r>
      <w:r>
        <w:rPr>
          <w:rFonts w:hint="eastAsia" w:ascii="Songti SC" w:hAnsi="Songti SC" w:eastAsia="Songti SC" w:cs="Songti SC"/>
          <w:sz w:val="28"/>
          <w:szCs w:val="28"/>
          <w:lang w:val="en-US" w:eastAsia="zh-CN"/>
        </w:rPr>
        <w:t>总体要求</w:t>
      </w:r>
      <w:r>
        <w:rPr>
          <w:rFonts w:hint="eastAsia" w:ascii="Songti SC" w:hAnsi="Songti SC" w:eastAsia="Songti SC" w:cs="Songti SC"/>
          <w:sz w:val="28"/>
          <w:szCs w:val="28"/>
        </w:rPr>
        <w:tab/>
      </w:r>
      <w:r>
        <w:rPr>
          <w:rFonts w:hint="eastAsia" w:ascii="Songti SC" w:hAnsi="Songti SC" w:eastAsia="Songti SC" w:cs="Songti SC"/>
          <w:sz w:val="28"/>
          <w:szCs w:val="28"/>
        </w:rPr>
        <w:fldChar w:fldCharType="begin"/>
      </w:r>
      <w:r>
        <w:rPr>
          <w:rFonts w:hint="eastAsia" w:ascii="Songti SC" w:hAnsi="Songti SC" w:eastAsia="Songti SC" w:cs="Songti SC"/>
          <w:sz w:val="28"/>
          <w:szCs w:val="28"/>
        </w:rPr>
        <w:instrText xml:space="preserve"> PAGEREF _Toc1720996590 \h </w:instrText>
      </w:r>
      <w:r>
        <w:rPr>
          <w:rFonts w:hint="eastAsia" w:ascii="Songti SC" w:hAnsi="Songti SC" w:eastAsia="Songti SC" w:cs="Songti SC"/>
          <w:sz w:val="28"/>
          <w:szCs w:val="28"/>
        </w:rPr>
        <w:fldChar w:fldCharType="separate"/>
      </w:r>
      <w:r>
        <w:rPr>
          <w:rFonts w:hint="eastAsia" w:ascii="Songti SC" w:hAnsi="Songti SC" w:eastAsia="Songti SC" w:cs="Songti SC"/>
          <w:sz w:val="28"/>
          <w:szCs w:val="28"/>
        </w:rPr>
        <w:t>2</w:t>
      </w:r>
      <w:r>
        <w:rPr>
          <w:rFonts w:hint="eastAsia" w:ascii="Songti SC" w:hAnsi="Songti SC" w:eastAsia="Songti SC" w:cs="Songti SC"/>
          <w:sz w:val="28"/>
          <w:szCs w:val="28"/>
        </w:rPr>
        <w:fldChar w:fldCharType="end"/>
      </w:r>
      <w:r>
        <w:rPr>
          <w:rFonts w:hint="eastAsia" w:ascii="Songti SC" w:hAnsi="Songti SC" w:eastAsia="Songti SC" w:cs="Songti SC"/>
          <w:sz w:val="28"/>
          <w:szCs w:val="28"/>
          <w:lang w:val="zh-CN"/>
        </w:rPr>
        <w:fldChar w:fldCharType="end"/>
      </w:r>
    </w:p>
    <w:p w14:paraId="4A407C7A">
      <w:pPr>
        <w:pStyle w:val="8"/>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Songti SC" w:hAnsi="Songti SC" w:eastAsia="Songti SC" w:cs="Songti SC"/>
          <w:sz w:val="28"/>
          <w:szCs w:val="28"/>
        </w:rPr>
      </w:pPr>
      <w:r>
        <w:rPr>
          <w:rFonts w:hint="eastAsia" w:ascii="Songti SC" w:hAnsi="Songti SC" w:eastAsia="Songti SC" w:cs="Songti SC"/>
          <w:sz w:val="28"/>
          <w:szCs w:val="28"/>
          <w:lang w:val="zh-CN"/>
        </w:rPr>
        <w:fldChar w:fldCharType="begin"/>
      </w:r>
      <w:r>
        <w:rPr>
          <w:rFonts w:hint="eastAsia" w:ascii="Songti SC" w:hAnsi="Songti SC" w:eastAsia="Songti SC" w:cs="Songti SC"/>
          <w:sz w:val="28"/>
          <w:szCs w:val="28"/>
          <w:lang w:val="zh-CN"/>
        </w:rPr>
        <w:instrText xml:space="preserve"> HYPERLINK \l _Toc332446687 </w:instrText>
      </w:r>
      <w:r>
        <w:rPr>
          <w:rFonts w:hint="eastAsia" w:ascii="Songti SC" w:hAnsi="Songti SC" w:eastAsia="Songti SC" w:cs="Songti SC"/>
          <w:sz w:val="28"/>
          <w:szCs w:val="28"/>
          <w:lang w:val="zh-CN"/>
        </w:rPr>
        <w:fldChar w:fldCharType="separate"/>
      </w:r>
      <w:r>
        <w:rPr>
          <w:rFonts w:hint="eastAsia" w:ascii="Songti SC" w:hAnsi="Songti SC" w:eastAsia="Songti SC" w:cs="Songti SC"/>
          <w:sz w:val="28"/>
          <w:szCs w:val="28"/>
          <w:highlight w:val="none"/>
        </w:rPr>
        <w:t>三、</w:t>
      </w:r>
      <w:r>
        <w:rPr>
          <w:rFonts w:hint="eastAsia" w:ascii="Songti SC" w:hAnsi="Songti SC" w:eastAsia="Songti SC" w:cs="Songti SC"/>
          <w:sz w:val="28"/>
          <w:szCs w:val="28"/>
          <w:highlight w:val="none"/>
          <w:lang w:val="en-US" w:eastAsia="zh-CN"/>
        </w:rPr>
        <w:t>建设</w:t>
      </w:r>
      <w:r>
        <w:rPr>
          <w:rFonts w:hint="eastAsia" w:ascii="Songti SC" w:hAnsi="Songti SC" w:eastAsia="Songti SC" w:cs="Songti SC"/>
          <w:sz w:val="28"/>
          <w:szCs w:val="28"/>
          <w:highlight w:val="none"/>
        </w:rPr>
        <w:t>框架</w:t>
      </w:r>
      <w:r>
        <w:rPr>
          <w:rFonts w:hint="eastAsia" w:ascii="Songti SC" w:hAnsi="Songti SC" w:eastAsia="Songti SC" w:cs="Songti SC"/>
          <w:sz w:val="28"/>
          <w:szCs w:val="28"/>
        </w:rPr>
        <w:tab/>
      </w:r>
      <w:r>
        <w:rPr>
          <w:rFonts w:hint="eastAsia" w:ascii="Songti SC" w:hAnsi="Songti SC" w:eastAsia="Songti SC" w:cs="Songti SC"/>
          <w:sz w:val="28"/>
          <w:szCs w:val="28"/>
        </w:rPr>
        <w:fldChar w:fldCharType="begin"/>
      </w:r>
      <w:r>
        <w:rPr>
          <w:rFonts w:hint="eastAsia" w:ascii="Songti SC" w:hAnsi="Songti SC" w:eastAsia="Songti SC" w:cs="Songti SC"/>
          <w:sz w:val="28"/>
          <w:szCs w:val="28"/>
        </w:rPr>
        <w:instrText xml:space="preserve"> PAGEREF _Toc332446687 \h </w:instrText>
      </w:r>
      <w:r>
        <w:rPr>
          <w:rFonts w:hint="eastAsia" w:ascii="Songti SC" w:hAnsi="Songti SC" w:eastAsia="Songti SC" w:cs="Songti SC"/>
          <w:sz w:val="28"/>
          <w:szCs w:val="28"/>
        </w:rPr>
        <w:fldChar w:fldCharType="separate"/>
      </w:r>
      <w:r>
        <w:rPr>
          <w:rFonts w:hint="eastAsia" w:ascii="Songti SC" w:hAnsi="Songti SC" w:eastAsia="Songti SC" w:cs="Songti SC"/>
          <w:sz w:val="28"/>
          <w:szCs w:val="28"/>
        </w:rPr>
        <w:t>4</w:t>
      </w:r>
      <w:r>
        <w:rPr>
          <w:rFonts w:hint="eastAsia" w:ascii="Songti SC" w:hAnsi="Songti SC" w:eastAsia="Songti SC" w:cs="Songti SC"/>
          <w:sz w:val="28"/>
          <w:szCs w:val="28"/>
        </w:rPr>
        <w:fldChar w:fldCharType="end"/>
      </w:r>
      <w:r>
        <w:rPr>
          <w:rFonts w:hint="eastAsia" w:ascii="Songti SC" w:hAnsi="Songti SC" w:eastAsia="Songti SC" w:cs="Songti SC"/>
          <w:sz w:val="28"/>
          <w:szCs w:val="28"/>
          <w:lang w:val="zh-CN"/>
        </w:rPr>
        <w:fldChar w:fldCharType="end"/>
      </w:r>
    </w:p>
    <w:p w14:paraId="0D6D3E34">
      <w:pPr>
        <w:pStyle w:val="8"/>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Songti SC" w:hAnsi="Songti SC" w:eastAsia="Songti SC" w:cs="Songti SC"/>
          <w:sz w:val="28"/>
          <w:szCs w:val="28"/>
        </w:rPr>
      </w:pPr>
      <w:r>
        <w:rPr>
          <w:rFonts w:hint="eastAsia" w:ascii="Songti SC" w:hAnsi="Songti SC" w:eastAsia="Songti SC" w:cs="Songti SC"/>
          <w:sz w:val="28"/>
          <w:szCs w:val="28"/>
          <w:lang w:val="zh-CN"/>
        </w:rPr>
        <w:fldChar w:fldCharType="begin"/>
      </w:r>
      <w:r>
        <w:rPr>
          <w:rFonts w:hint="eastAsia" w:ascii="Songti SC" w:hAnsi="Songti SC" w:eastAsia="Songti SC" w:cs="Songti SC"/>
          <w:sz w:val="28"/>
          <w:szCs w:val="28"/>
          <w:lang w:val="zh-CN"/>
        </w:rPr>
        <w:instrText xml:space="preserve"> HYPERLINK \l _Toc1826502562 </w:instrText>
      </w:r>
      <w:r>
        <w:rPr>
          <w:rFonts w:hint="eastAsia" w:ascii="Songti SC" w:hAnsi="Songti SC" w:eastAsia="Songti SC" w:cs="Songti SC"/>
          <w:sz w:val="28"/>
          <w:szCs w:val="28"/>
          <w:lang w:val="zh-CN"/>
        </w:rPr>
        <w:fldChar w:fldCharType="separate"/>
      </w:r>
      <w:r>
        <w:rPr>
          <w:rFonts w:hint="eastAsia" w:ascii="Songti SC" w:hAnsi="Songti SC" w:eastAsia="Songti SC" w:cs="Songti SC"/>
          <w:sz w:val="28"/>
          <w:szCs w:val="28"/>
          <w:lang w:val="en-US" w:eastAsia="zh-CN"/>
        </w:rPr>
        <w:t>四、加快构建共享共用“智能汇联”数智底座</w:t>
      </w:r>
      <w:r>
        <w:rPr>
          <w:rFonts w:hint="eastAsia" w:ascii="Songti SC" w:hAnsi="Songti SC" w:eastAsia="Songti SC" w:cs="Songti SC"/>
          <w:sz w:val="28"/>
          <w:szCs w:val="28"/>
        </w:rPr>
        <w:tab/>
      </w:r>
      <w:r>
        <w:rPr>
          <w:rFonts w:hint="eastAsia" w:ascii="Songti SC" w:hAnsi="Songti SC" w:eastAsia="Songti SC" w:cs="Songti SC"/>
          <w:sz w:val="28"/>
          <w:szCs w:val="28"/>
        </w:rPr>
        <w:fldChar w:fldCharType="begin"/>
      </w:r>
      <w:r>
        <w:rPr>
          <w:rFonts w:hint="eastAsia" w:ascii="Songti SC" w:hAnsi="Songti SC" w:eastAsia="Songti SC" w:cs="Songti SC"/>
          <w:sz w:val="28"/>
          <w:szCs w:val="28"/>
        </w:rPr>
        <w:instrText xml:space="preserve"> PAGEREF _Toc1826502562 \h </w:instrText>
      </w:r>
      <w:r>
        <w:rPr>
          <w:rFonts w:hint="eastAsia" w:ascii="Songti SC" w:hAnsi="Songti SC" w:eastAsia="Songti SC" w:cs="Songti SC"/>
          <w:sz w:val="28"/>
          <w:szCs w:val="28"/>
        </w:rPr>
        <w:fldChar w:fldCharType="separate"/>
      </w:r>
      <w:r>
        <w:rPr>
          <w:rFonts w:hint="eastAsia" w:ascii="Songti SC" w:hAnsi="Songti SC" w:eastAsia="Songti SC" w:cs="Songti SC"/>
          <w:sz w:val="28"/>
          <w:szCs w:val="28"/>
        </w:rPr>
        <w:t>5</w:t>
      </w:r>
      <w:r>
        <w:rPr>
          <w:rFonts w:hint="eastAsia" w:ascii="Songti SC" w:hAnsi="Songti SC" w:eastAsia="Songti SC" w:cs="Songti SC"/>
          <w:sz w:val="28"/>
          <w:szCs w:val="28"/>
        </w:rPr>
        <w:fldChar w:fldCharType="end"/>
      </w:r>
      <w:r>
        <w:rPr>
          <w:rFonts w:hint="eastAsia" w:ascii="Songti SC" w:hAnsi="Songti SC" w:eastAsia="Songti SC" w:cs="Songti SC"/>
          <w:sz w:val="28"/>
          <w:szCs w:val="28"/>
          <w:lang w:val="zh-CN"/>
        </w:rPr>
        <w:fldChar w:fldCharType="end"/>
      </w:r>
    </w:p>
    <w:p w14:paraId="63C46788">
      <w:pPr>
        <w:pStyle w:val="10"/>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Songti SC" w:hAnsi="Songti SC" w:eastAsia="Songti SC" w:cs="Songti SC"/>
          <w:sz w:val="28"/>
          <w:szCs w:val="28"/>
        </w:rPr>
      </w:pPr>
      <w:r>
        <w:rPr>
          <w:rFonts w:hint="eastAsia" w:ascii="Songti SC" w:hAnsi="Songti SC" w:eastAsia="Songti SC" w:cs="Songti SC"/>
          <w:sz w:val="28"/>
          <w:szCs w:val="28"/>
          <w:lang w:val="zh-CN"/>
        </w:rPr>
        <w:fldChar w:fldCharType="begin"/>
      </w:r>
      <w:r>
        <w:rPr>
          <w:rFonts w:hint="eastAsia" w:ascii="Songti SC" w:hAnsi="Songti SC" w:eastAsia="Songti SC" w:cs="Songti SC"/>
          <w:sz w:val="28"/>
          <w:szCs w:val="28"/>
          <w:lang w:val="zh-CN"/>
        </w:rPr>
        <w:instrText xml:space="preserve"> HYPERLINK \l _Toc1897309316 </w:instrText>
      </w:r>
      <w:r>
        <w:rPr>
          <w:rFonts w:hint="eastAsia" w:ascii="Songti SC" w:hAnsi="Songti SC" w:eastAsia="Songti SC" w:cs="Songti SC"/>
          <w:sz w:val="28"/>
          <w:szCs w:val="28"/>
          <w:lang w:val="zh-CN"/>
        </w:rPr>
        <w:fldChar w:fldCharType="separate"/>
      </w:r>
      <w:r>
        <w:rPr>
          <w:rFonts w:hint="eastAsia" w:ascii="Songti SC" w:hAnsi="Songti SC" w:eastAsia="Songti SC" w:cs="Songti SC"/>
          <w:sz w:val="28"/>
          <w:szCs w:val="28"/>
          <w:lang w:val="en-US" w:eastAsia="zh-CN"/>
        </w:rPr>
        <w:t>（一）夯实数字基础设施支撑能力</w:t>
      </w:r>
      <w:r>
        <w:rPr>
          <w:rFonts w:hint="eastAsia" w:ascii="Songti SC" w:hAnsi="Songti SC" w:eastAsia="Songti SC" w:cs="Songti SC"/>
          <w:sz w:val="28"/>
          <w:szCs w:val="28"/>
        </w:rPr>
        <w:tab/>
      </w:r>
      <w:r>
        <w:rPr>
          <w:rFonts w:hint="eastAsia" w:ascii="Songti SC" w:hAnsi="Songti SC" w:eastAsia="Songti SC" w:cs="Songti SC"/>
          <w:sz w:val="28"/>
          <w:szCs w:val="28"/>
        </w:rPr>
        <w:fldChar w:fldCharType="begin"/>
      </w:r>
      <w:r>
        <w:rPr>
          <w:rFonts w:hint="eastAsia" w:ascii="Songti SC" w:hAnsi="Songti SC" w:eastAsia="Songti SC" w:cs="Songti SC"/>
          <w:sz w:val="28"/>
          <w:szCs w:val="28"/>
        </w:rPr>
        <w:instrText xml:space="preserve"> PAGEREF _Toc1897309316 \h </w:instrText>
      </w:r>
      <w:r>
        <w:rPr>
          <w:rFonts w:hint="eastAsia" w:ascii="Songti SC" w:hAnsi="Songti SC" w:eastAsia="Songti SC" w:cs="Songti SC"/>
          <w:sz w:val="28"/>
          <w:szCs w:val="28"/>
        </w:rPr>
        <w:fldChar w:fldCharType="separate"/>
      </w:r>
      <w:r>
        <w:rPr>
          <w:rFonts w:hint="eastAsia" w:ascii="Songti SC" w:hAnsi="Songti SC" w:eastAsia="Songti SC" w:cs="Songti SC"/>
          <w:sz w:val="28"/>
          <w:szCs w:val="28"/>
        </w:rPr>
        <w:t>5</w:t>
      </w:r>
      <w:r>
        <w:rPr>
          <w:rFonts w:hint="eastAsia" w:ascii="Songti SC" w:hAnsi="Songti SC" w:eastAsia="Songti SC" w:cs="Songti SC"/>
          <w:sz w:val="28"/>
          <w:szCs w:val="28"/>
        </w:rPr>
        <w:fldChar w:fldCharType="end"/>
      </w:r>
      <w:r>
        <w:rPr>
          <w:rFonts w:hint="eastAsia" w:ascii="Songti SC" w:hAnsi="Songti SC" w:eastAsia="Songti SC" w:cs="Songti SC"/>
          <w:sz w:val="28"/>
          <w:szCs w:val="28"/>
          <w:lang w:val="zh-CN"/>
        </w:rPr>
        <w:fldChar w:fldCharType="end"/>
      </w:r>
    </w:p>
    <w:p w14:paraId="49B37C4B">
      <w:pPr>
        <w:pStyle w:val="10"/>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Songti SC" w:hAnsi="Songti SC" w:eastAsia="Songti SC" w:cs="Songti SC"/>
          <w:sz w:val="28"/>
          <w:szCs w:val="28"/>
        </w:rPr>
      </w:pPr>
      <w:r>
        <w:rPr>
          <w:rFonts w:hint="eastAsia" w:ascii="Songti SC" w:hAnsi="Songti SC" w:eastAsia="Songti SC" w:cs="Songti SC"/>
          <w:sz w:val="28"/>
          <w:szCs w:val="28"/>
          <w:lang w:val="zh-CN"/>
        </w:rPr>
        <w:fldChar w:fldCharType="begin"/>
      </w:r>
      <w:r>
        <w:rPr>
          <w:rFonts w:hint="eastAsia" w:ascii="Songti SC" w:hAnsi="Songti SC" w:eastAsia="Songti SC" w:cs="Songti SC"/>
          <w:sz w:val="28"/>
          <w:szCs w:val="28"/>
          <w:lang w:val="zh-CN"/>
        </w:rPr>
        <w:instrText xml:space="preserve"> HYPERLINK \l _Toc92999709 </w:instrText>
      </w:r>
      <w:r>
        <w:rPr>
          <w:rFonts w:hint="eastAsia" w:ascii="Songti SC" w:hAnsi="Songti SC" w:eastAsia="Songti SC" w:cs="Songti SC"/>
          <w:sz w:val="28"/>
          <w:szCs w:val="28"/>
          <w:lang w:val="zh-CN"/>
        </w:rPr>
        <w:fldChar w:fldCharType="separate"/>
      </w:r>
      <w:r>
        <w:rPr>
          <w:rFonts w:hint="eastAsia" w:ascii="Songti SC" w:hAnsi="Songti SC" w:eastAsia="Songti SC" w:cs="Songti SC"/>
          <w:sz w:val="28"/>
          <w:szCs w:val="28"/>
          <w:lang w:val="en-US" w:eastAsia="zh-CN"/>
        </w:rPr>
        <w:t>（二）推进数据资源体系建设</w:t>
      </w:r>
      <w:r>
        <w:rPr>
          <w:rFonts w:hint="eastAsia" w:ascii="Songti SC" w:hAnsi="Songti SC" w:eastAsia="Songti SC" w:cs="Songti SC"/>
          <w:sz w:val="28"/>
          <w:szCs w:val="28"/>
        </w:rPr>
        <w:tab/>
      </w:r>
      <w:r>
        <w:rPr>
          <w:rFonts w:hint="eastAsia" w:ascii="Songti SC" w:hAnsi="Songti SC" w:eastAsia="Songti SC" w:cs="Songti SC"/>
          <w:sz w:val="28"/>
          <w:szCs w:val="28"/>
        </w:rPr>
        <w:fldChar w:fldCharType="begin"/>
      </w:r>
      <w:r>
        <w:rPr>
          <w:rFonts w:hint="eastAsia" w:ascii="Songti SC" w:hAnsi="Songti SC" w:eastAsia="Songti SC" w:cs="Songti SC"/>
          <w:sz w:val="28"/>
          <w:szCs w:val="28"/>
        </w:rPr>
        <w:instrText xml:space="preserve"> PAGEREF _Toc92999709 \h </w:instrText>
      </w:r>
      <w:r>
        <w:rPr>
          <w:rFonts w:hint="eastAsia" w:ascii="Songti SC" w:hAnsi="Songti SC" w:eastAsia="Songti SC" w:cs="Songti SC"/>
          <w:sz w:val="28"/>
          <w:szCs w:val="28"/>
        </w:rPr>
        <w:fldChar w:fldCharType="separate"/>
      </w:r>
      <w:r>
        <w:rPr>
          <w:rFonts w:hint="eastAsia" w:ascii="Songti SC" w:hAnsi="Songti SC" w:eastAsia="Songti SC" w:cs="Songti SC"/>
          <w:sz w:val="28"/>
          <w:szCs w:val="28"/>
        </w:rPr>
        <w:t>6</w:t>
      </w:r>
      <w:r>
        <w:rPr>
          <w:rFonts w:hint="eastAsia" w:ascii="Songti SC" w:hAnsi="Songti SC" w:eastAsia="Songti SC" w:cs="Songti SC"/>
          <w:sz w:val="28"/>
          <w:szCs w:val="28"/>
        </w:rPr>
        <w:fldChar w:fldCharType="end"/>
      </w:r>
      <w:r>
        <w:rPr>
          <w:rFonts w:hint="eastAsia" w:ascii="Songti SC" w:hAnsi="Songti SC" w:eastAsia="Songti SC" w:cs="Songti SC"/>
          <w:sz w:val="28"/>
          <w:szCs w:val="28"/>
          <w:lang w:val="zh-CN"/>
        </w:rPr>
        <w:fldChar w:fldCharType="end"/>
      </w:r>
    </w:p>
    <w:p w14:paraId="2E9A6BBE">
      <w:pPr>
        <w:pStyle w:val="10"/>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Songti SC" w:hAnsi="Songti SC" w:eastAsia="Songti SC" w:cs="Songti SC"/>
          <w:sz w:val="28"/>
          <w:szCs w:val="28"/>
        </w:rPr>
      </w:pPr>
      <w:r>
        <w:rPr>
          <w:rFonts w:hint="eastAsia" w:ascii="Songti SC" w:hAnsi="Songti SC" w:eastAsia="Songti SC" w:cs="Songti SC"/>
          <w:sz w:val="28"/>
          <w:szCs w:val="28"/>
          <w:lang w:val="zh-CN"/>
        </w:rPr>
        <w:fldChar w:fldCharType="begin"/>
      </w:r>
      <w:r>
        <w:rPr>
          <w:rFonts w:hint="eastAsia" w:ascii="Songti SC" w:hAnsi="Songti SC" w:eastAsia="Songti SC" w:cs="Songti SC"/>
          <w:sz w:val="28"/>
          <w:szCs w:val="28"/>
          <w:lang w:val="zh-CN"/>
        </w:rPr>
        <w:instrText xml:space="preserve"> HYPERLINK \l _Toc1825497794 </w:instrText>
      </w:r>
      <w:r>
        <w:rPr>
          <w:rFonts w:hint="eastAsia" w:ascii="Songti SC" w:hAnsi="Songti SC" w:eastAsia="Songti SC" w:cs="Songti SC"/>
          <w:sz w:val="28"/>
          <w:szCs w:val="28"/>
          <w:lang w:val="zh-CN"/>
        </w:rPr>
        <w:fldChar w:fldCharType="separate"/>
      </w:r>
      <w:r>
        <w:rPr>
          <w:rFonts w:hint="eastAsia" w:ascii="Songti SC" w:hAnsi="Songti SC" w:eastAsia="Songti SC" w:cs="Songti SC"/>
          <w:sz w:val="28"/>
          <w:szCs w:val="28"/>
          <w:lang w:val="en-US" w:eastAsia="zh-CN"/>
        </w:rPr>
        <w:t>（三）持续强化数字安全保障能力</w:t>
      </w:r>
      <w:r>
        <w:rPr>
          <w:rFonts w:hint="eastAsia" w:ascii="Songti SC" w:hAnsi="Songti SC" w:eastAsia="Songti SC" w:cs="Songti SC"/>
          <w:sz w:val="28"/>
          <w:szCs w:val="28"/>
        </w:rPr>
        <w:tab/>
      </w:r>
      <w:r>
        <w:rPr>
          <w:rFonts w:hint="eastAsia" w:ascii="Songti SC" w:hAnsi="Songti SC" w:eastAsia="Songti SC" w:cs="Songti SC"/>
          <w:sz w:val="28"/>
          <w:szCs w:val="28"/>
        </w:rPr>
        <w:fldChar w:fldCharType="begin"/>
      </w:r>
      <w:r>
        <w:rPr>
          <w:rFonts w:hint="eastAsia" w:ascii="Songti SC" w:hAnsi="Songti SC" w:eastAsia="Songti SC" w:cs="Songti SC"/>
          <w:sz w:val="28"/>
          <w:szCs w:val="28"/>
        </w:rPr>
        <w:instrText xml:space="preserve"> PAGEREF _Toc1825497794 \h </w:instrText>
      </w:r>
      <w:r>
        <w:rPr>
          <w:rFonts w:hint="eastAsia" w:ascii="Songti SC" w:hAnsi="Songti SC" w:eastAsia="Songti SC" w:cs="Songti SC"/>
          <w:sz w:val="28"/>
          <w:szCs w:val="28"/>
        </w:rPr>
        <w:fldChar w:fldCharType="separate"/>
      </w:r>
      <w:r>
        <w:rPr>
          <w:rFonts w:hint="eastAsia" w:ascii="Songti SC" w:hAnsi="Songti SC" w:eastAsia="Songti SC" w:cs="Songti SC"/>
          <w:sz w:val="28"/>
          <w:szCs w:val="28"/>
        </w:rPr>
        <w:t>7</w:t>
      </w:r>
      <w:r>
        <w:rPr>
          <w:rFonts w:hint="eastAsia" w:ascii="Songti SC" w:hAnsi="Songti SC" w:eastAsia="Songti SC" w:cs="Songti SC"/>
          <w:sz w:val="28"/>
          <w:szCs w:val="28"/>
        </w:rPr>
        <w:fldChar w:fldCharType="end"/>
      </w:r>
      <w:r>
        <w:rPr>
          <w:rFonts w:hint="eastAsia" w:ascii="Songti SC" w:hAnsi="Songti SC" w:eastAsia="Songti SC" w:cs="Songti SC"/>
          <w:sz w:val="28"/>
          <w:szCs w:val="28"/>
          <w:lang w:val="zh-CN"/>
        </w:rPr>
        <w:fldChar w:fldCharType="end"/>
      </w:r>
    </w:p>
    <w:p w14:paraId="5B81AC95">
      <w:pPr>
        <w:pStyle w:val="8"/>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Songti SC" w:hAnsi="Songti SC" w:eastAsia="Songti SC" w:cs="Songti SC"/>
          <w:sz w:val="28"/>
          <w:szCs w:val="28"/>
        </w:rPr>
      </w:pPr>
      <w:r>
        <w:rPr>
          <w:rFonts w:hint="eastAsia" w:ascii="Songti SC" w:hAnsi="Songti SC" w:eastAsia="Songti SC" w:cs="Songti SC"/>
          <w:sz w:val="28"/>
          <w:szCs w:val="28"/>
          <w:lang w:val="zh-CN"/>
        </w:rPr>
        <w:fldChar w:fldCharType="begin"/>
      </w:r>
      <w:r>
        <w:rPr>
          <w:rFonts w:hint="eastAsia" w:ascii="Songti SC" w:hAnsi="Songti SC" w:eastAsia="Songti SC" w:cs="Songti SC"/>
          <w:sz w:val="28"/>
          <w:szCs w:val="28"/>
          <w:lang w:val="zh-CN"/>
        </w:rPr>
        <w:instrText xml:space="preserve"> HYPERLINK \l _Toc42559069 </w:instrText>
      </w:r>
      <w:r>
        <w:rPr>
          <w:rFonts w:hint="eastAsia" w:ascii="Songti SC" w:hAnsi="Songti SC" w:eastAsia="Songti SC" w:cs="Songti SC"/>
          <w:sz w:val="28"/>
          <w:szCs w:val="28"/>
          <w:lang w:val="zh-CN"/>
        </w:rPr>
        <w:fldChar w:fldCharType="separate"/>
      </w:r>
      <w:r>
        <w:rPr>
          <w:rFonts w:hint="eastAsia" w:ascii="Songti SC" w:hAnsi="Songti SC" w:eastAsia="Songti SC" w:cs="Songti SC"/>
          <w:bCs w:val="0"/>
          <w:sz w:val="28"/>
          <w:szCs w:val="28"/>
          <w:lang w:val="en-US" w:eastAsia="zh-CN"/>
        </w:rPr>
        <w:t>五、着力推动以数据要素全面赋能特色产业发展</w:t>
      </w:r>
      <w:r>
        <w:rPr>
          <w:rFonts w:hint="eastAsia" w:ascii="Songti SC" w:hAnsi="Songti SC" w:eastAsia="Songti SC" w:cs="Songti SC"/>
          <w:sz w:val="28"/>
          <w:szCs w:val="28"/>
        </w:rPr>
        <w:tab/>
      </w:r>
      <w:r>
        <w:rPr>
          <w:rFonts w:hint="eastAsia" w:ascii="Songti SC" w:hAnsi="Songti SC" w:eastAsia="Songti SC" w:cs="Songti SC"/>
          <w:sz w:val="28"/>
          <w:szCs w:val="28"/>
        </w:rPr>
        <w:fldChar w:fldCharType="begin"/>
      </w:r>
      <w:r>
        <w:rPr>
          <w:rFonts w:hint="eastAsia" w:ascii="Songti SC" w:hAnsi="Songti SC" w:eastAsia="Songti SC" w:cs="Songti SC"/>
          <w:sz w:val="28"/>
          <w:szCs w:val="28"/>
        </w:rPr>
        <w:instrText xml:space="preserve"> PAGEREF _Toc42559069 \h </w:instrText>
      </w:r>
      <w:r>
        <w:rPr>
          <w:rFonts w:hint="eastAsia" w:ascii="Songti SC" w:hAnsi="Songti SC" w:eastAsia="Songti SC" w:cs="Songti SC"/>
          <w:sz w:val="28"/>
          <w:szCs w:val="28"/>
        </w:rPr>
        <w:fldChar w:fldCharType="separate"/>
      </w:r>
      <w:r>
        <w:rPr>
          <w:rFonts w:hint="eastAsia" w:ascii="Songti SC" w:hAnsi="Songti SC" w:eastAsia="Songti SC" w:cs="Songti SC"/>
          <w:sz w:val="28"/>
          <w:szCs w:val="28"/>
        </w:rPr>
        <w:t>8</w:t>
      </w:r>
      <w:r>
        <w:rPr>
          <w:rFonts w:hint="eastAsia" w:ascii="Songti SC" w:hAnsi="Songti SC" w:eastAsia="Songti SC" w:cs="Songti SC"/>
          <w:sz w:val="28"/>
          <w:szCs w:val="28"/>
        </w:rPr>
        <w:fldChar w:fldCharType="end"/>
      </w:r>
      <w:r>
        <w:rPr>
          <w:rFonts w:hint="eastAsia" w:ascii="Songti SC" w:hAnsi="Songti SC" w:eastAsia="Songti SC" w:cs="Songti SC"/>
          <w:sz w:val="28"/>
          <w:szCs w:val="28"/>
          <w:lang w:val="zh-CN"/>
        </w:rPr>
        <w:fldChar w:fldCharType="end"/>
      </w:r>
    </w:p>
    <w:p w14:paraId="5BDBFA20">
      <w:pPr>
        <w:pStyle w:val="10"/>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Songti SC" w:hAnsi="Songti SC" w:eastAsia="Songti SC" w:cs="Songti SC"/>
          <w:sz w:val="28"/>
          <w:szCs w:val="28"/>
        </w:rPr>
      </w:pPr>
      <w:r>
        <w:rPr>
          <w:rFonts w:hint="eastAsia" w:ascii="Songti SC" w:hAnsi="Songti SC" w:eastAsia="Songti SC" w:cs="Songti SC"/>
          <w:sz w:val="28"/>
          <w:szCs w:val="28"/>
          <w:lang w:val="zh-CN"/>
        </w:rPr>
        <w:fldChar w:fldCharType="begin"/>
      </w:r>
      <w:r>
        <w:rPr>
          <w:rFonts w:hint="eastAsia" w:ascii="Songti SC" w:hAnsi="Songti SC" w:eastAsia="Songti SC" w:cs="Songti SC"/>
          <w:sz w:val="28"/>
          <w:szCs w:val="28"/>
          <w:lang w:val="zh-CN"/>
        </w:rPr>
        <w:instrText xml:space="preserve"> HYPERLINK \l _Toc178218232 </w:instrText>
      </w:r>
      <w:r>
        <w:rPr>
          <w:rFonts w:hint="eastAsia" w:ascii="Songti SC" w:hAnsi="Songti SC" w:eastAsia="Songti SC" w:cs="Songti SC"/>
          <w:sz w:val="28"/>
          <w:szCs w:val="28"/>
          <w:lang w:val="zh-CN"/>
        </w:rPr>
        <w:fldChar w:fldCharType="separate"/>
      </w:r>
      <w:r>
        <w:rPr>
          <w:rFonts w:hint="eastAsia" w:ascii="Songti SC" w:hAnsi="Songti SC" w:eastAsia="Songti SC" w:cs="Songti SC"/>
          <w:sz w:val="28"/>
          <w:szCs w:val="28"/>
          <w:lang w:val="en-US" w:eastAsia="zh-CN"/>
        </w:rPr>
        <w:t>（一）培育数据要素市场</w:t>
      </w:r>
      <w:r>
        <w:rPr>
          <w:rFonts w:hint="eastAsia" w:ascii="Songti SC" w:hAnsi="Songti SC" w:eastAsia="Songti SC" w:cs="Songti SC"/>
          <w:sz w:val="28"/>
          <w:szCs w:val="28"/>
        </w:rPr>
        <w:tab/>
      </w:r>
      <w:r>
        <w:rPr>
          <w:rFonts w:hint="eastAsia" w:ascii="Songti SC" w:hAnsi="Songti SC" w:eastAsia="Songti SC" w:cs="Songti SC"/>
          <w:sz w:val="28"/>
          <w:szCs w:val="28"/>
        </w:rPr>
        <w:fldChar w:fldCharType="begin"/>
      </w:r>
      <w:r>
        <w:rPr>
          <w:rFonts w:hint="eastAsia" w:ascii="Songti SC" w:hAnsi="Songti SC" w:eastAsia="Songti SC" w:cs="Songti SC"/>
          <w:sz w:val="28"/>
          <w:szCs w:val="28"/>
        </w:rPr>
        <w:instrText xml:space="preserve"> PAGEREF _Toc178218232 \h </w:instrText>
      </w:r>
      <w:r>
        <w:rPr>
          <w:rFonts w:hint="eastAsia" w:ascii="Songti SC" w:hAnsi="Songti SC" w:eastAsia="Songti SC" w:cs="Songti SC"/>
          <w:sz w:val="28"/>
          <w:szCs w:val="28"/>
        </w:rPr>
        <w:fldChar w:fldCharType="separate"/>
      </w:r>
      <w:r>
        <w:rPr>
          <w:rFonts w:hint="eastAsia" w:ascii="Songti SC" w:hAnsi="Songti SC" w:eastAsia="Songti SC" w:cs="Songti SC"/>
          <w:sz w:val="28"/>
          <w:szCs w:val="28"/>
        </w:rPr>
        <w:t>8</w:t>
      </w:r>
      <w:r>
        <w:rPr>
          <w:rFonts w:hint="eastAsia" w:ascii="Songti SC" w:hAnsi="Songti SC" w:eastAsia="Songti SC" w:cs="Songti SC"/>
          <w:sz w:val="28"/>
          <w:szCs w:val="28"/>
        </w:rPr>
        <w:fldChar w:fldCharType="end"/>
      </w:r>
      <w:r>
        <w:rPr>
          <w:rFonts w:hint="eastAsia" w:ascii="Songti SC" w:hAnsi="Songti SC" w:eastAsia="Songti SC" w:cs="Songti SC"/>
          <w:sz w:val="28"/>
          <w:szCs w:val="28"/>
          <w:lang w:val="zh-CN"/>
        </w:rPr>
        <w:fldChar w:fldCharType="end"/>
      </w:r>
    </w:p>
    <w:p w14:paraId="0DBC8A6D">
      <w:pPr>
        <w:pStyle w:val="10"/>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Songti SC" w:hAnsi="Songti SC" w:eastAsia="Songti SC" w:cs="Songti SC"/>
          <w:sz w:val="28"/>
          <w:szCs w:val="28"/>
        </w:rPr>
      </w:pPr>
      <w:r>
        <w:rPr>
          <w:rFonts w:hint="eastAsia" w:ascii="Songti SC" w:hAnsi="Songti SC" w:eastAsia="Songti SC" w:cs="Songti SC"/>
          <w:sz w:val="28"/>
          <w:szCs w:val="28"/>
          <w:lang w:val="zh-CN"/>
        </w:rPr>
        <w:fldChar w:fldCharType="begin"/>
      </w:r>
      <w:r>
        <w:rPr>
          <w:rFonts w:hint="eastAsia" w:ascii="Songti SC" w:hAnsi="Songti SC" w:eastAsia="Songti SC" w:cs="Songti SC"/>
          <w:sz w:val="28"/>
          <w:szCs w:val="28"/>
          <w:lang w:val="zh-CN"/>
        </w:rPr>
        <w:instrText xml:space="preserve"> HYPERLINK \l _Toc1721621306 </w:instrText>
      </w:r>
      <w:r>
        <w:rPr>
          <w:rFonts w:hint="eastAsia" w:ascii="Songti SC" w:hAnsi="Songti SC" w:eastAsia="Songti SC" w:cs="Songti SC"/>
          <w:sz w:val="28"/>
          <w:szCs w:val="28"/>
          <w:lang w:val="zh-CN"/>
        </w:rPr>
        <w:fldChar w:fldCharType="separate"/>
      </w:r>
      <w:r>
        <w:rPr>
          <w:rFonts w:hint="eastAsia" w:ascii="Songti SC" w:hAnsi="Songti SC" w:eastAsia="Songti SC" w:cs="Songti SC"/>
          <w:sz w:val="28"/>
          <w:szCs w:val="28"/>
          <w:lang w:val="en-US" w:eastAsia="zh-CN"/>
        </w:rPr>
        <w:t>（二）推进“数据要素×农业中关村”建设</w:t>
      </w:r>
      <w:r>
        <w:rPr>
          <w:rFonts w:hint="eastAsia" w:ascii="Songti SC" w:hAnsi="Songti SC" w:eastAsia="Songti SC" w:cs="Songti SC"/>
          <w:sz w:val="28"/>
          <w:szCs w:val="28"/>
        </w:rPr>
        <w:tab/>
      </w:r>
      <w:r>
        <w:rPr>
          <w:rFonts w:hint="eastAsia" w:ascii="Songti SC" w:hAnsi="Songti SC" w:eastAsia="Songti SC" w:cs="Songti SC"/>
          <w:sz w:val="28"/>
          <w:szCs w:val="28"/>
        </w:rPr>
        <w:fldChar w:fldCharType="begin"/>
      </w:r>
      <w:r>
        <w:rPr>
          <w:rFonts w:hint="eastAsia" w:ascii="Songti SC" w:hAnsi="Songti SC" w:eastAsia="Songti SC" w:cs="Songti SC"/>
          <w:sz w:val="28"/>
          <w:szCs w:val="28"/>
        </w:rPr>
        <w:instrText xml:space="preserve"> PAGEREF _Toc1721621306 \h </w:instrText>
      </w:r>
      <w:r>
        <w:rPr>
          <w:rFonts w:hint="eastAsia" w:ascii="Songti SC" w:hAnsi="Songti SC" w:eastAsia="Songti SC" w:cs="Songti SC"/>
          <w:sz w:val="28"/>
          <w:szCs w:val="28"/>
        </w:rPr>
        <w:fldChar w:fldCharType="separate"/>
      </w:r>
      <w:r>
        <w:rPr>
          <w:rFonts w:hint="eastAsia" w:ascii="Songti SC" w:hAnsi="Songti SC" w:eastAsia="Songti SC" w:cs="Songti SC"/>
          <w:sz w:val="28"/>
          <w:szCs w:val="28"/>
        </w:rPr>
        <w:t>8</w:t>
      </w:r>
      <w:r>
        <w:rPr>
          <w:rFonts w:hint="eastAsia" w:ascii="Songti SC" w:hAnsi="Songti SC" w:eastAsia="Songti SC" w:cs="Songti SC"/>
          <w:sz w:val="28"/>
          <w:szCs w:val="28"/>
        </w:rPr>
        <w:fldChar w:fldCharType="end"/>
      </w:r>
      <w:r>
        <w:rPr>
          <w:rFonts w:hint="eastAsia" w:ascii="Songti SC" w:hAnsi="Songti SC" w:eastAsia="Songti SC" w:cs="Songti SC"/>
          <w:sz w:val="28"/>
          <w:szCs w:val="28"/>
          <w:lang w:val="zh-CN"/>
        </w:rPr>
        <w:fldChar w:fldCharType="end"/>
      </w:r>
    </w:p>
    <w:p w14:paraId="2368DBFF">
      <w:pPr>
        <w:pStyle w:val="10"/>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Songti SC" w:hAnsi="Songti SC" w:eastAsia="Songti SC" w:cs="Songti SC"/>
          <w:sz w:val="28"/>
          <w:szCs w:val="28"/>
        </w:rPr>
      </w:pPr>
      <w:r>
        <w:rPr>
          <w:rFonts w:hint="eastAsia" w:ascii="Songti SC" w:hAnsi="Songti SC" w:eastAsia="Songti SC" w:cs="Songti SC"/>
          <w:sz w:val="28"/>
          <w:szCs w:val="28"/>
          <w:lang w:val="zh-CN"/>
        </w:rPr>
        <w:fldChar w:fldCharType="begin"/>
      </w:r>
      <w:r>
        <w:rPr>
          <w:rFonts w:hint="eastAsia" w:ascii="Songti SC" w:hAnsi="Songti SC" w:eastAsia="Songti SC" w:cs="Songti SC"/>
          <w:sz w:val="28"/>
          <w:szCs w:val="28"/>
          <w:lang w:val="zh-CN"/>
        </w:rPr>
        <w:instrText xml:space="preserve"> HYPERLINK \l _Toc94630264 </w:instrText>
      </w:r>
      <w:r>
        <w:rPr>
          <w:rFonts w:hint="eastAsia" w:ascii="Songti SC" w:hAnsi="Songti SC" w:eastAsia="Songti SC" w:cs="Songti SC"/>
          <w:sz w:val="28"/>
          <w:szCs w:val="28"/>
          <w:lang w:val="zh-CN"/>
        </w:rPr>
        <w:fldChar w:fldCharType="separate"/>
      </w:r>
      <w:r>
        <w:rPr>
          <w:rFonts w:hint="eastAsia" w:ascii="Songti SC" w:hAnsi="Songti SC" w:eastAsia="Songti SC" w:cs="Songti SC"/>
          <w:sz w:val="28"/>
          <w:szCs w:val="28"/>
          <w:lang w:val="en-US" w:eastAsia="zh-CN"/>
        </w:rPr>
        <w:t>（三）推进“数据要素×首都物流高地”建设</w:t>
      </w:r>
      <w:r>
        <w:rPr>
          <w:rFonts w:hint="eastAsia" w:ascii="Songti SC" w:hAnsi="Songti SC" w:eastAsia="Songti SC" w:cs="Songti SC"/>
          <w:sz w:val="28"/>
          <w:szCs w:val="28"/>
        </w:rPr>
        <w:tab/>
      </w:r>
      <w:r>
        <w:rPr>
          <w:rFonts w:hint="eastAsia" w:ascii="Songti SC" w:hAnsi="Songti SC" w:eastAsia="Songti SC" w:cs="Songti SC"/>
          <w:sz w:val="28"/>
          <w:szCs w:val="28"/>
        </w:rPr>
        <w:fldChar w:fldCharType="begin"/>
      </w:r>
      <w:r>
        <w:rPr>
          <w:rFonts w:hint="eastAsia" w:ascii="Songti SC" w:hAnsi="Songti SC" w:eastAsia="Songti SC" w:cs="Songti SC"/>
          <w:sz w:val="28"/>
          <w:szCs w:val="28"/>
        </w:rPr>
        <w:instrText xml:space="preserve"> PAGEREF _Toc94630264 \h </w:instrText>
      </w:r>
      <w:r>
        <w:rPr>
          <w:rFonts w:hint="eastAsia" w:ascii="Songti SC" w:hAnsi="Songti SC" w:eastAsia="Songti SC" w:cs="Songti SC"/>
          <w:sz w:val="28"/>
          <w:szCs w:val="28"/>
        </w:rPr>
        <w:fldChar w:fldCharType="separate"/>
      </w:r>
      <w:r>
        <w:rPr>
          <w:rFonts w:hint="eastAsia" w:ascii="Songti SC" w:hAnsi="Songti SC" w:eastAsia="Songti SC" w:cs="Songti SC"/>
          <w:sz w:val="28"/>
          <w:szCs w:val="28"/>
        </w:rPr>
        <w:t>10</w:t>
      </w:r>
      <w:r>
        <w:rPr>
          <w:rFonts w:hint="eastAsia" w:ascii="Songti SC" w:hAnsi="Songti SC" w:eastAsia="Songti SC" w:cs="Songti SC"/>
          <w:sz w:val="28"/>
          <w:szCs w:val="28"/>
        </w:rPr>
        <w:fldChar w:fldCharType="end"/>
      </w:r>
      <w:r>
        <w:rPr>
          <w:rFonts w:hint="eastAsia" w:ascii="Songti SC" w:hAnsi="Songti SC" w:eastAsia="Songti SC" w:cs="Songti SC"/>
          <w:sz w:val="28"/>
          <w:szCs w:val="28"/>
          <w:lang w:val="zh-CN"/>
        </w:rPr>
        <w:fldChar w:fldCharType="end"/>
      </w:r>
    </w:p>
    <w:p w14:paraId="4830DE42">
      <w:pPr>
        <w:pStyle w:val="10"/>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Songti SC" w:hAnsi="Songti SC" w:eastAsia="Songti SC" w:cs="Songti SC"/>
          <w:sz w:val="28"/>
          <w:szCs w:val="28"/>
        </w:rPr>
      </w:pPr>
      <w:r>
        <w:rPr>
          <w:rFonts w:hint="eastAsia" w:ascii="Songti SC" w:hAnsi="Songti SC" w:eastAsia="Songti SC" w:cs="Songti SC"/>
          <w:sz w:val="28"/>
          <w:szCs w:val="28"/>
          <w:lang w:val="zh-CN"/>
        </w:rPr>
        <w:fldChar w:fldCharType="begin"/>
      </w:r>
      <w:r>
        <w:rPr>
          <w:rFonts w:hint="eastAsia" w:ascii="Songti SC" w:hAnsi="Songti SC" w:eastAsia="Songti SC" w:cs="Songti SC"/>
          <w:sz w:val="28"/>
          <w:szCs w:val="28"/>
          <w:lang w:val="zh-CN"/>
        </w:rPr>
        <w:instrText xml:space="preserve"> HYPERLINK \l _Toc1312948268 </w:instrText>
      </w:r>
      <w:r>
        <w:rPr>
          <w:rFonts w:hint="eastAsia" w:ascii="Songti SC" w:hAnsi="Songti SC" w:eastAsia="Songti SC" w:cs="Songti SC"/>
          <w:sz w:val="28"/>
          <w:szCs w:val="28"/>
          <w:lang w:val="zh-CN"/>
        </w:rPr>
        <w:fldChar w:fldCharType="separate"/>
      </w:r>
      <w:r>
        <w:rPr>
          <w:rFonts w:hint="eastAsia" w:ascii="Songti SC" w:hAnsi="Songti SC" w:eastAsia="Songti SC" w:cs="Songti SC"/>
          <w:sz w:val="28"/>
          <w:szCs w:val="28"/>
          <w:lang w:val="en-US" w:eastAsia="zh-CN"/>
        </w:rPr>
        <w:t>（四）推进“数据要素×世界休闲谷”建设</w:t>
      </w:r>
      <w:r>
        <w:rPr>
          <w:rFonts w:hint="eastAsia" w:ascii="Songti SC" w:hAnsi="Songti SC" w:eastAsia="Songti SC" w:cs="Songti SC"/>
          <w:sz w:val="28"/>
          <w:szCs w:val="28"/>
        </w:rPr>
        <w:tab/>
      </w:r>
      <w:r>
        <w:rPr>
          <w:rFonts w:hint="eastAsia" w:ascii="Songti SC" w:hAnsi="Songti SC" w:eastAsia="Songti SC" w:cs="Songti SC"/>
          <w:sz w:val="28"/>
          <w:szCs w:val="28"/>
        </w:rPr>
        <w:fldChar w:fldCharType="begin"/>
      </w:r>
      <w:r>
        <w:rPr>
          <w:rFonts w:hint="eastAsia" w:ascii="Songti SC" w:hAnsi="Songti SC" w:eastAsia="Songti SC" w:cs="Songti SC"/>
          <w:sz w:val="28"/>
          <w:szCs w:val="28"/>
        </w:rPr>
        <w:instrText xml:space="preserve"> PAGEREF _Toc1312948268 \h </w:instrText>
      </w:r>
      <w:r>
        <w:rPr>
          <w:rFonts w:hint="eastAsia" w:ascii="Songti SC" w:hAnsi="Songti SC" w:eastAsia="Songti SC" w:cs="Songti SC"/>
          <w:sz w:val="28"/>
          <w:szCs w:val="28"/>
        </w:rPr>
        <w:fldChar w:fldCharType="separate"/>
      </w:r>
      <w:r>
        <w:rPr>
          <w:rFonts w:hint="eastAsia" w:ascii="Songti SC" w:hAnsi="Songti SC" w:eastAsia="Songti SC" w:cs="Songti SC"/>
          <w:sz w:val="28"/>
          <w:szCs w:val="28"/>
        </w:rPr>
        <w:t>11</w:t>
      </w:r>
      <w:r>
        <w:rPr>
          <w:rFonts w:hint="eastAsia" w:ascii="Songti SC" w:hAnsi="Songti SC" w:eastAsia="Songti SC" w:cs="Songti SC"/>
          <w:sz w:val="28"/>
          <w:szCs w:val="28"/>
        </w:rPr>
        <w:fldChar w:fldCharType="end"/>
      </w:r>
      <w:r>
        <w:rPr>
          <w:rFonts w:hint="eastAsia" w:ascii="Songti SC" w:hAnsi="Songti SC" w:eastAsia="Songti SC" w:cs="Songti SC"/>
          <w:sz w:val="28"/>
          <w:szCs w:val="28"/>
          <w:lang w:val="zh-CN"/>
        </w:rPr>
        <w:fldChar w:fldCharType="end"/>
      </w:r>
    </w:p>
    <w:p w14:paraId="59390790">
      <w:pPr>
        <w:pStyle w:val="8"/>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Songti SC" w:hAnsi="Songti SC" w:eastAsia="Songti SC" w:cs="Songti SC"/>
          <w:sz w:val="28"/>
          <w:szCs w:val="28"/>
        </w:rPr>
      </w:pPr>
      <w:r>
        <w:rPr>
          <w:rFonts w:hint="eastAsia" w:ascii="Songti SC" w:hAnsi="Songti SC" w:eastAsia="Songti SC" w:cs="Songti SC"/>
          <w:sz w:val="28"/>
          <w:szCs w:val="28"/>
          <w:lang w:val="zh-CN"/>
        </w:rPr>
        <w:fldChar w:fldCharType="begin"/>
      </w:r>
      <w:r>
        <w:rPr>
          <w:rFonts w:hint="eastAsia" w:ascii="Songti SC" w:hAnsi="Songti SC" w:eastAsia="Songti SC" w:cs="Songti SC"/>
          <w:sz w:val="28"/>
          <w:szCs w:val="28"/>
          <w:lang w:val="zh-CN"/>
        </w:rPr>
        <w:instrText xml:space="preserve"> HYPERLINK \l _Toc1327067351 </w:instrText>
      </w:r>
      <w:r>
        <w:rPr>
          <w:rFonts w:hint="eastAsia" w:ascii="Songti SC" w:hAnsi="Songti SC" w:eastAsia="Songti SC" w:cs="Songti SC"/>
          <w:sz w:val="28"/>
          <w:szCs w:val="28"/>
          <w:lang w:val="zh-CN"/>
        </w:rPr>
        <w:fldChar w:fldCharType="separate"/>
      </w:r>
      <w:r>
        <w:rPr>
          <w:rFonts w:hint="eastAsia" w:ascii="Songti SC" w:hAnsi="Songti SC" w:eastAsia="Songti SC" w:cs="Songti SC"/>
          <w:bCs w:val="0"/>
          <w:sz w:val="28"/>
          <w:szCs w:val="28"/>
          <w:lang w:val="en-US" w:eastAsia="zh-CN"/>
        </w:rPr>
        <w:t>六、全面推进重点领域数智化转型升级</w:t>
      </w:r>
      <w:r>
        <w:rPr>
          <w:rFonts w:hint="eastAsia" w:ascii="Songti SC" w:hAnsi="Songti SC" w:eastAsia="Songti SC" w:cs="Songti SC"/>
          <w:sz w:val="28"/>
          <w:szCs w:val="28"/>
        </w:rPr>
        <w:tab/>
      </w:r>
      <w:r>
        <w:rPr>
          <w:rFonts w:hint="eastAsia" w:ascii="Songti SC" w:hAnsi="Songti SC" w:eastAsia="Songti SC" w:cs="Songti SC"/>
          <w:sz w:val="28"/>
          <w:szCs w:val="28"/>
        </w:rPr>
        <w:fldChar w:fldCharType="begin"/>
      </w:r>
      <w:r>
        <w:rPr>
          <w:rFonts w:hint="eastAsia" w:ascii="Songti SC" w:hAnsi="Songti SC" w:eastAsia="Songti SC" w:cs="Songti SC"/>
          <w:sz w:val="28"/>
          <w:szCs w:val="28"/>
        </w:rPr>
        <w:instrText xml:space="preserve"> PAGEREF _Toc1327067351 \h </w:instrText>
      </w:r>
      <w:r>
        <w:rPr>
          <w:rFonts w:hint="eastAsia" w:ascii="Songti SC" w:hAnsi="Songti SC" w:eastAsia="Songti SC" w:cs="Songti SC"/>
          <w:sz w:val="28"/>
          <w:szCs w:val="28"/>
        </w:rPr>
        <w:fldChar w:fldCharType="separate"/>
      </w:r>
      <w:r>
        <w:rPr>
          <w:rFonts w:hint="eastAsia" w:ascii="Songti SC" w:hAnsi="Songti SC" w:eastAsia="Songti SC" w:cs="Songti SC"/>
          <w:sz w:val="28"/>
          <w:szCs w:val="28"/>
        </w:rPr>
        <w:t>12</w:t>
      </w:r>
      <w:r>
        <w:rPr>
          <w:rFonts w:hint="eastAsia" w:ascii="Songti SC" w:hAnsi="Songti SC" w:eastAsia="Songti SC" w:cs="Songti SC"/>
          <w:sz w:val="28"/>
          <w:szCs w:val="28"/>
        </w:rPr>
        <w:fldChar w:fldCharType="end"/>
      </w:r>
      <w:r>
        <w:rPr>
          <w:rFonts w:hint="eastAsia" w:ascii="Songti SC" w:hAnsi="Songti SC" w:eastAsia="Songti SC" w:cs="Songti SC"/>
          <w:sz w:val="28"/>
          <w:szCs w:val="28"/>
          <w:lang w:val="zh-CN"/>
        </w:rPr>
        <w:fldChar w:fldCharType="end"/>
      </w:r>
    </w:p>
    <w:p w14:paraId="1ACA02DD">
      <w:pPr>
        <w:pStyle w:val="10"/>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Songti SC" w:hAnsi="Songti SC" w:eastAsia="Songti SC" w:cs="Songti SC"/>
          <w:sz w:val="28"/>
          <w:szCs w:val="28"/>
        </w:rPr>
      </w:pPr>
      <w:r>
        <w:rPr>
          <w:rFonts w:hint="eastAsia" w:ascii="Songti SC" w:hAnsi="Songti SC" w:eastAsia="Songti SC" w:cs="Songti SC"/>
          <w:sz w:val="28"/>
          <w:szCs w:val="28"/>
          <w:lang w:val="zh-CN"/>
        </w:rPr>
        <w:fldChar w:fldCharType="begin"/>
      </w:r>
      <w:r>
        <w:rPr>
          <w:rFonts w:hint="eastAsia" w:ascii="Songti SC" w:hAnsi="Songti SC" w:eastAsia="Songti SC" w:cs="Songti SC"/>
          <w:sz w:val="28"/>
          <w:szCs w:val="28"/>
          <w:lang w:val="zh-CN"/>
        </w:rPr>
        <w:instrText xml:space="preserve"> HYPERLINK \l _Toc255810515 </w:instrText>
      </w:r>
      <w:r>
        <w:rPr>
          <w:rFonts w:hint="eastAsia" w:ascii="Songti SC" w:hAnsi="Songti SC" w:eastAsia="Songti SC" w:cs="Songti SC"/>
          <w:sz w:val="28"/>
          <w:szCs w:val="28"/>
          <w:lang w:val="zh-CN"/>
        </w:rPr>
        <w:fldChar w:fldCharType="separate"/>
      </w:r>
      <w:r>
        <w:rPr>
          <w:rFonts w:hint="eastAsia" w:ascii="Songti SC" w:hAnsi="Songti SC" w:eastAsia="Songti SC" w:cs="Songti SC"/>
          <w:sz w:val="28"/>
          <w:szCs w:val="28"/>
          <w:lang w:val="en-US" w:eastAsia="zh-CN"/>
        </w:rPr>
        <w:t>（一）推进高效协同数字政务建设</w:t>
      </w:r>
      <w:r>
        <w:rPr>
          <w:rFonts w:hint="eastAsia" w:ascii="Songti SC" w:hAnsi="Songti SC" w:eastAsia="Songti SC" w:cs="Songti SC"/>
          <w:sz w:val="28"/>
          <w:szCs w:val="28"/>
        </w:rPr>
        <w:tab/>
      </w:r>
      <w:r>
        <w:rPr>
          <w:rFonts w:hint="eastAsia" w:ascii="Songti SC" w:hAnsi="Songti SC" w:eastAsia="Songti SC" w:cs="Songti SC"/>
          <w:sz w:val="28"/>
          <w:szCs w:val="28"/>
        </w:rPr>
        <w:fldChar w:fldCharType="begin"/>
      </w:r>
      <w:r>
        <w:rPr>
          <w:rFonts w:hint="eastAsia" w:ascii="Songti SC" w:hAnsi="Songti SC" w:eastAsia="Songti SC" w:cs="Songti SC"/>
          <w:sz w:val="28"/>
          <w:szCs w:val="28"/>
        </w:rPr>
        <w:instrText xml:space="preserve"> PAGEREF _Toc255810515 \h </w:instrText>
      </w:r>
      <w:r>
        <w:rPr>
          <w:rFonts w:hint="eastAsia" w:ascii="Songti SC" w:hAnsi="Songti SC" w:eastAsia="Songti SC" w:cs="Songti SC"/>
          <w:sz w:val="28"/>
          <w:szCs w:val="28"/>
        </w:rPr>
        <w:fldChar w:fldCharType="separate"/>
      </w:r>
      <w:r>
        <w:rPr>
          <w:rFonts w:hint="eastAsia" w:ascii="Songti SC" w:hAnsi="Songti SC" w:eastAsia="Songti SC" w:cs="Songti SC"/>
          <w:sz w:val="28"/>
          <w:szCs w:val="28"/>
        </w:rPr>
        <w:t>12</w:t>
      </w:r>
      <w:r>
        <w:rPr>
          <w:rFonts w:hint="eastAsia" w:ascii="Songti SC" w:hAnsi="Songti SC" w:eastAsia="Songti SC" w:cs="Songti SC"/>
          <w:sz w:val="28"/>
          <w:szCs w:val="28"/>
        </w:rPr>
        <w:fldChar w:fldCharType="end"/>
      </w:r>
      <w:r>
        <w:rPr>
          <w:rFonts w:hint="eastAsia" w:ascii="Songti SC" w:hAnsi="Songti SC" w:eastAsia="Songti SC" w:cs="Songti SC"/>
          <w:sz w:val="28"/>
          <w:szCs w:val="28"/>
          <w:lang w:val="zh-CN"/>
        </w:rPr>
        <w:fldChar w:fldCharType="end"/>
      </w:r>
    </w:p>
    <w:p w14:paraId="0D30F40A">
      <w:pPr>
        <w:pStyle w:val="10"/>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Songti SC" w:hAnsi="Songti SC" w:eastAsia="Songti SC" w:cs="Songti SC"/>
          <w:sz w:val="28"/>
          <w:szCs w:val="28"/>
        </w:rPr>
      </w:pPr>
      <w:r>
        <w:rPr>
          <w:rFonts w:hint="eastAsia" w:ascii="Songti SC" w:hAnsi="Songti SC" w:eastAsia="Songti SC" w:cs="Songti SC"/>
          <w:sz w:val="28"/>
          <w:szCs w:val="28"/>
          <w:lang w:val="zh-CN"/>
        </w:rPr>
        <w:fldChar w:fldCharType="begin"/>
      </w:r>
      <w:r>
        <w:rPr>
          <w:rFonts w:hint="eastAsia" w:ascii="Songti SC" w:hAnsi="Songti SC" w:eastAsia="Songti SC" w:cs="Songti SC"/>
          <w:sz w:val="28"/>
          <w:szCs w:val="28"/>
          <w:lang w:val="zh-CN"/>
        </w:rPr>
        <w:instrText xml:space="preserve"> HYPERLINK \l _Toc145064311 </w:instrText>
      </w:r>
      <w:r>
        <w:rPr>
          <w:rFonts w:hint="eastAsia" w:ascii="Songti SC" w:hAnsi="Songti SC" w:eastAsia="Songti SC" w:cs="Songti SC"/>
          <w:sz w:val="28"/>
          <w:szCs w:val="28"/>
          <w:lang w:val="zh-CN"/>
        </w:rPr>
        <w:fldChar w:fldCharType="separate"/>
      </w:r>
      <w:r>
        <w:rPr>
          <w:rFonts w:hint="eastAsia" w:ascii="Songti SC" w:hAnsi="Songti SC" w:eastAsia="Songti SC" w:cs="Songti SC"/>
          <w:sz w:val="28"/>
          <w:szCs w:val="28"/>
          <w:lang w:val="en-US" w:eastAsia="zh-CN"/>
        </w:rPr>
        <w:t>（二）推进普惠便捷数字社会建设</w:t>
      </w:r>
      <w:r>
        <w:rPr>
          <w:rFonts w:hint="eastAsia" w:ascii="Songti SC" w:hAnsi="Songti SC" w:eastAsia="Songti SC" w:cs="Songti SC"/>
          <w:sz w:val="28"/>
          <w:szCs w:val="28"/>
        </w:rPr>
        <w:tab/>
      </w:r>
      <w:r>
        <w:rPr>
          <w:rFonts w:hint="eastAsia" w:ascii="Songti SC" w:hAnsi="Songti SC" w:eastAsia="Songti SC" w:cs="Songti SC"/>
          <w:sz w:val="28"/>
          <w:szCs w:val="28"/>
        </w:rPr>
        <w:fldChar w:fldCharType="begin"/>
      </w:r>
      <w:r>
        <w:rPr>
          <w:rFonts w:hint="eastAsia" w:ascii="Songti SC" w:hAnsi="Songti SC" w:eastAsia="Songti SC" w:cs="Songti SC"/>
          <w:sz w:val="28"/>
          <w:szCs w:val="28"/>
        </w:rPr>
        <w:instrText xml:space="preserve"> PAGEREF _Toc145064311 \h </w:instrText>
      </w:r>
      <w:r>
        <w:rPr>
          <w:rFonts w:hint="eastAsia" w:ascii="Songti SC" w:hAnsi="Songti SC" w:eastAsia="Songti SC" w:cs="Songti SC"/>
          <w:sz w:val="28"/>
          <w:szCs w:val="28"/>
        </w:rPr>
        <w:fldChar w:fldCharType="separate"/>
      </w:r>
      <w:r>
        <w:rPr>
          <w:rFonts w:hint="eastAsia" w:ascii="Songti SC" w:hAnsi="Songti SC" w:eastAsia="Songti SC" w:cs="Songti SC"/>
          <w:sz w:val="28"/>
          <w:szCs w:val="28"/>
        </w:rPr>
        <w:t>13</w:t>
      </w:r>
      <w:r>
        <w:rPr>
          <w:rFonts w:hint="eastAsia" w:ascii="Songti SC" w:hAnsi="Songti SC" w:eastAsia="Songti SC" w:cs="Songti SC"/>
          <w:sz w:val="28"/>
          <w:szCs w:val="28"/>
        </w:rPr>
        <w:fldChar w:fldCharType="end"/>
      </w:r>
      <w:r>
        <w:rPr>
          <w:rFonts w:hint="eastAsia" w:ascii="Songti SC" w:hAnsi="Songti SC" w:eastAsia="Songti SC" w:cs="Songti SC"/>
          <w:sz w:val="28"/>
          <w:szCs w:val="28"/>
          <w:lang w:val="zh-CN"/>
        </w:rPr>
        <w:fldChar w:fldCharType="end"/>
      </w:r>
    </w:p>
    <w:p w14:paraId="1803B163">
      <w:pPr>
        <w:pStyle w:val="10"/>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Songti SC" w:hAnsi="Songti SC" w:eastAsia="Songti SC" w:cs="Songti SC"/>
          <w:sz w:val="28"/>
          <w:szCs w:val="28"/>
        </w:rPr>
      </w:pPr>
      <w:r>
        <w:rPr>
          <w:rFonts w:hint="eastAsia" w:ascii="Songti SC" w:hAnsi="Songti SC" w:eastAsia="Songti SC" w:cs="Songti SC"/>
          <w:sz w:val="28"/>
          <w:szCs w:val="28"/>
          <w:lang w:val="zh-CN"/>
        </w:rPr>
        <w:fldChar w:fldCharType="begin"/>
      </w:r>
      <w:r>
        <w:rPr>
          <w:rFonts w:hint="eastAsia" w:ascii="Songti SC" w:hAnsi="Songti SC" w:eastAsia="Songti SC" w:cs="Songti SC"/>
          <w:sz w:val="28"/>
          <w:szCs w:val="28"/>
          <w:lang w:val="zh-CN"/>
        </w:rPr>
        <w:instrText xml:space="preserve"> HYPERLINK \l _Toc701935632 </w:instrText>
      </w:r>
      <w:r>
        <w:rPr>
          <w:rFonts w:hint="eastAsia" w:ascii="Songti SC" w:hAnsi="Songti SC" w:eastAsia="Songti SC" w:cs="Songti SC"/>
          <w:sz w:val="28"/>
          <w:szCs w:val="28"/>
          <w:lang w:val="zh-CN"/>
        </w:rPr>
        <w:fldChar w:fldCharType="separate"/>
      </w:r>
      <w:r>
        <w:rPr>
          <w:rFonts w:hint="eastAsia" w:ascii="Songti SC" w:hAnsi="Songti SC" w:eastAsia="Songti SC" w:cs="Songti SC"/>
          <w:sz w:val="28"/>
          <w:szCs w:val="28"/>
          <w:lang w:val="en-US" w:eastAsia="zh-CN"/>
        </w:rPr>
        <w:t>（三）推进安全韧性数字城市治理建设</w:t>
      </w:r>
      <w:r>
        <w:rPr>
          <w:rFonts w:hint="eastAsia" w:ascii="Songti SC" w:hAnsi="Songti SC" w:eastAsia="Songti SC" w:cs="Songti SC"/>
          <w:sz w:val="28"/>
          <w:szCs w:val="28"/>
        </w:rPr>
        <w:tab/>
      </w:r>
      <w:r>
        <w:rPr>
          <w:rFonts w:hint="eastAsia" w:ascii="Songti SC" w:hAnsi="Songti SC" w:eastAsia="Songti SC" w:cs="Songti SC"/>
          <w:sz w:val="28"/>
          <w:szCs w:val="28"/>
        </w:rPr>
        <w:fldChar w:fldCharType="begin"/>
      </w:r>
      <w:r>
        <w:rPr>
          <w:rFonts w:hint="eastAsia" w:ascii="Songti SC" w:hAnsi="Songti SC" w:eastAsia="Songti SC" w:cs="Songti SC"/>
          <w:sz w:val="28"/>
          <w:szCs w:val="28"/>
        </w:rPr>
        <w:instrText xml:space="preserve"> PAGEREF _Toc701935632 \h </w:instrText>
      </w:r>
      <w:r>
        <w:rPr>
          <w:rFonts w:hint="eastAsia" w:ascii="Songti SC" w:hAnsi="Songti SC" w:eastAsia="Songti SC" w:cs="Songti SC"/>
          <w:sz w:val="28"/>
          <w:szCs w:val="28"/>
        </w:rPr>
        <w:fldChar w:fldCharType="separate"/>
      </w:r>
      <w:r>
        <w:rPr>
          <w:rFonts w:hint="eastAsia" w:ascii="Songti SC" w:hAnsi="Songti SC" w:eastAsia="Songti SC" w:cs="Songti SC"/>
          <w:sz w:val="28"/>
          <w:szCs w:val="28"/>
        </w:rPr>
        <w:t>14</w:t>
      </w:r>
      <w:r>
        <w:rPr>
          <w:rFonts w:hint="eastAsia" w:ascii="Songti SC" w:hAnsi="Songti SC" w:eastAsia="Songti SC" w:cs="Songti SC"/>
          <w:sz w:val="28"/>
          <w:szCs w:val="28"/>
        </w:rPr>
        <w:fldChar w:fldCharType="end"/>
      </w:r>
      <w:r>
        <w:rPr>
          <w:rFonts w:hint="eastAsia" w:ascii="Songti SC" w:hAnsi="Songti SC" w:eastAsia="Songti SC" w:cs="Songti SC"/>
          <w:sz w:val="28"/>
          <w:szCs w:val="28"/>
          <w:lang w:val="zh-CN"/>
        </w:rPr>
        <w:fldChar w:fldCharType="end"/>
      </w:r>
    </w:p>
    <w:p w14:paraId="785831B1">
      <w:pPr>
        <w:pStyle w:val="10"/>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Songti SC" w:hAnsi="Songti SC" w:eastAsia="Songti SC" w:cs="Songti SC"/>
          <w:sz w:val="28"/>
          <w:szCs w:val="28"/>
        </w:rPr>
      </w:pPr>
      <w:r>
        <w:rPr>
          <w:rFonts w:hint="eastAsia" w:ascii="Songti SC" w:hAnsi="Songti SC" w:eastAsia="Songti SC" w:cs="Songti SC"/>
          <w:sz w:val="28"/>
          <w:szCs w:val="28"/>
          <w:lang w:val="zh-CN"/>
        </w:rPr>
        <w:fldChar w:fldCharType="begin"/>
      </w:r>
      <w:r>
        <w:rPr>
          <w:rFonts w:hint="eastAsia" w:ascii="Songti SC" w:hAnsi="Songti SC" w:eastAsia="Songti SC" w:cs="Songti SC"/>
          <w:sz w:val="28"/>
          <w:szCs w:val="28"/>
          <w:lang w:val="zh-CN"/>
        </w:rPr>
        <w:instrText xml:space="preserve"> HYPERLINK \l _Toc1304494053 </w:instrText>
      </w:r>
      <w:r>
        <w:rPr>
          <w:rFonts w:hint="eastAsia" w:ascii="Songti SC" w:hAnsi="Songti SC" w:eastAsia="Songti SC" w:cs="Songti SC"/>
          <w:sz w:val="28"/>
          <w:szCs w:val="28"/>
          <w:lang w:val="zh-CN"/>
        </w:rPr>
        <w:fldChar w:fldCharType="separate"/>
      </w:r>
      <w:r>
        <w:rPr>
          <w:rFonts w:hint="eastAsia" w:ascii="Songti SC" w:hAnsi="Songti SC" w:eastAsia="Songti SC" w:cs="Songti SC"/>
          <w:sz w:val="28"/>
          <w:szCs w:val="28"/>
          <w:lang w:val="en-US" w:eastAsia="zh-CN"/>
        </w:rPr>
        <w:t>（四）推进绿色低碳数字生态文明建设</w:t>
      </w:r>
      <w:r>
        <w:rPr>
          <w:rFonts w:hint="eastAsia" w:ascii="Songti SC" w:hAnsi="Songti SC" w:eastAsia="Songti SC" w:cs="Songti SC"/>
          <w:sz w:val="28"/>
          <w:szCs w:val="28"/>
        </w:rPr>
        <w:tab/>
      </w:r>
      <w:r>
        <w:rPr>
          <w:rFonts w:hint="eastAsia" w:ascii="Songti SC" w:hAnsi="Songti SC" w:eastAsia="Songti SC" w:cs="Songti SC"/>
          <w:sz w:val="28"/>
          <w:szCs w:val="28"/>
        </w:rPr>
        <w:fldChar w:fldCharType="begin"/>
      </w:r>
      <w:r>
        <w:rPr>
          <w:rFonts w:hint="eastAsia" w:ascii="Songti SC" w:hAnsi="Songti SC" w:eastAsia="Songti SC" w:cs="Songti SC"/>
          <w:sz w:val="28"/>
          <w:szCs w:val="28"/>
        </w:rPr>
        <w:instrText xml:space="preserve"> PAGEREF _Toc1304494053 \h </w:instrText>
      </w:r>
      <w:r>
        <w:rPr>
          <w:rFonts w:hint="eastAsia" w:ascii="Songti SC" w:hAnsi="Songti SC" w:eastAsia="Songti SC" w:cs="Songti SC"/>
          <w:sz w:val="28"/>
          <w:szCs w:val="28"/>
        </w:rPr>
        <w:fldChar w:fldCharType="separate"/>
      </w:r>
      <w:r>
        <w:rPr>
          <w:rFonts w:hint="eastAsia" w:ascii="Songti SC" w:hAnsi="Songti SC" w:eastAsia="Songti SC" w:cs="Songti SC"/>
          <w:sz w:val="28"/>
          <w:szCs w:val="28"/>
        </w:rPr>
        <w:t>16</w:t>
      </w:r>
      <w:r>
        <w:rPr>
          <w:rFonts w:hint="eastAsia" w:ascii="Songti SC" w:hAnsi="Songti SC" w:eastAsia="Songti SC" w:cs="Songti SC"/>
          <w:sz w:val="28"/>
          <w:szCs w:val="28"/>
        </w:rPr>
        <w:fldChar w:fldCharType="end"/>
      </w:r>
      <w:r>
        <w:rPr>
          <w:rFonts w:hint="eastAsia" w:ascii="Songti SC" w:hAnsi="Songti SC" w:eastAsia="Songti SC" w:cs="Songti SC"/>
          <w:sz w:val="28"/>
          <w:szCs w:val="28"/>
          <w:lang w:val="zh-CN"/>
        </w:rPr>
        <w:fldChar w:fldCharType="end"/>
      </w:r>
    </w:p>
    <w:p w14:paraId="6B873B38">
      <w:pPr>
        <w:pStyle w:val="8"/>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Songti SC" w:hAnsi="Songti SC" w:eastAsia="Songti SC" w:cs="Songti SC"/>
          <w:sz w:val="28"/>
          <w:szCs w:val="28"/>
        </w:rPr>
      </w:pPr>
      <w:r>
        <w:rPr>
          <w:rFonts w:hint="eastAsia" w:ascii="Songti SC" w:hAnsi="Songti SC" w:eastAsia="Songti SC" w:cs="Songti SC"/>
          <w:sz w:val="28"/>
          <w:szCs w:val="28"/>
          <w:lang w:val="zh-CN"/>
        </w:rPr>
        <w:fldChar w:fldCharType="begin"/>
      </w:r>
      <w:r>
        <w:rPr>
          <w:rFonts w:hint="eastAsia" w:ascii="Songti SC" w:hAnsi="Songti SC" w:eastAsia="Songti SC" w:cs="Songti SC"/>
          <w:sz w:val="28"/>
          <w:szCs w:val="28"/>
          <w:lang w:val="zh-CN"/>
        </w:rPr>
        <w:instrText xml:space="preserve"> HYPERLINK \l _Toc970996548 </w:instrText>
      </w:r>
      <w:r>
        <w:rPr>
          <w:rFonts w:hint="eastAsia" w:ascii="Songti SC" w:hAnsi="Songti SC" w:eastAsia="Songti SC" w:cs="Songti SC"/>
          <w:sz w:val="28"/>
          <w:szCs w:val="28"/>
          <w:lang w:val="zh-CN"/>
        </w:rPr>
        <w:fldChar w:fldCharType="separate"/>
      </w:r>
      <w:r>
        <w:rPr>
          <w:rFonts w:hint="eastAsia" w:ascii="Songti SC" w:hAnsi="Songti SC" w:eastAsia="Songti SC" w:cs="Songti SC"/>
          <w:sz w:val="28"/>
          <w:szCs w:val="28"/>
          <w:lang w:val="en-US" w:eastAsia="zh-CN"/>
        </w:rPr>
        <w:t>七、组织实施</w:t>
      </w:r>
      <w:r>
        <w:rPr>
          <w:rFonts w:hint="eastAsia" w:ascii="Songti SC" w:hAnsi="Songti SC" w:eastAsia="Songti SC" w:cs="Songti SC"/>
          <w:sz w:val="28"/>
          <w:szCs w:val="28"/>
        </w:rPr>
        <w:tab/>
      </w:r>
      <w:r>
        <w:rPr>
          <w:rFonts w:hint="eastAsia" w:ascii="Songti SC" w:hAnsi="Songti SC" w:eastAsia="Songti SC" w:cs="Songti SC"/>
          <w:sz w:val="28"/>
          <w:szCs w:val="28"/>
        </w:rPr>
        <w:fldChar w:fldCharType="begin"/>
      </w:r>
      <w:r>
        <w:rPr>
          <w:rFonts w:hint="eastAsia" w:ascii="Songti SC" w:hAnsi="Songti SC" w:eastAsia="Songti SC" w:cs="Songti SC"/>
          <w:sz w:val="28"/>
          <w:szCs w:val="28"/>
        </w:rPr>
        <w:instrText xml:space="preserve"> PAGEREF _Toc970996548 \h </w:instrText>
      </w:r>
      <w:r>
        <w:rPr>
          <w:rFonts w:hint="eastAsia" w:ascii="Songti SC" w:hAnsi="Songti SC" w:eastAsia="Songti SC" w:cs="Songti SC"/>
          <w:sz w:val="28"/>
          <w:szCs w:val="28"/>
        </w:rPr>
        <w:fldChar w:fldCharType="separate"/>
      </w:r>
      <w:r>
        <w:rPr>
          <w:rFonts w:hint="eastAsia" w:ascii="Songti SC" w:hAnsi="Songti SC" w:eastAsia="Songti SC" w:cs="Songti SC"/>
          <w:sz w:val="28"/>
          <w:szCs w:val="28"/>
        </w:rPr>
        <w:t>17</w:t>
      </w:r>
      <w:r>
        <w:rPr>
          <w:rFonts w:hint="eastAsia" w:ascii="Songti SC" w:hAnsi="Songti SC" w:eastAsia="Songti SC" w:cs="Songti SC"/>
          <w:sz w:val="28"/>
          <w:szCs w:val="28"/>
        </w:rPr>
        <w:fldChar w:fldCharType="end"/>
      </w:r>
      <w:r>
        <w:rPr>
          <w:rFonts w:hint="eastAsia" w:ascii="Songti SC" w:hAnsi="Songti SC" w:eastAsia="Songti SC" w:cs="Songti SC"/>
          <w:sz w:val="28"/>
          <w:szCs w:val="28"/>
          <w:lang w:val="zh-CN"/>
        </w:rPr>
        <w:fldChar w:fldCharType="end"/>
      </w:r>
    </w:p>
    <w:p w14:paraId="5BAA6088">
      <w:pPr>
        <w:pStyle w:val="10"/>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Songti SC" w:hAnsi="Songti SC" w:eastAsia="Songti SC" w:cs="Songti SC"/>
          <w:sz w:val="28"/>
          <w:szCs w:val="28"/>
        </w:rPr>
      </w:pPr>
      <w:r>
        <w:rPr>
          <w:rFonts w:hint="eastAsia" w:ascii="Songti SC" w:hAnsi="Songti SC" w:eastAsia="Songti SC" w:cs="Songti SC"/>
          <w:sz w:val="28"/>
          <w:szCs w:val="28"/>
          <w:lang w:val="zh-CN"/>
        </w:rPr>
        <w:fldChar w:fldCharType="begin"/>
      </w:r>
      <w:r>
        <w:rPr>
          <w:rFonts w:hint="eastAsia" w:ascii="Songti SC" w:hAnsi="Songti SC" w:eastAsia="Songti SC" w:cs="Songti SC"/>
          <w:sz w:val="28"/>
          <w:szCs w:val="28"/>
          <w:lang w:val="zh-CN"/>
        </w:rPr>
        <w:instrText xml:space="preserve"> HYPERLINK \l _Toc810748683 </w:instrText>
      </w:r>
      <w:r>
        <w:rPr>
          <w:rFonts w:hint="eastAsia" w:ascii="Songti SC" w:hAnsi="Songti SC" w:eastAsia="Songti SC" w:cs="Songti SC"/>
          <w:sz w:val="28"/>
          <w:szCs w:val="28"/>
          <w:lang w:val="zh-CN"/>
        </w:rPr>
        <w:fldChar w:fldCharType="separate"/>
      </w:r>
      <w:r>
        <w:rPr>
          <w:rFonts w:hint="eastAsia" w:ascii="Songti SC" w:hAnsi="Songti SC" w:eastAsia="Songti SC" w:cs="Songti SC"/>
          <w:sz w:val="28"/>
          <w:szCs w:val="28"/>
        </w:rPr>
        <w:t>（一）</w:t>
      </w:r>
      <w:r>
        <w:rPr>
          <w:rFonts w:hint="eastAsia" w:ascii="Songti SC" w:hAnsi="Songti SC" w:eastAsia="Songti SC" w:cs="Songti SC"/>
          <w:sz w:val="28"/>
          <w:szCs w:val="28"/>
          <w:lang w:val="en-US" w:eastAsia="zh-CN"/>
        </w:rPr>
        <w:t>加强组织保障</w:t>
      </w:r>
      <w:r>
        <w:rPr>
          <w:rFonts w:hint="eastAsia" w:ascii="Songti SC" w:hAnsi="Songti SC" w:eastAsia="Songti SC" w:cs="Songti SC"/>
          <w:sz w:val="28"/>
          <w:szCs w:val="28"/>
        </w:rPr>
        <w:tab/>
      </w:r>
      <w:r>
        <w:rPr>
          <w:rFonts w:hint="eastAsia" w:ascii="Songti SC" w:hAnsi="Songti SC" w:eastAsia="Songti SC" w:cs="Songti SC"/>
          <w:sz w:val="28"/>
          <w:szCs w:val="28"/>
        </w:rPr>
        <w:fldChar w:fldCharType="begin"/>
      </w:r>
      <w:r>
        <w:rPr>
          <w:rFonts w:hint="eastAsia" w:ascii="Songti SC" w:hAnsi="Songti SC" w:eastAsia="Songti SC" w:cs="Songti SC"/>
          <w:sz w:val="28"/>
          <w:szCs w:val="28"/>
        </w:rPr>
        <w:instrText xml:space="preserve"> PAGEREF _Toc810748683 \h </w:instrText>
      </w:r>
      <w:r>
        <w:rPr>
          <w:rFonts w:hint="eastAsia" w:ascii="Songti SC" w:hAnsi="Songti SC" w:eastAsia="Songti SC" w:cs="Songti SC"/>
          <w:sz w:val="28"/>
          <w:szCs w:val="28"/>
        </w:rPr>
        <w:fldChar w:fldCharType="separate"/>
      </w:r>
      <w:r>
        <w:rPr>
          <w:rFonts w:hint="eastAsia" w:ascii="Songti SC" w:hAnsi="Songti SC" w:eastAsia="Songti SC" w:cs="Songti SC"/>
          <w:sz w:val="28"/>
          <w:szCs w:val="28"/>
        </w:rPr>
        <w:t>17</w:t>
      </w:r>
      <w:r>
        <w:rPr>
          <w:rFonts w:hint="eastAsia" w:ascii="Songti SC" w:hAnsi="Songti SC" w:eastAsia="Songti SC" w:cs="Songti SC"/>
          <w:sz w:val="28"/>
          <w:szCs w:val="28"/>
        </w:rPr>
        <w:fldChar w:fldCharType="end"/>
      </w:r>
      <w:r>
        <w:rPr>
          <w:rFonts w:hint="eastAsia" w:ascii="Songti SC" w:hAnsi="Songti SC" w:eastAsia="Songti SC" w:cs="Songti SC"/>
          <w:sz w:val="28"/>
          <w:szCs w:val="28"/>
          <w:lang w:val="zh-CN"/>
        </w:rPr>
        <w:fldChar w:fldCharType="end"/>
      </w:r>
    </w:p>
    <w:p w14:paraId="5F1EEB6A">
      <w:pPr>
        <w:pStyle w:val="10"/>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Songti SC" w:hAnsi="Songti SC" w:eastAsia="Songti SC" w:cs="Songti SC"/>
          <w:sz w:val="28"/>
          <w:szCs w:val="28"/>
        </w:rPr>
      </w:pPr>
      <w:r>
        <w:rPr>
          <w:rFonts w:hint="eastAsia" w:ascii="Songti SC" w:hAnsi="Songti SC" w:eastAsia="Songti SC" w:cs="Songti SC"/>
          <w:sz w:val="28"/>
          <w:szCs w:val="28"/>
          <w:lang w:val="zh-CN"/>
        </w:rPr>
        <w:fldChar w:fldCharType="begin"/>
      </w:r>
      <w:r>
        <w:rPr>
          <w:rFonts w:hint="eastAsia" w:ascii="Songti SC" w:hAnsi="Songti SC" w:eastAsia="Songti SC" w:cs="Songti SC"/>
          <w:sz w:val="28"/>
          <w:szCs w:val="28"/>
          <w:lang w:val="zh-CN"/>
        </w:rPr>
        <w:instrText xml:space="preserve"> HYPERLINK \l _Toc469374966 </w:instrText>
      </w:r>
      <w:r>
        <w:rPr>
          <w:rFonts w:hint="eastAsia" w:ascii="Songti SC" w:hAnsi="Songti SC" w:eastAsia="Songti SC" w:cs="Songti SC"/>
          <w:sz w:val="28"/>
          <w:szCs w:val="28"/>
          <w:lang w:val="zh-CN"/>
        </w:rPr>
        <w:fldChar w:fldCharType="separate"/>
      </w:r>
      <w:r>
        <w:rPr>
          <w:rFonts w:hint="eastAsia" w:ascii="Songti SC" w:hAnsi="Songti SC" w:eastAsia="Songti SC" w:cs="Songti SC"/>
          <w:sz w:val="28"/>
          <w:szCs w:val="28"/>
        </w:rPr>
        <w:t>（二）</w:t>
      </w:r>
      <w:r>
        <w:rPr>
          <w:rFonts w:hint="eastAsia" w:ascii="Songti SC" w:hAnsi="Songti SC" w:eastAsia="Songti SC" w:cs="Songti SC"/>
          <w:sz w:val="28"/>
          <w:szCs w:val="28"/>
          <w:lang w:val="en-US" w:eastAsia="zh-CN"/>
        </w:rPr>
        <w:t>优化政策环境</w:t>
      </w:r>
      <w:r>
        <w:rPr>
          <w:rFonts w:hint="eastAsia" w:ascii="Songti SC" w:hAnsi="Songti SC" w:eastAsia="Songti SC" w:cs="Songti SC"/>
          <w:sz w:val="28"/>
          <w:szCs w:val="28"/>
        </w:rPr>
        <w:tab/>
      </w:r>
      <w:r>
        <w:rPr>
          <w:rFonts w:hint="eastAsia" w:ascii="Songti SC" w:hAnsi="Songti SC" w:eastAsia="Songti SC" w:cs="Songti SC"/>
          <w:sz w:val="28"/>
          <w:szCs w:val="28"/>
        </w:rPr>
        <w:fldChar w:fldCharType="begin"/>
      </w:r>
      <w:r>
        <w:rPr>
          <w:rFonts w:hint="eastAsia" w:ascii="Songti SC" w:hAnsi="Songti SC" w:eastAsia="Songti SC" w:cs="Songti SC"/>
          <w:sz w:val="28"/>
          <w:szCs w:val="28"/>
        </w:rPr>
        <w:instrText xml:space="preserve"> PAGEREF _Toc469374966 \h </w:instrText>
      </w:r>
      <w:r>
        <w:rPr>
          <w:rFonts w:hint="eastAsia" w:ascii="Songti SC" w:hAnsi="Songti SC" w:eastAsia="Songti SC" w:cs="Songti SC"/>
          <w:sz w:val="28"/>
          <w:szCs w:val="28"/>
        </w:rPr>
        <w:fldChar w:fldCharType="separate"/>
      </w:r>
      <w:r>
        <w:rPr>
          <w:rFonts w:hint="eastAsia" w:ascii="Songti SC" w:hAnsi="Songti SC" w:eastAsia="Songti SC" w:cs="Songti SC"/>
          <w:sz w:val="28"/>
          <w:szCs w:val="28"/>
        </w:rPr>
        <w:t>17</w:t>
      </w:r>
      <w:r>
        <w:rPr>
          <w:rFonts w:hint="eastAsia" w:ascii="Songti SC" w:hAnsi="Songti SC" w:eastAsia="Songti SC" w:cs="Songti SC"/>
          <w:sz w:val="28"/>
          <w:szCs w:val="28"/>
        </w:rPr>
        <w:fldChar w:fldCharType="end"/>
      </w:r>
      <w:r>
        <w:rPr>
          <w:rFonts w:hint="eastAsia" w:ascii="Songti SC" w:hAnsi="Songti SC" w:eastAsia="Songti SC" w:cs="Songti SC"/>
          <w:sz w:val="28"/>
          <w:szCs w:val="28"/>
          <w:lang w:val="zh-CN"/>
        </w:rPr>
        <w:fldChar w:fldCharType="end"/>
      </w:r>
    </w:p>
    <w:p w14:paraId="612BC912">
      <w:pPr>
        <w:pStyle w:val="10"/>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Songti SC" w:hAnsi="Songti SC" w:eastAsia="Songti SC" w:cs="Songti SC"/>
          <w:sz w:val="28"/>
          <w:szCs w:val="28"/>
        </w:rPr>
      </w:pPr>
      <w:r>
        <w:rPr>
          <w:rFonts w:hint="eastAsia" w:ascii="Songti SC" w:hAnsi="Songti SC" w:eastAsia="Songti SC" w:cs="Songti SC"/>
          <w:sz w:val="28"/>
          <w:szCs w:val="28"/>
          <w:lang w:val="zh-CN"/>
        </w:rPr>
        <w:fldChar w:fldCharType="begin"/>
      </w:r>
      <w:r>
        <w:rPr>
          <w:rFonts w:hint="eastAsia" w:ascii="Songti SC" w:hAnsi="Songti SC" w:eastAsia="Songti SC" w:cs="Songti SC"/>
          <w:sz w:val="28"/>
          <w:szCs w:val="28"/>
          <w:lang w:val="zh-CN"/>
        </w:rPr>
        <w:instrText xml:space="preserve"> HYPERLINK \l _Toc1077618131 </w:instrText>
      </w:r>
      <w:r>
        <w:rPr>
          <w:rFonts w:hint="eastAsia" w:ascii="Songti SC" w:hAnsi="Songti SC" w:eastAsia="Songti SC" w:cs="Songti SC"/>
          <w:sz w:val="28"/>
          <w:szCs w:val="28"/>
          <w:lang w:val="zh-CN"/>
        </w:rPr>
        <w:fldChar w:fldCharType="separate"/>
      </w:r>
      <w:r>
        <w:rPr>
          <w:rFonts w:hint="eastAsia" w:ascii="Songti SC" w:hAnsi="Songti SC" w:eastAsia="Songti SC" w:cs="Songti SC"/>
          <w:sz w:val="28"/>
          <w:szCs w:val="28"/>
        </w:rPr>
        <w:t>（三）</w:t>
      </w:r>
      <w:r>
        <w:rPr>
          <w:rFonts w:hint="eastAsia" w:ascii="Songti SC" w:hAnsi="Songti SC" w:eastAsia="Songti SC" w:cs="Songti SC"/>
          <w:sz w:val="28"/>
          <w:szCs w:val="28"/>
          <w:lang w:val="en-US" w:eastAsia="zh-CN"/>
        </w:rPr>
        <w:t>落实资金保障</w:t>
      </w:r>
      <w:r>
        <w:rPr>
          <w:rFonts w:hint="eastAsia" w:ascii="Songti SC" w:hAnsi="Songti SC" w:eastAsia="Songti SC" w:cs="Songti SC"/>
          <w:sz w:val="28"/>
          <w:szCs w:val="28"/>
        </w:rPr>
        <w:tab/>
      </w:r>
      <w:r>
        <w:rPr>
          <w:rFonts w:hint="eastAsia" w:ascii="Songti SC" w:hAnsi="Songti SC" w:eastAsia="Songti SC" w:cs="Songti SC"/>
          <w:sz w:val="28"/>
          <w:szCs w:val="28"/>
        </w:rPr>
        <w:fldChar w:fldCharType="begin"/>
      </w:r>
      <w:r>
        <w:rPr>
          <w:rFonts w:hint="eastAsia" w:ascii="Songti SC" w:hAnsi="Songti SC" w:eastAsia="Songti SC" w:cs="Songti SC"/>
          <w:sz w:val="28"/>
          <w:szCs w:val="28"/>
        </w:rPr>
        <w:instrText xml:space="preserve"> PAGEREF _Toc1077618131 \h </w:instrText>
      </w:r>
      <w:r>
        <w:rPr>
          <w:rFonts w:hint="eastAsia" w:ascii="Songti SC" w:hAnsi="Songti SC" w:eastAsia="Songti SC" w:cs="Songti SC"/>
          <w:sz w:val="28"/>
          <w:szCs w:val="28"/>
        </w:rPr>
        <w:fldChar w:fldCharType="separate"/>
      </w:r>
      <w:r>
        <w:rPr>
          <w:rFonts w:hint="eastAsia" w:ascii="Songti SC" w:hAnsi="Songti SC" w:eastAsia="Songti SC" w:cs="Songti SC"/>
          <w:sz w:val="28"/>
          <w:szCs w:val="28"/>
        </w:rPr>
        <w:t>17</w:t>
      </w:r>
      <w:r>
        <w:rPr>
          <w:rFonts w:hint="eastAsia" w:ascii="Songti SC" w:hAnsi="Songti SC" w:eastAsia="Songti SC" w:cs="Songti SC"/>
          <w:sz w:val="28"/>
          <w:szCs w:val="28"/>
        </w:rPr>
        <w:fldChar w:fldCharType="end"/>
      </w:r>
      <w:r>
        <w:rPr>
          <w:rFonts w:hint="eastAsia" w:ascii="Songti SC" w:hAnsi="Songti SC" w:eastAsia="Songti SC" w:cs="Songti SC"/>
          <w:sz w:val="28"/>
          <w:szCs w:val="28"/>
          <w:lang w:val="zh-CN"/>
        </w:rPr>
        <w:fldChar w:fldCharType="end"/>
      </w:r>
    </w:p>
    <w:p w14:paraId="0DA58C18">
      <w:pPr>
        <w:pStyle w:val="10"/>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Songti SC" w:hAnsi="Songti SC" w:eastAsia="Songti SC" w:cs="Songti SC"/>
          <w:sz w:val="28"/>
          <w:szCs w:val="28"/>
        </w:rPr>
      </w:pPr>
      <w:r>
        <w:rPr>
          <w:rFonts w:hint="eastAsia" w:ascii="Songti SC" w:hAnsi="Songti SC" w:eastAsia="Songti SC" w:cs="Songti SC"/>
          <w:sz w:val="28"/>
          <w:szCs w:val="28"/>
          <w:lang w:val="zh-CN"/>
        </w:rPr>
        <w:fldChar w:fldCharType="begin"/>
      </w:r>
      <w:r>
        <w:rPr>
          <w:rFonts w:hint="eastAsia" w:ascii="Songti SC" w:hAnsi="Songti SC" w:eastAsia="Songti SC" w:cs="Songti SC"/>
          <w:sz w:val="28"/>
          <w:szCs w:val="28"/>
          <w:lang w:val="zh-CN"/>
        </w:rPr>
        <w:instrText xml:space="preserve"> HYPERLINK \l _Toc1798332566 </w:instrText>
      </w:r>
      <w:r>
        <w:rPr>
          <w:rFonts w:hint="eastAsia" w:ascii="Songti SC" w:hAnsi="Songti SC" w:eastAsia="Songti SC" w:cs="Songti SC"/>
          <w:sz w:val="28"/>
          <w:szCs w:val="28"/>
          <w:lang w:val="zh-CN"/>
        </w:rPr>
        <w:fldChar w:fldCharType="separate"/>
      </w:r>
      <w:r>
        <w:rPr>
          <w:rFonts w:hint="eastAsia" w:ascii="Songti SC" w:hAnsi="Songti SC" w:eastAsia="Songti SC" w:cs="Songti SC"/>
          <w:sz w:val="28"/>
          <w:szCs w:val="28"/>
        </w:rPr>
        <w:t>（</w:t>
      </w:r>
      <w:r>
        <w:rPr>
          <w:rFonts w:hint="eastAsia" w:ascii="Songti SC" w:hAnsi="Songti SC" w:eastAsia="Songti SC" w:cs="Songti SC"/>
          <w:sz w:val="28"/>
          <w:szCs w:val="28"/>
          <w:lang w:val="en-US" w:eastAsia="zh-CN"/>
        </w:rPr>
        <w:t>四</w:t>
      </w:r>
      <w:r>
        <w:rPr>
          <w:rFonts w:hint="eastAsia" w:ascii="Songti SC" w:hAnsi="Songti SC" w:eastAsia="Songti SC" w:cs="Songti SC"/>
          <w:sz w:val="28"/>
          <w:szCs w:val="28"/>
        </w:rPr>
        <w:t>）</w:t>
      </w:r>
      <w:r>
        <w:rPr>
          <w:rFonts w:hint="eastAsia" w:ascii="Songti SC" w:hAnsi="Songti SC" w:eastAsia="Songti SC" w:cs="Songti SC"/>
          <w:sz w:val="28"/>
          <w:szCs w:val="28"/>
          <w:lang w:val="en-US" w:eastAsia="zh-CN"/>
        </w:rPr>
        <w:t>提升数字素养</w:t>
      </w:r>
      <w:r>
        <w:rPr>
          <w:rFonts w:hint="eastAsia" w:ascii="Songti SC" w:hAnsi="Songti SC" w:eastAsia="Songti SC" w:cs="Songti SC"/>
          <w:sz w:val="28"/>
          <w:szCs w:val="28"/>
        </w:rPr>
        <w:tab/>
      </w:r>
      <w:r>
        <w:rPr>
          <w:rFonts w:hint="eastAsia" w:ascii="Songti SC" w:hAnsi="Songti SC" w:eastAsia="Songti SC" w:cs="Songti SC"/>
          <w:sz w:val="28"/>
          <w:szCs w:val="28"/>
        </w:rPr>
        <w:fldChar w:fldCharType="begin"/>
      </w:r>
      <w:r>
        <w:rPr>
          <w:rFonts w:hint="eastAsia" w:ascii="Songti SC" w:hAnsi="Songti SC" w:eastAsia="Songti SC" w:cs="Songti SC"/>
          <w:sz w:val="28"/>
          <w:szCs w:val="28"/>
        </w:rPr>
        <w:instrText xml:space="preserve"> PAGEREF _Toc1798332566 \h </w:instrText>
      </w:r>
      <w:r>
        <w:rPr>
          <w:rFonts w:hint="eastAsia" w:ascii="Songti SC" w:hAnsi="Songti SC" w:eastAsia="Songti SC" w:cs="Songti SC"/>
          <w:sz w:val="28"/>
          <w:szCs w:val="28"/>
        </w:rPr>
        <w:fldChar w:fldCharType="separate"/>
      </w:r>
      <w:r>
        <w:rPr>
          <w:rFonts w:hint="eastAsia" w:ascii="Songti SC" w:hAnsi="Songti SC" w:eastAsia="Songti SC" w:cs="Songti SC"/>
          <w:sz w:val="28"/>
          <w:szCs w:val="28"/>
        </w:rPr>
        <w:t>18</w:t>
      </w:r>
      <w:r>
        <w:rPr>
          <w:rFonts w:hint="eastAsia" w:ascii="Songti SC" w:hAnsi="Songti SC" w:eastAsia="Songti SC" w:cs="Songti SC"/>
          <w:sz w:val="28"/>
          <w:szCs w:val="28"/>
        </w:rPr>
        <w:fldChar w:fldCharType="end"/>
      </w:r>
      <w:r>
        <w:rPr>
          <w:rFonts w:hint="eastAsia" w:ascii="Songti SC" w:hAnsi="Songti SC" w:eastAsia="Songti SC" w:cs="Songti SC"/>
          <w:sz w:val="28"/>
          <w:szCs w:val="28"/>
          <w:lang w:val="zh-CN"/>
        </w:rPr>
        <w:fldChar w:fldCharType="end"/>
      </w:r>
    </w:p>
    <w:p w14:paraId="02F4148C">
      <w:pPr>
        <w:pStyle w:val="8"/>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Songti SC" w:hAnsi="Songti SC" w:eastAsia="Songti SC" w:cs="Songti SC"/>
          <w:sz w:val="28"/>
          <w:szCs w:val="28"/>
        </w:rPr>
      </w:pPr>
      <w:r>
        <w:rPr>
          <w:rFonts w:hint="eastAsia" w:ascii="Songti SC" w:hAnsi="Songti SC" w:eastAsia="Songti SC" w:cs="Songti SC"/>
          <w:sz w:val="28"/>
          <w:szCs w:val="28"/>
          <w:lang w:val="zh-CN"/>
        </w:rPr>
        <w:fldChar w:fldCharType="begin"/>
      </w:r>
      <w:r>
        <w:rPr>
          <w:rFonts w:hint="eastAsia" w:ascii="Songti SC" w:hAnsi="Songti SC" w:eastAsia="Songti SC" w:cs="Songti SC"/>
          <w:sz w:val="28"/>
          <w:szCs w:val="28"/>
          <w:lang w:val="zh-CN"/>
        </w:rPr>
        <w:instrText xml:space="preserve"> HYPERLINK \l _Toc890588884 </w:instrText>
      </w:r>
      <w:r>
        <w:rPr>
          <w:rFonts w:hint="eastAsia" w:ascii="Songti SC" w:hAnsi="Songti SC" w:eastAsia="Songti SC" w:cs="Songti SC"/>
          <w:sz w:val="28"/>
          <w:szCs w:val="28"/>
          <w:lang w:val="zh-CN"/>
        </w:rPr>
        <w:fldChar w:fldCharType="separate"/>
      </w:r>
      <w:r>
        <w:rPr>
          <w:rFonts w:hint="eastAsia" w:ascii="Songti SC" w:hAnsi="Songti SC" w:eastAsia="Songti SC" w:cs="Songti SC"/>
          <w:sz w:val="28"/>
          <w:szCs w:val="28"/>
          <w:lang w:eastAsia="zh-CN"/>
        </w:rPr>
        <w:t>附件</w:t>
      </w:r>
      <w:r>
        <w:rPr>
          <w:rFonts w:hint="eastAsia" w:ascii="Songti SC" w:hAnsi="Songti SC" w:eastAsia="Songti SC" w:cs="Songti SC"/>
          <w:sz w:val="28"/>
          <w:szCs w:val="28"/>
        </w:rPr>
        <w:tab/>
      </w:r>
      <w:r>
        <w:rPr>
          <w:rFonts w:hint="eastAsia" w:ascii="Songti SC" w:hAnsi="Songti SC" w:eastAsia="Songti SC" w:cs="Songti SC"/>
          <w:sz w:val="28"/>
          <w:szCs w:val="28"/>
        </w:rPr>
        <w:fldChar w:fldCharType="begin"/>
      </w:r>
      <w:r>
        <w:rPr>
          <w:rFonts w:hint="eastAsia" w:ascii="Songti SC" w:hAnsi="Songti SC" w:eastAsia="Songti SC" w:cs="Songti SC"/>
          <w:sz w:val="28"/>
          <w:szCs w:val="28"/>
        </w:rPr>
        <w:instrText xml:space="preserve"> PAGEREF _Toc890588884 \h </w:instrText>
      </w:r>
      <w:r>
        <w:rPr>
          <w:rFonts w:hint="eastAsia" w:ascii="Songti SC" w:hAnsi="Songti SC" w:eastAsia="Songti SC" w:cs="Songti SC"/>
          <w:sz w:val="28"/>
          <w:szCs w:val="28"/>
        </w:rPr>
        <w:fldChar w:fldCharType="separate"/>
      </w:r>
      <w:r>
        <w:rPr>
          <w:rFonts w:hint="eastAsia" w:ascii="Songti SC" w:hAnsi="Songti SC" w:eastAsia="Songti SC" w:cs="Songti SC"/>
          <w:sz w:val="28"/>
          <w:szCs w:val="28"/>
        </w:rPr>
        <w:t>19</w:t>
      </w:r>
      <w:r>
        <w:rPr>
          <w:rFonts w:hint="eastAsia" w:ascii="Songti SC" w:hAnsi="Songti SC" w:eastAsia="Songti SC" w:cs="Songti SC"/>
          <w:sz w:val="28"/>
          <w:szCs w:val="28"/>
        </w:rPr>
        <w:fldChar w:fldCharType="end"/>
      </w:r>
      <w:r>
        <w:rPr>
          <w:rFonts w:hint="eastAsia" w:ascii="Songti SC" w:hAnsi="Songti SC" w:eastAsia="Songti SC" w:cs="Songti SC"/>
          <w:sz w:val="28"/>
          <w:szCs w:val="28"/>
          <w:lang w:val="zh-CN"/>
        </w:rPr>
        <w:fldChar w:fldCharType="end"/>
      </w:r>
    </w:p>
    <w:p w14:paraId="32ADADE1">
      <w:pPr>
        <w:keepNext w:val="0"/>
        <w:keepLines w:val="0"/>
        <w:pageBreakBefore w:val="0"/>
        <w:widowControl w:val="0"/>
        <w:kinsoku/>
        <w:wordWrap/>
        <w:overflowPunct/>
        <w:topLinePunct w:val="0"/>
        <w:autoSpaceDE/>
        <w:autoSpaceDN/>
        <w:bidi w:val="0"/>
        <w:adjustRightInd/>
        <w:snapToGrid/>
        <w:spacing w:after="0" w:line="480" w:lineRule="exact"/>
        <w:jc w:val="center"/>
        <w:textAlignment w:val="auto"/>
        <w:rPr>
          <w:rFonts w:hint="eastAsia" w:ascii="SimSong Regular" w:hAnsi="SimSong Regular" w:eastAsia="SimSong Regular" w:cs="SimSong Regular"/>
          <w:b/>
          <w:sz w:val="28"/>
          <w:szCs w:val="28"/>
          <w:lang w:val="zh-CN"/>
        </w:rPr>
      </w:pPr>
      <w:r>
        <w:rPr>
          <w:rFonts w:hint="eastAsia" w:ascii="SimSong Regular" w:hAnsi="SimSong Regular" w:eastAsia="SimSong Regular" w:cs="SimSong Regular"/>
          <w:sz w:val="28"/>
          <w:szCs w:val="28"/>
          <w:lang w:val="zh-CN"/>
        </w:rPr>
        <w:fldChar w:fldCharType="end"/>
      </w:r>
    </w:p>
    <w:p w14:paraId="70529100">
      <w:pPr>
        <w:spacing w:line="279" w:lineRule="auto"/>
        <w:jc w:val="left"/>
        <w:outlineLvl w:val="0"/>
        <w:rPr>
          <w:rFonts w:hint="eastAsia" w:ascii="黑体" w:hAnsi="黑体" w:eastAsia="黑体"/>
          <w:sz w:val="32"/>
          <w:szCs w:val="32"/>
        </w:rPr>
        <w:sectPr>
          <w:footerReference r:id="rId5" w:type="default"/>
          <w:footerReference r:id="rId6" w:type="even"/>
          <w:pgSz w:w="11906" w:h="16838"/>
          <w:pgMar w:top="2098" w:right="1474" w:bottom="1984" w:left="1587" w:header="851" w:footer="992" w:gutter="0"/>
          <w:pgNumType w:fmt="upperRoman" w:start="1"/>
          <w:cols w:space="0" w:num="1"/>
          <w:rtlGutter w:val="0"/>
          <w:docGrid w:type="lines" w:linePitch="312" w:charSpace="0"/>
        </w:sectPr>
      </w:pPr>
      <w:bookmarkStart w:id="12" w:name="_Toc32757"/>
      <w:bookmarkStart w:id="13" w:name="_Toc28638"/>
      <w:bookmarkStart w:id="14" w:name="_Toc11326"/>
    </w:p>
    <w:p w14:paraId="3F9F27B4">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left"/>
        <w:textAlignment w:val="auto"/>
        <w:outlineLvl w:val="0"/>
        <w:rPr>
          <w:rFonts w:hint="eastAsia" w:ascii="楷体_GB2312" w:hAnsi="楷体_GB2312" w:eastAsia="楷体_GB2312" w:cs="楷体_GB2312"/>
          <w:sz w:val="32"/>
          <w:szCs w:val="32"/>
          <w:highlight w:val="none"/>
        </w:rPr>
      </w:pPr>
      <w:bookmarkStart w:id="15" w:name="_Toc29625"/>
      <w:bookmarkStart w:id="16" w:name="_Toc19190"/>
      <w:bookmarkStart w:id="17" w:name="_Toc1891896909"/>
      <w:bookmarkStart w:id="18" w:name="_Toc681900026"/>
      <w:bookmarkStart w:id="19" w:name="_Toc1474619250"/>
      <w:bookmarkStart w:id="20" w:name="_Toc1500667388"/>
      <w:bookmarkStart w:id="21" w:name="_Toc326142695"/>
      <w:bookmarkStart w:id="22" w:name="_Toc1539235049"/>
      <w:bookmarkStart w:id="23" w:name="_Toc1009734922"/>
      <w:bookmarkStart w:id="24" w:name="_Toc81493914"/>
      <w:r>
        <w:rPr>
          <w:rFonts w:hint="eastAsia" w:ascii="黑体" w:hAnsi="黑体" w:eastAsia="黑体"/>
          <w:sz w:val="32"/>
          <w:szCs w:val="32"/>
        </w:rPr>
        <w:t>一、</w:t>
      </w:r>
      <w:r>
        <w:rPr>
          <w:rFonts w:hint="eastAsia" w:ascii="黑体" w:hAnsi="黑体" w:eastAsia="黑体"/>
          <w:sz w:val="32"/>
          <w:szCs w:val="32"/>
          <w:lang w:val="en-US" w:eastAsia="zh-CN"/>
        </w:rPr>
        <w:t>发展</w:t>
      </w:r>
      <w:r>
        <w:rPr>
          <w:rFonts w:hint="eastAsia" w:ascii="黑体" w:hAnsi="黑体" w:eastAsia="黑体"/>
          <w:sz w:val="32"/>
          <w:szCs w:val="32"/>
        </w:rPr>
        <w:t>现状</w:t>
      </w:r>
      <w:bookmarkEnd w:id="12"/>
      <w:bookmarkEnd w:id="13"/>
      <w:bookmarkEnd w:id="14"/>
      <w:bookmarkEnd w:id="15"/>
      <w:bookmarkEnd w:id="16"/>
      <w:bookmarkEnd w:id="17"/>
      <w:bookmarkEnd w:id="18"/>
      <w:bookmarkEnd w:id="19"/>
      <w:bookmarkEnd w:id="20"/>
      <w:bookmarkEnd w:id="21"/>
      <w:bookmarkEnd w:id="22"/>
      <w:bookmarkEnd w:id="23"/>
      <w:bookmarkEnd w:id="24"/>
    </w:p>
    <w:p w14:paraId="6971CA38">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16" w:firstLineChars="200"/>
        <w:jc w:val="both"/>
        <w:textAlignment w:val="auto"/>
        <w:rPr>
          <w:rFonts w:hint="default" w:ascii="仿宋_GB2312" w:hAnsi="仿宋_GB2312" w:eastAsia="仿宋_GB2312" w:cs="仿宋_GB2312"/>
          <w:sz w:val="32"/>
          <w:szCs w:val="32"/>
          <w:lang w:val="en-US" w:eastAsia="zh-CN"/>
        </w:rPr>
      </w:pPr>
      <w:r>
        <w:rPr>
          <w:rFonts w:hint="eastAsia" w:eastAsia="仿宋_GB2312"/>
          <w:spacing w:val="-6"/>
          <w:sz w:val="32"/>
          <w:szCs w:val="32"/>
        </w:rPr>
        <w:t>“十四五”期间，</w:t>
      </w:r>
      <w:r>
        <w:rPr>
          <w:rFonts w:hint="eastAsia" w:eastAsia="仿宋_GB2312"/>
          <w:spacing w:val="-6"/>
          <w:sz w:val="32"/>
          <w:szCs w:val="32"/>
          <w:lang w:val="en-US" w:eastAsia="zh-CN"/>
        </w:rPr>
        <w:t>平谷</w:t>
      </w:r>
      <w:r>
        <w:rPr>
          <w:rFonts w:hint="eastAsia" w:eastAsia="仿宋_GB2312"/>
          <w:spacing w:val="-6"/>
          <w:sz w:val="32"/>
          <w:szCs w:val="32"/>
        </w:rPr>
        <w:t>区不断加快推进智慧城市建设发展，开展一系列实践探索。</w:t>
      </w:r>
      <w:r>
        <w:rPr>
          <w:rFonts w:hint="eastAsia" w:eastAsia="仿宋_GB2312"/>
          <w:spacing w:val="-6"/>
          <w:sz w:val="32"/>
          <w:szCs w:val="32"/>
          <w:lang w:val="en-US" w:eastAsia="zh-CN"/>
        </w:rPr>
        <w:t>一是</w:t>
      </w:r>
      <w:r>
        <w:rPr>
          <w:rFonts w:hint="eastAsia" w:ascii="Times New Roman" w:hAnsi="Times New Roman" w:eastAsia="仿宋_GB2312" w:cs="Times New Roman"/>
          <w:b w:val="0"/>
          <w:bCs w:val="0"/>
          <w:spacing w:val="-6"/>
          <w:sz w:val="32"/>
          <w:szCs w:val="32"/>
          <w:lang w:val="en-US" w:eastAsia="zh-CN"/>
        </w:rPr>
        <w:t>智慧城市建设机制基本理顺</w:t>
      </w:r>
      <w:r>
        <w:rPr>
          <w:rFonts w:hint="eastAsia" w:eastAsia="仿宋_GB2312" w:cs="Times New Roman"/>
          <w:b w:val="0"/>
          <w:bCs w:val="0"/>
          <w:spacing w:val="-6"/>
          <w:sz w:val="32"/>
          <w:szCs w:val="32"/>
          <w:lang w:val="en-US" w:eastAsia="zh-CN"/>
        </w:rPr>
        <w:t>，</w:t>
      </w:r>
      <w:r>
        <w:rPr>
          <w:rFonts w:hint="eastAsia" w:ascii="仿宋_GB2312" w:hAnsi="仿宋_GB2312" w:eastAsia="仿宋_GB2312" w:cs="仿宋_GB2312"/>
          <w:b w:val="0"/>
          <w:bCs w:val="0"/>
          <w:sz w:val="32"/>
          <w:szCs w:val="32"/>
          <w:lang w:val="en-US" w:eastAsia="zh-CN"/>
        </w:rPr>
        <w:t>成立区政务服务和数据管理局，初步构建</w:t>
      </w:r>
      <w:r>
        <w:rPr>
          <w:rFonts w:hint="eastAsia" w:ascii="仿宋_GB2312" w:hAnsi="仿宋_GB2312" w:eastAsia="仿宋_GB2312" w:cs="仿宋_GB2312"/>
          <w:sz w:val="32"/>
          <w:szCs w:val="32"/>
          <w:lang w:val="en-US" w:eastAsia="zh-CN"/>
        </w:rPr>
        <w:t>区级首席数据官制度，</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建立对</w:t>
      </w:r>
      <w:r>
        <w:rPr>
          <w:rFonts w:hint="eastAsia" w:ascii="仿宋_GB2312" w:hAnsi="仿宋_GB2312" w:eastAsia="仿宋_GB2312" w:cs="仿宋_GB2312"/>
          <w:b w:val="0"/>
          <w:bCs w:val="0"/>
          <w:sz w:val="32"/>
          <w:szCs w:val="32"/>
          <w:highlight w:val="none"/>
          <w:lang w:val="en-US" w:eastAsia="zh-CN"/>
        </w:rPr>
        <w:t>政府投资信</w:t>
      </w:r>
      <w:r>
        <w:rPr>
          <w:rFonts w:hint="eastAsia" w:ascii="仿宋_GB2312" w:hAnsi="仿宋_GB2312" w:eastAsia="仿宋_GB2312" w:cs="仿宋_GB2312"/>
          <w:b w:val="0"/>
          <w:bCs w:val="0"/>
          <w:sz w:val="32"/>
          <w:szCs w:val="32"/>
          <w:lang w:val="en-US" w:eastAsia="zh-CN"/>
        </w:rPr>
        <w:t>息化项目、政务云、政务外网等基础设施的统筹管理机制。</w:t>
      </w:r>
      <w:r>
        <w:rPr>
          <w:rFonts w:hint="eastAsia" w:ascii="仿宋_GB2312" w:hAnsi="仿宋_GB2312" w:eastAsia="仿宋_GB2312" w:cs="仿宋_GB2312"/>
          <w:sz w:val="32"/>
          <w:szCs w:val="32"/>
          <w:highlight w:val="none"/>
          <w:lang w:val="en-US" w:eastAsia="zh-CN"/>
        </w:rPr>
        <w:t>二是</w:t>
      </w:r>
      <w:r>
        <w:rPr>
          <w:rFonts w:hint="eastAsia" w:ascii="仿宋_GB2312" w:hAnsi="仿宋_GB2312" w:eastAsia="仿宋_GB2312" w:cs="仿宋_GB2312"/>
          <w:b w:val="0"/>
          <w:bCs w:val="0"/>
          <w:sz w:val="32"/>
          <w:szCs w:val="32"/>
          <w:lang w:val="en-US" w:eastAsia="zh-CN"/>
        </w:rPr>
        <w:t>数字基础设施体系初具规模，政务光纤网络实现1000M带宽接入，互联网出口带宽达到5.1G。建设虚拟化资源池，已为19个部门38个政务信息系统提供云集约化服务。三是公共数据开发利用初显成效，</w:t>
      </w:r>
      <w:r>
        <w:rPr>
          <w:rFonts w:hint="eastAsia" w:ascii="仿宋_GB2312" w:hAnsi="仿宋_GB2312" w:eastAsia="仿宋_GB2312" w:cs="仿宋_GB2312"/>
          <w:sz w:val="32"/>
          <w:szCs w:val="32"/>
        </w:rPr>
        <w:t>依托市大数据平台完成公共数据开放目录上链、数据汇聚工作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目前</w:t>
      </w:r>
      <w:r>
        <w:rPr>
          <w:rFonts w:hint="eastAsia" w:ascii="仿宋_GB2312" w:hAnsi="仿宋_GB2312" w:eastAsia="仿宋_GB2312" w:cs="仿宋_GB2312"/>
          <w:sz w:val="32"/>
          <w:szCs w:val="32"/>
          <w:lang w:val="en-US" w:eastAsia="zh-CN"/>
        </w:rPr>
        <w:t>已</w:t>
      </w:r>
      <w:r>
        <w:rPr>
          <w:rFonts w:hint="eastAsia" w:ascii="仿宋_GB2312" w:hAnsi="仿宋_GB2312" w:eastAsia="仿宋_GB2312" w:cs="仿宋_GB2312"/>
          <w:sz w:val="32"/>
          <w:szCs w:val="32"/>
        </w:rPr>
        <w:t>开放数据集4</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个，数据</w:t>
      </w:r>
      <w:r>
        <w:rPr>
          <w:rFonts w:hint="eastAsia" w:ascii="仿宋_GB2312" w:hAnsi="仿宋_GB2312" w:eastAsia="仿宋_GB2312" w:cs="仿宋_GB2312"/>
          <w:sz w:val="32"/>
          <w:szCs w:val="32"/>
          <w:lang w:val="en-US" w:eastAsia="zh-CN"/>
        </w:rPr>
        <w:t>规模达到</w:t>
      </w:r>
      <w:r>
        <w:rPr>
          <w:rFonts w:hint="eastAsia" w:ascii="仿宋_GB2312" w:hAnsi="仿宋_GB2312" w:eastAsia="仿宋_GB2312" w:cs="仿宋_GB2312"/>
          <w:sz w:val="32"/>
          <w:szCs w:val="32"/>
        </w:rPr>
        <w:t>6.5万余条。</w:t>
      </w:r>
      <w:r>
        <w:rPr>
          <w:rFonts w:hint="eastAsia" w:ascii="仿宋_GB2312" w:hAnsi="仿宋_GB2312" w:eastAsia="仿宋_GB2312" w:cs="仿宋_GB2312"/>
          <w:sz w:val="32"/>
          <w:szCs w:val="32"/>
          <w:lang w:val="en-US" w:eastAsia="zh-CN"/>
        </w:rPr>
        <w:t>四是数据赋能</w:t>
      </w:r>
      <w:r>
        <w:rPr>
          <w:rFonts w:hint="eastAsia" w:ascii="仿宋_GB2312" w:hAnsi="仿宋_GB2312" w:eastAsia="仿宋_GB2312" w:cs="仿宋_GB2312"/>
          <w:b w:val="0"/>
          <w:bCs w:val="0"/>
          <w:sz w:val="32"/>
          <w:szCs w:val="32"/>
          <w:lang w:val="en-US" w:eastAsia="zh-CN"/>
        </w:rPr>
        <w:t>特色产业体系逐步聚集，</w:t>
      </w:r>
      <w:r>
        <w:rPr>
          <w:rFonts w:hint="eastAsia" w:ascii="仿宋_GB2312" w:hAnsi="仿宋_GB2312" w:eastAsia="仿宋_GB2312" w:cs="仿宋_GB2312"/>
          <w:sz w:val="32"/>
          <w:szCs w:val="32"/>
          <w:highlight w:val="none"/>
        </w:rPr>
        <w:t>启动国家农业科技创新港建设</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加快首都物流高地数据产业集聚，</w:t>
      </w:r>
      <w:r>
        <w:rPr>
          <w:rFonts w:hint="eastAsia" w:ascii="仿宋_GB2312" w:hAnsi="仿宋_GB2312" w:eastAsia="仿宋_GB2312" w:cs="仿宋_GB2312"/>
          <w:color w:val="auto"/>
          <w:sz w:val="32"/>
          <w:szCs w:val="32"/>
          <w:highlight w:val="none"/>
          <w:lang w:val="en-US" w:eastAsia="zh-CN"/>
        </w:rPr>
        <w:t>以</w:t>
      </w:r>
      <w:r>
        <w:rPr>
          <w:rFonts w:hint="eastAsia" w:ascii="仿宋_GB2312" w:hAnsi="仿宋_GB2312" w:eastAsia="仿宋_GB2312" w:cs="仿宋_GB2312"/>
          <w:color w:val="auto"/>
          <w:sz w:val="32"/>
          <w:szCs w:val="32"/>
          <w:highlight w:val="none"/>
        </w:rPr>
        <w:t>金海湖碧波岛为核心节点，成功打造京津</w:t>
      </w:r>
      <w:bookmarkStart w:id="280" w:name="_GoBack"/>
      <w:bookmarkEnd w:id="280"/>
      <w:r>
        <w:rPr>
          <w:rFonts w:hint="eastAsia" w:ascii="仿宋_GB2312" w:hAnsi="仿宋_GB2312" w:eastAsia="仿宋_GB2312" w:cs="仿宋_GB2312"/>
          <w:color w:val="auto"/>
          <w:sz w:val="32"/>
          <w:szCs w:val="32"/>
          <w:highlight w:val="none"/>
        </w:rPr>
        <w:t>冀首个“AI生态文旅</w:t>
      </w:r>
      <w:r>
        <w:rPr>
          <w:rFonts w:hint="eastAsia" w:ascii="仿宋_GB2312" w:hAnsi="仿宋_GB2312" w:eastAsia="仿宋_GB2312" w:cs="仿宋_GB2312"/>
          <w:color w:val="auto"/>
          <w:sz w:val="32"/>
          <w:szCs w:val="32"/>
          <w:highlight w:val="none"/>
          <w:lang w:eastAsia="zh-CN"/>
        </w:rPr>
        <w:t>服务</w:t>
      </w:r>
      <w:r>
        <w:rPr>
          <w:rFonts w:hint="eastAsia" w:ascii="仿宋_GB2312" w:hAnsi="仿宋_GB2312" w:eastAsia="仿宋_GB2312" w:cs="仿宋_GB2312"/>
          <w:color w:val="auto"/>
          <w:sz w:val="32"/>
          <w:szCs w:val="32"/>
          <w:highlight w:val="none"/>
        </w:rPr>
        <w:t>区”。</w:t>
      </w:r>
      <w:r>
        <w:rPr>
          <w:rFonts w:hint="eastAsia" w:ascii="仿宋_GB2312" w:hAnsi="仿宋_GB2312" w:eastAsia="仿宋_GB2312" w:cs="仿宋_GB2312"/>
          <w:color w:val="auto"/>
          <w:sz w:val="32"/>
          <w:szCs w:val="32"/>
          <w:highlight w:val="none"/>
          <w:lang w:val="en-US" w:eastAsia="zh-CN"/>
        </w:rPr>
        <w:t>五是</w:t>
      </w:r>
      <w:r>
        <w:rPr>
          <w:rFonts w:hint="eastAsia" w:ascii="仿宋_GB2312" w:hAnsi="仿宋_GB2312" w:eastAsia="仿宋_GB2312" w:cs="仿宋_GB2312"/>
          <w:b w:val="0"/>
          <w:bCs w:val="0"/>
          <w:sz w:val="32"/>
          <w:szCs w:val="32"/>
          <w:lang w:val="en-US" w:eastAsia="zh-CN"/>
        </w:rPr>
        <w:t>智慧应用创新场景日益凸显，逐步建成</w:t>
      </w:r>
      <w:r>
        <w:rPr>
          <w:rFonts w:hint="eastAsia" w:ascii="仿宋_GB2312" w:hAnsi="仿宋_GB2312" w:eastAsia="仿宋_GB2312" w:cs="仿宋_GB2312"/>
          <w:sz w:val="32"/>
          <w:szCs w:val="32"/>
          <w:u w:val="none"/>
          <w:lang w:val="en-US" w:eastAsia="zh-CN"/>
        </w:rPr>
        <w:t>一体化</w:t>
      </w:r>
      <w:r>
        <w:rPr>
          <w:rFonts w:hint="eastAsia" w:ascii="仿宋_GB2312" w:hAnsi="仿宋_GB2312" w:eastAsia="仿宋_GB2312" w:cs="仿宋_GB2312"/>
          <w:sz w:val="32"/>
          <w:szCs w:val="32"/>
          <w:u w:val="none"/>
          <w:lang w:eastAsia="zh-CN"/>
        </w:rPr>
        <w:t>政务服务</w:t>
      </w:r>
      <w:r>
        <w:rPr>
          <w:rFonts w:hint="eastAsia" w:ascii="仿宋_GB2312" w:hAnsi="仿宋_GB2312" w:eastAsia="仿宋_GB2312" w:cs="仿宋_GB2312"/>
          <w:sz w:val="32"/>
          <w:szCs w:val="32"/>
          <w:u w:val="none"/>
          <w:lang w:val="en-US" w:eastAsia="zh-CN"/>
        </w:rPr>
        <w:t>体系</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rPr>
        <w:t>率先实现</w:t>
      </w:r>
      <w:r>
        <w:rPr>
          <w:rFonts w:hint="eastAsia" w:ascii="仿宋_GB2312" w:hAnsi="仿宋_GB2312" w:eastAsia="仿宋_GB2312" w:cs="仿宋_GB2312"/>
          <w:sz w:val="32"/>
          <w:szCs w:val="32"/>
          <w:lang w:val="en-US" w:eastAsia="zh-CN"/>
        </w:rPr>
        <w:t>20类电子证照</w:t>
      </w:r>
      <w:r>
        <w:rPr>
          <w:rFonts w:hint="eastAsia" w:ascii="仿宋_GB2312" w:hAnsi="仿宋_GB2312" w:eastAsia="仿宋_GB2312" w:cs="仿宋_GB2312"/>
          <w:sz w:val="32"/>
          <w:szCs w:val="32"/>
        </w:rPr>
        <w:t>“一码调证”应用全线贯通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40</w:t>
      </w:r>
      <w:r>
        <w:rPr>
          <w:rFonts w:hint="eastAsia" w:ascii="仿宋_GB2312" w:hAnsi="仿宋_GB2312" w:eastAsia="仿宋_GB2312" w:cs="仿宋_GB2312"/>
          <w:sz w:val="32"/>
          <w:szCs w:val="32"/>
          <w:lang w:eastAsia="zh-CN"/>
        </w:rPr>
        <w:t>项“高效办成一件事”场景落地</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highlight w:val="none"/>
          <w:lang w:val="en-US" w:eastAsia="zh-CN"/>
        </w:rPr>
        <w:t>建成基层医疗远程问诊系统</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highlight w:val="none"/>
          <w:lang w:val="en-US" w:eastAsia="zh-CN"/>
        </w:rPr>
        <w:t>实现区、镇、村三级线上问诊、远程会诊</w:t>
      </w:r>
      <w:r>
        <w:rPr>
          <w:rFonts w:hint="eastAsia" w:ascii="仿宋_GB2312" w:hAnsi="仿宋_GB2312" w:eastAsia="仿宋_GB2312" w:cs="仿宋_GB2312"/>
          <w:sz w:val="32"/>
          <w:szCs w:val="32"/>
          <w:lang w:val="en-US" w:eastAsia="zh-CN"/>
        </w:rPr>
        <w:t>。</w:t>
      </w:r>
    </w:p>
    <w:p w14:paraId="593181E0">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outlineLvl w:val="9"/>
        <w:rPr>
          <w:rFonts w:hint="eastAsia" w:cs="仿宋_GB2312"/>
          <w:b w:val="0"/>
          <w:bCs w:val="0"/>
          <w:kern w:val="2"/>
          <w:sz w:val="32"/>
          <w:szCs w:val="32"/>
          <w:highlight w:val="none"/>
          <w:lang w:val="en-US" w:eastAsia="zh-CN" w:bidi="ar"/>
        </w:rPr>
      </w:pPr>
      <w:r>
        <w:rPr>
          <w:rFonts w:hint="eastAsia" w:ascii="仿宋_GB2312" w:hAnsi="仿宋_GB2312" w:eastAsia="仿宋_GB2312" w:cs="仿宋_GB2312"/>
          <w:sz w:val="32"/>
          <w:szCs w:val="32"/>
          <w:lang w:val="en-US" w:eastAsia="zh-CN"/>
        </w:rPr>
        <w:t>但整体来看，我区数智城市建设总体处于布局整合阶段，各业务部门信息化建设发展不均衡，存在统筹管理机制措施不足，</w:t>
      </w:r>
      <w:r>
        <w:rPr>
          <w:rFonts w:hint="eastAsia" w:ascii="仿宋_GB2312" w:hAnsi="仿宋_GB2312" w:eastAsia="仿宋_GB2312" w:cs="仿宋_GB2312"/>
          <w:b w:val="0"/>
          <w:bCs w:val="0"/>
          <w:sz w:val="32"/>
          <w:szCs w:val="32"/>
        </w:rPr>
        <w:t>数字基础设施支撑</w:t>
      </w:r>
      <w:r>
        <w:rPr>
          <w:rFonts w:hint="eastAsia" w:ascii="仿宋_GB2312" w:hAnsi="仿宋_GB2312" w:eastAsia="仿宋_GB2312" w:cs="仿宋_GB2312"/>
          <w:b w:val="0"/>
          <w:bCs w:val="0"/>
          <w:sz w:val="32"/>
          <w:szCs w:val="32"/>
          <w:lang w:eastAsia="zh-CN"/>
        </w:rPr>
        <w:t>不够</w:t>
      </w:r>
      <w:r>
        <w:rPr>
          <w:rFonts w:hint="eastAsia" w:ascii="仿宋_GB2312" w:hAnsi="仿宋_GB2312" w:eastAsia="仿宋_GB2312" w:cs="仿宋_GB2312"/>
          <w:sz w:val="32"/>
          <w:szCs w:val="32"/>
          <w:lang w:val="en-US" w:eastAsia="zh-CN"/>
        </w:rPr>
        <w:t>，数据共享利用水平不高，产业数据要素特征不显、重点领域场景创新不足等问题。</w:t>
      </w:r>
      <w:r>
        <w:rPr>
          <w:rFonts w:hint="eastAsia" w:ascii="仿宋_GB2312" w:hAnsi="仿宋_GB2312" w:eastAsia="仿宋_GB2312" w:cs="仿宋_GB2312"/>
          <w:b w:val="0"/>
          <w:bCs w:val="0"/>
          <w:kern w:val="2"/>
          <w:sz w:val="32"/>
          <w:szCs w:val="32"/>
          <w:lang w:val="en-US" w:eastAsia="zh-CN" w:bidi="ar-SA"/>
        </w:rPr>
        <w:t xml:space="preserve"> </w:t>
      </w:r>
      <w:bookmarkStart w:id="25" w:name="_Toc19435"/>
      <w:bookmarkStart w:id="26" w:name="_Toc32394"/>
      <w:bookmarkStart w:id="27" w:name="_Toc9794"/>
      <w:bookmarkStart w:id="28" w:name="_Toc30635"/>
    </w:p>
    <w:p w14:paraId="3AEEA900">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left"/>
        <w:textAlignment w:val="auto"/>
        <w:outlineLvl w:val="9"/>
        <w:rPr>
          <w:rFonts w:hint="eastAsia" w:ascii="黑体" w:hAnsi="黑体" w:eastAsia="黑体"/>
          <w:sz w:val="32"/>
          <w:szCs w:val="32"/>
        </w:rPr>
      </w:pPr>
      <w:bookmarkStart w:id="29" w:name="_Toc11171"/>
      <w:bookmarkStart w:id="30" w:name="_Toc1720996590"/>
      <w:bookmarkStart w:id="31" w:name="_Toc1029542439"/>
      <w:bookmarkStart w:id="32" w:name="_Toc1721129459"/>
      <w:bookmarkStart w:id="33" w:name="_Toc1964448370"/>
      <w:bookmarkStart w:id="34" w:name="_Toc1468472081"/>
      <w:bookmarkStart w:id="35" w:name="_Toc1335456781"/>
      <w:bookmarkStart w:id="36" w:name="_Toc1199055460"/>
      <w:bookmarkStart w:id="37" w:name="_Toc1102007721"/>
    </w:p>
    <w:p w14:paraId="22670F80">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left"/>
        <w:textAlignment w:val="auto"/>
        <w:outlineLvl w:val="0"/>
        <w:rPr>
          <w:rFonts w:hint="eastAsia" w:ascii="黑体" w:hAnsi="黑体" w:eastAsia="黑体"/>
          <w:sz w:val="32"/>
          <w:szCs w:val="32"/>
        </w:rPr>
      </w:pPr>
      <w:r>
        <w:rPr>
          <w:rFonts w:hint="eastAsia" w:ascii="黑体" w:hAnsi="黑体" w:eastAsia="黑体"/>
          <w:sz w:val="32"/>
          <w:szCs w:val="32"/>
        </w:rPr>
        <w:t>二、</w:t>
      </w:r>
      <w:r>
        <w:rPr>
          <w:rFonts w:hint="eastAsia" w:ascii="黑体" w:hAnsi="黑体" w:eastAsia="黑体"/>
          <w:sz w:val="32"/>
          <w:szCs w:val="32"/>
          <w:lang w:val="en-US" w:eastAsia="zh-CN"/>
        </w:rPr>
        <w:t>总体要求</w:t>
      </w:r>
      <w:bookmarkEnd w:id="25"/>
      <w:bookmarkEnd w:id="26"/>
      <w:bookmarkEnd w:id="27"/>
      <w:bookmarkEnd w:id="28"/>
      <w:bookmarkEnd w:id="29"/>
      <w:bookmarkEnd w:id="30"/>
      <w:bookmarkEnd w:id="31"/>
      <w:bookmarkEnd w:id="32"/>
      <w:bookmarkEnd w:id="33"/>
      <w:bookmarkEnd w:id="34"/>
      <w:bookmarkEnd w:id="35"/>
      <w:bookmarkEnd w:id="36"/>
      <w:bookmarkEnd w:id="37"/>
    </w:p>
    <w:p w14:paraId="0EF153F3">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z w:val="32"/>
          <w:szCs w:val="32"/>
        </w:rPr>
        <w:t>以习近平新时代中国特色社会主义思想为指导，深入贯彻党的二十大和二十届历次全会精神，</w:t>
      </w:r>
      <w:r>
        <w:rPr>
          <w:rFonts w:hint="eastAsia" w:ascii="仿宋_GB2312" w:hAnsi="仿宋_GB2312" w:eastAsia="仿宋_GB2312" w:cs="仿宋_GB2312"/>
          <w:sz w:val="32"/>
          <w:szCs w:val="32"/>
          <w:lang w:val="en-US" w:eastAsia="zh-CN"/>
        </w:rPr>
        <w:t>积极</w:t>
      </w:r>
      <w:r>
        <w:rPr>
          <w:rFonts w:hint="eastAsia" w:ascii="仿宋_GB2312" w:hAnsi="仿宋_GB2312" w:eastAsia="仿宋_GB2312" w:cs="仿宋_GB2312"/>
          <w:sz w:val="32"/>
          <w:szCs w:val="32"/>
        </w:rPr>
        <w:t>落实北京市第十三次党代会和市委十三届历次全会精神，开展“十五五”时期数智平谷建设。坚持以服务</w:t>
      </w:r>
      <w:r>
        <w:rPr>
          <w:rFonts w:hint="eastAsia" w:ascii="仿宋_GB2312" w:hAnsi="仿宋_GB2312" w:eastAsia="仿宋_GB2312" w:cs="仿宋_GB2312"/>
          <w:sz w:val="32"/>
          <w:szCs w:val="32"/>
          <w:lang w:val="en-US" w:eastAsia="zh-CN"/>
        </w:rPr>
        <w:t>和保障</w:t>
      </w:r>
      <w:r>
        <w:rPr>
          <w:rFonts w:hint="eastAsia" w:ascii="仿宋_GB2312" w:hAnsi="仿宋_GB2312" w:eastAsia="仿宋_GB2312" w:cs="仿宋_GB2312"/>
          <w:sz w:val="32"/>
          <w:szCs w:val="32"/>
        </w:rPr>
        <w:t>新时代首都发展为统领，锚定“三区一口岸”功能定位，</w:t>
      </w:r>
      <w:r>
        <w:rPr>
          <w:rFonts w:hint="eastAsia" w:ascii="仿宋_GB2312" w:hAnsi="仿宋_GB2312" w:eastAsia="仿宋_GB2312" w:cs="仿宋_GB2312"/>
          <w:sz w:val="32"/>
          <w:szCs w:val="32"/>
          <w:highlight w:val="none"/>
        </w:rPr>
        <w:t>按照“统筹整合、数智融合、需求导向、场景创新”</w:t>
      </w:r>
      <w:r>
        <w:rPr>
          <w:rFonts w:hint="eastAsia" w:ascii="仿宋_GB2312" w:hAnsi="仿宋_GB2312" w:eastAsia="仿宋_GB2312" w:cs="仿宋_GB2312"/>
          <w:sz w:val="32"/>
          <w:szCs w:val="32"/>
        </w:rPr>
        <w:t>的思路，强化数字基础设施支撑能力与数据资源体系建设，打造共享共用“智能汇联”</w:t>
      </w:r>
      <w:r>
        <w:rPr>
          <w:rFonts w:hint="eastAsia" w:ascii="仿宋_GB2312" w:hAnsi="仿宋_GB2312" w:eastAsia="仿宋_GB2312" w:cs="仿宋_GB2312"/>
          <w:sz w:val="32"/>
          <w:szCs w:val="32"/>
          <w:lang w:val="en-US" w:eastAsia="zh-CN"/>
        </w:rPr>
        <w:t>数智底座</w:t>
      </w:r>
      <w:r>
        <w:rPr>
          <w:rFonts w:hint="eastAsia" w:ascii="仿宋_GB2312" w:hAnsi="仿宋_GB2312" w:eastAsia="仿宋_GB2312" w:cs="仿宋_GB2312"/>
          <w:sz w:val="32"/>
          <w:szCs w:val="32"/>
        </w:rPr>
        <w:t>。全面赋能</w:t>
      </w:r>
      <w:r>
        <w:rPr>
          <w:rFonts w:hint="eastAsia" w:ascii="仿宋_GB2312" w:hAnsi="仿宋_GB2312" w:eastAsia="仿宋_GB2312" w:cs="仿宋_GB2312"/>
          <w:sz w:val="32"/>
          <w:szCs w:val="32"/>
          <w:lang w:val="en-US" w:eastAsia="zh-CN"/>
        </w:rPr>
        <w:t>建设</w:t>
      </w:r>
      <w:r>
        <w:rPr>
          <w:rFonts w:hint="eastAsia" w:ascii="仿宋_GB2312" w:hAnsi="仿宋_GB2312" w:eastAsia="仿宋_GB2312" w:cs="仿宋_GB2312"/>
          <w:sz w:val="32"/>
          <w:szCs w:val="32"/>
        </w:rPr>
        <w:t>数字政务、数字社会、数字</w:t>
      </w:r>
      <w:r>
        <w:rPr>
          <w:rFonts w:hint="eastAsia" w:ascii="仿宋_GB2312" w:hAnsi="仿宋_GB2312" w:eastAsia="仿宋_GB2312" w:cs="仿宋_GB2312"/>
          <w:sz w:val="32"/>
          <w:szCs w:val="32"/>
          <w:lang w:val="en-US" w:eastAsia="zh-CN"/>
        </w:rPr>
        <w:t>城市</w:t>
      </w:r>
      <w:r>
        <w:rPr>
          <w:rFonts w:hint="eastAsia" w:ascii="仿宋_GB2312" w:hAnsi="仿宋_GB2312" w:eastAsia="仿宋_GB2312" w:cs="仿宋_GB2312"/>
          <w:sz w:val="32"/>
          <w:szCs w:val="32"/>
        </w:rPr>
        <w:t>治</w:t>
      </w:r>
      <w:r>
        <w:rPr>
          <w:rFonts w:hint="eastAsia" w:ascii="仿宋_GB2312" w:hAnsi="仿宋_GB2312" w:eastAsia="仿宋_GB2312" w:cs="仿宋_GB2312"/>
          <w:color w:val="000000" w:themeColor="text1"/>
          <w:sz w:val="32"/>
          <w:szCs w:val="32"/>
          <w14:textFill>
            <w14:solidFill>
              <w14:schemeClr w14:val="tx1"/>
            </w14:solidFill>
          </w14:textFill>
        </w:rPr>
        <w:t>理、</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数字生态文明</w:t>
      </w:r>
      <w:r>
        <w:rPr>
          <w:rFonts w:hint="eastAsia" w:ascii="仿宋_GB2312" w:hAnsi="仿宋_GB2312" w:eastAsia="仿宋_GB2312" w:cs="仿宋_GB2312"/>
          <w:sz w:val="32"/>
          <w:szCs w:val="32"/>
        </w:rPr>
        <w:t>和</w:t>
      </w:r>
      <w:r>
        <w:rPr>
          <w:rFonts w:hint="eastAsia" w:ascii="仿宋_GB2312" w:hAnsi="仿宋_GB2312" w:eastAsia="仿宋_GB2312" w:cs="仿宋_GB2312"/>
          <w:sz w:val="32"/>
          <w:szCs w:val="32"/>
          <w:lang w:val="en-US" w:eastAsia="zh-CN"/>
        </w:rPr>
        <w:t>数据赋能特色产业</w:t>
      </w:r>
      <w:r>
        <w:rPr>
          <w:rFonts w:hint="eastAsia" w:ascii="仿宋_GB2312" w:hAnsi="仿宋_GB2312" w:eastAsia="仿宋_GB2312" w:cs="仿宋_GB2312"/>
          <w:sz w:val="32"/>
          <w:szCs w:val="32"/>
        </w:rPr>
        <w:t>，将平谷区打造成为首都东部智慧发展</w:t>
      </w:r>
      <w:r>
        <w:rPr>
          <w:rFonts w:hint="eastAsia" w:ascii="仿宋_GB2312" w:hAnsi="仿宋_GB2312" w:eastAsia="仿宋_GB2312" w:cs="仿宋_GB2312"/>
          <w:sz w:val="32"/>
          <w:szCs w:val="32"/>
          <w:lang w:eastAsia="zh-CN"/>
        </w:rPr>
        <w:t>新</w:t>
      </w:r>
      <w:r>
        <w:rPr>
          <w:rFonts w:hint="eastAsia" w:ascii="仿宋_GB2312" w:hAnsi="仿宋_GB2312" w:eastAsia="仿宋_GB2312" w:cs="仿宋_GB2312"/>
          <w:sz w:val="32"/>
          <w:szCs w:val="32"/>
        </w:rPr>
        <w:t>高地和绿色、宜居、安全、韧性的</w:t>
      </w:r>
      <w:r>
        <w:rPr>
          <w:rFonts w:hint="eastAsia" w:ascii="仿宋_GB2312" w:hAnsi="仿宋_GB2312" w:eastAsia="仿宋_GB2312" w:cs="仿宋_GB2312"/>
          <w:sz w:val="32"/>
          <w:szCs w:val="32"/>
          <w:lang w:val="en-US" w:eastAsia="zh-CN"/>
        </w:rPr>
        <w:t>数</w:t>
      </w:r>
      <w:r>
        <w:rPr>
          <w:rFonts w:hint="eastAsia" w:ascii="仿宋_GB2312" w:hAnsi="仿宋_GB2312" w:eastAsia="仿宋_GB2312" w:cs="仿宋_GB2312"/>
          <w:sz w:val="32"/>
          <w:szCs w:val="32"/>
        </w:rPr>
        <w:t>智城市发展</w:t>
      </w:r>
      <w:r>
        <w:rPr>
          <w:rFonts w:hint="eastAsia" w:ascii="仿宋_GB2312" w:hAnsi="仿宋_GB2312" w:eastAsia="仿宋_GB2312" w:cs="仿宋_GB2312"/>
          <w:sz w:val="32"/>
          <w:szCs w:val="32"/>
          <w:lang w:eastAsia="zh-CN"/>
        </w:rPr>
        <w:t>核心承载区</w:t>
      </w:r>
      <w:r>
        <w:rPr>
          <w:rFonts w:hint="eastAsia" w:ascii="仿宋_GB2312" w:hAnsi="仿宋_GB2312" w:eastAsia="仿宋_GB2312" w:cs="仿宋_GB2312"/>
          <w:sz w:val="32"/>
          <w:szCs w:val="32"/>
        </w:rPr>
        <w:t>。</w:t>
      </w:r>
    </w:p>
    <w:p w14:paraId="79361A31">
      <w:pPr>
        <w:pStyle w:val="21"/>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到2030年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平谷区数智化水平大幅提升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val="0"/>
          <w:bCs w:val="0"/>
          <w:sz w:val="32"/>
          <w:szCs w:val="32"/>
          <w:highlight w:val="none"/>
          <w:lang w:val="en-US" w:eastAsia="zh-CN"/>
        </w:rPr>
        <w:t>初步</w:t>
      </w:r>
      <w:r>
        <w:rPr>
          <w:rFonts w:hint="eastAsia" w:ascii="仿宋_GB2312" w:hAnsi="仿宋_GB2312" w:eastAsia="仿宋_GB2312" w:cs="仿宋_GB2312"/>
          <w:b w:val="0"/>
          <w:bCs w:val="0"/>
          <w:sz w:val="32"/>
          <w:szCs w:val="32"/>
        </w:rPr>
        <w:t>建成</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kern w:val="0"/>
          <w:sz w:val="32"/>
          <w:szCs w:val="32"/>
          <w:shd w:val="clear" w:color="auto" w:fill="FFFFFF"/>
          <w:lang w:eastAsia="zh-Hans" w:bidi="ar"/>
        </w:rPr>
        <w:t>物联</w:t>
      </w:r>
      <w:r>
        <w:rPr>
          <w:rFonts w:hint="eastAsia" w:ascii="仿宋_GB2312" w:hAnsi="仿宋_GB2312" w:eastAsia="仿宋_GB2312" w:cs="仿宋_GB2312"/>
          <w:kern w:val="0"/>
          <w:sz w:val="32"/>
          <w:szCs w:val="32"/>
          <w:shd w:val="clear" w:color="auto" w:fill="FFFFFF"/>
          <w:lang w:val="en-US" w:eastAsia="zh-CN" w:bidi="ar"/>
        </w:rPr>
        <w:t>智能</w:t>
      </w:r>
      <w:r>
        <w:rPr>
          <w:rFonts w:hint="eastAsia" w:ascii="仿宋_GB2312" w:hAnsi="仿宋_GB2312" w:eastAsia="仿宋_GB2312" w:cs="仿宋_GB2312"/>
          <w:kern w:val="0"/>
          <w:sz w:val="32"/>
          <w:szCs w:val="32"/>
          <w:shd w:val="clear" w:color="auto" w:fill="FFFFFF"/>
          <w:lang w:eastAsia="zh-Hans" w:bidi="ar"/>
        </w:rPr>
        <w:t>感知、数联</w:t>
      </w:r>
      <w:r>
        <w:rPr>
          <w:rFonts w:hint="eastAsia" w:ascii="仿宋_GB2312" w:hAnsi="仿宋_GB2312" w:eastAsia="仿宋_GB2312" w:cs="仿宋_GB2312"/>
          <w:kern w:val="0"/>
          <w:sz w:val="32"/>
          <w:szCs w:val="32"/>
          <w:shd w:val="clear" w:color="auto" w:fill="FFFFFF"/>
          <w:lang w:val="en-US" w:eastAsia="zh-CN" w:bidi="ar"/>
        </w:rPr>
        <w:t>全面</w:t>
      </w:r>
      <w:r>
        <w:rPr>
          <w:rFonts w:hint="eastAsia" w:ascii="仿宋_GB2312" w:hAnsi="仿宋_GB2312" w:eastAsia="仿宋_GB2312" w:cs="仿宋_GB2312"/>
          <w:kern w:val="0"/>
          <w:sz w:val="32"/>
          <w:szCs w:val="32"/>
          <w:shd w:val="clear" w:color="auto" w:fill="FFFFFF"/>
          <w:lang w:eastAsia="zh-Hans" w:bidi="ar"/>
        </w:rPr>
        <w:t>贯通、智联深度赋能”的融合型</w:t>
      </w:r>
      <w:r>
        <w:rPr>
          <w:rFonts w:hint="eastAsia" w:ascii="仿宋_GB2312" w:hAnsi="仿宋_GB2312" w:eastAsia="仿宋_GB2312" w:cs="仿宋_GB2312"/>
          <w:kern w:val="0"/>
          <w:sz w:val="32"/>
          <w:szCs w:val="32"/>
          <w:shd w:val="clear" w:color="auto" w:fill="FFFFFF"/>
          <w:lang w:val="en-US" w:eastAsia="zh-CN" w:bidi="ar"/>
        </w:rPr>
        <w:t>数智底座</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sz w:val="32"/>
          <w:szCs w:val="32"/>
          <w:lang w:bidi="ar"/>
        </w:rPr>
        <w:t>整体支撑能力不断提升</w:t>
      </w:r>
      <w:r>
        <w:rPr>
          <w:rFonts w:hint="eastAsia" w:ascii="仿宋_GB2312" w:hAnsi="仿宋_GB2312" w:eastAsia="仿宋_GB2312" w:cs="仿宋_GB2312"/>
          <w:sz w:val="32"/>
          <w:szCs w:val="32"/>
          <w:lang w:eastAsia="zh-CN" w:bidi="ar"/>
        </w:rPr>
        <w:t>。</w:t>
      </w:r>
      <w:r>
        <w:rPr>
          <w:rFonts w:hint="eastAsia" w:ascii="仿宋_GB2312" w:hAnsi="仿宋_GB2312" w:eastAsia="仿宋_GB2312" w:cs="仿宋_GB2312"/>
          <w:sz w:val="32"/>
          <w:szCs w:val="32"/>
        </w:rPr>
        <w:t>数据要素赋能</w:t>
      </w:r>
      <w:r>
        <w:rPr>
          <w:rFonts w:hint="eastAsia" w:ascii="仿宋_GB2312" w:hAnsi="仿宋_GB2312" w:eastAsia="仿宋_GB2312" w:cs="仿宋_GB2312"/>
          <w:sz w:val="32"/>
          <w:szCs w:val="32"/>
          <w:lang w:val="en-US" w:eastAsia="zh-CN"/>
        </w:rPr>
        <w:t>特色产业创新</w:t>
      </w:r>
      <w:r>
        <w:rPr>
          <w:rFonts w:hint="eastAsia" w:ascii="仿宋_GB2312" w:hAnsi="仿宋_GB2312" w:eastAsia="仿宋_GB2312" w:cs="仿宋_GB2312"/>
          <w:sz w:val="32"/>
          <w:szCs w:val="32"/>
        </w:rPr>
        <w:t>发展，</w:t>
      </w:r>
      <w:r>
        <w:rPr>
          <w:rFonts w:hint="eastAsia" w:ascii="仿宋_GB2312" w:hAnsi="仿宋_GB2312" w:eastAsia="仿宋_GB2312" w:cs="仿宋_GB2312"/>
          <w:b w:val="0"/>
          <w:bCs w:val="0"/>
          <w:sz w:val="32"/>
          <w:szCs w:val="32"/>
          <w:lang w:eastAsia="zh-CN"/>
        </w:rPr>
        <w:t>通过“</w:t>
      </w:r>
      <w:r>
        <w:rPr>
          <w:rFonts w:hint="eastAsia" w:ascii="仿宋_GB2312" w:hAnsi="仿宋_GB2312" w:eastAsia="仿宋_GB2312" w:cs="仿宋_GB2312"/>
          <w:sz w:val="32"/>
          <w:szCs w:val="32"/>
          <w:lang w:val="en-US" w:eastAsia="zh-CN"/>
        </w:rPr>
        <w:t>数据要素</w:t>
      </w:r>
      <w:r>
        <w:rPr>
          <w:rFonts w:hint="eastAsia" w:ascii="仿宋_GB2312" w:hAnsi="仿宋_GB2312" w:eastAsia="仿宋_GB2312" w:cs="仿宋_GB2312"/>
          <w:b w:val="0"/>
          <w:bCs w:val="0"/>
          <w:color w:val="auto"/>
          <w:kern w:val="2"/>
          <w:sz w:val="32"/>
          <w:szCs w:val="32"/>
          <w:highlight w:val="none"/>
          <w:lang w:val="en-US" w:eastAsia="zh-CN" w:bidi="ar"/>
        </w:rPr>
        <w:t>×”“人工智能+”行动</w:t>
      </w:r>
      <w:r>
        <w:rPr>
          <w:rFonts w:hint="eastAsia" w:ascii="仿宋_GB2312" w:hAnsi="仿宋_GB2312" w:eastAsia="仿宋_GB2312" w:cs="仿宋_GB2312"/>
          <w:sz w:val="32"/>
          <w:szCs w:val="32"/>
          <w:lang w:val="en-US" w:eastAsia="zh-CN"/>
        </w:rPr>
        <w:t>赋能全区</w:t>
      </w:r>
      <w:r>
        <w:rPr>
          <w:rFonts w:hint="eastAsia" w:ascii="仿宋_GB2312" w:hAnsi="仿宋_GB2312" w:eastAsia="仿宋_GB2312" w:cs="仿宋_GB2312"/>
          <w:sz w:val="32"/>
          <w:szCs w:val="32"/>
        </w:rPr>
        <w:t>农业、物流、</w:t>
      </w:r>
      <w:r>
        <w:rPr>
          <w:rFonts w:hint="eastAsia" w:ascii="仿宋_GB2312" w:hAnsi="仿宋_GB2312" w:eastAsia="仿宋_GB2312" w:cs="仿宋_GB2312"/>
          <w:sz w:val="32"/>
          <w:szCs w:val="32"/>
          <w:lang w:val="en-US" w:eastAsia="zh-CN"/>
        </w:rPr>
        <w:t>文</w:t>
      </w:r>
      <w:r>
        <w:rPr>
          <w:rFonts w:hint="eastAsia" w:ascii="仿宋_GB2312" w:hAnsi="仿宋_GB2312" w:eastAsia="仿宋_GB2312" w:cs="仿宋_GB2312"/>
          <w:sz w:val="32"/>
          <w:szCs w:val="32"/>
        </w:rPr>
        <w:t>旅等</w:t>
      </w:r>
      <w:r>
        <w:rPr>
          <w:rFonts w:hint="eastAsia" w:ascii="仿宋_GB2312" w:hAnsi="仿宋_GB2312" w:eastAsia="仿宋_GB2312" w:cs="仿宋_GB2312"/>
          <w:sz w:val="32"/>
          <w:szCs w:val="32"/>
          <w:lang w:val="en-US" w:eastAsia="zh-CN"/>
        </w:rPr>
        <w:t>重点产业进行</w:t>
      </w:r>
      <w:r>
        <w:rPr>
          <w:rFonts w:hint="eastAsia" w:ascii="仿宋_GB2312" w:hAnsi="仿宋_GB2312" w:eastAsia="仿宋_GB2312" w:cs="仿宋_GB2312"/>
          <w:color w:val="auto"/>
          <w:kern w:val="2"/>
          <w:sz w:val="32"/>
          <w:szCs w:val="32"/>
          <w:highlight w:val="none"/>
          <w:u w:val="none"/>
          <w:lang w:val="en-US" w:eastAsia="zh-CN" w:bidi="ar"/>
        </w:rPr>
        <w:t>深度转型升级</w:t>
      </w:r>
      <w:r>
        <w:rPr>
          <w:rFonts w:hint="eastAsia" w:ascii="仿宋_GB2312" w:hAnsi="仿宋_GB2312" w:eastAsia="仿宋_GB2312" w:cs="仿宋_GB2312"/>
          <w:sz w:val="32"/>
          <w:szCs w:val="32"/>
        </w:rPr>
        <w:t>，培育形成一批技术领先、市场占有率高的企业领头羊。</w:t>
      </w:r>
      <w:r>
        <w:rPr>
          <w:rFonts w:hint="eastAsia" w:ascii="仿宋_GB2312" w:hAnsi="仿宋_GB2312" w:eastAsia="仿宋_GB2312" w:cs="仿宋_GB2312"/>
          <w:sz w:val="32"/>
          <w:szCs w:val="32"/>
          <w:lang w:val="en-US" w:eastAsia="zh-CN"/>
        </w:rPr>
        <w:t>数字政务、</w:t>
      </w:r>
      <w:r>
        <w:rPr>
          <w:rFonts w:hint="eastAsia" w:ascii="仿宋_GB2312" w:hAnsi="仿宋_GB2312" w:eastAsia="仿宋_GB2312" w:cs="仿宋_GB2312"/>
          <w:sz w:val="32"/>
          <w:szCs w:val="32"/>
        </w:rPr>
        <w:t>数字社会、数字</w:t>
      </w:r>
      <w:r>
        <w:rPr>
          <w:rFonts w:hint="eastAsia" w:ascii="仿宋_GB2312" w:hAnsi="仿宋_GB2312" w:eastAsia="仿宋_GB2312" w:cs="仿宋_GB2312"/>
          <w:sz w:val="32"/>
          <w:szCs w:val="32"/>
          <w:lang w:val="en-US" w:eastAsia="zh-CN"/>
        </w:rPr>
        <w:t>城市</w:t>
      </w:r>
      <w:r>
        <w:rPr>
          <w:rFonts w:hint="eastAsia" w:ascii="仿宋_GB2312" w:hAnsi="仿宋_GB2312" w:eastAsia="仿宋_GB2312" w:cs="仿宋_GB2312"/>
          <w:sz w:val="32"/>
          <w:szCs w:val="32"/>
        </w:rPr>
        <w:t>治</w:t>
      </w:r>
      <w:r>
        <w:rPr>
          <w:rFonts w:hint="eastAsia" w:ascii="仿宋_GB2312" w:hAnsi="仿宋_GB2312" w:eastAsia="仿宋_GB2312" w:cs="仿宋_GB2312"/>
          <w:color w:val="000000" w:themeColor="text1"/>
          <w:sz w:val="32"/>
          <w:szCs w:val="32"/>
          <w14:textFill>
            <w14:solidFill>
              <w14:schemeClr w14:val="tx1"/>
            </w14:solidFill>
          </w14:textFill>
        </w:rPr>
        <w:t>理、</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数字生态文明等重点领域</w:t>
      </w:r>
      <w:r>
        <w:rPr>
          <w:rFonts w:hint="eastAsia" w:ascii="仿宋_GB2312" w:hAnsi="仿宋_GB2312" w:eastAsia="仿宋_GB2312" w:cs="仿宋_GB2312"/>
          <w:sz w:val="32"/>
          <w:szCs w:val="32"/>
        </w:rPr>
        <w:t>数</w:t>
      </w:r>
      <w:r>
        <w:rPr>
          <w:rFonts w:hint="eastAsia" w:ascii="仿宋_GB2312" w:hAnsi="仿宋_GB2312" w:eastAsia="仿宋_GB2312" w:cs="仿宋_GB2312"/>
          <w:sz w:val="32"/>
          <w:szCs w:val="32"/>
          <w:lang w:val="en-US" w:eastAsia="zh-CN"/>
        </w:rPr>
        <w:t>智</w:t>
      </w:r>
      <w:r>
        <w:rPr>
          <w:rFonts w:hint="eastAsia" w:ascii="仿宋_GB2312" w:hAnsi="仿宋_GB2312" w:eastAsia="仿宋_GB2312" w:cs="仿宋_GB2312"/>
          <w:sz w:val="32"/>
          <w:szCs w:val="32"/>
        </w:rPr>
        <w:t>化转型持续突破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一批创新场景效能显现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现代化的</w:t>
      </w:r>
      <w:r>
        <w:rPr>
          <w:rFonts w:hint="eastAsia" w:ascii="仿宋_GB2312" w:hAnsi="仿宋_GB2312" w:eastAsia="仿宋_GB2312" w:cs="仿宋_GB2312"/>
          <w:sz w:val="32"/>
          <w:szCs w:val="32"/>
          <w:lang w:val="en-US" w:eastAsia="zh-CN"/>
        </w:rPr>
        <w:t>数智</w:t>
      </w:r>
      <w:r>
        <w:rPr>
          <w:rFonts w:hint="eastAsia" w:ascii="仿宋_GB2312" w:hAnsi="仿宋_GB2312" w:eastAsia="仿宋_GB2312" w:cs="仿宋_GB2312"/>
          <w:sz w:val="32"/>
          <w:szCs w:val="32"/>
          <w:highlight w:val="none"/>
        </w:rPr>
        <w:t>城市</w:t>
      </w:r>
      <w:r>
        <w:rPr>
          <w:rFonts w:hint="eastAsia" w:ascii="仿宋_GB2312" w:hAnsi="仿宋_GB2312" w:eastAsia="仿宋_GB2312" w:cs="仿宋_GB2312"/>
          <w:sz w:val="32"/>
          <w:szCs w:val="32"/>
        </w:rPr>
        <w:t>治理水平与治理能力显著提升。</w:t>
      </w:r>
    </w:p>
    <w:p w14:paraId="61121061">
      <w:pPr>
        <w:pStyle w:val="21"/>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p>
    <w:p w14:paraId="245C6352">
      <w:pPr>
        <w:pStyle w:val="21"/>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p>
    <w:p w14:paraId="6C956E86">
      <w:pPr>
        <w:pStyle w:val="21"/>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p>
    <w:p w14:paraId="4C8405C5">
      <w:pPr>
        <w:pStyle w:val="21"/>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p>
    <w:p w14:paraId="6B622AD1">
      <w:pPr>
        <w:pStyle w:val="21"/>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p>
    <w:p w14:paraId="2BD557E5">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表</w:t>
      </w:r>
      <w:r>
        <w:rPr>
          <w:rFonts w:hint="eastAsia" w:ascii="仿宋_GB2312" w:hAnsi="仿宋_GB2312" w:eastAsia="仿宋_GB2312" w:cs="仿宋_GB2312"/>
          <w:color w:val="000000"/>
          <w:sz w:val="24"/>
          <w:lang w:val="en-US" w:eastAsia="zh-CN"/>
        </w:rPr>
        <w:t>1</w:t>
      </w:r>
      <w:r>
        <w:rPr>
          <w:rFonts w:hint="eastAsia" w:ascii="仿宋_GB2312" w:hAnsi="仿宋_GB2312" w:eastAsia="仿宋_GB2312" w:cs="仿宋_GB2312"/>
          <w:color w:val="000000"/>
          <w:sz w:val="24"/>
        </w:rPr>
        <w:t xml:space="preserve"> “十五五”时期智慧城市发展主要指标</w:t>
      </w:r>
    </w:p>
    <w:tbl>
      <w:tblPr>
        <w:tblStyle w:val="14"/>
        <w:tblW w:w="500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55"/>
        <w:gridCol w:w="2658"/>
        <w:gridCol w:w="1377"/>
        <w:gridCol w:w="1473"/>
        <w:gridCol w:w="2747"/>
      </w:tblGrid>
      <w:tr w14:paraId="64840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1" w:hRule="atLeast"/>
          <w:tblHeader/>
        </w:trPr>
        <w:tc>
          <w:tcPr>
            <w:tcW w:w="419" w:type="pct"/>
            <w:noWrap w:val="0"/>
            <w:vAlign w:val="center"/>
          </w:tcPr>
          <w:p w14:paraId="539021D9">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b/>
                <w:bCs/>
                <w:color w:val="000000"/>
                <w:kern w:val="24"/>
                <w:sz w:val="24"/>
                <w:szCs w:val="24"/>
                <w:highlight w:val="none"/>
              </w:rPr>
            </w:pPr>
            <w:r>
              <w:rPr>
                <w:rFonts w:hint="eastAsia" w:ascii="仿宋_GB2312" w:hAnsi="仿宋_GB2312" w:eastAsia="仿宋_GB2312" w:cs="仿宋_GB2312"/>
                <w:b/>
                <w:bCs/>
                <w:color w:val="000000"/>
                <w:kern w:val="24"/>
                <w:sz w:val="24"/>
                <w:szCs w:val="24"/>
                <w:highlight w:val="none"/>
              </w:rPr>
              <w:t>序号</w:t>
            </w:r>
          </w:p>
        </w:tc>
        <w:tc>
          <w:tcPr>
            <w:tcW w:w="1474" w:type="pct"/>
            <w:noWrap w:val="0"/>
            <w:tcMar>
              <w:top w:w="72" w:type="dxa"/>
              <w:left w:w="144" w:type="dxa"/>
              <w:bottom w:w="72" w:type="dxa"/>
              <w:right w:w="144" w:type="dxa"/>
            </w:tcMar>
            <w:vAlign w:val="center"/>
          </w:tcPr>
          <w:p w14:paraId="2886BBB9">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b/>
                <w:bCs/>
                <w:color w:val="000000"/>
                <w:kern w:val="24"/>
                <w:sz w:val="24"/>
                <w:szCs w:val="24"/>
                <w:highlight w:val="none"/>
              </w:rPr>
            </w:pPr>
            <w:r>
              <w:rPr>
                <w:rFonts w:hint="eastAsia" w:ascii="仿宋_GB2312" w:hAnsi="仿宋_GB2312" w:eastAsia="仿宋_GB2312" w:cs="仿宋_GB2312"/>
                <w:b/>
                <w:bCs/>
                <w:color w:val="000000"/>
                <w:kern w:val="24"/>
                <w:sz w:val="24"/>
                <w:szCs w:val="24"/>
                <w:highlight w:val="none"/>
              </w:rPr>
              <w:t>指标</w:t>
            </w:r>
          </w:p>
        </w:tc>
        <w:tc>
          <w:tcPr>
            <w:tcW w:w="764" w:type="pct"/>
            <w:noWrap w:val="0"/>
            <w:vAlign w:val="center"/>
          </w:tcPr>
          <w:p w14:paraId="5A13D1D9">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b/>
                <w:bCs/>
                <w:color w:val="000000"/>
                <w:kern w:val="24"/>
                <w:sz w:val="24"/>
                <w:szCs w:val="24"/>
                <w:highlight w:val="none"/>
              </w:rPr>
            </w:pPr>
            <w:r>
              <w:rPr>
                <w:rFonts w:hint="eastAsia" w:ascii="仿宋_GB2312" w:hAnsi="仿宋_GB2312" w:eastAsia="仿宋_GB2312" w:cs="仿宋_GB2312"/>
                <w:b/>
                <w:bCs/>
                <w:color w:val="000000"/>
                <w:kern w:val="24"/>
                <w:sz w:val="24"/>
                <w:szCs w:val="24"/>
                <w:highlight w:val="none"/>
              </w:rPr>
              <w:t>2025年</w:t>
            </w:r>
          </w:p>
        </w:tc>
        <w:tc>
          <w:tcPr>
            <w:tcW w:w="817" w:type="pct"/>
            <w:noWrap w:val="0"/>
            <w:tcMar>
              <w:top w:w="72" w:type="dxa"/>
              <w:left w:w="144" w:type="dxa"/>
              <w:bottom w:w="72" w:type="dxa"/>
              <w:right w:w="144" w:type="dxa"/>
            </w:tcMar>
            <w:vAlign w:val="center"/>
          </w:tcPr>
          <w:p w14:paraId="104162A0">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b/>
                <w:bCs/>
                <w:color w:val="000000"/>
                <w:kern w:val="24"/>
                <w:sz w:val="24"/>
                <w:szCs w:val="24"/>
                <w:highlight w:val="none"/>
              </w:rPr>
            </w:pPr>
            <w:r>
              <w:rPr>
                <w:rFonts w:hint="eastAsia" w:ascii="仿宋_GB2312" w:hAnsi="仿宋_GB2312" w:eastAsia="仿宋_GB2312" w:cs="仿宋_GB2312"/>
                <w:b/>
                <w:bCs/>
                <w:color w:val="000000"/>
                <w:kern w:val="24"/>
                <w:sz w:val="24"/>
                <w:szCs w:val="24"/>
                <w:highlight w:val="none"/>
              </w:rPr>
              <w:t>2030年</w:t>
            </w:r>
          </w:p>
        </w:tc>
        <w:tc>
          <w:tcPr>
            <w:tcW w:w="1523" w:type="pct"/>
            <w:noWrap w:val="0"/>
            <w:tcMar>
              <w:top w:w="72" w:type="dxa"/>
              <w:left w:w="144" w:type="dxa"/>
              <w:bottom w:w="72" w:type="dxa"/>
              <w:right w:w="144" w:type="dxa"/>
            </w:tcMar>
            <w:vAlign w:val="center"/>
          </w:tcPr>
          <w:p w14:paraId="603C3811">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b/>
                <w:bCs/>
                <w:color w:val="000000"/>
                <w:kern w:val="24"/>
                <w:sz w:val="24"/>
                <w:szCs w:val="24"/>
                <w:highlight w:val="none"/>
              </w:rPr>
            </w:pPr>
            <w:r>
              <w:rPr>
                <w:rFonts w:hint="eastAsia" w:ascii="仿宋_GB2312" w:hAnsi="仿宋_GB2312" w:eastAsia="仿宋_GB2312" w:cs="仿宋_GB2312"/>
                <w:b/>
                <w:bCs/>
                <w:color w:val="000000"/>
                <w:kern w:val="24"/>
                <w:sz w:val="24"/>
                <w:szCs w:val="24"/>
                <w:highlight w:val="none"/>
              </w:rPr>
              <w:t>指标解释</w:t>
            </w:r>
          </w:p>
        </w:tc>
      </w:tr>
      <w:tr w14:paraId="1F25F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9" w:hRule="atLeast"/>
        </w:trPr>
        <w:tc>
          <w:tcPr>
            <w:tcW w:w="419" w:type="pct"/>
            <w:shd w:val="clear" w:color="auto" w:fill="auto"/>
            <w:noWrap w:val="0"/>
            <w:vAlign w:val="center"/>
          </w:tcPr>
          <w:p w14:paraId="2C2402F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rPr>
              <w:t>1</w:t>
            </w:r>
          </w:p>
        </w:tc>
        <w:tc>
          <w:tcPr>
            <w:tcW w:w="1474" w:type="pct"/>
            <w:shd w:val="clear" w:color="auto" w:fill="auto"/>
            <w:noWrap w:val="0"/>
            <w:tcMar>
              <w:top w:w="72" w:type="dxa"/>
              <w:left w:w="144" w:type="dxa"/>
              <w:bottom w:w="72" w:type="dxa"/>
              <w:right w:w="144" w:type="dxa"/>
            </w:tcMar>
            <w:vAlign w:val="center"/>
          </w:tcPr>
          <w:p w14:paraId="32965B0D">
            <w:pPr>
              <w:pStyle w:val="10"/>
              <w:ind w:left="0" w:leftChars="0" w:firstLine="0" w:firstLineChars="0"/>
              <w:jc w:val="center"/>
              <w:rPr>
                <w:rFonts w:hint="eastAsia" w:ascii="仿宋_GB2312" w:hAnsi="仿宋_GB2312" w:eastAsia="仿宋_GB2312" w:cs="仿宋_GB2312"/>
                <w:kern w:val="0"/>
                <w:sz w:val="24"/>
                <w:szCs w:val="24"/>
                <w:lang w:val="en" w:eastAsia="zh-CN" w:bidi="ar-SA"/>
              </w:rPr>
            </w:pPr>
            <w:r>
              <w:rPr>
                <w:rFonts w:hint="eastAsia" w:ascii="仿宋_GB2312" w:hAnsi="仿宋_GB2312" w:eastAsia="仿宋_GB2312" w:cs="仿宋_GB2312"/>
                <w:kern w:val="0"/>
                <w:sz w:val="24"/>
                <w:szCs w:val="24"/>
                <w:lang w:val="en" w:eastAsia="zh-CN" w:bidi="ar-SA"/>
              </w:rPr>
              <w:t>政务网络光纤规模（芯）</w:t>
            </w:r>
          </w:p>
        </w:tc>
        <w:tc>
          <w:tcPr>
            <w:tcW w:w="764" w:type="pct"/>
            <w:shd w:val="clear" w:color="auto" w:fill="auto"/>
            <w:noWrap w:val="0"/>
            <w:vAlign w:val="center"/>
          </w:tcPr>
          <w:p w14:paraId="1EF4413D">
            <w:pPr>
              <w:pStyle w:val="1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val="en" w:eastAsia="zh-CN" w:bidi="ar"/>
              </w:rPr>
              <w:t>3800</w:t>
            </w:r>
          </w:p>
        </w:tc>
        <w:tc>
          <w:tcPr>
            <w:tcW w:w="817" w:type="pct"/>
            <w:shd w:val="clear" w:color="auto" w:fill="auto"/>
            <w:noWrap w:val="0"/>
            <w:tcMar>
              <w:top w:w="72" w:type="dxa"/>
              <w:left w:w="144" w:type="dxa"/>
              <w:bottom w:w="72" w:type="dxa"/>
              <w:right w:w="144" w:type="dxa"/>
            </w:tcMar>
            <w:vAlign w:val="center"/>
          </w:tcPr>
          <w:p w14:paraId="69738483">
            <w:pPr>
              <w:pStyle w:val="1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val="en" w:bidi="ar"/>
              </w:rPr>
              <w:t>5400</w:t>
            </w:r>
          </w:p>
        </w:tc>
        <w:tc>
          <w:tcPr>
            <w:tcW w:w="1523" w:type="pct"/>
            <w:noWrap w:val="0"/>
            <w:tcMar>
              <w:top w:w="72" w:type="dxa"/>
              <w:left w:w="144" w:type="dxa"/>
              <w:bottom w:w="72" w:type="dxa"/>
              <w:right w:w="144" w:type="dxa"/>
            </w:tcMar>
            <w:vAlign w:val="center"/>
          </w:tcPr>
          <w:p w14:paraId="5B365AA3">
            <w:pPr>
              <w:keepNext w:val="0"/>
              <w:keepLines w:val="0"/>
              <w:pageBreakBefore w:val="0"/>
              <w:widowControl w:val="0"/>
              <w:kinsoku/>
              <w:wordWrap/>
              <w:overflowPunct/>
              <w:topLinePunct w:val="0"/>
              <w:autoSpaceDE/>
              <w:autoSpaceDN/>
              <w:bidi w:val="0"/>
              <w:adjustRightInd/>
              <w:snapToGrid/>
              <w:spacing w:line="240" w:lineRule="auto"/>
              <w:ind w:firstLine="240" w:firstLineChars="100"/>
              <w:jc w:val="left"/>
              <w:textAlignment w:val="auto"/>
              <w:rPr>
                <w:rFonts w:hint="eastAsia" w:ascii="仿宋_GB2312" w:hAnsi="仿宋_GB2312" w:eastAsia="仿宋_GB2312" w:cs="仿宋_GB2312"/>
                <w:kern w:val="0"/>
                <w:sz w:val="24"/>
                <w:szCs w:val="24"/>
                <w:highlight w:val="none"/>
                <w:lang w:eastAsia="zh-CN"/>
              </w:rPr>
            </w:pPr>
            <w:r>
              <w:rPr>
                <w:rFonts w:hint="eastAsia" w:ascii="仿宋_GB2312" w:hAnsi="仿宋_GB2312" w:eastAsia="仿宋_GB2312" w:cs="仿宋_GB2312"/>
                <w:kern w:val="0"/>
                <w:sz w:val="24"/>
                <w:szCs w:val="24"/>
                <w:highlight w:val="none"/>
                <w:lang w:val="en-US" w:eastAsia="zh-CN"/>
              </w:rPr>
              <w:t>全</w:t>
            </w:r>
            <w:r>
              <w:rPr>
                <w:rFonts w:hint="eastAsia" w:ascii="仿宋_GB2312" w:hAnsi="仿宋_GB2312" w:eastAsia="仿宋_GB2312" w:cs="仿宋_GB2312"/>
                <w:kern w:val="0"/>
                <w:sz w:val="24"/>
                <w:szCs w:val="24"/>
                <w:highlight w:val="none"/>
              </w:rPr>
              <w:t>区政务光纤总纤芯</w:t>
            </w:r>
            <w:r>
              <w:rPr>
                <w:rFonts w:hint="eastAsia" w:ascii="仿宋_GB2312" w:hAnsi="仿宋_GB2312" w:eastAsia="仿宋_GB2312" w:cs="仿宋_GB2312"/>
                <w:kern w:val="0"/>
                <w:sz w:val="24"/>
                <w:szCs w:val="24"/>
                <w:highlight w:val="none"/>
                <w:lang w:val="en-US" w:eastAsia="zh-CN"/>
              </w:rPr>
              <w:t>数</w:t>
            </w:r>
            <w:r>
              <w:rPr>
                <w:rFonts w:hint="eastAsia" w:ascii="仿宋_GB2312" w:hAnsi="仿宋_GB2312" w:eastAsia="仿宋_GB2312" w:cs="仿宋_GB2312"/>
                <w:kern w:val="0"/>
                <w:sz w:val="24"/>
                <w:szCs w:val="24"/>
                <w:highlight w:val="none"/>
                <w:lang w:eastAsia="zh-CN"/>
              </w:rPr>
              <w:t>。</w:t>
            </w:r>
          </w:p>
        </w:tc>
      </w:tr>
      <w:tr w14:paraId="37086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9" w:hRule="atLeast"/>
        </w:trPr>
        <w:tc>
          <w:tcPr>
            <w:tcW w:w="419" w:type="pct"/>
            <w:shd w:val="clear" w:color="auto" w:fill="auto"/>
            <w:noWrap w:val="0"/>
            <w:vAlign w:val="center"/>
          </w:tcPr>
          <w:p w14:paraId="6550077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rPr>
              <w:t>2</w:t>
            </w:r>
          </w:p>
        </w:tc>
        <w:tc>
          <w:tcPr>
            <w:tcW w:w="1474" w:type="pct"/>
            <w:shd w:val="clear" w:color="auto" w:fill="auto"/>
            <w:noWrap w:val="0"/>
            <w:tcMar>
              <w:top w:w="72" w:type="dxa"/>
              <w:left w:w="144" w:type="dxa"/>
              <w:bottom w:w="72" w:type="dxa"/>
              <w:right w:w="144" w:type="dxa"/>
            </w:tcMar>
            <w:vAlign w:val="center"/>
          </w:tcPr>
          <w:p w14:paraId="4FA78B80">
            <w:pPr>
              <w:pStyle w:val="10"/>
              <w:ind w:left="0" w:leftChars="0" w:firstLine="0" w:firstLineChars="0"/>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算力规模（P）</w:t>
            </w:r>
          </w:p>
        </w:tc>
        <w:tc>
          <w:tcPr>
            <w:tcW w:w="764" w:type="pct"/>
            <w:shd w:val="clear" w:color="auto" w:fill="auto"/>
            <w:noWrap w:val="0"/>
            <w:vAlign w:val="center"/>
          </w:tcPr>
          <w:p w14:paraId="5A81F574">
            <w:pPr>
              <w:pStyle w:val="1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bidi="ar"/>
              </w:rPr>
              <w:t>0</w:t>
            </w:r>
          </w:p>
        </w:tc>
        <w:tc>
          <w:tcPr>
            <w:tcW w:w="817" w:type="pct"/>
            <w:shd w:val="clear" w:color="auto" w:fill="auto"/>
            <w:noWrap w:val="0"/>
            <w:tcMar>
              <w:top w:w="72" w:type="dxa"/>
              <w:left w:w="144" w:type="dxa"/>
              <w:bottom w:w="72" w:type="dxa"/>
              <w:right w:w="144" w:type="dxa"/>
            </w:tcMar>
            <w:vAlign w:val="center"/>
          </w:tcPr>
          <w:p w14:paraId="41179AC8">
            <w:pPr>
              <w:pStyle w:val="1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bidi="ar"/>
              </w:rPr>
              <w:t>2000</w:t>
            </w:r>
          </w:p>
        </w:tc>
        <w:tc>
          <w:tcPr>
            <w:tcW w:w="1523" w:type="pct"/>
            <w:noWrap w:val="0"/>
            <w:tcMar>
              <w:top w:w="72" w:type="dxa"/>
              <w:left w:w="144" w:type="dxa"/>
              <w:bottom w:w="72" w:type="dxa"/>
              <w:right w:w="144" w:type="dxa"/>
            </w:tcMar>
            <w:vAlign w:val="center"/>
          </w:tcPr>
          <w:p w14:paraId="30115B11">
            <w:pPr>
              <w:keepNext w:val="0"/>
              <w:keepLines w:val="0"/>
              <w:pageBreakBefore w:val="0"/>
              <w:widowControl w:val="0"/>
              <w:kinsoku/>
              <w:wordWrap/>
              <w:overflowPunct/>
              <w:topLinePunct w:val="0"/>
              <w:autoSpaceDE/>
              <w:autoSpaceDN/>
              <w:bidi w:val="0"/>
              <w:adjustRightInd/>
              <w:snapToGrid/>
              <w:spacing w:line="240" w:lineRule="auto"/>
              <w:ind w:firstLine="240" w:firstLineChars="100"/>
              <w:jc w:val="left"/>
              <w:textAlignment w:val="auto"/>
              <w:rPr>
                <w:rFonts w:hint="eastAsia" w:ascii="仿宋_GB2312" w:hAnsi="仿宋_GB2312" w:eastAsia="仿宋_GB2312" w:cs="仿宋_GB2312"/>
                <w:kern w:val="0"/>
                <w:sz w:val="24"/>
                <w:szCs w:val="24"/>
                <w:highlight w:val="none"/>
                <w:lang w:eastAsia="zh-CN"/>
              </w:rPr>
            </w:pPr>
            <w:r>
              <w:rPr>
                <w:rFonts w:hint="eastAsia" w:ascii="仿宋_GB2312" w:hAnsi="仿宋_GB2312" w:eastAsia="仿宋_GB2312" w:cs="仿宋_GB2312"/>
                <w:kern w:val="0"/>
                <w:sz w:val="24"/>
                <w:szCs w:val="24"/>
                <w:highlight w:val="none"/>
              </w:rPr>
              <w:t>全区可提供的智能算力总供给规模</w:t>
            </w:r>
            <w:r>
              <w:rPr>
                <w:rFonts w:hint="eastAsia" w:ascii="仿宋_GB2312" w:hAnsi="仿宋_GB2312" w:eastAsia="仿宋_GB2312" w:cs="仿宋_GB2312"/>
                <w:kern w:val="0"/>
                <w:sz w:val="24"/>
                <w:szCs w:val="24"/>
                <w:highlight w:val="none"/>
                <w:lang w:eastAsia="zh-CN"/>
              </w:rPr>
              <w:t>。</w:t>
            </w:r>
          </w:p>
        </w:tc>
      </w:tr>
      <w:tr w14:paraId="312ED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9" w:hRule="atLeast"/>
        </w:trPr>
        <w:tc>
          <w:tcPr>
            <w:tcW w:w="419" w:type="pct"/>
            <w:shd w:val="clear" w:color="auto" w:fill="auto"/>
            <w:noWrap w:val="0"/>
            <w:vAlign w:val="center"/>
          </w:tcPr>
          <w:p w14:paraId="7A4D9F4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rPr>
              <w:t>3</w:t>
            </w:r>
          </w:p>
        </w:tc>
        <w:tc>
          <w:tcPr>
            <w:tcW w:w="1474" w:type="pct"/>
            <w:shd w:val="clear" w:color="auto" w:fill="auto"/>
            <w:noWrap w:val="0"/>
            <w:tcMar>
              <w:top w:w="72" w:type="dxa"/>
              <w:left w:w="144" w:type="dxa"/>
              <w:bottom w:w="72" w:type="dxa"/>
              <w:right w:w="144" w:type="dxa"/>
            </w:tcMar>
            <w:vAlign w:val="center"/>
          </w:tcPr>
          <w:p w14:paraId="6592B422">
            <w:pPr>
              <w:pStyle w:val="10"/>
              <w:ind w:left="0" w:leftChars="0" w:firstLine="0" w:firstLineChars="0"/>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政务信息系统迁入云平台比例（%）</w:t>
            </w:r>
          </w:p>
        </w:tc>
        <w:tc>
          <w:tcPr>
            <w:tcW w:w="764" w:type="pct"/>
            <w:shd w:val="clear" w:color="auto" w:fill="auto"/>
            <w:noWrap w:val="0"/>
            <w:vAlign w:val="center"/>
          </w:tcPr>
          <w:p w14:paraId="1E7F05B3">
            <w:pPr>
              <w:pStyle w:val="1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val="en-US" w:eastAsia="zh-CN" w:bidi="ar"/>
              </w:rPr>
              <w:t>54</w:t>
            </w:r>
          </w:p>
        </w:tc>
        <w:tc>
          <w:tcPr>
            <w:tcW w:w="817" w:type="pct"/>
            <w:shd w:val="clear" w:color="auto" w:fill="auto"/>
            <w:noWrap w:val="0"/>
            <w:tcMar>
              <w:top w:w="72" w:type="dxa"/>
              <w:left w:w="144" w:type="dxa"/>
              <w:bottom w:w="72" w:type="dxa"/>
              <w:right w:w="144" w:type="dxa"/>
            </w:tcMar>
            <w:vAlign w:val="center"/>
          </w:tcPr>
          <w:p w14:paraId="78247E07">
            <w:pPr>
              <w:pStyle w:val="1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val="en-US" w:eastAsia="zh-CN" w:bidi="ar"/>
              </w:rPr>
              <w:t>100</w:t>
            </w:r>
          </w:p>
        </w:tc>
        <w:tc>
          <w:tcPr>
            <w:tcW w:w="1523" w:type="pct"/>
            <w:noWrap w:val="0"/>
            <w:tcMar>
              <w:top w:w="72" w:type="dxa"/>
              <w:left w:w="144" w:type="dxa"/>
              <w:bottom w:w="72" w:type="dxa"/>
              <w:right w:w="144" w:type="dxa"/>
            </w:tcMar>
            <w:vAlign w:val="center"/>
          </w:tcPr>
          <w:p w14:paraId="06A06D88">
            <w:pPr>
              <w:keepNext w:val="0"/>
              <w:keepLines w:val="0"/>
              <w:pageBreakBefore w:val="0"/>
              <w:widowControl w:val="0"/>
              <w:kinsoku/>
              <w:wordWrap/>
              <w:overflowPunct/>
              <w:topLinePunct w:val="0"/>
              <w:autoSpaceDE/>
              <w:autoSpaceDN/>
              <w:bidi w:val="0"/>
              <w:adjustRightInd/>
              <w:snapToGrid/>
              <w:spacing w:line="240" w:lineRule="auto"/>
              <w:ind w:firstLine="240" w:firstLineChars="100"/>
              <w:jc w:val="left"/>
              <w:textAlignment w:val="auto"/>
              <w:rPr>
                <w:rFonts w:hint="eastAsia" w:ascii="仿宋_GB2312" w:hAnsi="仿宋_GB2312" w:eastAsia="仿宋_GB2312" w:cs="仿宋_GB2312"/>
                <w:kern w:val="0"/>
                <w:sz w:val="24"/>
                <w:szCs w:val="24"/>
                <w:highlight w:val="none"/>
                <w:lang w:val="en-US" w:eastAsia="zh-CN"/>
              </w:rPr>
            </w:pPr>
            <w:r>
              <w:rPr>
                <w:rFonts w:hint="eastAsia" w:ascii="仿宋_GB2312" w:hAnsi="仿宋_GB2312" w:eastAsia="仿宋_GB2312" w:cs="仿宋_GB2312"/>
                <w:kern w:val="0"/>
                <w:sz w:val="24"/>
                <w:szCs w:val="24"/>
                <w:highlight w:val="none"/>
                <w:lang w:val="en-US" w:eastAsia="zh-CN"/>
              </w:rPr>
              <w:t>迁入区政务云平台的区级自建系统数量占区自建系统总数的比例。</w:t>
            </w:r>
          </w:p>
        </w:tc>
      </w:tr>
      <w:tr w14:paraId="42024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9" w:hRule="atLeast"/>
        </w:trPr>
        <w:tc>
          <w:tcPr>
            <w:tcW w:w="419" w:type="pct"/>
          </w:tcPr>
          <w:p w14:paraId="67C9D2C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4</w:t>
            </w:r>
          </w:p>
        </w:tc>
        <w:tc>
          <w:tcPr>
            <w:tcW w:w="1474" w:type="pct"/>
            <w:shd w:val="clear" w:color="auto" w:fill="auto"/>
            <w:vAlign w:val="center"/>
          </w:tcPr>
          <w:p w14:paraId="18E3D293">
            <w:pPr>
              <w:pStyle w:val="10"/>
              <w:ind w:left="0" w:leftChars="0" w:firstLine="0" w:firstLineChars="0"/>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视频监控终端连接数（路）</w:t>
            </w:r>
          </w:p>
        </w:tc>
        <w:tc>
          <w:tcPr>
            <w:tcW w:w="764" w:type="pct"/>
            <w:shd w:val="clear" w:color="auto" w:fill="auto"/>
            <w:vAlign w:val="center"/>
          </w:tcPr>
          <w:p w14:paraId="0B93AA91">
            <w:pPr>
              <w:pStyle w:val="1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bidi="ar"/>
              </w:rPr>
              <w:t>0</w:t>
            </w:r>
          </w:p>
        </w:tc>
        <w:tc>
          <w:tcPr>
            <w:tcW w:w="817" w:type="pct"/>
            <w:shd w:val="clear" w:color="auto" w:fill="auto"/>
            <w:vAlign w:val="center"/>
          </w:tcPr>
          <w:p w14:paraId="2C68DC75">
            <w:pPr>
              <w:pStyle w:val="1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bidi="ar"/>
              </w:rPr>
              <w:t>15000</w:t>
            </w:r>
          </w:p>
        </w:tc>
        <w:tc>
          <w:tcPr>
            <w:tcW w:w="1523" w:type="pct"/>
            <w:vAlign w:val="center"/>
          </w:tcPr>
          <w:p w14:paraId="7B0CF379">
            <w:pPr>
              <w:keepNext w:val="0"/>
              <w:keepLines w:val="0"/>
              <w:pageBreakBefore w:val="0"/>
              <w:widowControl w:val="0"/>
              <w:kinsoku/>
              <w:wordWrap/>
              <w:overflowPunct/>
              <w:topLinePunct w:val="0"/>
              <w:autoSpaceDE/>
              <w:autoSpaceDN/>
              <w:bidi w:val="0"/>
              <w:adjustRightInd/>
              <w:snapToGrid/>
              <w:spacing w:line="240" w:lineRule="auto"/>
              <w:ind w:firstLine="240" w:firstLineChars="100"/>
              <w:jc w:val="left"/>
              <w:textAlignment w:val="auto"/>
              <w:rPr>
                <w:rFonts w:hint="eastAsia" w:ascii="仿宋_GB2312" w:hAnsi="仿宋_GB2312" w:eastAsia="仿宋_GB2312" w:cs="仿宋_GB2312"/>
                <w:kern w:val="0"/>
                <w:sz w:val="24"/>
                <w:szCs w:val="24"/>
                <w:highlight w:val="none"/>
                <w:lang w:val="en-US" w:eastAsia="zh-CN"/>
              </w:rPr>
            </w:pPr>
            <w:r>
              <w:rPr>
                <w:rFonts w:hint="eastAsia" w:ascii="仿宋_GB2312" w:hAnsi="仿宋_GB2312" w:eastAsia="仿宋_GB2312" w:cs="仿宋_GB2312"/>
                <w:kern w:val="0"/>
                <w:sz w:val="24"/>
                <w:szCs w:val="24"/>
                <w:highlight w:val="none"/>
                <w:lang w:val="en-US" w:eastAsia="zh-CN"/>
              </w:rPr>
              <w:t>纳入平谷区视频汇聚平台的视频监控终端数量。</w:t>
            </w:r>
          </w:p>
        </w:tc>
      </w:tr>
      <w:tr w14:paraId="59766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419" w:type="pct"/>
          </w:tcPr>
          <w:p w14:paraId="3A17163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5</w:t>
            </w:r>
          </w:p>
        </w:tc>
        <w:tc>
          <w:tcPr>
            <w:tcW w:w="1474" w:type="pct"/>
            <w:shd w:val="clear" w:color="auto" w:fill="auto"/>
            <w:vAlign w:val="center"/>
          </w:tcPr>
          <w:p w14:paraId="6E942AD4">
            <w:pPr>
              <w:pStyle w:val="10"/>
              <w:ind w:left="0" w:leftChars="0" w:firstLine="0" w:firstLineChars="0"/>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开放公共数据规模（万条）</w:t>
            </w:r>
          </w:p>
        </w:tc>
        <w:tc>
          <w:tcPr>
            <w:tcW w:w="764" w:type="pct"/>
            <w:shd w:val="clear" w:color="auto" w:fill="auto"/>
            <w:vAlign w:val="center"/>
          </w:tcPr>
          <w:p w14:paraId="0BEDB65C">
            <w:pPr>
              <w:pStyle w:val="1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val="en-US" w:eastAsia="zh-CN" w:bidi="ar"/>
              </w:rPr>
              <w:t>6.5</w:t>
            </w:r>
          </w:p>
        </w:tc>
        <w:tc>
          <w:tcPr>
            <w:tcW w:w="817" w:type="pct"/>
            <w:shd w:val="clear" w:color="auto" w:fill="auto"/>
            <w:vAlign w:val="center"/>
          </w:tcPr>
          <w:p w14:paraId="1B8A450E">
            <w:pPr>
              <w:pStyle w:val="1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val="en-US" w:eastAsia="zh-CN" w:bidi="ar"/>
              </w:rPr>
              <w:t>10</w:t>
            </w:r>
          </w:p>
        </w:tc>
        <w:tc>
          <w:tcPr>
            <w:tcW w:w="1523" w:type="pct"/>
            <w:shd w:val="clear" w:color="auto" w:fill="auto"/>
            <w:vAlign w:val="center"/>
          </w:tcPr>
          <w:p w14:paraId="28AB3F70">
            <w:pPr>
              <w:keepNext w:val="0"/>
              <w:keepLines w:val="0"/>
              <w:pageBreakBefore w:val="0"/>
              <w:widowControl w:val="0"/>
              <w:kinsoku/>
              <w:wordWrap/>
              <w:overflowPunct/>
              <w:topLinePunct w:val="0"/>
              <w:autoSpaceDE/>
              <w:autoSpaceDN/>
              <w:bidi w:val="0"/>
              <w:adjustRightInd/>
              <w:snapToGrid/>
              <w:spacing w:line="240" w:lineRule="auto"/>
              <w:ind w:firstLine="240" w:firstLineChars="100"/>
              <w:jc w:val="left"/>
              <w:textAlignment w:val="auto"/>
              <w:rPr>
                <w:rFonts w:hint="eastAsia" w:ascii="仿宋_GB2312" w:hAnsi="仿宋_GB2312" w:eastAsia="仿宋_GB2312" w:cs="仿宋_GB2312"/>
                <w:kern w:val="0"/>
                <w:sz w:val="24"/>
                <w:szCs w:val="24"/>
                <w:highlight w:val="none"/>
                <w:lang w:val="en-US" w:eastAsia="zh-CN"/>
              </w:rPr>
            </w:pPr>
            <w:r>
              <w:rPr>
                <w:rFonts w:hint="eastAsia" w:ascii="仿宋_GB2312" w:hAnsi="仿宋_GB2312" w:eastAsia="仿宋_GB2312" w:cs="仿宋_GB2312"/>
                <w:kern w:val="0"/>
                <w:sz w:val="24"/>
                <w:szCs w:val="24"/>
                <w:highlight w:val="none"/>
                <w:lang w:val="en-US" w:eastAsia="zh-CN"/>
              </w:rPr>
              <w:t>全区依法依规向社会开放的数据集规模。</w:t>
            </w:r>
          </w:p>
        </w:tc>
      </w:tr>
      <w:tr w14:paraId="1C413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9" w:hRule="atLeast"/>
        </w:trPr>
        <w:tc>
          <w:tcPr>
            <w:tcW w:w="419" w:type="pct"/>
          </w:tcPr>
          <w:p w14:paraId="582EB72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6</w:t>
            </w:r>
          </w:p>
        </w:tc>
        <w:tc>
          <w:tcPr>
            <w:tcW w:w="1474" w:type="pct"/>
            <w:shd w:val="clear" w:color="auto" w:fill="auto"/>
            <w:vAlign w:val="center"/>
          </w:tcPr>
          <w:p w14:paraId="58D186C3">
            <w:pPr>
              <w:pStyle w:val="10"/>
              <w:ind w:left="0" w:leftChars="0" w:firstLine="0" w:firstLineChars="0"/>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开放数据集数量（个）</w:t>
            </w:r>
          </w:p>
        </w:tc>
        <w:tc>
          <w:tcPr>
            <w:tcW w:w="764" w:type="pct"/>
            <w:shd w:val="clear" w:color="auto" w:fill="auto"/>
            <w:vAlign w:val="center"/>
          </w:tcPr>
          <w:p w14:paraId="76077EAA">
            <w:pPr>
              <w:pStyle w:val="1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bidi="ar"/>
              </w:rPr>
              <w:t>4</w:t>
            </w:r>
            <w:r>
              <w:rPr>
                <w:rFonts w:hint="eastAsia" w:ascii="仿宋_GB2312" w:hAnsi="仿宋_GB2312" w:eastAsia="仿宋_GB2312" w:cs="仿宋_GB2312"/>
                <w:color w:val="000000"/>
                <w:kern w:val="0"/>
                <w:sz w:val="24"/>
                <w:szCs w:val="24"/>
                <w:highlight w:val="none"/>
                <w:lang w:val="en-US" w:eastAsia="zh-CN" w:bidi="ar"/>
              </w:rPr>
              <w:t>7</w:t>
            </w:r>
          </w:p>
        </w:tc>
        <w:tc>
          <w:tcPr>
            <w:tcW w:w="817" w:type="pct"/>
            <w:shd w:val="clear" w:color="auto" w:fill="auto"/>
            <w:vAlign w:val="center"/>
          </w:tcPr>
          <w:p w14:paraId="4808A299">
            <w:pPr>
              <w:pStyle w:val="1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bidi="ar"/>
              </w:rPr>
              <w:t>100</w:t>
            </w:r>
          </w:p>
        </w:tc>
        <w:tc>
          <w:tcPr>
            <w:tcW w:w="1523" w:type="pct"/>
            <w:shd w:val="clear" w:color="auto" w:fill="auto"/>
            <w:vAlign w:val="center"/>
          </w:tcPr>
          <w:p w14:paraId="23F385CB">
            <w:pPr>
              <w:keepNext w:val="0"/>
              <w:keepLines w:val="0"/>
              <w:pageBreakBefore w:val="0"/>
              <w:widowControl w:val="0"/>
              <w:kinsoku/>
              <w:wordWrap/>
              <w:overflowPunct/>
              <w:topLinePunct w:val="0"/>
              <w:autoSpaceDE/>
              <w:autoSpaceDN/>
              <w:bidi w:val="0"/>
              <w:adjustRightInd/>
              <w:snapToGrid/>
              <w:spacing w:line="240" w:lineRule="auto"/>
              <w:ind w:firstLine="240" w:firstLineChars="100"/>
              <w:jc w:val="left"/>
              <w:textAlignment w:val="auto"/>
              <w:rPr>
                <w:rFonts w:hint="eastAsia" w:ascii="仿宋_GB2312" w:hAnsi="仿宋_GB2312" w:eastAsia="仿宋_GB2312" w:cs="仿宋_GB2312"/>
                <w:kern w:val="0"/>
                <w:sz w:val="24"/>
                <w:szCs w:val="24"/>
                <w:highlight w:val="none"/>
                <w:lang w:val="en-US" w:eastAsia="zh-CN"/>
              </w:rPr>
            </w:pPr>
            <w:r>
              <w:rPr>
                <w:rFonts w:hint="eastAsia" w:ascii="仿宋_GB2312" w:hAnsi="仿宋_GB2312" w:eastAsia="仿宋_GB2312" w:cs="仿宋_GB2312"/>
                <w:kern w:val="0"/>
                <w:sz w:val="24"/>
                <w:szCs w:val="24"/>
                <w:highlight w:val="none"/>
                <w:lang w:val="en-US" w:eastAsia="zh-CN"/>
              </w:rPr>
              <w:t>全区依法依规向社会开放的公共数据集数量。</w:t>
            </w:r>
          </w:p>
        </w:tc>
      </w:tr>
      <w:tr w14:paraId="70C98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9" w:hRule="atLeast"/>
        </w:trPr>
        <w:tc>
          <w:tcPr>
            <w:tcW w:w="419" w:type="pct"/>
          </w:tcPr>
          <w:p w14:paraId="78546AB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7</w:t>
            </w:r>
          </w:p>
        </w:tc>
        <w:tc>
          <w:tcPr>
            <w:tcW w:w="1474" w:type="pct"/>
            <w:shd w:val="clear" w:color="auto" w:fill="auto"/>
            <w:vAlign w:val="center"/>
          </w:tcPr>
          <w:p w14:paraId="14095CBA">
            <w:pPr>
              <w:pStyle w:val="10"/>
              <w:ind w:left="0" w:leftChars="0" w:firstLine="0" w:firstLineChars="0"/>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政务智能体应用场景数量（个）</w:t>
            </w:r>
          </w:p>
        </w:tc>
        <w:tc>
          <w:tcPr>
            <w:tcW w:w="764" w:type="pct"/>
            <w:shd w:val="clear" w:color="auto" w:fill="auto"/>
            <w:vAlign w:val="center"/>
          </w:tcPr>
          <w:p w14:paraId="40AF3BBC">
            <w:pPr>
              <w:pStyle w:val="1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val="en-US" w:eastAsia="zh-CN" w:bidi="ar"/>
              </w:rPr>
              <w:t>1</w:t>
            </w:r>
          </w:p>
        </w:tc>
        <w:tc>
          <w:tcPr>
            <w:tcW w:w="817" w:type="pct"/>
            <w:shd w:val="clear" w:color="auto" w:fill="auto"/>
            <w:vAlign w:val="center"/>
          </w:tcPr>
          <w:p w14:paraId="72C0C40A">
            <w:pPr>
              <w:pStyle w:val="1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val="en-US" w:eastAsia="zh-CN" w:bidi="ar"/>
              </w:rPr>
              <w:t>7</w:t>
            </w:r>
          </w:p>
        </w:tc>
        <w:tc>
          <w:tcPr>
            <w:tcW w:w="1523" w:type="pct"/>
            <w:shd w:val="clear" w:color="auto" w:fill="auto"/>
            <w:vAlign w:val="center"/>
          </w:tcPr>
          <w:p w14:paraId="2FB8ED3F">
            <w:pPr>
              <w:keepNext w:val="0"/>
              <w:keepLines w:val="0"/>
              <w:pageBreakBefore w:val="0"/>
              <w:widowControl w:val="0"/>
              <w:kinsoku/>
              <w:wordWrap/>
              <w:overflowPunct/>
              <w:topLinePunct w:val="0"/>
              <w:autoSpaceDE/>
              <w:autoSpaceDN/>
              <w:bidi w:val="0"/>
              <w:adjustRightInd/>
              <w:snapToGrid/>
              <w:spacing w:line="240" w:lineRule="auto"/>
              <w:ind w:firstLine="240" w:firstLineChars="100"/>
              <w:jc w:val="left"/>
              <w:textAlignment w:val="auto"/>
              <w:rPr>
                <w:rFonts w:hint="eastAsia" w:ascii="仿宋_GB2312" w:hAnsi="仿宋_GB2312" w:eastAsia="仿宋_GB2312" w:cs="仿宋_GB2312"/>
                <w:kern w:val="0"/>
                <w:sz w:val="24"/>
                <w:szCs w:val="24"/>
                <w:highlight w:val="none"/>
                <w:lang w:val="en-US" w:eastAsia="zh-CN"/>
              </w:rPr>
            </w:pPr>
            <w:r>
              <w:rPr>
                <w:rFonts w:hint="eastAsia" w:ascii="仿宋_GB2312" w:hAnsi="仿宋_GB2312" w:eastAsia="仿宋_GB2312" w:cs="仿宋_GB2312"/>
                <w:kern w:val="0"/>
                <w:sz w:val="24"/>
                <w:szCs w:val="24"/>
                <w:highlight w:val="none"/>
                <w:lang w:val="en-US" w:eastAsia="zh-CN"/>
              </w:rPr>
              <w:t>运用政务智能体开展公共管理与服务的场景数量。</w:t>
            </w:r>
          </w:p>
        </w:tc>
      </w:tr>
      <w:tr w14:paraId="11924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7" w:hRule="atLeast"/>
        </w:trPr>
        <w:tc>
          <w:tcPr>
            <w:tcW w:w="419" w:type="pct"/>
          </w:tcPr>
          <w:p w14:paraId="6EAB5BA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8</w:t>
            </w:r>
          </w:p>
        </w:tc>
        <w:tc>
          <w:tcPr>
            <w:tcW w:w="1474" w:type="pct"/>
            <w:shd w:val="clear" w:color="auto" w:fill="auto"/>
            <w:vAlign w:val="center"/>
          </w:tcPr>
          <w:p w14:paraId="5D0A382A">
            <w:pPr>
              <w:pStyle w:val="10"/>
              <w:ind w:left="0" w:leftChars="0" w:firstLine="0" w:firstLineChars="0"/>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基层医疗机构互联网诊疗覆盖率（%）</w:t>
            </w:r>
          </w:p>
        </w:tc>
        <w:tc>
          <w:tcPr>
            <w:tcW w:w="764" w:type="pct"/>
            <w:shd w:val="clear" w:color="auto" w:fill="auto"/>
            <w:vAlign w:val="center"/>
          </w:tcPr>
          <w:p w14:paraId="3CE72592">
            <w:pPr>
              <w:pStyle w:val="1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val="en-US" w:eastAsia="zh-CN" w:bidi="ar"/>
              </w:rPr>
              <w:t>0</w:t>
            </w:r>
          </w:p>
        </w:tc>
        <w:tc>
          <w:tcPr>
            <w:tcW w:w="817" w:type="pct"/>
            <w:shd w:val="clear" w:color="auto" w:fill="auto"/>
            <w:vAlign w:val="center"/>
          </w:tcPr>
          <w:p w14:paraId="7DF8B01E">
            <w:pPr>
              <w:pStyle w:val="1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val="en-US" w:eastAsia="zh-CN" w:bidi="ar"/>
              </w:rPr>
              <w:t>100</w:t>
            </w:r>
          </w:p>
        </w:tc>
        <w:tc>
          <w:tcPr>
            <w:tcW w:w="1523" w:type="pct"/>
            <w:shd w:val="clear" w:color="auto" w:fill="auto"/>
            <w:vAlign w:val="center"/>
          </w:tcPr>
          <w:p w14:paraId="1CCCF06A">
            <w:pPr>
              <w:keepNext w:val="0"/>
              <w:keepLines w:val="0"/>
              <w:pageBreakBefore w:val="0"/>
              <w:widowControl w:val="0"/>
              <w:kinsoku/>
              <w:wordWrap/>
              <w:overflowPunct/>
              <w:topLinePunct w:val="0"/>
              <w:autoSpaceDE/>
              <w:autoSpaceDN/>
              <w:bidi w:val="0"/>
              <w:adjustRightInd/>
              <w:snapToGrid/>
              <w:spacing w:line="240" w:lineRule="auto"/>
              <w:ind w:firstLine="240" w:firstLineChars="100"/>
              <w:jc w:val="left"/>
              <w:textAlignment w:val="auto"/>
              <w:rPr>
                <w:rFonts w:hint="eastAsia" w:ascii="仿宋_GB2312" w:hAnsi="仿宋_GB2312" w:eastAsia="仿宋_GB2312" w:cs="仿宋_GB2312"/>
                <w:kern w:val="0"/>
                <w:sz w:val="24"/>
                <w:szCs w:val="24"/>
                <w:highlight w:val="none"/>
                <w:lang w:val="en-US" w:eastAsia="zh-CN"/>
              </w:rPr>
            </w:pPr>
            <w:r>
              <w:rPr>
                <w:rFonts w:hint="eastAsia" w:ascii="仿宋_GB2312" w:hAnsi="仿宋_GB2312" w:eastAsia="仿宋_GB2312" w:cs="仿宋_GB2312"/>
                <w:kern w:val="0"/>
                <w:sz w:val="24"/>
                <w:szCs w:val="24"/>
                <w:lang w:val="en-US" w:eastAsia="zh-CN" w:bidi="ar-SA"/>
              </w:rPr>
              <w:t>具有互联网诊疗服务的基层医疗机构数量占全区总基层医疗机构的数量比例。</w:t>
            </w:r>
          </w:p>
        </w:tc>
      </w:tr>
    </w:tbl>
    <w:p w14:paraId="0B5565E3">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jc w:val="left"/>
        <w:textAlignment w:val="auto"/>
        <w:rPr>
          <w:rFonts w:hint="eastAsia" w:eastAsia="仿宋_GB2312"/>
          <w:b/>
          <w:bCs/>
          <w:spacing w:val="-6"/>
          <w:sz w:val="24"/>
          <w:szCs w:val="24"/>
          <w:lang w:val="en-US" w:eastAsia="zh-CN"/>
        </w:rPr>
      </w:pPr>
      <w:r>
        <w:rPr>
          <w:rFonts w:hint="eastAsia" w:eastAsia="仿宋_GB2312"/>
          <w:b/>
          <w:bCs/>
          <w:spacing w:val="-6"/>
          <w:sz w:val="24"/>
          <w:szCs w:val="24"/>
          <w:lang w:val="en-US" w:eastAsia="zh-CN"/>
        </w:rPr>
        <w:t>注：</w:t>
      </w:r>
    </w:p>
    <w:p w14:paraId="6A7596DD">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0" w:firstLineChars="0"/>
        <w:jc w:val="left"/>
        <w:textAlignment w:val="auto"/>
        <w:rPr>
          <w:rFonts w:hint="default" w:eastAsia="仿宋_GB2312"/>
          <w:spacing w:val="-6"/>
          <w:sz w:val="24"/>
          <w:szCs w:val="24"/>
          <w:lang w:val="en-US" w:eastAsia="zh-CN"/>
        </w:rPr>
      </w:pPr>
      <w:r>
        <w:rPr>
          <w:rFonts w:hint="eastAsia" w:eastAsia="仿宋_GB2312"/>
          <w:spacing w:val="-6"/>
          <w:sz w:val="24"/>
          <w:szCs w:val="24"/>
          <w:lang w:val="en-US" w:eastAsia="zh-CN"/>
        </w:rPr>
        <w:t>2025年为指标当前值或状态，2030年为规划期结束后指标的目标值或状态。</w:t>
      </w:r>
    </w:p>
    <w:p w14:paraId="35C626FE">
      <w:pPr>
        <w:numPr>
          <w:ilvl w:val="0"/>
          <w:numId w:val="0"/>
        </w:numPr>
        <w:spacing w:after="0" w:line="560" w:lineRule="exact"/>
        <w:ind w:firstLine="616" w:firstLineChars="200"/>
        <w:jc w:val="left"/>
        <w:outlineLvl w:val="9"/>
        <w:rPr>
          <w:rFonts w:hint="eastAsia" w:ascii="Times New Roman" w:hAnsi="Times New Roman" w:eastAsia="仿宋_GB2312" w:cs="Times New Roman"/>
          <w:spacing w:val="-6"/>
          <w:sz w:val="32"/>
          <w:szCs w:val="32"/>
          <w:highlight w:val="yellow"/>
        </w:rPr>
        <w:sectPr>
          <w:footerReference r:id="rId7" w:type="default"/>
          <w:pgSz w:w="11906" w:h="16838"/>
          <w:pgMar w:top="2098" w:right="1474" w:bottom="1984" w:left="1587" w:header="851" w:footer="992" w:gutter="0"/>
          <w:pgNumType w:fmt="decimal" w:start="1"/>
          <w:cols w:space="0" w:num="1"/>
          <w:rtlGutter w:val="0"/>
          <w:docGrid w:type="lines" w:linePitch="312" w:charSpace="0"/>
        </w:sectPr>
      </w:pPr>
    </w:p>
    <w:p w14:paraId="611C712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0"/>
        <w:rPr>
          <w:rFonts w:hint="eastAsia" w:ascii="黑体" w:hAnsi="黑体" w:eastAsia="黑体"/>
          <w:sz w:val="32"/>
          <w:szCs w:val="32"/>
          <w:highlight w:val="none"/>
        </w:rPr>
      </w:pPr>
      <w:bookmarkStart w:id="38" w:name="_Toc10018"/>
      <w:bookmarkStart w:id="39" w:name="_Toc538572772"/>
      <w:bookmarkStart w:id="40" w:name="_Toc12609"/>
      <w:bookmarkStart w:id="41" w:name="_Toc1070165612"/>
      <w:bookmarkStart w:id="42" w:name="_Toc1544795119"/>
      <w:bookmarkStart w:id="43" w:name="_Toc14261"/>
      <w:bookmarkStart w:id="44" w:name="_Toc8992"/>
      <w:bookmarkStart w:id="45" w:name="_Toc332446687"/>
      <w:bookmarkStart w:id="46" w:name="_Toc31329"/>
      <w:bookmarkStart w:id="47" w:name="_Toc52864063"/>
      <w:bookmarkStart w:id="48" w:name="_Toc1728194043"/>
      <w:bookmarkStart w:id="49" w:name="_Toc418092323"/>
      <w:bookmarkStart w:id="50" w:name="_Toc1670523470"/>
      <w:r>
        <w:rPr>
          <w:rFonts w:hint="eastAsia" w:ascii="黑体" w:hAnsi="黑体" w:eastAsia="黑体"/>
          <w:sz w:val="32"/>
          <w:szCs w:val="32"/>
          <w:highlight w:val="none"/>
        </w:rPr>
        <w:t>三、</w:t>
      </w:r>
      <w:r>
        <w:rPr>
          <w:rFonts w:hint="eastAsia" w:ascii="黑体" w:hAnsi="黑体" w:eastAsia="黑体"/>
          <w:sz w:val="32"/>
          <w:szCs w:val="32"/>
          <w:highlight w:val="none"/>
          <w:lang w:val="en-US" w:eastAsia="zh-CN"/>
        </w:rPr>
        <w:t>建设</w:t>
      </w:r>
      <w:r>
        <w:rPr>
          <w:rFonts w:hint="eastAsia" w:ascii="黑体" w:hAnsi="黑体" w:eastAsia="黑体"/>
          <w:sz w:val="32"/>
          <w:szCs w:val="32"/>
          <w:highlight w:val="none"/>
        </w:rPr>
        <w:t>框架</w:t>
      </w:r>
      <w:bookmarkEnd w:id="38"/>
      <w:bookmarkEnd w:id="39"/>
      <w:bookmarkEnd w:id="40"/>
      <w:bookmarkEnd w:id="41"/>
      <w:bookmarkEnd w:id="42"/>
      <w:bookmarkEnd w:id="43"/>
      <w:bookmarkEnd w:id="44"/>
      <w:bookmarkEnd w:id="45"/>
      <w:bookmarkEnd w:id="46"/>
      <w:bookmarkEnd w:id="47"/>
      <w:bookmarkEnd w:id="48"/>
      <w:bookmarkEnd w:id="49"/>
      <w:bookmarkEnd w:id="50"/>
    </w:p>
    <w:p w14:paraId="00134CF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lang w:val="en-US" w:eastAsia="zh-CN"/>
        </w:rPr>
      </w:pPr>
      <w:bookmarkStart w:id="51" w:name="_Toc21066"/>
      <w:bookmarkStart w:id="52" w:name="_Toc10848"/>
      <w:bookmarkStart w:id="53" w:name="_Toc4724"/>
      <w:bookmarkStart w:id="54" w:name="_Toc12997"/>
      <w:r>
        <w:rPr>
          <w:rFonts w:hint="eastAsia" w:ascii="仿宋_GB2312" w:hAnsi="仿宋_GB2312" w:eastAsia="仿宋_GB2312" w:cs="仿宋_GB2312"/>
          <w:kern w:val="2"/>
          <w:sz w:val="32"/>
          <w:szCs w:val="32"/>
          <w:lang w:val="en-US" w:eastAsia="zh-CN" w:bidi="ar-SA"/>
        </w:rPr>
        <w:t>按照</w:t>
      </w:r>
      <w:r>
        <w:rPr>
          <w:rFonts w:hint="eastAsia" w:ascii="仿宋_GB2312" w:hAnsi="仿宋_GB2312" w:eastAsia="仿宋_GB2312" w:cs="仿宋_GB2312"/>
          <w:kern w:val="2"/>
          <w:sz w:val="32"/>
          <w:szCs w:val="32"/>
          <w:highlight w:val="none"/>
          <w:lang w:val="en-US" w:eastAsia="zh-CN" w:bidi="ar-SA"/>
        </w:rPr>
        <w:t>“统筹整合、数智融合、需求导向、场景创新”思路</w:t>
      </w:r>
      <w:r>
        <w:rPr>
          <w:rFonts w:hint="eastAsia"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0"/>
          <w:sz w:val="32"/>
          <w:szCs w:val="32"/>
          <w:shd w:val="clear" w:color="auto" w:fill="FFFFFF"/>
          <w:lang w:bidi="ar"/>
        </w:rPr>
        <w:t>构建“</w:t>
      </w:r>
      <w:r>
        <w:rPr>
          <w:rFonts w:hint="eastAsia" w:ascii="仿宋_GB2312" w:hAnsi="仿宋_GB2312" w:eastAsia="仿宋_GB2312" w:cs="仿宋_GB2312"/>
          <w:kern w:val="0"/>
          <w:sz w:val="32"/>
          <w:szCs w:val="32"/>
          <w:shd w:val="clear" w:color="auto" w:fill="FFFFFF"/>
          <w:lang w:val="en-US" w:eastAsia="zh-CN" w:bidi="ar"/>
        </w:rPr>
        <w:t>1543”总体架构，一个“智能汇联”数智底座、五大数智化转型重点领域、四个统一服务入口、三大统筹协同运行规则。</w:t>
      </w:r>
    </w:p>
    <w:p w14:paraId="7AC65B45">
      <w:pPr>
        <w:keepNext w:val="0"/>
        <w:keepLines w:val="0"/>
        <w:pageBreakBefore w:val="0"/>
        <w:widowControl w:val="0"/>
        <w:numPr>
          <w:ilvl w:val="0"/>
          <w:numId w:val="0"/>
        </w:numPr>
        <w:kinsoku/>
        <w:wordWrap/>
        <w:overflowPunct/>
        <w:topLinePunct w:val="0"/>
        <w:autoSpaceDE/>
        <w:autoSpaceDN/>
        <w:bidi w:val="0"/>
        <w:adjustRightInd/>
        <w:snapToGrid/>
        <w:spacing w:after="100" w:afterLines="-2147483648" w:afterAutospacing="1" w:line="240" w:lineRule="auto"/>
        <w:jc w:val="both"/>
        <w:textAlignment w:val="auto"/>
        <w:outlineLvl w:val="9"/>
        <w:rPr>
          <w:rFonts w:hint="eastAsia" w:ascii="仿宋_GB2312" w:hAnsi="仿宋_GB2312" w:eastAsia="仿宋_GB2312" w:cs="仿宋_GB2312"/>
          <w:b/>
          <w:bCs/>
          <w:kern w:val="2"/>
          <w:sz w:val="32"/>
          <w:szCs w:val="32"/>
          <w:shd w:val="clear"/>
          <w:lang w:val="en-US" w:eastAsia="zh-CN" w:bidi="ar-SA"/>
        </w:rPr>
      </w:pPr>
      <w:r>
        <w:drawing>
          <wp:inline distT="0" distB="0" distL="114300" distR="114300">
            <wp:extent cx="5601335" cy="2479675"/>
            <wp:effectExtent l="0" t="0" r="12065" b="952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3"/>
                    <a:stretch>
                      <a:fillRect/>
                    </a:stretch>
                  </pic:blipFill>
                  <pic:spPr>
                    <a:xfrm>
                      <a:off x="0" y="0"/>
                      <a:ext cx="5601335" cy="2479675"/>
                    </a:xfrm>
                    <a:prstGeom prst="rect">
                      <a:avLst/>
                    </a:prstGeom>
                    <a:noFill/>
                    <a:ln>
                      <a:noFill/>
                    </a:ln>
                  </pic:spPr>
                </pic:pic>
              </a:graphicData>
            </a:graphic>
          </wp:inline>
        </w:drawing>
      </w:r>
    </w:p>
    <w:p w14:paraId="5FFB3CE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仿宋_GB2312" w:hAnsi="仿宋_GB2312" w:eastAsia="仿宋_GB2312" w:cs="仿宋_GB2312"/>
          <w:b w:val="0"/>
          <w:bCs w:val="0"/>
          <w:kern w:val="2"/>
          <w:sz w:val="32"/>
          <w:szCs w:val="32"/>
          <w:shd w:val="clear"/>
          <w:lang w:val="en-US" w:eastAsia="zh-CN" w:bidi="ar-SA"/>
        </w:rPr>
      </w:pPr>
      <w:r>
        <w:rPr>
          <w:rFonts w:hint="eastAsia" w:ascii="仿宋_GB2312" w:hAnsi="仿宋_GB2312" w:eastAsia="仿宋_GB2312" w:cs="仿宋_GB2312"/>
          <w:b/>
          <w:bCs/>
          <w:kern w:val="2"/>
          <w:sz w:val="32"/>
          <w:szCs w:val="32"/>
          <w:shd w:val="clear"/>
          <w:lang w:val="en-US" w:eastAsia="zh-CN" w:bidi="ar-SA"/>
        </w:rPr>
        <w:t>1个“智能汇联”数智底座。</w:t>
      </w:r>
      <w:r>
        <w:rPr>
          <w:rFonts w:hint="eastAsia" w:ascii="仿宋_GB2312" w:hAnsi="仿宋_GB2312" w:eastAsia="仿宋_GB2312" w:cs="仿宋_GB2312"/>
          <w:b w:val="0"/>
          <w:bCs w:val="0"/>
          <w:kern w:val="2"/>
          <w:sz w:val="32"/>
          <w:szCs w:val="32"/>
          <w:shd w:val="clear"/>
          <w:lang w:val="en-US" w:eastAsia="zh-CN" w:bidi="ar-SA"/>
        </w:rPr>
        <w:t>构建全区统一的</w:t>
      </w:r>
      <w:r>
        <w:rPr>
          <w:rFonts w:hint="eastAsia" w:ascii="仿宋_GB2312" w:hAnsi="仿宋_GB2312" w:eastAsia="仿宋_GB2312" w:cs="仿宋_GB2312"/>
          <w:b w:val="0"/>
          <w:bCs w:val="0"/>
          <w:kern w:val="2"/>
          <w:sz w:val="32"/>
          <w:szCs w:val="32"/>
          <w:shd w:val="clear"/>
          <w:lang w:bidi="ar-SA"/>
        </w:rPr>
        <w:t>网络、算力、</w:t>
      </w:r>
      <w:r>
        <w:rPr>
          <w:rFonts w:hint="eastAsia" w:ascii="仿宋_GB2312" w:hAnsi="仿宋_GB2312" w:eastAsia="仿宋_GB2312" w:cs="仿宋_GB2312"/>
          <w:b w:val="0"/>
          <w:bCs w:val="0"/>
          <w:kern w:val="2"/>
          <w:sz w:val="32"/>
          <w:szCs w:val="32"/>
          <w:shd w:val="clear"/>
          <w:lang w:val="en-US" w:eastAsia="zh-CN" w:bidi="ar-SA"/>
        </w:rPr>
        <w:t>云资源、</w:t>
      </w:r>
      <w:r>
        <w:rPr>
          <w:rFonts w:hint="eastAsia" w:ascii="仿宋_GB2312" w:hAnsi="仿宋_GB2312" w:eastAsia="仿宋_GB2312" w:cs="仿宋_GB2312"/>
          <w:b w:val="0"/>
          <w:bCs w:val="0"/>
          <w:kern w:val="2"/>
          <w:sz w:val="32"/>
          <w:szCs w:val="32"/>
          <w:shd w:val="clear"/>
          <w:lang w:bidi="ar-SA"/>
        </w:rPr>
        <w:t>感知</w:t>
      </w:r>
      <w:r>
        <w:rPr>
          <w:rFonts w:hint="eastAsia" w:ascii="仿宋_GB2312" w:hAnsi="仿宋_GB2312" w:eastAsia="仿宋_GB2312" w:cs="仿宋_GB2312"/>
          <w:b w:val="0"/>
          <w:bCs w:val="0"/>
          <w:kern w:val="2"/>
          <w:sz w:val="32"/>
          <w:szCs w:val="32"/>
          <w:shd w:val="clear"/>
          <w:lang w:val="en-US" w:eastAsia="zh-CN" w:bidi="ar-SA"/>
        </w:rPr>
        <w:t>设备等数字基础设施，一体化公共数据体系和数字安全保障体系。</w:t>
      </w:r>
    </w:p>
    <w:p w14:paraId="5C87B745">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left="0" w:leftChars="0" w:firstLine="643" w:firstLineChars="200"/>
        <w:jc w:val="both"/>
        <w:textAlignment w:val="auto"/>
        <w:outlineLvl w:val="9"/>
        <w:rPr>
          <w:rFonts w:hint="eastAsia" w:ascii="仿宋_GB2312" w:hAnsi="仿宋_GB2312" w:eastAsia="仿宋_GB2312" w:cs="仿宋_GB2312"/>
          <w:b w:val="0"/>
          <w:bCs w:val="0"/>
          <w:kern w:val="2"/>
          <w:sz w:val="32"/>
          <w:szCs w:val="32"/>
          <w:shd w:val="clear"/>
          <w:lang w:val="en-US" w:eastAsia="zh-CN" w:bidi="ar-SA"/>
        </w:rPr>
      </w:pPr>
      <w:r>
        <w:rPr>
          <w:rFonts w:hint="eastAsia" w:ascii="仿宋_GB2312" w:hAnsi="仿宋_GB2312" w:eastAsia="仿宋_GB2312" w:cs="仿宋_GB2312"/>
          <w:b/>
          <w:bCs/>
          <w:kern w:val="2"/>
          <w:sz w:val="32"/>
          <w:szCs w:val="32"/>
          <w:shd w:val="clear"/>
          <w:lang w:val="en-US" w:eastAsia="zh-CN" w:bidi="ar-SA"/>
        </w:rPr>
        <w:t>5大数智化转型重点领域。</w:t>
      </w:r>
      <w:r>
        <w:rPr>
          <w:rFonts w:hint="eastAsia" w:ascii="仿宋_GB2312" w:hAnsi="仿宋_GB2312" w:eastAsia="仿宋_GB2312" w:cs="仿宋_GB2312"/>
          <w:b w:val="0"/>
          <w:bCs w:val="0"/>
          <w:kern w:val="2"/>
          <w:sz w:val="32"/>
          <w:szCs w:val="32"/>
          <w:shd w:val="clear"/>
          <w:lang w:val="en-US" w:eastAsia="zh-CN" w:bidi="ar-SA"/>
        </w:rPr>
        <w:t>全面推进</w:t>
      </w:r>
      <w:r>
        <w:rPr>
          <w:rFonts w:hint="eastAsia" w:ascii="仿宋_GB2312" w:hAnsi="仿宋_GB2312" w:eastAsia="仿宋_GB2312" w:cs="仿宋_GB2312"/>
          <w:b w:val="0"/>
          <w:bCs w:val="0"/>
          <w:kern w:val="2"/>
          <w:sz w:val="32"/>
          <w:szCs w:val="32"/>
          <w:highlight w:val="none"/>
          <w:shd w:val="clear"/>
          <w:lang w:val="en-US" w:eastAsia="zh-CN" w:bidi="ar-SA"/>
        </w:rPr>
        <w:t>数字</w:t>
      </w:r>
      <w:r>
        <w:rPr>
          <w:rFonts w:hint="eastAsia" w:ascii="仿宋_GB2312" w:hAnsi="仿宋_GB2312" w:eastAsia="仿宋_GB2312" w:cs="仿宋_GB2312"/>
          <w:b w:val="0"/>
          <w:bCs w:val="0"/>
          <w:kern w:val="2"/>
          <w:sz w:val="32"/>
          <w:szCs w:val="32"/>
          <w:shd w:val="clear"/>
          <w:lang w:val="en-US" w:eastAsia="zh-CN" w:bidi="ar-SA"/>
        </w:rPr>
        <w:t>政务、数字社会、数字城市治理、数字生态文明、数据赋能特色产业五大重点领域建设。</w:t>
      </w:r>
    </w:p>
    <w:p w14:paraId="3D6358C8">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left="0" w:leftChars="0" w:firstLine="643" w:firstLineChars="200"/>
        <w:jc w:val="both"/>
        <w:textAlignment w:val="auto"/>
        <w:outlineLvl w:val="9"/>
        <w:rPr>
          <w:rFonts w:hint="eastAsia" w:ascii="仿宋_GB2312" w:hAnsi="仿宋_GB2312" w:eastAsia="仿宋_GB2312" w:cs="仿宋_GB2312"/>
          <w:b w:val="0"/>
          <w:bCs w:val="0"/>
          <w:kern w:val="2"/>
          <w:sz w:val="32"/>
          <w:szCs w:val="32"/>
          <w:shd w:val="clear"/>
          <w:lang w:val="en-US" w:eastAsia="zh-CN" w:bidi="ar-SA"/>
        </w:rPr>
      </w:pPr>
      <w:r>
        <w:rPr>
          <w:rFonts w:hint="eastAsia" w:ascii="仿宋_GB2312" w:hAnsi="仿宋_GB2312" w:eastAsia="仿宋_GB2312" w:cs="仿宋_GB2312"/>
          <w:b/>
          <w:bCs/>
          <w:kern w:val="2"/>
          <w:sz w:val="32"/>
          <w:szCs w:val="32"/>
          <w:shd w:val="clear"/>
          <w:lang w:val="en-US" w:eastAsia="zh-CN" w:bidi="ar-SA"/>
        </w:rPr>
        <w:t>4个统一服务入口。</w:t>
      </w:r>
      <w:r>
        <w:rPr>
          <w:rFonts w:hint="eastAsia" w:ascii="仿宋_GB2312" w:hAnsi="仿宋_GB2312" w:eastAsia="仿宋_GB2312" w:cs="仿宋_GB2312"/>
          <w:b w:val="0"/>
          <w:bCs w:val="0"/>
          <w:kern w:val="2"/>
          <w:sz w:val="32"/>
          <w:szCs w:val="32"/>
          <w:shd w:val="clear"/>
          <w:lang w:val="en-US" w:eastAsia="zh-CN" w:bidi="ar-SA"/>
        </w:rPr>
        <w:t>按照市统一服务管理架构，全面整合接入京办（一体化协同办公）、京通（城市便捷服务）、京策（政策兑现服务）、京智（决策调度支撑）统一入口。</w:t>
      </w:r>
    </w:p>
    <w:p w14:paraId="3824BA7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9"/>
        <w:rPr>
          <w:rFonts w:hint="eastAsia"/>
          <w:lang w:val="en-US" w:eastAsia="zh-CN"/>
        </w:rPr>
      </w:pPr>
      <w:r>
        <w:rPr>
          <w:rFonts w:hint="eastAsia" w:ascii="仿宋_GB2312" w:hAnsi="仿宋_GB2312" w:eastAsia="仿宋_GB2312" w:cs="仿宋_GB2312"/>
          <w:b/>
          <w:bCs/>
          <w:kern w:val="2"/>
          <w:sz w:val="32"/>
          <w:szCs w:val="32"/>
          <w:shd w:val="clear"/>
          <w:lang w:val="en-US" w:eastAsia="zh-CN" w:bidi="ar-SA"/>
        </w:rPr>
        <w:t>3大统筹协同运行规则。</w:t>
      </w:r>
      <w:r>
        <w:rPr>
          <w:rFonts w:hint="eastAsia" w:ascii="仿宋_GB2312" w:hAnsi="仿宋_GB2312" w:eastAsia="仿宋_GB2312" w:cs="仿宋_GB2312"/>
          <w:b w:val="0"/>
          <w:bCs w:val="0"/>
          <w:kern w:val="2"/>
          <w:sz w:val="32"/>
          <w:szCs w:val="32"/>
          <w:shd w:val="clear"/>
          <w:lang w:val="en-US" w:eastAsia="zh-CN" w:bidi="ar-SA"/>
        </w:rPr>
        <w:t>构建全区统一管理机制、标准规范和市区镇街协同运行规则体系。</w:t>
      </w:r>
    </w:p>
    <w:bookmarkEnd w:id="51"/>
    <w:bookmarkEnd w:id="52"/>
    <w:bookmarkEnd w:id="53"/>
    <w:bookmarkEnd w:id="54"/>
    <w:p w14:paraId="547B1E4B">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outlineLvl w:val="0"/>
        <w:rPr>
          <w:rFonts w:hint="eastAsia" w:ascii="黑体" w:hAnsi="黑体" w:eastAsia="黑体"/>
          <w:sz w:val="32"/>
          <w:szCs w:val="32"/>
        </w:rPr>
      </w:pPr>
      <w:bookmarkStart w:id="55" w:name="_Toc149006899"/>
      <w:bookmarkStart w:id="56" w:name="_Toc27663"/>
      <w:bookmarkStart w:id="57" w:name="_Toc1826502562"/>
      <w:bookmarkStart w:id="58" w:name="_Toc1097897259"/>
      <w:bookmarkStart w:id="59" w:name="_Toc1040955026"/>
      <w:bookmarkStart w:id="60" w:name="_Toc286759412"/>
      <w:bookmarkStart w:id="61" w:name="_Toc1974140900"/>
      <w:bookmarkStart w:id="62" w:name="_Toc311179677"/>
      <w:bookmarkStart w:id="63" w:name="_Toc294272803"/>
      <w:r>
        <w:rPr>
          <w:rFonts w:hint="eastAsia" w:ascii="黑体" w:hAnsi="黑体" w:eastAsia="黑体" w:cs="Times New Roman"/>
          <w:sz w:val="32"/>
          <w:szCs w:val="32"/>
          <w:lang w:val="en-US" w:eastAsia="zh-CN"/>
        </w:rPr>
        <w:t>四、加快构建共享共用“智能汇联”数智底座</w:t>
      </w:r>
      <w:bookmarkEnd w:id="55"/>
      <w:bookmarkEnd w:id="56"/>
      <w:bookmarkEnd w:id="57"/>
      <w:bookmarkEnd w:id="58"/>
      <w:bookmarkEnd w:id="59"/>
      <w:bookmarkEnd w:id="60"/>
      <w:bookmarkEnd w:id="61"/>
      <w:bookmarkEnd w:id="62"/>
      <w:bookmarkEnd w:id="63"/>
    </w:p>
    <w:p w14:paraId="6D4CC5DE">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left"/>
        <w:textAlignment w:val="auto"/>
        <w:outlineLvl w:val="1"/>
        <w:rPr>
          <w:rFonts w:hint="eastAsia" w:ascii="楷体_GB2312" w:hAnsi="楷体_GB2312" w:eastAsia="楷体_GB2312" w:cs="楷体_GB2312"/>
          <w:sz w:val="32"/>
          <w:szCs w:val="32"/>
          <w:lang w:val="en-US" w:eastAsia="zh-CN"/>
        </w:rPr>
      </w:pPr>
      <w:bookmarkStart w:id="64" w:name="_Toc1179736989"/>
      <w:bookmarkStart w:id="65" w:name="_Toc867237025"/>
      <w:bookmarkStart w:id="66" w:name="_Toc81023416"/>
      <w:bookmarkStart w:id="67" w:name="_Toc26962"/>
      <w:bookmarkStart w:id="68" w:name="_Toc612133616"/>
      <w:bookmarkStart w:id="69" w:name="_Toc31825"/>
      <w:bookmarkStart w:id="70" w:name="_Toc1897309316"/>
      <w:bookmarkStart w:id="71" w:name="_Toc393019091"/>
      <w:bookmarkStart w:id="72" w:name="_Toc1929333520"/>
      <w:bookmarkStart w:id="73" w:name="_Toc188160980"/>
      <w:bookmarkStart w:id="74" w:name="_Toc308000248"/>
      <w:bookmarkStart w:id="75" w:name="_Toc874150894"/>
      <w:r>
        <w:rPr>
          <w:rFonts w:hint="eastAsia" w:ascii="楷体_GB2312" w:hAnsi="楷体_GB2312" w:eastAsia="楷体_GB2312" w:cs="楷体_GB2312"/>
          <w:sz w:val="32"/>
          <w:szCs w:val="32"/>
          <w:lang w:val="en-US" w:eastAsia="zh-CN"/>
        </w:rPr>
        <w:t>（一）夯实数字基础设施支撑能力</w:t>
      </w:r>
      <w:bookmarkEnd w:id="64"/>
      <w:bookmarkEnd w:id="65"/>
      <w:bookmarkEnd w:id="66"/>
      <w:bookmarkEnd w:id="67"/>
      <w:bookmarkEnd w:id="68"/>
      <w:bookmarkEnd w:id="69"/>
      <w:bookmarkEnd w:id="70"/>
      <w:bookmarkEnd w:id="71"/>
      <w:bookmarkEnd w:id="72"/>
      <w:bookmarkEnd w:id="73"/>
      <w:bookmarkEnd w:id="74"/>
      <w:bookmarkEnd w:id="75"/>
    </w:p>
    <w:p w14:paraId="2BCB0A29">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auto"/>
          <w:kern w:val="0"/>
          <w:sz w:val="32"/>
          <w:szCs w:val="32"/>
          <w:highlight w:val="none"/>
          <w:lang w:val="en-US" w:eastAsia="zh-CN" w:bidi="ar-SA"/>
        </w:rPr>
        <w:t>构建统一的信创政务云体系。</w:t>
      </w:r>
      <w:r>
        <w:rPr>
          <w:rFonts w:hint="eastAsia" w:ascii="仿宋_GB2312" w:hAnsi="仿宋_GB2312" w:eastAsia="仿宋_GB2312" w:cs="仿宋_GB2312"/>
          <w:sz w:val="32"/>
          <w:szCs w:val="32"/>
          <w:lang w:val="en-US" w:eastAsia="zh-CN"/>
        </w:rPr>
        <w:t>全面整合全区政务云资源，构建全区一体化信创政务云服务体系，</w:t>
      </w:r>
      <w:r>
        <w:rPr>
          <w:rFonts w:hint="eastAsia" w:ascii="仿宋_GB2312" w:hAnsi="仿宋_GB2312" w:eastAsia="仿宋_GB2312" w:cs="仿宋_GB2312"/>
          <w:sz w:val="32"/>
          <w:szCs w:val="32"/>
          <w:highlight w:val="none"/>
          <w:lang w:val="en-US" w:eastAsia="zh-CN"/>
        </w:rPr>
        <w:t>为各部门信息系统提供完备的服务器资源、存储资源、安全云环境。有序推进各部门自建信息系统信创改造与迁移上云，到2027年底，推动信息系统实现应上云尽上云，完成在用非信创信息系统适配改造工作。加强</w:t>
      </w:r>
      <w:r>
        <w:rPr>
          <w:rFonts w:hint="eastAsia" w:ascii="仿宋_GB2312" w:hAnsi="仿宋_GB2312" w:eastAsia="仿宋_GB2312" w:cs="仿宋_GB2312"/>
          <w:sz w:val="32"/>
          <w:szCs w:val="32"/>
          <w:lang w:val="en-US" w:eastAsia="zh-CN"/>
        </w:rPr>
        <w:t>云容灾备份体系建设，</w:t>
      </w:r>
      <w:r>
        <w:rPr>
          <w:rFonts w:hint="eastAsia" w:ascii="仿宋_GB2312" w:hAnsi="仿宋_GB2312" w:eastAsia="仿宋_GB2312" w:cs="仿宋_GB2312"/>
          <w:sz w:val="32"/>
          <w:szCs w:val="32"/>
        </w:rPr>
        <w:t>统筹建设云灾备设施，</w:t>
      </w:r>
      <w:r>
        <w:rPr>
          <w:rFonts w:hint="eastAsia" w:ascii="仿宋_GB2312" w:hAnsi="仿宋_GB2312" w:eastAsia="仿宋_GB2312" w:cs="仿宋_GB2312"/>
          <w:sz w:val="32"/>
          <w:szCs w:val="32"/>
          <w:highlight w:val="none"/>
          <w:lang w:val="en-US" w:eastAsia="zh-CN"/>
        </w:rPr>
        <w:t>实现</w:t>
      </w:r>
      <w:r>
        <w:rPr>
          <w:rFonts w:hint="eastAsia" w:ascii="仿宋_GB2312" w:hAnsi="仿宋_GB2312" w:eastAsia="仿宋_GB2312" w:cs="仿宋_GB2312"/>
          <w:sz w:val="32"/>
          <w:szCs w:val="32"/>
        </w:rPr>
        <w:t>核心数据、核心业务</w:t>
      </w:r>
      <w:r>
        <w:rPr>
          <w:rFonts w:hint="eastAsia" w:ascii="仿宋_GB2312" w:hAnsi="仿宋_GB2312" w:eastAsia="仿宋_GB2312" w:cs="仿宋_GB2312"/>
          <w:sz w:val="32"/>
          <w:szCs w:val="32"/>
          <w:lang w:val="en-US" w:eastAsia="zh-CN"/>
        </w:rPr>
        <w:t>容灾备份，保障各类政务应用安全稳定运行</w:t>
      </w:r>
      <w:r>
        <w:rPr>
          <w:rFonts w:hint="eastAsia" w:ascii="仿宋_GB2312" w:hAnsi="仿宋_GB2312" w:eastAsia="仿宋_GB2312" w:cs="仿宋_GB2312"/>
          <w:sz w:val="32"/>
          <w:szCs w:val="32"/>
          <w:highlight w:val="none"/>
          <w:lang w:val="en-US" w:eastAsia="zh-CN"/>
        </w:rPr>
        <w:t>。</w:t>
      </w:r>
    </w:p>
    <w:p w14:paraId="155364B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auto"/>
          <w:kern w:val="0"/>
          <w:sz w:val="32"/>
          <w:szCs w:val="32"/>
          <w:highlight w:val="none"/>
          <w:lang w:val="en-US" w:eastAsia="zh-CN" w:bidi="ar-SA"/>
        </w:rPr>
        <w:t>持续提升网络承载能力。</w:t>
      </w:r>
      <w:r>
        <w:rPr>
          <w:rFonts w:hint="eastAsia" w:ascii="仿宋_GB2312" w:hAnsi="仿宋_GB2312" w:eastAsia="仿宋_GB2312" w:cs="仿宋_GB2312"/>
          <w:sz w:val="32"/>
          <w:szCs w:val="32"/>
          <w:highlight w:val="none"/>
          <w:lang w:val="en-US" w:eastAsia="zh-CN"/>
        </w:rPr>
        <w:t>提升</w:t>
      </w:r>
      <w:r>
        <w:rPr>
          <w:rFonts w:hint="eastAsia" w:ascii="仿宋_GB2312" w:hAnsi="仿宋_GB2312" w:eastAsia="仿宋_GB2312" w:cs="仿宋_GB2312"/>
          <w:sz w:val="32"/>
          <w:szCs w:val="32"/>
          <w:lang w:val="en-US" w:eastAsia="zh-CN"/>
        </w:rPr>
        <w:t>政务外网接入能力，更好支撑跨单位、跨层级数据共享和业务协同。规范政务外网接</w:t>
      </w:r>
      <w:r>
        <w:rPr>
          <w:rFonts w:hint="eastAsia" w:ascii="仿宋_GB2312" w:hAnsi="仿宋_GB2312" w:eastAsia="仿宋_GB2312" w:cs="仿宋_GB2312"/>
          <w:sz w:val="32"/>
          <w:szCs w:val="32"/>
          <w:highlight w:val="none"/>
          <w:lang w:val="en-US" w:eastAsia="zh-CN"/>
        </w:rPr>
        <w:t>入流程，优化完善管理制度，加强网络身份认证与边界安全防护。提升IPv6基础网络部署规模，新建或升级改造的政府投资信息化项目全面支持IPv6，探索农业、物流、文旅等重点领域IPv6应用。</w:t>
      </w:r>
      <w:r>
        <w:rPr>
          <w:rFonts w:hint="eastAsia" w:ascii="仿宋_GB2312" w:hAnsi="仿宋_GB2312" w:eastAsia="仿宋_GB2312" w:cs="仿宋_GB2312"/>
          <w:b w:val="0"/>
          <w:bCs w:val="0"/>
          <w:sz w:val="32"/>
          <w:szCs w:val="32"/>
          <w:lang w:val="en-US" w:eastAsia="zh-CN"/>
        </w:rPr>
        <w:t>优化区域光缆路由结</w:t>
      </w:r>
      <w:r>
        <w:rPr>
          <w:rFonts w:hint="eastAsia" w:ascii="仿宋_GB2312" w:hAnsi="仿宋_GB2312" w:eastAsia="仿宋_GB2312" w:cs="仿宋_GB2312"/>
          <w:b w:val="0"/>
          <w:bCs w:val="0"/>
          <w:sz w:val="32"/>
          <w:szCs w:val="32"/>
          <w:highlight w:val="none"/>
          <w:lang w:val="en-US" w:eastAsia="zh-CN"/>
        </w:rPr>
        <w:t>构，</w:t>
      </w:r>
      <w:r>
        <w:rPr>
          <w:rFonts w:hint="eastAsia" w:ascii="仿宋_GB2312" w:hAnsi="仿宋_GB2312" w:eastAsia="仿宋_GB2312" w:cs="仿宋_GB2312"/>
          <w:sz w:val="32"/>
          <w:szCs w:val="32"/>
          <w:highlight w:val="none"/>
          <w:lang w:val="en-US" w:eastAsia="zh-CN"/>
        </w:rPr>
        <w:t>稳</w:t>
      </w:r>
      <w:r>
        <w:rPr>
          <w:rFonts w:hint="eastAsia" w:ascii="仿宋_GB2312" w:hAnsi="仿宋_GB2312" w:eastAsia="仿宋_GB2312" w:cs="仿宋_GB2312"/>
          <w:sz w:val="32"/>
          <w:szCs w:val="32"/>
          <w:lang w:val="en-US" w:eastAsia="zh-CN"/>
        </w:rPr>
        <w:t>步推进全区光纤网络扩容和升级，扩大互联网出口带宽。</w:t>
      </w:r>
      <w:r>
        <w:rPr>
          <w:rFonts w:hint="eastAsia" w:ascii="仿宋_GB2312" w:hAnsi="仿宋_GB2312" w:eastAsia="仿宋_GB2312" w:cs="仿宋_GB2312"/>
          <w:sz w:val="32"/>
          <w:szCs w:val="32"/>
          <w:highlight w:val="none"/>
          <w:lang w:val="en-US" w:eastAsia="zh-CN"/>
        </w:rPr>
        <w:t>优化升级5G</w:t>
      </w:r>
      <w:r>
        <w:rPr>
          <w:rFonts w:hint="eastAsia" w:ascii="仿宋_GB2312" w:hAnsi="仿宋_GB2312" w:eastAsia="仿宋_GB2312" w:cs="仿宋_GB2312"/>
          <w:i w:val="0"/>
          <w:iCs w:val="0"/>
          <w:snapToGrid/>
          <w:color w:val="000000"/>
          <w:kern w:val="0"/>
          <w:sz w:val="32"/>
          <w:szCs w:val="32"/>
          <w:highlight w:val="none"/>
          <w:u w:val="none"/>
          <w:lang w:val="en-US" w:eastAsia="zh-CN" w:bidi="ar"/>
        </w:rPr>
        <w:t>-</w:t>
      </w:r>
      <w:r>
        <w:rPr>
          <w:rFonts w:hint="eastAsia" w:ascii="仿宋_GB2312" w:hAnsi="仿宋_GB2312" w:eastAsia="仿宋_GB2312" w:cs="仿宋_GB2312"/>
          <w:sz w:val="32"/>
          <w:szCs w:val="32"/>
          <w:highlight w:val="none"/>
          <w:lang w:val="en-US" w:eastAsia="zh-CN"/>
        </w:rPr>
        <w:t>A网</w:t>
      </w:r>
      <w:r>
        <w:rPr>
          <w:rFonts w:hint="eastAsia" w:ascii="仿宋_GB2312" w:hAnsi="仿宋_GB2312" w:eastAsia="仿宋_GB2312" w:cs="仿宋_GB2312"/>
          <w:sz w:val="32"/>
          <w:szCs w:val="32"/>
          <w:lang w:val="en-US" w:eastAsia="zh-CN"/>
        </w:rPr>
        <w:t>络，实现区内主要工业园区及核心公共场所5G</w:t>
      </w:r>
      <w:r>
        <w:rPr>
          <w:rFonts w:hint="eastAsia" w:ascii="仿宋_GB2312" w:hAnsi="仿宋_GB2312" w:eastAsia="仿宋_GB2312" w:cs="仿宋_GB2312"/>
          <w:i w:val="0"/>
          <w:iCs w:val="0"/>
          <w:snapToGrid/>
          <w:color w:val="000000"/>
          <w:kern w:val="0"/>
          <w:sz w:val="32"/>
          <w:szCs w:val="32"/>
          <w:highlight w:val="none"/>
          <w:u w:val="none"/>
          <w:lang w:val="en-US" w:eastAsia="zh-CN" w:bidi="ar"/>
        </w:rPr>
        <w:t>-</w:t>
      </w:r>
      <w:r>
        <w:rPr>
          <w:rFonts w:hint="eastAsia" w:ascii="仿宋_GB2312" w:hAnsi="仿宋_GB2312" w:eastAsia="仿宋_GB2312" w:cs="仿宋_GB2312"/>
          <w:sz w:val="32"/>
          <w:szCs w:val="32"/>
          <w:highlight w:val="none"/>
          <w:lang w:val="en-US" w:eastAsia="zh-CN"/>
        </w:rPr>
        <w:t>A</w:t>
      </w:r>
      <w:r>
        <w:rPr>
          <w:rFonts w:hint="eastAsia" w:ascii="仿宋_GB2312" w:hAnsi="仿宋_GB2312" w:eastAsia="仿宋_GB2312" w:cs="仿宋_GB2312"/>
          <w:sz w:val="32"/>
          <w:szCs w:val="32"/>
          <w:lang w:val="en-US" w:eastAsia="zh-CN"/>
        </w:rPr>
        <w:t>全覆盖。</w:t>
      </w:r>
    </w:p>
    <w:p w14:paraId="35C4475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color w:val="auto"/>
          <w:kern w:val="0"/>
          <w:sz w:val="32"/>
          <w:szCs w:val="32"/>
          <w:highlight w:val="none"/>
          <w:lang w:val="en-US" w:eastAsia="zh-CN"/>
        </w:rPr>
        <w:t>构建全区统一物联感知体系。</w:t>
      </w:r>
      <w:r>
        <w:rPr>
          <w:rFonts w:hint="eastAsia" w:ascii="仿宋_GB2312" w:hAnsi="仿宋_GB2312" w:eastAsia="仿宋_GB2312" w:cs="仿宋_GB2312"/>
          <w:b w:val="0"/>
          <w:bCs w:val="0"/>
          <w:color w:val="auto"/>
          <w:kern w:val="0"/>
          <w:sz w:val="32"/>
          <w:szCs w:val="32"/>
          <w:highlight w:val="none"/>
          <w:lang w:val="en-US" w:eastAsia="zh-CN"/>
        </w:rPr>
        <w:t>建设全区视频汇聚平台，</w:t>
      </w:r>
      <w:r>
        <w:rPr>
          <w:rFonts w:hint="eastAsia" w:ascii="仿宋_GB2312" w:hAnsi="仿宋_GB2312" w:eastAsia="仿宋_GB2312" w:cs="仿宋_GB2312"/>
          <w:sz w:val="32"/>
          <w:szCs w:val="32"/>
          <w:u w:val="none"/>
          <w:lang w:val="en-US" w:eastAsia="zh-CN" w:bidi="ar"/>
        </w:rPr>
        <w:t>优先推动应急、</w:t>
      </w:r>
      <w:r>
        <w:rPr>
          <w:rFonts w:hint="eastAsia" w:ascii="仿宋_GB2312" w:hAnsi="仿宋_GB2312" w:eastAsia="仿宋_GB2312" w:cs="仿宋_GB2312"/>
          <w:sz w:val="32"/>
          <w:szCs w:val="32"/>
          <w:lang w:val="en-US" w:eastAsia="zh-CN"/>
        </w:rPr>
        <w:t>公安、园林、生态、</w:t>
      </w:r>
      <w:r>
        <w:rPr>
          <w:rFonts w:hint="eastAsia" w:ascii="仿宋_GB2312" w:hAnsi="仿宋_GB2312" w:eastAsia="仿宋_GB2312" w:cs="仿宋_GB2312"/>
          <w:color w:val="000000"/>
          <w:spacing w:val="-6"/>
          <w:kern w:val="0"/>
          <w:sz w:val="32"/>
          <w:szCs w:val="32"/>
          <w:u w:val="none"/>
          <w:shd w:val="clear" w:color="auto" w:fill="FFFFFF"/>
          <w:lang w:eastAsia="zh" w:bidi="ar"/>
        </w:rPr>
        <w:t>消防</w:t>
      </w:r>
      <w:r>
        <w:rPr>
          <w:rFonts w:hint="eastAsia" w:ascii="仿宋_GB2312" w:hAnsi="仿宋_GB2312" w:eastAsia="仿宋_GB2312" w:cs="仿宋_GB2312"/>
          <w:sz w:val="32"/>
          <w:szCs w:val="32"/>
          <w:lang w:val="en-US" w:eastAsia="zh-CN"/>
        </w:rPr>
        <w:t>等领域</w:t>
      </w:r>
      <w:r>
        <w:rPr>
          <w:rFonts w:hint="eastAsia" w:ascii="仿宋_GB2312" w:hAnsi="仿宋_GB2312" w:eastAsia="仿宋_GB2312" w:cs="仿宋_GB2312"/>
          <w:sz w:val="32"/>
          <w:szCs w:val="32"/>
        </w:rPr>
        <w:t>视频监控设备</w:t>
      </w:r>
      <w:r>
        <w:rPr>
          <w:rFonts w:hint="eastAsia" w:ascii="仿宋_GB2312" w:hAnsi="仿宋_GB2312" w:eastAsia="仿宋_GB2312" w:cs="仿宋_GB2312"/>
          <w:sz w:val="32"/>
          <w:szCs w:val="32"/>
          <w:lang w:val="en-US" w:eastAsia="zh-CN"/>
        </w:rPr>
        <w:t>汇聚共享，</w:t>
      </w:r>
      <w:r>
        <w:rPr>
          <w:rFonts w:hint="eastAsia" w:ascii="仿宋_GB2312" w:hAnsi="仿宋_GB2312" w:eastAsia="仿宋_GB2312" w:cs="仿宋_GB2312"/>
          <w:sz w:val="32"/>
          <w:szCs w:val="32"/>
          <w:highlight w:val="none"/>
          <w:lang w:val="en-US" w:eastAsia="zh-CN"/>
        </w:rPr>
        <w:t>逐步推动学校、医院等社会视频数据接入，</w:t>
      </w:r>
      <w:r>
        <w:rPr>
          <w:rFonts w:hint="eastAsia" w:ascii="仿宋_GB2312" w:hAnsi="仿宋_GB2312" w:eastAsia="仿宋_GB2312" w:cs="仿宋_GB2312"/>
          <w:color w:val="000000"/>
          <w:spacing w:val="-6"/>
          <w:kern w:val="0"/>
          <w:sz w:val="32"/>
          <w:szCs w:val="32"/>
          <w:highlight w:val="none"/>
          <w:shd w:val="clear" w:color="auto" w:fill="FFFFFF"/>
          <w:lang w:eastAsia="zh" w:bidi="ar"/>
        </w:rPr>
        <w:t>实现感知设施统一管理</w:t>
      </w:r>
      <w:r>
        <w:rPr>
          <w:rFonts w:hint="eastAsia" w:ascii="仿宋_GB2312" w:hAnsi="仿宋_GB2312" w:eastAsia="仿宋_GB2312" w:cs="仿宋_GB2312"/>
          <w:color w:val="000000"/>
          <w:spacing w:val="-6"/>
          <w:kern w:val="0"/>
          <w:sz w:val="32"/>
          <w:szCs w:val="32"/>
          <w:highlight w:val="none"/>
          <w:shd w:val="clear" w:color="auto" w:fill="FFFFFF"/>
          <w:lang w:eastAsia="zh-CN" w:bidi="ar"/>
        </w:rPr>
        <w:t>、</w:t>
      </w:r>
      <w:r>
        <w:rPr>
          <w:rFonts w:hint="eastAsia" w:ascii="仿宋_GB2312" w:hAnsi="仿宋_GB2312" w:eastAsia="仿宋_GB2312" w:cs="仿宋_GB2312"/>
          <w:color w:val="000000"/>
          <w:spacing w:val="-6"/>
          <w:kern w:val="0"/>
          <w:sz w:val="32"/>
          <w:szCs w:val="32"/>
          <w:highlight w:val="none"/>
          <w:shd w:val="clear" w:color="auto" w:fill="FFFFFF"/>
          <w:lang w:eastAsia="zh" w:bidi="ar"/>
        </w:rPr>
        <w:t>智能调度</w:t>
      </w:r>
      <w:r>
        <w:rPr>
          <w:rFonts w:hint="eastAsia" w:ascii="仿宋_GB2312" w:hAnsi="仿宋_GB2312" w:eastAsia="仿宋_GB2312" w:cs="仿宋_GB2312"/>
          <w:color w:val="000000"/>
          <w:spacing w:val="-6"/>
          <w:kern w:val="0"/>
          <w:sz w:val="32"/>
          <w:szCs w:val="32"/>
          <w:highlight w:val="none"/>
          <w:shd w:val="clear" w:color="auto" w:fill="FFFFFF"/>
          <w:lang w:val="en-US" w:eastAsia="zh-CN" w:bidi="ar"/>
        </w:rPr>
        <w:t>和共享共用</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lang w:val="en-US" w:eastAsia="zh-CN"/>
        </w:rPr>
        <w:t>逐步推动公安、生态、农业、应急、园林、消防等部门</w:t>
      </w:r>
      <w:r>
        <w:rPr>
          <w:rFonts w:hint="eastAsia" w:ascii="仿宋_GB2312" w:hAnsi="仿宋_GB2312" w:eastAsia="仿宋_GB2312" w:cs="仿宋_GB2312"/>
          <w:sz w:val="32"/>
          <w:szCs w:val="32"/>
          <w:highlight w:val="none"/>
          <w:lang w:val="en-US" w:eastAsia="zh-CN"/>
        </w:rPr>
        <w:t>无人机感知服务资源接入到</w:t>
      </w:r>
      <w:r>
        <w:rPr>
          <w:rFonts w:hint="eastAsia" w:ascii="仿宋_GB2312" w:hAnsi="仿宋_GB2312" w:eastAsia="仿宋_GB2312" w:cs="仿宋_GB2312"/>
          <w:b w:val="0"/>
          <w:bCs w:val="0"/>
          <w:color w:val="auto"/>
          <w:kern w:val="0"/>
          <w:sz w:val="32"/>
          <w:szCs w:val="32"/>
          <w:highlight w:val="none"/>
          <w:lang w:val="en-US" w:eastAsia="zh-CN"/>
        </w:rPr>
        <w:t>全区视频汇聚平台</w:t>
      </w:r>
      <w:r>
        <w:rPr>
          <w:rFonts w:hint="eastAsia" w:ascii="仿宋_GB2312" w:hAnsi="仿宋_GB2312" w:eastAsia="仿宋_GB2312" w:cs="仿宋_GB2312"/>
          <w:i w:val="0"/>
          <w:iCs w:val="0"/>
          <w:caps w:val="0"/>
          <w:spacing w:val="0"/>
          <w:kern w:val="2"/>
          <w:sz w:val="32"/>
          <w:szCs w:val="32"/>
          <w:u w:val="none"/>
          <w:lang w:val="en-US" w:eastAsia="zh-CN" w:bidi="ar"/>
        </w:rPr>
        <w:t>。</w:t>
      </w:r>
      <w:r>
        <w:rPr>
          <w:rFonts w:hint="eastAsia" w:ascii="仿宋_GB2312" w:hAnsi="仿宋_GB2312" w:eastAsia="仿宋_GB2312" w:cs="仿宋_GB2312"/>
          <w:sz w:val="32"/>
          <w:szCs w:val="32"/>
          <w:highlight w:val="none"/>
          <w:lang w:val="en-US" w:eastAsia="zh-CN"/>
        </w:rPr>
        <w:t>到2030年底，初步完成天枢城市大脑感知模块建设，建成全区统一</w:t>
      </w:r>
      <w:r>
        <w:rPr>
          <w:rFonts w:hint="eastAsia" w:ascii="仿宋_GB2312" w:hAnsi="仿宋_GB2312" w:eastAsia="仿宋_GB2312" w:cs="仿宋_GB2312"/>
          <w:b w:val="0"/>
          <w:bCs w:val="0"/>
          <w:color w:val="auto"/>
          <w:kern w:val="0"/>
          <w:sz w:val="32"/>
          <w:szCs w:val="32"/>
          <w:highlight w:val="none"/>
          <w:lang w:val="en-US" w:eastAsia="zh-CN"/>
        </w:rPr>
        <w:t>视频汇聚平台</w:t>
      </w:r>
      <w:r>
        <w:rPr>
          <w:rFonts w:hint="eastAsia" w:ascii="仿宋_GB2312" w:hAnsi="仿宋_GB2312" w:eastAsia="仿宋_GB2312" w:cs="仿宋_GB2312"/>
          <w:sz w:val="32"/>
          <w:szCs w:val="32"/>
          <w:highlight w:val="none"/>
          <w:lang w:val="en-US" w:eastAsia="zh-CN"/>
        </w:rPr>
        <w:t>，实现重点领域、重要区域视频监控设备共享共用。</w:t>
      </w:r>
    </w:p>
    <w:p w14:paraId="39C5322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Calibri" w:eastAsia="仿宋" w:cs="仿宋"/>
          <w:b w:val="0"/>
          <w:bCs w:val="0"/>
          <w:sz w:val="32"/>
          <w:szCs w:val="32"/>
          <w:lang w:val="en-US" w:eastAsia="zh-CN"/>
        </w:rPr>
      </w:pPr>
      <w:r>
        <w:rPr>
          <w:rFonts w:hint="eastAsia" w:ascii="仿宋_GB2312" w:hAnsi="仿宋_GB2312" w:eastAsia="仿宋_GB2312" w:cs="仿宋_GB2312"/>
          <w:b/>
          <w:bCs/>
          <w:color w:val="auto"/>
          <w:kern w:val="0"/>
          <w:sz w:val="32"/>
          <w:szCs w:val="32"/>
          <w:highlight w:val="none"/>
          <w:lang w:val="en-US" w:eastAsia="zh-CN" w:bidi="ar-SA"/>
        </w:rPr>
        <w:t>布局算力基础设施。</w:t>
      </w:r>
      <w:r>
        <w:rPr>
          <w:rFonts w:hint="eastAsia" w:ascii="仿宋_GB2312" w:hAnsi="仿宋_GB2312" w:eastAsia="仿宋_GB2312" w:cs="仿宋_GB2312"/>
          <w:sz w:val="32"/>
          <w:szCs w:val="32"/>
          <w:highlight w:val="none"/>
          <w:lang w:val="en-US" w:eastAsia="zh-CN"/>
        </w:rPr>
        <w:t>探索建设天枢城市大脑算力中心，</w:t>
      </w:r>
      <w:r>
        <w:rPr>
          <w:rFonts w:hint="eastAsia" w:ascii="仿宋_GB2312" w:hAnsi="仿宋_GB2312" w:eastAsia="仿宋_GB2312" w:cs="仿宋_GB2312"/>
          <w:b w:val="0"/>
          <w:bCs w:val="0"/>
          <w:sz w:val="32"/>
          <w:szCs w:val="32"/>
          <w:lang w:val="en-US" w:eastAsia="zh-CN"/>
        </w:rPr>
        <w:t>加强算力资源供给，</w:t>
      </w:r>
      <w:r>
        <w:rPr>
          <w:rFonts w:hint="eastAsia" w:ascii="仿宋_GB2312" w:hAnsi="仿宋_GB2312" w:eastAsia="仿宋_GB2312" w:cs="仿宋_GB2312"/>
          <w:b w:val="0"/>
          <w:bCs w:val="0"/>
          <w:sz w:val="32"/>
          <w:szCs w:val="32"/>
          <w:highlight w:val="none"/>
          <w:lang w:val="en-US" w:eastAsia="zh-CN"/>
        </w:rPr>
        <w:t>规划布局算力中心建设，为</w:t>
      </w:r>
      <w:r>
        <w:rPr>
          <w:rFonts w:hint="eastAsia" w:ascii="仿宋_GB2312" w:hAnsi="仿宋_GB2312" w:eastAsia="仿宋_GB2312" w:cs="仿宋_GB2312"/>
          <w:sz w:val="32"/>
          <w:szCs w:val="32"/>
          <w:highlight w:val="none"/>
        </w:rPr>
        <w:t>支撑</w:t>
      </w:r>
      <w:r>
        <w:rPr>
          <w:rFonts w:hint="eastAsia" w:ascii="仿宋_GB2312" w:hAnsi="仿宋_GB2312" w:eastAsia="仿宋_GB2312" w:cs="仿宋_GB2312"/>
          <w:sz w:val="32"/>
          <w:szCs w:val="32"/>
          <w:highlight w:val="none"/>
          <w:lang w:val="en-US" w:eastAsia="zh-CN"/>
        </w:rPr>
        <w:t>数智平谷</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智慧农业建设</w:t>
      </w:r>
      <w:r>
        <w:rPr>
          <w:rFonts w:hint="eastAsia" w:ascii="仿宋_GB2312" w:hAnsi="仿宋_GB2312" w:eastAsia="仿宋_GB2312" w:cs="仿宋_GB2312"/>
          <w:sz w:val="32"/>
          <w:szCs w:val="32"/>
        </w:rPr>
        <w:t>提供算力服务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val="0"/>
          <w:bCs/>
          <w:sz w:val="32"/>
          <w:szCs w:val="32"/>
          <w:lang w:val="en-US" w:eastAsia="zh-CN"/>
        </w:rPr>
        <w:t>积极做好区域算力与市级算力的融合衔接，</w:t>
      </w:r>
      <w:r>
        <w:rPr>
          <w:rFonts w:hint="eastAsia" w:ascii="仿宋_GB2312" w:hAnsi="仿宋_GB2312" w:eastAsia="仿宋_GB2312" w:cs="仿宋_GB2312"/>
          <w:b w:val="0"/>
          <w:bCs/>
          <w:sz w:val="32"/>
          <w:szCs w:val="32"/>
        </w:rPr>
        <w:t>结合</w:t>
      </w:r>
      <w:r>
        <w:rPr>
          <w:rFonts w:hint="eastAsia" w:ascii="仿宋_GB2312" w:hAnsi="仿宋_GB2312" w:eastAsia="仿宋_GB2312" w:cs="仿宋_GB2312"/>
          <w:b w:val="0"/>
          <w:bCs/>
          <w:sz w:val="32"/>
          <w:szCs w:val="32"/>
          <w:lang w:val="en-US" w:eastAsia="zh-CN"/>
        </w:rPr>
        <w:t>区域</w:t>
      </w:r>
      <w:r>
        <w:rPr>
          <w:rFonts w:hint="eastAsia" w:ascii="仿宋_GB2312" w:hAnsi="仿宋_GB2312" w:eastAsia="仿宋_GB2312" w:cs="仿宋_GB2312"/>
          <w:b w:val="0"/>
          <w:bCs/>
          <w:sz w:val="32"/>
          <w:szCs w:val="32"/>
        </w:rPr>
        <w:t>数字产业发展形势，动态评估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高效精准满足本地算力需求</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sz w:val="32"/>
          <w:szCs w:val="32"/>
          <w:highlight w:val="none"/>
          <w:lang w:val="en-US" w:eastAsia="zh-CN"/>
        </w:rPr>
        <w:t>到2030年底，推进全区智能算力规模达到2000P以上。以应用场景为核心，有序</w:t>
      </w:r>
      <w:r>
        <w:rPr>
          <w:rFonts w:hint="eastAsia" w:ascii="仿宋_GB2312" w:hAnsi="仿宋_GB2312" w:eastAsia="仿宋_GB2312" w:cs="仿宋_GB2312"/>
          <w:strike w:val="0"/>
          <w:color w:val="000000"/>
          <w:spacing w:val="0"/>
          <w:kern w:val="2"/>
          <w:sz w:val="32"/>
          <w:szCs w:val="32"/>
          <w:highlight w:val="none"/>
          <w:u w:val="none"/>
          <w:lang w:val="en-US" w:eastAsia="zh" w:bidi="ar"/>
        </w:rPr>
        <w:t>开展多元化、普适化</w:t>
      </w:r>
      <w:r>
        <w:rPr>
          <w:rFonts w:hint="eastAsia" w:ascii="仿宋_GB2312" w:hAnsi="仿宋_GB2312" w:eastAsia="仿宋_GB2312" w:cs="仿宋_GB2312"/>
          <w:strike w:val="0"/>
          <w:color w:val="000000"/>
          <w:spacing w:val="0"/>
          <w:kern w:val="2"/>
          <w:sz w:val="32"/>
          <w:szCs w:val="32"/>
          <w:highlight w:val="none"/>
          <w:u w:val="none"/>
          <w:lang w:val="en-US" w:eastAsia="zh-CN" w:bidi="ar"/>
        </w:rPr>
        <w:t>智能体</w:t>
      </w:r>
      <w:r>
        <w:rPr>
          <w:rFonts w:hint="eastAsia" w:ascii="仿宋_GB2312" w:hAnsi="仿宋_GB2312" w:eastAsia="仿宋_GB2312" w:cs="仿宋_GB2312"/>
          <w:strike w:val="0"/>
          <w:color w:val="000000"/>
          <w:spacing w:val="0"/>
          <w:kern w:val="2"/>
          <w:sz w:val="32"/>
          <w:szCs w:val="32"/>
          <w:highlight w:val="none"/>
          <w:u w:val="none"/>
          <w:lang w:val="en-US" w:eastAsia="zh" w:bidi="ar"/>
        </w:rPr>
        <w:t>建设</w:t>
      </w:r>
      <w:r>
        <w:rPr>
          <w:rFonts w:hint="eastAsia" w:ascii="仿宋_GB2312" w:hAnsi="仿宋_GB2312" w:eastAsia="仿宋_GB2312" w:cs="仿宋_GB2312"/>
          <w:strike w:val="0"/>
          <w:sz w:val="32"/>
          <w:szCs w:val="32"/>
          <w:highlight w:val="none"/>
          <w:u w:val="none"/>
          <w:lang w:eastAsia="zh-CN"/>
        </w:rPr>
        <w:t>，打造高可用、高并发的政务智能体调度体系。</w:t>
      </w:r>
    </w:p>
    <w:p w14:paraId="209D08E6">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left"/>
        <w:textAlignment w:val="auto"/>
        <w:outlineLvl w:val="1"/>
        <w:rPr>
          <w:rFonts w:hint="default" w:ascii="楷体_GB2312" w:hAnsi="楷体_GB2312" w:eastAsia="楷体_GB2312" w:cs="楷体_GB2312"/>
          <w:sz w:val="32"/>
          <w:szCs w:val="32"/>
          <w:lang w:val="en-US" w:eastAsia="zh-CN"/>
        </w:rPr>
      </w:pPr>
      <w:bookmarkStart w:id="76" w:name="_Toc1959647912"/>
      <w:bookmarkStart w:id="77" w:name="_Toc1683014982"/>
      <w:bookmarkStart w:id="78" w:name="_Toc16272"/>
      <w:bookmarkStart w:id="79" w:name="_Toc255920514"/>
      <w:bookmarkStart w:id="80" w:name="_Toc1325662476"/>
      <w:bookmarkStart w:id="81" w:name="_Toc1124578866"/>
      <w:bookmarkStart w:id="82" w:name="_Toc123061372"/>
      <w:bookmarkStart w:id="83" w:name="_Toc1452884587"/>
      <w:bookmarkStart w:id="84" w:name="_Toc918446331"/>
      <w:bookmarkStart w:id="85" w:name="_Toc92999709"/>
      <w:bookmarkStart w:id="86" w:name="_Toc681166986"/>
      <w:r>
        <w:rPr>
          <w:rFonts w:hint="eastAsia" w:ascii="楷体_GB2312" w:hAnsi="楷体_GB2312" w:eastAsia="楷体_GB2312" w:cs="楷体_GB2312"/>
          <w:sz w:val="32"/>
          <w:szCs w:val="32"/>
          <w:lang w:val="en-US" w:eastAsia="zh-CN"/>
        </w:rPr>
        <w:t>（二）推进数据资源体系建设</w:t>
      </w:r>
      <w:bookmarkEnd w:id="76"/>
      <w:bookmarkEnd w:id="77"/>
      <w:bookmarkEnd w:id="78"/>
      <w:bookmarkEnd w:id="79"/>
      <w:bookmarkEnd w:id="80"/>
      <w:bookmarkEnd w:id="81"/>
      <w:bookmarkEnd w:id="82"/>
      <w:bookmarkEnd w:id="83"/>
      <w:bookmarkEnd w:id="84"/>
      <w:bookmarkEnd w:id="85"/>
      <w:bookmarkEnd w:id="86"/>
    </w:p>
    <w:p w14:paraId="7E14D81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sz w:val="32"/>
          <w:szCs w:val="32"/>
          <w:lang w:val="en-US" w:eastAsia="zh-CN"/>
        </w:rPr>
      </w:pPr>
      <w:bookmarkStart w:id="87" w:name="_Toc1993817504"/>
      <w:r>
        <w:rPr>
          <w:rFonts w:hint="eastAsia" w:ascii="仿宋_GB2312" w:hAnsi="仿宋_GB2312" w:eastAsia="仿宋_GB2312" w:cs="仿宋_GB2312"/>
          <w:b/>
          <w:bCs/>
          <w:color w:val="auto"/>
          <w:kern w:val="0"/>
          <w:sz w:val="32"/>
          <w:szCs w:val="32"/>
          <w:highlight w:val="none"/>
          <w:lang w:val="en-US" w:eastAsia="zh-CN" w:bidi="ar-SA"/>
        </w:rPr>
        <w:t>建立健全数据管理机制。</w:t>
      </w:r>
      <w:r>
        <w:rPr>
          <w:rFonts w:hint="eastAsia" w:ascii="仿宋_GB2312" w:hAnsi="仿宋_GB2312" w:eastAsia="仿宋_GB2312" w:cs="仿宋_GB2312"/>
          <w:b w:val="0"/>
          <w:bCs w:val="0"/>
          <w:color w:val="auto"/>
          <w:kern w:val="0"/>
          <w:sz w:val="32"/>
          <w:szCs w:val="32"/>
          <w:highlight w:val="none"/>
          <w:lang w:val="en-US" w:eastAsia="zh-CN" w:bidi="ar-SA"/>
        </w:rPr>
        <w:t>优化完善公共数据目录体系，按照北京市公共数据目录编制要求，持续推进全区公共数据目录编制管理和数据汇聚工作，</w:t>
      </w:r>
      <w:r>
        <w:rPr>
          <w:rFonts w:hint="eastAsia" w:ascii="仿宋_GB2312" w:hAnsi="仿宋_GB2312" w:eastAsia="仿宋_GB2312" w:cs="仿宋_GB2312"/>
          <w:sz w:val="32"/>
          <w:szCs w:val="32"/>
          <w:lang w:val="en-US" w:eastAsia="zh-CN"/>
        </w:rPr>
        <w:t>重点梳理各部门自建信息系统中沉淀的业务数据和市级部门回流数据，形成全区公共数据目录“一本账”。建立统一目录管理和数据目录动态更新机制，动态更新数据的共享、开放属性，为跨部门、跨层级数据共享共用提供支撑。</w:t>
      </w:r>
    </w:p>
    <w:p w14:paraId="43ACC92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b/>
          <w:bCs/>
          <w:color w:val="auto"/>
          <w:kern w:val="0"/>
          <w:sz w:val="32"/>
          <w:szCs w:val="32"/>
          <w:highlight w:val="none"/>
          <w:lang w:val="en-US" w:eastAsia="zh-CN"/>
        </w:rPr>
        <w:t>加强城市基础数据汇聚。</w:t>
      </w:r>
      <w:r>
        <w:rPr>
          <w:rFonts w:hint="eastAsia" w:ascii="仿宋_GB2312" w:hAnsi="仿宋_GB2312" w:eastAsia="仿宋_GB2312" w:cs="仿宋_GB2312"/>
          <w:b w:val="0"/>
          <w:bCs w:val="0"/>
          <w:color w:val="auto"/>
          <w:kern w:val="0"/>
          <w:sz w:val="32"/>
          <w:szCs w:val="32"/>
          <w:highlight w:val="none"/>
          <w:lang w:val="en-US" w:eastAsia="zh-CN"/>
        </w:rPr>
        <w:t>探索</w:t>
      </w:r>
      <w:r>
        <w:rPr>
          <w:rFonts w:hint="eastAsia" w:ascii="仿宋_GB2312" w:hAnsi="仿宋_GB2312" w:eastAsia="仿宋_GB2312" w:cs="仿宋_GB2312"/>
          <w:sz w:val="32"/>
          <w:szCs w:val="32"/>
          <w:highlight w:val="none"/>
          <w:lang w:val="en-US" w:eastAsia="zh-CN"/>
        </w:rPr>
        <w:t>天枢城市大脑数据资源体系建设，</w:t>
      </w:r>
      <w:r>
        <w:rPr>
          <w:rFonts w:hint="eastAsia" w:ascii="仿宋_GB2312" w:hAnsi="仿宋_GB2312" w:eastAsia="仿宋_GB2312" w:cs="仿宋_GB2312"/>
          <w:b w:val="0"/>
          <w:bCs w:val="0"/>
          <w:color w:val="auto"/>
          <w:kern w:val="0"/>
          <w:sz w:val="32"/>
          <w:szCs w:val="32"/>
          <w:highlight w:val="none"/>
          <w:lang w:val="en-US" w:eastAsia="zh-CN"/>
        </w:rPr>
        <w:t>依托市大数据平台，</w:t>
      </w:r>
      <w:r>
        <w:rPr>
          <w:rFonts w:hint="eastAsia" w:ascii="仿宋_GB2312" w:hAnsi="仿宋_GB2312" w:eastAsia="仿宋_GB2312" w:cs="仿宋_GB2312"/>
          <w:sz w:val="32"/>
          <w:szCs w:val="32"/>
          <w:lang w:val="en-US" w:eastAsia="zh-CN"/>
        </w:rPr>
        <w:t>优化目录管理、数据共享、供需对接、数据治理等功能</w:t>
      </w:r>
      <w:r>
        <w:rPr>
          <w:rFonts w:hint="eastAsia" w:ascii="仿宋_GB2312" w:hAnsi="仿宋_GB2312" w:eastAsia="仿宋_GB2312" w:cs="仿宋_GB2312"/>
          <w:b w:val="0"/>
          <w:bCs w:val="0"/>
          <w:color w:val="auto"/>
          <w:kern w:val="0"/>
          <w:sz w:val="32"/>
          <w:szCs w:val="32"/>
          <w:highlight w:val="none"/>
          <w:lang w:val="en-US" w:eastAsia="zh-CN"/>
        </w:rPr>
        <w:t>，完善城市基础数据库，提升数据共享交换水平。</w:t>
      </w:r>
      <w:r>
        <w:rPr>
          <w:rFonts w:hint="eastAsia" w:ascii="仿宋_GB2312" w:hAnsi="仿宋_GB2312" w:eastAsia="仿宋_GB2312" w:cs="仿宋_GB2312"/>
          <w:sz w:val="32"/>
          <w:szCs w:val="32"/>
          <w:lang w:val="en-US" w:eastAsia="zh-CN"/>
        </w:rPr>
        <w:t>依托市级城市管理网格化管理平台，完成城市公用设施、道路交通、市容环境、园林绿化等部件普查摸底，提升城市基础部件的精细化管理能力。</w:t>
      </w:r>
      <w:r>
        <w:rPr>
          <w:rFonts w:hint="eastAsia" w:ascii="仿宋_GB2312" w:hAnsi="仿宋_GB2312" w:eastAsia="仿宋_GB2312" w:cs="仿宋_GB2312"/>
          <w:sz w:val="32"/>
          <w:szCs w:val="32"/>
          <w:highlight w:val="none"/>
          <w:lang w:val="en-US" w:eastAsia="zh-CN"/>
        </w:rPr>
        <w:t>建设全区“一张图”服务平台，构建统一</w:t>
      </w:r>
      <w:r>
        <w:rPr>
          <w:rFonts w:hint="eastAsia" w:ascii="仿宋_GB2312" w:hAnsi="仿宋_GB2312" w:eastAsia="仿宋_GB2312" w:cs="仿宋_GB2312"/>
          <w:kern w:val="2"/>
          <w:sz w:val="32"/>
          <w:szCs w:val="32"/>
          <w:highlight w:val="none"/>
          <w:lang w:val="en-US" w:eastAsia="zh-CN" w:bidi="ar-SA"/>
        </w:rPr>
        <w:t>地图数据支撑服务能力，</w:t>
      </w:r>
      <w:r>
        <w:rPr>
          <w:rFonts w:hint="eastAsia" w:ascii="仿宋_GB2312" w:hAnsi="仿宋_GB2312" w:eastAsia="仿宋_GB2312" w:cs="仿宋_GB2312"/>
          <w:sz w:val="32"/>
          <w:szCs w:val="32"/>
          <w:highlight w:val="none"/>
          <w:lang w:val="en-US" w:eastAsia="zh-CN"/>
        </w:rPr>
        <w:t>推广在城市运行、生态感知、防洪预警、森林防火、防灾救援等方面场景应用</w:t>
      </w:r>
      <w:r>
        <w:rPr>
          <w:rFonts w:hint="eastAsia" w:ascii="仿宋_GB2312" w:hAnsi="仿宋_GB2312" w:eastAsia="仿宋_GB2312" w:cs="仿宋_GB2312"/>
          <w:kern w:val="2"/>
          <w:sz w:val="32"/>
          <w:szCs w:val="32"/>
          <w:highlight w:val="none"/>
          <w:lang w:val="en-US" w:eastAsia="zh-CN" w:bidi="ar-SA"/>
        </w:rPr>
        <w:t>。</w:t>
      </w:r>
    </w:p>
    <w:p w14:paraId="664796C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cs="方正小标宋_GBK"/>
          <w:b w:val="0"/>
          <w:bCs w:val="0"/>
          <w:lang w:val="en-US" w:eastAsia="zh-CN"/>
        </w:rPr>
      </w:pPr>
      <w:r>
        <w:rPr>
          <w:rFonts w:hint="eastAsia" w:ascii="仿宋_GB2312" w:hAnsi="仿宋_GB2312" w:eastAsia="仿宋_GB2312" w:cs="仿宋_GB2312"/>
          <w:b/>
          <w:bCs/>
          <w:sz w:val="32"/>
          <w:szCs w:val="32"/>
          <w:lang w:val="en-US" w:eastAsia="zh-CN"/>
        </w:rPr>
        <w:t>推进数据高效共享与有序开放。</w:t>
      </w:r>
      <w:r>
        <w:rPr>
          <w:rFonts w:hint="eastAsia" w:ascii="仿宋_GB2312" w:hAnsi="仿宋_GB2312" w:eastAsia="仿宋_GB2312" w:cs="仿宋_GB2312"/>
          <w:b w:val="0"/>
          <w:bCs w:val="0"/>
          <w:sz w:val="32"/>
          <w:szCs w:val="32"/>
          <w:lang w:val="en-US" w:eastAsia="zh-CN"/>
        </w:rPr>
        <w:t>依托</w:t>
      </w:r>
      <w:r>
        <w:rPr>
          <w:rFonts w:hint="eastAsia" w:ascii="仿宋_GB2312" w:hAnsi="仿宋_GB2312" w:eastAsia="仿宋_GB2312" w:cs="仿宋_GB2312"/>
          <w:sz w:val="32"/>
          <w:szCs w:val="32"/>
          <w:lang w:val="en-US" w:eastAsia="zh-CN"/>
        </w:rPr>
        <w:t>市区两级数据基础设施，构建高效、稳定、安全的市区数据双向传输通道，支撑市级数据有效回流共享。依法依规有序推进公共数据开放，发布年度公共数据开放计划，动态更新开放目录，</w:t>
      </w:r>
      <w:r>
        <w:rPr>
          <w:rFonts w:hint="eastAsia" w:ascii="仿宋_GB2312" w:hAnsi="仿宋_GB2312" w:eastAsia="仿宋_GB2312" w:cs="仿宋_GB2312"/>
          <w:sz w:val="32"/>
          <w:szCs w:val="32"/>
          <w:highlight w:val="none"/>
          <w:lang w:val="en-US" w:eastAsia="zh-CN"/>
        </w:rPr>
        <w:t>到2030年底，推进开放数据集数量达到100个以上。</w:t>
      </w:r>
      <w:r>
        <w:rPr>
          <w:rFonts w:hint="eastAsia" w:ascii="仿宋_GB2312" w:hAnsi="仿宋_GB2312" w:eastAsia="仿宋_GB2312" w:cs="仿宋_GB2312"/>
          <w:sz w:val="32"/>
          <w:szCs w:val="32"/>
          <w:lang w:val="en-US" w:eastAsia="zh-CN"/>
        </w:rPr>
        <w:t>按市相关要求，探索公共数据授权运营。</w:t>
      </w:r>
    </w:p>
    <w:p w14:paraId="06C8074D">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left"/>
        <w:textAlignment w:val="auto"/>
        <w:outlineLvl w:val="1"/>
        <w:rPr>
          <w:rFonts w:hint="eastAsia" w:ascii="楷体_GB2312" w:hAnsi="楷体_GB2312" w:eastAsia="楷体_GB2312" w:cs="楷体_GB2312"/>
          <w:sz w:val="32"/>
          <w:szCs w:val="32"/>
          <w:lang w:val="en-US" w:eastAsia="zh-CN"/>
        </w:rPr>
      </w:pPr>
      <w:bookmarkStart w:id="88" w:name="_Toc1742187319"/>
      <w:bookmarkStart w:id="89" w:name="_Toc1993246592"/>
      <w:bookmarkStart w:id="90" w:name="_Toc266396507"/>
      <w:bookmarkStart w:id="91" w:name="_Toc215030481"/>
      <w:bookmarkStart w:id="92" w:name="_Toc1925687837"/>
      <w:bookmarkStart w:id="93" w:name="_Toc1825497794"/>
      <w:bookmarkStart w:id="94" w:name="_Toc4041"/>
      <w:bookmarkStart w:id="95" w:name="_Toc265727143"/>
      <w:bookmarkStart w:id="96" w:name="_Toc138211545"/>
      <w:bookmarkStart w:id="97" w:name="_Toc793423615"/>
      <w:r>
        <w:rPr>
          <w:rFonts w:hint="eastAsia" w:ascii="楷体_GB2312" w:hAnsi="楷体_GB2312" w:eastAsia="楷体_GB2312" w:cs="楷体_GB2312"/>
          <w:sz w:val="32"/>
          <w:szCs w:val="32"/>
          <w:lang w:val="en-US" w:eastAsia="zh-CN"/>
        </w:rPr>
        <w:t>（三）持续强化数字安全保障能力</w:t>
      </w:r>
      <w:bookmarkEnd w:id="87"/>
      <w:bookmarkEnd w:id="88"/>
      <w:bookmarkEnd w:id="89"/>
      <w:bookmarkEnd w:id="90"/>
      <w:bookmarkEnd w:id="91"/>
      <w:bookmarkEnd w:id="92"/>
      <w:bookmarkEnd w:id="93"/>
      <w:bookmarkEnd w:id="94"/>
      <w:bookmarkEnd w:id="95"/>
      <w:bookmarkEnd w:id="96"/>
      <w:bookmarkEnd w:id="97"/>
    </w:p>
    <w:p w14:paraId="3CFA5EEA">
      <w:pPr>
        <w:pStyle w:val="12"/>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i w:val="0"/>
          <w:iCs w:val="0"/>
          <w:caps w:val="0"/>
          <w:color w:val="auto"/>
          <w:spacing w:val="0"/>
          <w:sz w:val="32"/>
          <w:szCs w:val="32"/>
          <w:highlight w:val="none"/>
          <w:u w:val="none"/>
          <w:lang w:eastAsia="zh-CN"/>
        </w:rPr>
        <w:t>建立健全数据安全机制。</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按照国家和北京市数据安全相关要求，</w:t>
      </w:r>
      <w:r>
        <w:rPr>
          <w:rFonts w:hint="eastAsia" w:ascii="仿宋_GB2312" w:hAnsi="仿宋_GB2312" w:eastAsia="仿宋_GB2312" w:cs="仿宋_GB2312"/>
          <w:sz w:val="32"/>
          <w:szCs w:val="32"/>
          <w:lang w:val="en-US" w:eastAsia="zh-CN"/>
        </w:rPr>
        <w:t>落实各领域数据安全主体责任，加强数据安全监测预警和监督检查。全面落实覆盖数据全生命周期的数据安全防护制度与数据分类分级保护基础制度，推进数据加密、数据脱敏、数据水印、数据备份、数据溯源、隐私计算等技术的全面应用。重点加强个人信息和重要数据保护，严格规范数据处理活动。</w:t>
      </w:r>
    </w:p>
    <w:p w14:paraId="12157730">
      <w:pPr>
        <w:pStyle w:val="10"/>
        <w:keepNext w:val="0"/>
        <w:keepLines w:val="0"/>
        <w:pageBreakBefore w:val="0"/>
        <w:kinsoku w:val="0"/>
        <w:wordWrap/>
        <w:overflowPunct w:val="0"/>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b w:val="0"/>
          <w:bCs w:val="0"/>
          <w:color w:val="auto"/>
          <w:spacing w:val="0"/>
          <w:kern w:val="2"/>
          <w:sz w:val="32"/>
          <w:szCs w:val="32"/>
          <w:u w:val="none"/>
          <w:shd w:val="clear" w:color="auto" w:fill="auto"/>
          <w:lang w:bidi="ar"/>
        </w:rPr>
      </w:pPr>
      <w:r>
        <w:rPr>
          <w:rFonts w:hint="eastAsia" w:ascii="仿宋_GB2312" w:hAnsi="仿宋_GB2312" w:eastAsia="仿宋_GB2312" w:cs="仿宋_GB2312"/>
          <w:b/>
          <w:bCs/>
          <w:i w:val="0"/>
          <w:iCs w:val="0"/>
          <w:caps w:val="0"/>
          <w:color w:val="auto"/>
          <w:spacing w:val="0"/>
          <w:sz w:val="32"/>
          <w:szCs w:val="32"/>
          <w:u w:val="none"/>
          <w:lang w:eastAsia="zh-CN"/>
        </w:rPr>
        <w:t>强化基础设施安全保障。</w:t>
      </w:r>
      <w:r>
        <w:rPr>
          <w:rFonts w:hint="eastAsia" w:ascii="仿宋_GB2312" w:hAnsi="仿宋_GB2312" w:eastAsia="仿宋_GB2312" w:cs="仿宋_GB2312"/>
          <w:color w:val="000000"/>
          <w:spacing w:val="-6"/>
          <w:sz w:val="32"/>
          <w:szCs w:val="32"/>
          <w:u w:val="none"/>
          <w:lang w:bidi="ar"/>
        </w:rPr>
        <w:t>深入贯彻落实网络安全等级和关键信息基础设施安全保护制度，定期对政务信息系统开展等级保护定级、备案、测评工作</w:t>
      </w:r>
      <w:r>
        <w:rPr>
          <w:rFonts w:hint="eastAsia" w:ascii="仿宋_GB2312" w:hAnsi="仿宋_GB2312" w:eastAsia="仿宋_GB2312" w:cs="仿宋_GB2312"/>
          <w:color w:val="000000"/>
          <w:spacing w:val="-6"/>
          <w:sz w:val="32"/>
          <w:szCs w:val="32"/>
          <w:highlight w:val="none"/>
          <w:u w:val="none"/>
          <w:lang w:bidi="ar"/>
        </w:rPr>
        <w:t>。</w:t>
      </w:r>
      <w:r>
        <w:rPr>
          <w:rFonts w:hint="eastAsia" w:ascii="仿宋_GB2312" w:hAnsi="仿宋_GB2312" w:eastAsia="仿宋_GB2312" w:cs="仿宋_GB2312"/>
          <w:b w:val="0"/>
          <w:bCs w:val="0"/>
          <w:i w:val="0"/>
          <w:iCs w:val="0"/>
          <w:caps w:val="0"/>
          <w:color w:val="auto"/>
          <w:spacing w:val="0"/>
          <w:sz w:val="32"/>
          <w:szCs w:val="32"/>
          <w:u w:val="none"/>
          <w:lang w:eastAsia="zh-CN"/>
        </w:rPr>
        <w:t>建立健全基础设施定期排查机制，定期对</w:t>
      </w:r>
      <w:r>
        <w:rPr>
          <w:rFonts w:hint="eastAsia" w:ascii="仿宋_GB2312" w:hAnsi="仿宋_GB2312" w:eastAsia="仿宋_GB2312" w:cs="仿宋_GB2312"/>
          <w:b w:val="0"/>
          <w:bCs w:val="0"/>
          <w:i w:val="0"/>
          <w:iCs w:val="0"/>
          <w:caps w:val="0"/>
          <w:color w:val="auto"/>
          <w:spacing w:val="0"/>
          <w:sz w:val="32"/>
          <w:szCs w:val="32"/>
          <w:u w:val="none"/>
          <w:lang w:val="en-US" w:eastAsia="zh-CN"/>
        </w:rPr>
        <w:t>安全</w:t>
      </w:r>
      <w:r>
        <w:rPr>
          <w:rFonts w:hint="eastAsia" w:ascii="仿宋_GB2312" w:hAnsi="仿宋_GB2312" w:eastAsia="仿宋_GB2312" w:cs="仿宋_GB2312"/>
          <w:b w:val="0"/>
          <w:bCs w:val="0"/>
          <w:i w:val="0"/>
          <w:iCs w:val="0"/>
          <w:caps w:val="0"/>
          <w:color w:val="auto"/>
          <w:spacing w:val="0"/>
          <w:sz w:val="32"/>
          <w:szCs w:val="32"/>
          <w:u w:val="none"/>
          <w:lang w:eastAsia="zh-CN"/>
        </w:rPr>
        <w:t>设备运行状态、权限管理、数据传输链路安全性开展自查。</w:t>
      </w:r>
    </w:p>
    <w:p w14:paraId="3BA10999">
      <w:pPr>
        <w:keepNext w:val="0"/>
        <w:keepLines w:val="0"/>
        <w:pageBreakBefore w:val="0"/>
        <w:widowControl w:val="0"/>
        <w:numPr>
          <w:ilvl w:val="-1"/>
          <w:numId w:val="0"/>
        </w:numPr>
        <w:tabs>
          <w:tab w:val="left" w:pos="2535"/>
        </w:tabs>
        <w:kinsoku w:val="0"/>
        <w:wordWrap/>
        <w:overflowPunct w:val="0"/>
        <w:topLinePunct w:val="0"/>
        <w:autoSpaceDE/>
        <w:autoSpaceDN/>
        <w:bidi w:val="0"/>
        <w:adjustRightInd/>
        <w:snapToGrid/>
        <w:spacing w:line="560" w:lineRule="exact"/>
        <w:ind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color w:val="auto"/>
          <w:spacing w:val="0"/>
          <w:kern w:val="2"/>
          <w:sz w:val="32"/>
          <w:szCs w:val="32"/>
          <w:u w:val="none"/>
          <w:shd w:val="clear" w:color="auto" w:fill="auto"/>
          <w:lang w:eastAsia="zh-CN" w:bidi="ar-SA"/>
        </w:rPr>
        <w:t>提升</w:t>
      </w:r>
      <w:r>
        <w:rPr>
          <w:rFonts w:hint="eastAsia" w:ascii="仿宋_GB2312" w:hAnsi="仿宋_GB2312" w:eastAsia="仿宋_GB2312" w:cs="仿宋_GB2312"/>
          <w:b/>
          <w:bCs/>
          <w:i w:val="0"/>
          <w:iCs w:val="0"/>
          <w:caps w:val="0"/>
          <w:color w:val="auto"/>
          <w:spacing w:val="0"/>
          <w:sz w:val="32"/>
          <w:szCs w:val="32"/>
          <w:u w:val="none"/>
        </w:rPr>
        <w:t>信息系统安全防护</w:t>
      </w:r>
      <w:r>
        <w:rPr>
          <w:rFonts w:hint="eastAsia" w:ascii="仿宋_GB2312" w:hAnsi="仿宋_GB2312" w:eastAsia="仿宋_GB2312" w:cs="仿宋_GB2312"/>
          <w:b/>
          <w:bCs/>
          <w:i w:val="0"/>
          <w:iCs w:val="0"/>
          <w:caps w:val="0"/>
          <w:color w:val="auto"/>
          <w:spacing w:val="0"/>
          <w:sz w:val="32"/>
          <w:szCs w:val="32"/>
          <w:u w:val="none"/>
          <w:lang w:eastAsia="zh-CN"/>
        </w:rPr>
        <w:t>。</w:t>
      </w:r>
      <w:r>
        <w:rPr>
          <w:rFonts w:hint="eastAsia" w:ascii="仿宋_GB2312" w:hAnsi="仿宋_GB2312" w:eastAsia="仿宋_GB2312" w:cs="仿宋_GB2312"/>
          <w:b w:val="0"/>
          <w:bCs w:val="0"/>
          <w:i w:val="0"/>
          <w:iCs w:val="0"/>
          <w:caps w:val="0"/>
          <w:color w:val="auto"/>
          <w:spacing w:val="0"/>
          <w:sz w:val="32"/>
          <w:szCs w:val="32"/>
          <w:u w:val="none"/>
          <w:lang w:val="en-US" w:eastAsia="zh-CN"/>
        </w:rPr>
        <w:t>按期</w:t>
      </w:r>
      <w:r>
        <w:rPr>
          <w:rFonts w:hint="eastAsia" w:ascii="仿宋_GB2312" w:hAnsi="仿宋_GB2312" w:eastAsia="仿宋_GB2312" w:cs="仿宋_GB2312"/>
          <w:color w:val="000000"/>
          <w:spacing w:val="-6"/>
          <w:sz w:val="32"/>
          <w:szCs w:val="32"/>
          <w:highlight w:val="none"/>
          <w:u w:val="none"/>
          <w:lang w:val="en-US" w:eastAsia="zh-CN" w:bidi="ar"/>
        </w:rPr>
        <w:t>完成</w:t>
      </w:r>
      <w:r>
        <w:rPr>
          <w:rFonts w:hint="eastAsia" w:ascii="仿宋_GB2312" w:hAnsi="仿宋_GB2312" w:eastAsia="仿宋_GB2312" w:cs="仿宋_GB2312"/>
          <w:color w:val="000000"/>
          <w:spacing w:val="-6"/>
          <w:sz w:val="32"/>
          <w:szCs w:val="32"/>
          <w:highlight w:val="none"/>
          <w:u w:val="none"/>
          <w:lang w:bidi="ar"/>
        </w:rPr>
        <w:t>全区政务信息系统信创改造，构建以国产密码技术为核心的安全体系，为业务系统提供更加完</w:t>
      </w:r>
      <w:r>
        <w:rPr>
          <w:rFonts w:hint="eastAsia" w:ascii="仿宋_GB2312" w:hAnsi="仿宋_GB2312" w:eastAsia="仿宋_GB2312" w:cs="仿宋_GB2312"/>
          <w:color w:val="000000"/>
          <w:spacing w:val="-6"/>
          <w:sz w:val="32"/>
          <w:szCs w:val="32"/>
          <w:highlight w:val="none"/>
          <w:u w:val="none"/>
          <w:lang w:eastAsia="zh-CN" w:bidi="ar"/>
        </w:rPr>
        <w:t>善的</w:t>
      </w:r>
      <w:r>
        <w:rPr>
          <w:rFonts w:hint="eastAsia" w:ascii="仿宋_GB2312" w:hAnsi="仿宋_GB2312" w:eastAsia="仿宋_GB2312" w:cs="仿宋_GB2312"/>
          <w:color w:val="000000"/>
          <w:spacing w:val="-6"/>
          <w:sz w:val="32"/>
          <w:szCs w:val="32"/>
          <w:highlight w:val="none"/>
          <w:u w:val="none"/>
          <w:lang w:bidi="ar"/>
        </w:rPr>
        <w:t>安全环境。</w:t>
      </w:r>
      <w:r>
        <w:rPr>
          <w:rFonts w:hint="eastAsia" w:ascii="仿宋_GB2312" w:hAnsi="仿宋_GB2312" w:eastAsia="仿宋_GB2312" w:cs="仿宋_GB2312"/>
          <w:color w:val="000000"/>
          <w:spacing w:val="-6"/>
          <w:sz w:val="32"/>
          <w:szCs w:val="32"/>
          <w:lang w:bidi="ar"/>
        </w:rPr>
        <w:t>开展重要系统安全监测和应急演练，</w:t>
      </w:r>
      <w:r>
        <w:rPr>
          <w:rFonts w:hint="eastAsia" w:ascii="仿宋_GB2312" w:hAnsi="仿宋_GB2312" w:eastAsia="仿宋_GB2312" w:cs="仿宋_GB2312"/>
          <w:color w:val="000000"/>
          <w:spacing w:val="-6"/>
          <w:sz w:val="32"/>
          <w:szCs w:val="32"/>
          <w:lang w:eastAsia="zh-CN" w:bidi="ar"/>
        </w:rPr>
        <w:t>增强</w:t>
      </w:r>
      <w:r>
        <w:rPr>
          <w:rFonts w:hint="eastAsia" w:ascii="仿宋_GB2312" w:hAnsi="仿宋_GB2312" w:eastAsia="仿宋_GB2312" w:cs="仿宋_GB2312"/>
          <w:color w:val="000000"/>
          <w:spacing w:val="-4"/>
          <w:sz w:val="32"/>
          <w:szCs w:val="32"/>
          <w:lang w:bidi="ar"/>
        </w:rPr>
        <w:t>政务信息安全应急综合管理、政务网络安全威胁监测分析等能力</w:t>
      </w:r>
      <w:r>
        <w:rPr>
          <w:rFonts w:hint="eastAsia" w:ascii="仿宋_GB2312" w:hAnsi="仿宋_GB2312" w:eastAsia="仿宋_GB2312" w:cs="仿宋_GB2312"/>
          <w:color w:val="000000"/>
          <w:spacing w:val="-6"/>
          <w:sz w:val="32"/>
          <w:szCs w:val="32"/>
          <w:lang w:bidi="ar"/>
        </w:rPr>
        <w:t>。</w:t>
      </w:r>
    </w:p>
    <w:p w14:paraId="683806AF">
      <w:pPr>
        <w:keepNext w:val="0"/>
        <w:keepLines w:val="0"/>
        <w:pageBreakBefore w:val="0"/>
        <w:widowControl w:val="0"/>
        <w:wordWrap/>
        <w:topLinePunct w:val="0"/>
        <w:autoSpaceDE/>
        <w:autoSpaceDN/>
        <w:bidi w:val="0"/>
        <w:adjustRightInd/>
        <w:snapToGrid/>
        <w:spacing w:line="560" w:lineRule="exact"/>
        <w:ind w:firstLine="640" w:firstLineChars="200"/>
        <w:textAlignment w:val="auto"/>
        <w:outlineLvl w:val="0"/>
        <w:rPr>
          <w:rFonts w:hint="eastAsia" w:ascii="黑体" w:hAnsi="黑体" w:eastAsia="黑体" w:cs="Times New Roman"/>
          <w:sz w:val="32"/>
          <w:szCs w:val="32"/>
          <w:lang w:val="en-US" w:eastAsia="zh-CN"/>
        </w:rPr>
      </w:pPr>
      <w:bookmarkStart w:id="98" w:name="_Toc19392"/>
      <w:bookmarkStart w:id="99" w:name="_Toc42559069"/>
      <w:bookmarkStart w:id="100" w:name="_Toc1949799913"/>
      <w:bookmarkStart w:id="101" w:name="_Toc309432522"/>
      <w:bookmarkStart w:id="102" w:name="_Toc1457590288"/>
      <w:bookmarkStart w:id="103" w:name="_Toc1970172801"/>
      <w:bookmarkStart w:id="104" w:name="_Toc2743588"/>
      <w:bookmarkStart w:id="105" w:name="_Toc763760150"/>
      <w:bookmarkStart w:id="106" w:name="_Toc1898062191"/>
      <w:bookmarkStart w:id="107" w:name="_Toc27064"/>
      <w:bookmarkStart w:id="108" w:name="_Toc19626"/>
      <w:bookmarkStart w:id="109" w:name="_Toc23003"/>
      <w:bookmarkStart w:id="110" w:name="_Toc8202"/>
      <w:r>
        <w:rPr>
          <w:rFonts w:hint="eastAsia" w:ascii="黑体" w:hAnsi="黑体" w:eastAsia="黑体" w:cs="Times New Roman"/>
          <w:b w:val="0"/>
          <w:bCs w:val="0"/>
          <w:sz w:val="32"/>
          <w:szCs w:val="32"/>
          <w:lang w:val="en-US" w:eastAsia="zh-CN"/>
        </w:rPr>
        <w:t>五、着力推动以数据要素全面赋能特色产业发展</w:t>
      </w:r>
      <w:bookmarkEnd w:id="98"/>
      <w:bookmarkEnd w:id="99"/>
      <w:bookmarkEnd w:id="100"/>
      <w:bookmarkEnd w:id="101"/>
      <w:bookmarkEnd w:id="102"/>
      <w:bookmarkEnd w:id="103"/>
      <w:bookmarkEnd w:id="104"/>
      <w:bookmarkEnd w:id="105"/>
      <w:bookmarkEnd w:id="106"/>
    </w:p>
    <w:p w14:paraId="2981B421">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left"/>
        <w:textAlignment w:val="auto"/>
        <w:outlineLvl w:val="1"/>
        <w:rPr>
          <w:rFonts w:hint="eastAsia" w:ascii="楷体_GB2312" w:hAnsi="楷体_GB2312" w:eastAsia="楷体_GB2312" w:cs="楷体_GB2312"/>
          <w:sz w:val="32"/>
          <w:szCs w:val="32"/>
          <w:lang w:val="en-US" w:eastAsia="zh-CN"/>
        </w:rPr>
      </w:pPr>
      <w:bookmarkStart w:id="111" w:name="_Toc1574487867"/>
      <w:bookmarkStart w:id="112" w:name="_Toc178218232"/>
      <w:bookmarkStart w:id="113" w:name="_Toc3689"/>
      <w:bookmarkStart w:id="114" w:name="_Toc595721963"/>
      <w:bookmarkStart w:id="115" w:name="_Toc1374009087"/>
      <w:bookmarkStart w:id="116" w:name="_Toc24204"/>
      <w:bookmarkStart w:id="117" w:name="_Toc1834168218"/>
      <w:bookmarkStart w:id="118" w:name="_Toc643913314"/>
      <w:bookmarkStart w:id="119" w:name="_Toc811008146"/>
      <w:bookmarkStart w:id="120" w:name="_Toc1986743825"/>
      <w:bookmarkStart w:id="121" w:name="_Toc2009151599"/>
      <w:bookmarkStart w:id="122" w:name="_Toc1014326929"/>
      <w:r>
        <w:rPr>
          <w:rFonts w:hint="eastAsia" w:ascii="楷体_GB2312" w:hAnsi="楷体_GB2312" w:eastAsia="楷体_GB2312" w:cs="楷体_GB2312"/>
          <w:sz w:val="32"/>
          <w:szCs w:val="32"/>
          <w:lang w:val="en-US" w:eastAsia="zh-CN"/>
        </w:rPr>
        <w:t>（一）培育数据要素市场</w:t>
      </w:r>
      <w:bookmarkEnd w:id="111"/>
      <w:bookmarkEnd w:id="112"/>
      <w:bookmarkEnd w:id="113"/>
      <w:bookmarkEnd w:id="114"/>
      <w:bookmarkEnd w:id="115"/>
      <w:bookmarkEnd w:id="116"/>
      <w:bookmarkEnd w:id="117"/>
      <w:bookmarkEnd w:id="118"/>
      <w:bookmarkEnd w:id="119"/>
      <w:bookmarkEnd w:id="120"/>
      <w:bookmarkEnd w:id="121"/>
      <w:bookmarkEnd w:id="122"/>
    </w:p>
    <w:p w14:paraId="403DC652">
      <w:pPr>
        <w:keepNext w:val="0"/>
        <w:keepLines w:val="0"/>
        <w:pageBreakBefore w:val="0"/>
        <w:kinsoku/>
        <w:wordWrap/>
        <w:overflowPunct/>
        <w:topLinePunct w:val="0"/>
        <w:autoSpaceDE/>
        <w:autoSpaceDN/>
        <w:bidi w:val="0"/>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布局数据基础设施。</w:t>
      </w:r>
      <w:bookmarkStart w:id="123" w:name="_Toc26287"/>
      <w:r>
        <w:rPr>
          <w:rFonts w:hint="eastAsia" w:ascii="仿宋_GB2312" w:hAnsi="仿宋_GB2312" w:eastAsia="仿宋_GB2312" w:cs="仿宋_GB2312"/>
          <w:b w:val="0"/>
          <w:bCs w:val="0"/>
          <w:sz w:val="32"/>
          <w:szCs w:val="32"/>
          <w:lang w:val="en-US" w:eastAsia="zh-CN"/>
        </w:rPr>
        <w:t>有序</w:t>
      </w:r>
      <w:r>
        <w:rPr>
          <w:rFonts w:hint="eastAsia" w:ascii="仿宋_GB2312" w:hAnsi="仿宋_GB2312" w:eastAsia="仿宋_GB2312" w:cs="仿宋_GB2312"/>
          <w:color w:val="auto"/>
          <w:kern w:val="0"/>
          <w:sz w:val="32"/>
          <w:szCs w:val="32"/>
          <w:highlight w:val="none"/>
        </w:rPr>
        <w:t>对接国家与北京市数据基础设施重大布局</w:t>
      </w:r>
      <w:bookmarkEnd w:id="123"/>
      <w:r>
        <w:rPr>
          <w:rFonts w:hint="eastAsia" w:ascii="仿宋_GB2312" w:hAnsi="仿宋_GB2312" w:eastAsia="仿宋_GB2312" w:cs="仿宋_GB2312"/>
          <w:b w:val="0"/>
          <w:bCs w:val="0"/>
          <w:color w:val="auto"/>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rPr>
        <w:t>聚焦农业、物流、文旅等区域特色产业，</w:t>
      </w:r>
      <w:r>
        <w:rPr>
          <w:rFonts w:hint="eastAsia" w:ascii="仿宋_GB2312" w:hAnsi="仿宋_GB2312" w:eastAsia="仿宋_GB2312" w:cs="仿宋_GB2312"/>
          <w:color w:val="auto"/>
          <w:kern w:val="0"/>
          <w:sz w:val="32"/>
          <w:szCs w:val="32"/>
          <w:highlight w:val="none"/>
          <w:lang w:val="en-US" w:eastAsia="zh-CN" w:bidi="ar-SA"/>
        </w:rPr>
        <w:t>积极鼓励行业龙头与平台企业建设和运营行业级可信数据空间，带动供应链上下游企业、生态合作伙伴等协同联动发展。</w:t>
      </w:r>
      <w:r>
        <w:rPr>
          <w:rFonts w:hint="eastAsia" w:ascii="仿宋_GB2312" w:hAnsi="仿宋_GB2312" w:eastAsia="仿宋_GB2312" w:cs="仿宋_GB2312"/>
          <w:sz w:val="32"/>
          <w:szCs w:val="32"/>
        </w:rPr>
        <w:t>深入开展“数据要素×”和“人工智能+”行动，</w:t>
      </w:r>
      <w:r>
        <w:rPr>
          <w:rFonts w:hint="eastAsia" w:ascii="仿宋_GB2312" w:hAnsi="仿宋_GB2312" w:eastAsia="仿宋_GB2312" w:cs="仿宋_GB2312"/>
          <w:sz w:val="32"/>
          <w:szCs w:val="32"/>
          <w:lang w:val="en-US" w:eastAsia="zh-CN"/>
        </w:rPr>
        <w:t>促进</w:t>
      </w:r>
      <w:r>
        <w:rPr>
          <w:rFonts w:hint="eastAsia" w:ascii="仿宋_GB2312" w:hAnsi="仿宋_GB2312" w:eastAsia="仿宋_GB2312" w:cs="仿宋_GB2312"/>
          <w:sz w:val="32"/>
          <w:szCs w:val="32"/>
        </w:rPr>
        <w:t>数据应用与人工智能实现协同发展。</w:t>
      </w:r>
    </w:p>
    <w:p w14:paraId="49AD4E4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3" w:firstLineChars="200"/>
        <w:jc w:val="both"/>
        <w:textAlignment w:val="auto"/>
        <w:outlineLvl w:val="9"/>
        <w:rPr>
          <w:rFonts w:hint="eastAsia" w:ascii="仿宋_GB2312" w:hAnsi="仿宋_GB2312" w:eastAsia="仿宋_GB2312" w:cs="仿宋_GB2312"/>
          <w:i w:val="0"/>
          <w:iCs w:val="0"/>
          <w:caps w:val="0"/>
          <w:color w:val="auto"/>
          <w:spacing w:val="0"/>
          <w:kern w:val="0"/>
          <w:sz w:val="32"/>
          <w:szCs w:val="32"/>
          <w:highlight w:val="none"/>
          <w:u w:val="none"/>
          <w:lang w:val="en-US" w:eastAsia="zh-CN"/>
        </w:rPr>
      </w:pPr>
      <w:r>
        <w:rPr>
          <w:rFonts w:hint="eastAsia" w:ascii="仿宋_GB2312" w:hAnsi="仿宋_GB2312" w:eastAsia="仿宋_GB2312" w:cs="仿宋_GB2312"/>
          <w:b/>
          <w:bCs/>
          <w:sz w:val="32"/>
          <w:szCs w:val="32"/>
          <w:lang w:val="en-US" w:eastAsia="zh-CN"/>
        </w:rPr>
        <w:t>促进数据流通交易。</w:t>
      </w:r>
      <w:r>
        <w:rPr>
          <w:rFonts w:hint="eastAsia" w:ascii="仿宋_GB2312" w:hAnsi="仿宋_GB2312" w:eastAsia="仿宋_GB2312" w:cs="仿宋_GB2312"/>
          <w:kern w:val="2"/>
          <w:sz w:val="32"/>
          <w:szCs w:val="32"/>
          <w:lang w:val="en-US" w:eastAsia="zh-CN" w:bidi="ar-SA"/>
        </w:rPr>
        <w:t>依托北京国际大数据交易所平谷数据要素服务中心，支持区内企业开</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展数据合规审查</w:t>
      </w:r>
      <w:r>
        <w:rPr>
          <w:rFonts w:hint="eastAsia" w:ascii="仿宋_GB2312" w:hAnsi="仿宋_GB2312" w:eastAsia="仿宋_GB2312" w:cs="仿宋_GB2312"/>
          <w:kern w:val="2"/>
          <w:sz w:val="32"/>
          <w:szCs w:val="32"/>
          <w:lang w:val="en-US" w:eastAsia="zh-CN" w:bidi="ar-SA"/>
        </w:rPr>
        <w:t>、数据产权</w:t>
      </w:r>
      <w:r>
        <w:rPr>
          <w:rFonts w:hint="eastAsia" w:ascii="仿宋_GB2312" w:hAnsi="仿宋_GB2312" w:eastAsia="仿宋_GB2312" w:cs="仿宋_GB2312"/>
          <w:color w:val="auto"/>
          <w:kern w:val="0"/>
          <w:sz w:val="32"/>
          <w:szCs w:val="32"/>
          <w:highlight w:val="none"/>
          <w:lang w:val="en-US" w:eastAsia="zh-CN"/>
        </w:rPr>
        <w:t>登记、数据价值评估、数据供需撮合、数据产品交易</w:t>
      </w:r>
      <w:r>
        <w:rPr>
          <w:rFonts w:hint="eastAsia" w:ascii="仿宋_GB2312" w:hAnsi="仿宋_GB2312" w:eastAsia="仿宋_GB2312" w:cs="仿宋_GB2312"/>
          <w:kern w:val="2"/>
          <w:sz w:val="32"/>
          <w:szCs w:val="32"/>
          <w:lang w:val="en-US" w:eastAsia="zh-CN" w:bidi="ar-SA"/>
        </w:rPr>
        <w:t>等活动，鼓励发展数据资源、数据资产、数据产品等多类型数据流通交易</w:t>
      </w:r>
      <w:r>
        <w:rPr>
          <w:rFonts w:hint="eastAsia" w:ascii="仿宋_GB2312" w:hAnsi="仿宋_GB2312" w:eastAsia="仿宋_GB2312" w:cs="仿宋_GB2312"/>
          <w:color w:val="auto"/>
          <w:kern w:val="2"/>
          <w:sz w:val="32"/>
          <w:szCs w:val="32"/>
          <w:highlight w:val="none"/>
        </w:rPr>
        <w:t>。</w:t>
      </w:r>
      <w:r>
        <w:rPr>
          <w:rFonts w:hint="eastAsia" w:ascii="仿宋_GB2312" w:hAnsi="仿宋_GB2312" w:eastAsia="仿宋_GB2312" w:cs="仿宋_GB2312"/>
          <w:i w:val="0"/>
          <w:iCs w:val="0"/>
          <w:caps w:val="0"/>
          <w:color w:val="auto"/>
          <w:spacing w:val="0"/>
          <w:kern w:val="0"/>
          <w:sz w:val="32"/>
          <w:szCs w:val="32"/>
          <w:highlight w:val="none"/>
          <w:u w:val="none"/>
        </w:rPr>
        <w:t>鼓励</w:t>
      </w:r>
      <w:r>
        <w:rPr>
          <w:rFonts w:hint="eastAsia" w:ascii="仿宋_GB2312" w:hAnsi="仿宋_GB2312" w:eastAsia="仿宋_GB2312" w:cs="仿宋_GB2312"/>
          <w:i w:val="0"/>
          <w:iCs w:val="0"/>
          <w:caps w:val="0"/>
          <w:color w:val="auto"/>
          <w:spacing w:val="0"/>
          <w:kern w:val="0"/>
          <w:sz w:val="32"/>
          <w:szCs w:val="32"/>
          <w:highlight w:val="none"/>
          <w:u w:val="none"/>
          <w:lang w:eastAsia="zh-CN"/>
        </w:rPr>
        <w:t>区内重点</w:t>
      </w:r>
      <w:r>
        <w:rPr>
          <w:rFonts w:hint="eastAsia" w:ascii="仿宋_GB2312" w:hAnsi="仿宋_GB2312" w:eastAsia="仿宋_GB2312" w:cs="仿宋_GB2312"/>
          <w:i w:val="0"/>
          <w:iCs w:val="0"/>
          <w:caps w:val="0"/>
          <w:color w:val="auto"/>
          <w:spacing w:val="0"/>
          <w:kern w:val="0"/>
          <w:sz w:val="32"/>
          <w:szCs w:val="32"/>
          <w:highlight w:val="none"/>
          <w:u w:val="none"/>
        </w:rPr>
        <w:t>企业采取共享开放、交换交易、资源置换等多种方式流通数据，促进数据产品和服务创新。</w:t>
      </w:r>
    </w:p>
    <w:p w14:paraId="1680ED90">
      <w:pPr>
        <w:pStyle w:val="1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3" w:firstLineChars="200"/>
        <w:jc w:val="both"/>
        <w:textAlignment w:val="auto"/>
        <w:outlineLvl w:val="9"/>
        <w:rPr>
          <w:rFonts w:hint="eastAsia" w:ascii="Times New Roman" w:hAnsi="Times New Roman" w:eastAsia="仿宋_GB2312" w:cs="Times New Roman"/>
          <w:color w:val="auto"/>
          <w:kern w:val="0"/>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培育数据产业发展。</w:t>
      </w:r>
      <w:r>
        <w:rPr>
          <w:rFonts w:hint="eastAsia" w:ascii="仿宋_GB2312" w:hAnsi="仿宋_GB2312" w:eastAsia="仿宋_GB2312" w:cs="仿宋_GB2312"/>
          <w:b w:val="0"/>
          <w:bCs w:val="0"/>
          <w:kern w:val="2"/>
          <w:sz w:val="32"/>
          <w:szCs w:val="32"/>
          <w:highlight w:val="none"/>
          <w:lang w:val="en-US" w:eastAsia="zh-CN" w:bidi="ar-SA"/>
        </w:rPr>
        <w:t>将数据要素市场培育工作</w:t>
      </w:r>
      <w:r>
        <w:rPr>
          <w:rFonts w:hint="eastAsia" w:ascii="仿宋_GB2312" w:hAnsi="仿宋_GB2312" w:eastAsia="仿宋_GB2312" w:cs="仿宋_GB2312"/>
          <w:color w:val="auto"/>
          <w:kern w:val="0"/>
          <w:sz w:val="32"/>
          <w:szCs w:val="32"/>
          <w:highlight w:val="none"/>
          <w:lang w:val="en-US" w:eastAsia="zh-CN" w:bidi="ar-SA"/>
        </w:rPr>
        <w:t>融入北京市数据要素综合试验区建设，</w:t>
      </w:r>
      <w:r>
        <w:rPr>
          <w:rFonts w:hint="eastAsia" w:ascii="仿宋_GB2312" w:hAnsi="仿宋_GB2312" w:eastAsia="仿宋_GB2312" w:cs="仿宋_GB2312"/>
          <w:i w:val="0"/>
          <w:iCs w:val="0"/>
          <w:caps w:val="0"/>
          <w:color w:val="auto"/>
          <w:spacing w:val="0"/>
          <w:kern w:val="0"/>
          <w:sz w:val="32"/>
          <w:szCs w:val="32"/>
          <w:highlight w:val="none"/>
          <w:u w:val="none"/>
        </w:rPr>
        <w:t>发挥数据流动不受地理区位限制的优势，</w:t>
      </w:r>
      <w:r>
        <w:rPr>
          <w:rFonts w:hint="eastAsia" w:ascii="仿宋_GB2312" w:hAnsi="仿宋_GB2312" w:eastAsia="仿宋_GB2312" w:cs="仿宋_GB2312"/>
          <w:i w:val="0"/>
          <w:iCs w:val="0"/>
          <w:caps w:val="0"/>
          <w:color w:val="auto"/>
          <w:spacing w:val="0"/>
          <w:kern w:val="0"/>
          <w:sz w:val="32"/>
          <w:szCs w:val="32"/>
          <w:highlight w:val="none"/>
          <w:u w:val="none"/>
          <w:lang w:val="en-US" w:eastAsia="zh-CN"/>
        </w:rPr>
        <w:t>推进农业、物流、文旅等特色领域数据产业集聚</w:t>
      </w:r>
      <w:r>
        <w:rPr>
          <w:rFonts w:hint="eastAsia" w:ascii="仿宋_GB2312" w:hAnsi="仿宋_GB2312" w:eastAsia="仿宋_GB2312" w:cs="仿宋_GB2312"/>
          <w:i w:val="0"/>
          <w:iCs w:val="0"/>
          <w:caps w:val="0"/>
          <w:color w:val="auto"/>
          <w:spacing w:val="0"/>
          <w:kern w:val="0"/>
          <w:sz w:val="32"/>
          <w:szCs w:val="32"/>
          <w:highlight w:val="none"/>
          <w:u w:val="none"/>
        </w:rPr>
        <w:t>，为数据企业用数、用云、用</w:t>
      </w:r>
      <w:r>
        <w:rPr>
          <w:rFonts w:hint="eastAsia" w:ascii="仿宋_GB2312" w:hAnsi="仿宋_GB2312" w:eastAsia="仿宋_GB2312" w:cs="仿宋_GB2312"/>
          <w:i w:val="0"/>
          <w:iCs w:val="0"/>
          <w:caps w:val="0"/>
          <w:color w:val="auto"/>
          <w:spacing w:val="0"/>
          <w:kern w:val="0"/>
          <w:sz w:val="32"/>
          <w:szCs w:val="32"/>
          <w:highlight w:val="none"/>
          <w:u w:val="none"/>
          <w:lang w:val="en-US" w:eastAsia="zh-CN"/>
        </w:rPr>
        <w:t>算</w:t>
      </w:r>
      <w:r>
        <w:rPr>
          <w:rFonts w:hint="eastAsia" w:ascii="仿宋_GB2312" w:hAnsi="仿宋_GB2312" w:eastAsia="仿宋_GB2312" w:cs="仿宋_GB2312"/>
          <w:i w:val="0"/>
          <w:iCs w:val="0"/>
          <w:caps w:val="0"/>
          <w:color w:val="auto"/>
          <w:spacing w:val="0"/>
          <w:kern w:val="0"/>
          <w:sz w:val="32"/>
          <w:szCs w:val="32"/>
          <w:highlight w:val="none"/>
          <w:u w:val="none"/>
        </w:rPr>
        <w:t>、用地和人才引进等提供便利政策。加强产学研用协作，打造数据产业创新联合体，构建大中小企业融通发展、产业链上下游协同创新的生态体系。</w:t>
      </w:r>
    </w:p>
    <w:p w14:paraId="024ABAAE">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left"/>
        <w:textAlignment w:val="auto"/>
        <w:outlineLvl w:val="9"/>
        <w:rPr>
          <w:rFonts w:hint="eastAsia" w:ascii="楷体_GB2312" w:hAnsi="楷体_GB2312" w:eastAsia="楷体_GB2312" w:cs="楷体_GB2312"/>
          <w:sz w:val="32"/>
          <w:szCs w:val="32"/>
          <w:lang w:val="en-US" w:eastAsia="zh-CN"/>
        </w:rPr>
      </w:pPr>
      <w:bookmarkStart w:id="124" w:name="_Toc2127723219"/>
      <w:bookmarkStart w:id="125" w:name="_Toc730269827"/>
      <w:bookmarkStart w:id="126" w:name="_Toc15318"/>
      <w:bookmarkStart w:id="127" w:name="_Toc19501"/>
      <w:bookmarkStart w:id="128" w:name="_Toc1067505817"/>
      <w:bookmarkStart w:id="129" w:name="_Toc1124082335"/>
      <w:bookmarkStart w:id="130" w:name="_Toc535202313"/>
      <w:bookmarkStart w:id="131" w:name="_Toc1884970888"/>
      <w:bookmarkStart w:id="132" w:name="_Toc1080971165"/>
      <w:bookmarkStart w:id="133" w:name="_Toc778058965"/>
      <w:bookmarkStart w:id="134" w:name="_Toc1721621306"/>
      <w:bookmarkStart w:id="135" w:name="_Toc1079069018"/>
    </w:p>
    <w:p w14:paraId="0537D3B6">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left"/>
        <w:textAlignment w:val="auto"/>
        <w:outlineLvl w:val="9"/>
        <w:rPr>
          <w:rFonts w:hint="eastAsia" w:ascii="楷体_GB2312" w:hAnsi="楷体_GB2312" w:eastAsia="楷体_GB2312" w:cs="楷体_GB2312"/>
          <w:sz w:val="32"/>
          <w:szCs w:val="32"/>
          <w:lang w:val="en-US" w:eastAsia="zh-CN"/>
        </w:rPr>
      </w:pPr>
    </w:p>
    <w:p w14:paraId="6B074714">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left"/>
        <w:textAlignment w:val="auto"/>
        <w:outlineLvl w:val="1"/>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（二）推进“数据要素×农业中关村”</w:t>
      </w:r>
      <w:bookmarkEnd w:id="124"/>
      <w:bookmarkEnd w:id="125"/>
      <w:bookmarkEnd w:id="126"/>
      <w:bookmarkEnd w:id="127"/>
      <w:r>
        <w:rPr>
          <w:rFonts w:hint="eastAsia" w:ascii="楷体_GB2312" w:hAnsi="楷体_GB2312" w:eastAsia="楷体_GB2312" w:cs="楷体_GB2312"/>
          <w:sz w:val="32"/>
          <w:szCs w:val="32"/>
          <w:lang w:val="en-US" w:eastAsia="zh-CN"/>
        </w:rPr>
        <w:t>建设</w:t>
      </w:r>
      <w:bookmarkEnd w:id="128"/>
      <w:bookmarkEnd w:id="129"/>
      <w:bookmarkEnd w:id="130"/>
      <w:bookmarkEnd w:id="131"/>
      <w:bookmarkEnd w:id="132"/>
      <w:bookmarkEnd w:id="133"/>
      <w:bookmarkEnd w:id="134"/>
      <w:bookmarkEnd w:id="135"/>
    </w:p>
    <w:p w14:paraId="1BE260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43"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color w:val="auto"/>
          <w:sz w:val="32"/>
          <w:szCs w:val="32"/>
          <w:highlight w:val="none"/>
          <w:lang w:val="en-US" w:eastAsia="zh-CN"/>
        </w:rPr>
        <w:t>加快全市智慧农业引领区建设。</w:t>
      </w:r>
      <w:r>
        <w:rPr>
          <w:rFonts w:hint="eastAsia" w:ascii="仿宋_GB2312" w:hAnsi="仿宋_GB2312" w:eastAsia="仿宋_GB2312" w:cs="仿宋_GB2312"/>
          <w:b w:val="0"/>
          <w:bCs w:val="0"/>
          <w:color w:val="auto"/>
          <w:sz w:val="32"/>
          <w:szCs w:val="32"/>
          <w:highlight w:val="none"/>
          <w:lang w:val="en-US" w:eastAsia="zh-CN"/>
        </w:rPr>
        <w:t>依托</w:t>
      </w:r>
      <w:r>
        <w:rPr>
          <w:rFonts w:ascii="仿宋_GB2312" w:hAnsi="仿宋_GB2312" w:eastAsia="仿宋_GB2312" w:cs="仿宋_GB2312"/>
          <w:color w:val="000000"/>
          <w:kern w:val="0"/>
          <w:sz w:val="31"/>
          <w:szCs w:val="31"/>
          <w:lang w:val="en-US" w:eastAsia="zh-CN" w:bidi="ar"/>
        </w:rPr>
        <w:t>农业中关村核心区</w:t>
      </w:r>
      <w:r>
        <w:rPr>
          <w:rFonts w:hint="eastAsia" w:ascii="仿宋_GB2312" w:hAnsi="仿宋_GB2312" w:eastAsia="仿宋_GB2312" w:cs="仿宋_GB2312"/>
          <w:color w:val="000000"/>
          <w:kern w:val="0"/>
          <w:sz w:val="31"/>
          <w:szCs w:val="31"/>
          <w:lang w:val="en-US" w:eastAsia="zh-CN" w:bidi="ar"/>
        </w:rPr>
        <w:t>建设</w:t>
      </w:r>
      <w:r>
        <w:rPr>
          <w:rFonts w:ascii="仿宋_GB2312" w:hAnsi="仿宋_GB2312" w:eastAsia="仿宋_GB2312" w:cs="仿宋_GB2312"/>
          <w:color w:val="000000"/>
          <w:kern w:val="0"/>
          <w:sz w:val="31"/>
          <w:szCs w:val="31"/>
          <w:lang w:val="en-US" w:eastAsia="zh-CN" w:bidi="ar"/>
        </w:rPr>
        <w:t>，</w:t>
      </w:r>
      <w:r>
        <w:rPr>
          <w:rFonts w:hint="eastAsia" w:ascii="仿宋_GB2312" w:hAnsi="仿宋_GB2312" w:eastAsia="仿宋_GB2312" w:cs="仿宋_GB2312"/>
          <w:color w:val="000000"/>
          <w:kern w:val="0"/>
          <w:sz w:val="31"/>
          <w:szCs w:val="31"/>
          <w:lang w:val="en-US" w:eastAsia="zh-CN" w:bidi="ar"/>
        </w:rPr>
        <w:t>加快打造</w:t>
      </w:r>
      <w:r>
        <w:rPr>
          <w:rFonts w:ascii="仿宋_GB2312" w:hAnsi="仿宋_GB2312" w:eastAsia="仿宋_GB2312" w:cs="仿宋_GB2312"/>
          <w:color w:val="000000"/>
          <w:kern w:val="0"/>
          <w:sz w:val="31"/>
          <w:szCs w:val="31"/>
          <w:lang w:val="en-US" w:eastAsia="zh-CN" w:bidi="ar"/>
        </w:rPr>
        <w:t>全市智慧农业引领区，推动智能育种、智慧种植、智慧养殖、智能装备、农业全产业链数字化建设应用。</w:t>
      </w:r>
      <w:r>
        <w:rPr>
          <w:rFonts w:hint="eastAsia" w:ascii="仿宋_GB2312" w:hAnsi="仿宋_GB2312" w:eastAsia="仿宋_GB2312" w:cs="仿宋_GB2312"/>
          <w:color w:val="000000"/>
          <w:kern w:val="0"/>
          <w:sz w:val="31"/>
          <w:szCs w:val="31"/>
          <w:lang w:val="en-US" w:eastAsia="zh-CN" w:bidi="ar"/>
        </w:rPr>
        <w:t>强化</w:t>
      </w:r>
      <w:r>
        <w:rPr>
          <w:rFonts w:ascii="仿宋_GB2312" w:hAnsi="仿宋_GB2312" w:eastAsia="仿宋_GB2312" w:cs="仿宋_GB2312"/>
          <w:color w:val="000000"/>
          <w:kern w:val="0"/>
          <w:sz w:val="31"/>
          <w:szCs w:val="31"/>
          <w:lang w:val="en-US" w:eastAsia="zh-CN" w:bidi="ar"/>
        </w:rPr>
        <w:t>农业农村</w:t>
      </w:r>
      <w:r>
        <w:rPr>
          <w:rFonts w:hint="eastAsia" w:ascii="仿宋_GB2312" w:hAnsi="仿宋_GB2312" w:eastAsia="仿宋_GB2312" w:cs="仿宋_GB2312"/>
          <w:color w:val="000000"/>
          <w:kern w:val="0"/>
          <w:sz w:val="31"/>
          <w:szCs w:val="31"/>
          <w:lang w:val="en-US" w:eastAsia="zh-CN" w:bidi="ar"/>
        </w:rPr>
        <w:t>行业</w:t>
      </w:r>
      <w:r>
        <w:rPr>
          <w:rFonts w:ascii="仿宋_GB2312" w:hAnsi="仿宋_GB2312" w:eastAsia="仿宋_GB2312" w:cs="仿宋_GB2312"/>
          <w:color w:val="000000"/>
          <w:kern w:val="0"/>
          <w:sz w:val="31"/>
          <w:szCs w:val="31"/>
          <w:lang w:val="en-US" w:eastAsia="zh-CN" w:bidi="ar"/>
        </w:rPr>
        <w:t>大数据</w:t>
      </w:r>
      <w:r>
        <w:rPr>
          <w:rFonts w:hint="eastAsia" w:ascii="仿宋_GB2312" w:hAnsi="仿宋_GB2312" w:eastAsia="仿宋_GB2312" w:cs="仿宋_GB2312"/>
          <w:color w:val="000000"/>
          <w:kern w:val="0"/>
          <w:sz w:val="31"/>
          <w:szCs w:val="31"/>
          <w:lang w:val="en-US" w:eastAsia="zh-CN" w:bidi="ar"/>
        </w:rPr>
        <w:t>体系建设，</w:t>
      </w:r>
      <w:r>
        <w:rPr>
          <w:rFonts w:ascii="仿宋_GB2312" w:hAnsi="仿宋_GB2312" w:eastAsia="仿宋_GB2312" w:cs="仿宋_GB2312"/>
          <w:color w:val="000000"/>
          <w:kern w:val="0"/>
          <w:sz w:val="31"/>
          <w:szCs w:val="31"/>
          <w:lang w:val="en-US" w:eastAsia="zh-CN" w:bidi="ar"/>
        </w:rPr>
        <w:t>汇聚农业物联网、遥感、生产、市场、金融、互联网等涉农多源数据</w:t>
      </w:r>
      <w:r>
        <w:rPr>
          <w:rFonts w:hint="eastAsia" w:ascii="仿宋_GB2312" w:hAnsi="仿宋_GB2312" w:eastAsia="仿宋_GB2312" w:cs="仿宋_GB2312"/>
          <w:color w:val="000000"/>
          <w:kern w:val="0"/>
          <w:sz w:val="31"/>
          <w:szCs w:val="31"/>
          <w:lang w:val="en-US" w:eastAsia="zh-CN" w:bidi="ar"/>
        </w:rPr>
        <w:t>，</w:t>
      </w:r>
      <w:r>
        <w:rPr>
          <w:rFonts w:hint="eastAsia" w:ascii="仿宋_GB2312" w:hAnsi="仿宋_GB2312" w:eastAsia="仿宋_GB2312" w:cs="仿宋_GB2312"/>
          <w:sz w:val="32"/>
          <w:szCs w:val="32"/>
          <w:highlight w:val="none"/>
        </w:rPr>
        <w:t>打通粮、菜、果、畜重要农产品在生产、流通、储备等环节的跨部门数据壁垒，推动农业</w:t>
      </w:r>
      <w:r>
        <w:rPr>
          <w:rFonts w:hint="eastAsia" w:ascii="仿宋_GB2312" w:hAnsi="仿宋_GB2312" w:eastAsia="仿宋_GB2312" w:cs="仿宋_GB2312"/>
          <w:sz w:val="32"/>
          <w:szCs w:val="32"/>
          <w:highlight w:val="none"/>
          <w:lang w:val="en-US" w:eastAsia="zh-CN"/>
        </w:rPr>
        <w:t>大</w:t>
      </w:r>
      <w:r>
        <w:rPr>
          <w:rFonts w:hint="eastAsia" w:ascii="仿宋_GB2312" w:hAnsi="仿宋_GB2312" w:eastAsia="仿宋_GB2312" w:cs="仿宋_GB2312"/>
          <w:sz w:val="32"/>
          <w:szCs w:val="32"/>
          <w:highlight w:val="none"/>
        </w:rPr>
        <w:t>数据资源深度融合与创新应用。</w:t>
      </w:r>
      <w:r>
        <w:rPr>
          <w:rFonts w:hint="eastAsia" w:ascii="仿宋_GB2312" w:hAnsi="仿宋_GB2312" w:eastAsia="仿宋_GB2312" w:cs="仿宋_GB2312"/>
          <w:sz w:val="32"/>
          <w:szCs w:val="32"/>
          <w:highlight w:val="none"/>
          <w:lang w:val="en-US" w:eastAsia="zh-CN"/>
        </w:rPr>
        <w:t>鼓励生猪、蛋鸡等企业建设行业大数据平台，深化大数据在农业产业链的创新应用。</w:t>
      </w:r>
    </w:p>
    <w:p w14:paraId="545C23EE">
      <w:pPr>
        <w:keepNext w:val="0"/>
        <w:keepLines w:val="0"/>
        <w:pageBreakBefore w:val="0"/>
        <w:widowControl/>
        <w:kinsoku/>
        <w:wordWrap/>
        <w:overflowPunct/>
        <w:topLinePunct w:val="0"/>
        <w:autoSpaceDE/>
        <w:autoSpaceDN/>
        <w:bidi w:val="0"/>
        <w:adjustRightInd/>
        <w:snapToGrid/>
        <w:spacing w:after="0" w:line="560" w:lineRule="exact"/>
        <w:ind w:firstLine="643"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推动智慧农业重点领域</w:t>
      </w:r>
      <w:r>
        <w:rPr>
          <w:rFonts w:hint="eastAsia" w:ascii="仿宋_GB2312" w:hAnsi="仿宋_GB2312" w:eastAsia="仿宋_GB2312" w:cs="仿宋_GB2312"/>
          <w:b/>
          <w:bCs/>
          <w:sz w:val="32"/>
          <w:szCs w:val="32"/>
          <w:highlight w:val="none"/>
          <w:shd w:val="clear" w:color="auto" w:fill="FFFFFF"/>
          <w:lang w:val="en-US" w:eastAsia="zh-CN" w:bidi="ar"/>
        </w:rPr>
        <w:t>拓展应用</w:t>
      </w:r>
      <w:r>
        <w:rPr>
          <w:rFonts w:hint="eastAsia" w:ascii="仿宋_GB2312" w:hAnsi="仿宋_GB2312" w:eastAsia="仿宋_GB2312" w:cs="仿宋_GB2312"/>
          <w:b/>
          <w:bCs/>
          <w:sz w:val="32"/>
          <w:szCs w:val="32"/>
          <w:highlight w:val="none"/>
          <w:shd w:val="clear"/>
          <w:lang w:eastAsia="zh-CN" w:bidi="ar"/>
        </w:rPr>
        <w:t>。</w:t>
      </w:r>
      <w:r>
        <w:rPr>
          <w:rFonts w:hint="eastAsia" w:ascii="仿宋_GB2312" w:hAnsi="仿宋_GB2312" w:eastAsia="仿宋_GB2312" w:cs="仿宋_GB2312"/>
          <w:b w:val="0"/>
          <w:bCs w:val="0"/>
          <w:sz w:val="32"/>
          <w:szCs w:val="32"/>
          <w:highlight w:val="none"/>
          <w:shd w:val="clear"/>
          <w:lang w:val="en-US" w:eastAsia="zh-CN" w:bidi="ar"/>
        </w:rPr>
        <w:t>基于</w:t>
      </w:r>
      <w:r>
        <w:rPr>
          <w:rFonts w:hint="eastAsia" w:ascii="仿宋_GB2312" w:hAnsi="仿宋_GB2312" w:eastAsia="仿宋_GB2312" w:cs="仿宋_GB2312"/>
          <w:b w:val="0"/>
          <w:bCs w:val="0"/>
          <w:color w:val="auto"/>
          <w:sz w:val="32"/>
          <w:szCs w:val="32"/>
          <w:highlight w:val="none"/>
          <w:shd w:val="clear"/>
          <w:lang w:eastAsia="zh-CN" w:bidi="ar"/>
        </w:rPr>
        <w:t>国家现代农业（畜禽种业）产业园、良种蛋鸡产业集群等</w:t>
      </w:r>
      <w:r>
        <w:rPr>
          <w:rFonts w:hint="eastAsia" w:ascii="仿宋_GB2312" w:hAnsi="仿宋_GB2312" w:eastAsia="仿宋_GB2312" w:cs="仿宋_GB2312"/>
          <w:b w:val="0"/>
          <w:bCs w:val="0"/>
          <w:color w:val="auto"/>
          <w:sz w:val="32"/>
          <w:szCs w:val="32"/>
          <w:highlight w:val="none"/>
          <w:shd w:val="clear"/>
          <w:lang w:val="en-US" w:eastAsia="zh-CN" w:bidi="ar"/>
        </w:rPr>
        <w:t>建设</w:t>
      </w:r>
      <w:r>
        <w:rPr>
          <w:rFonts w:hint="eastAsia" w:ascii="仿宋_GB2312" w:hAnsi="仿宋_GB2312" w:eastAsia="仿宋_GB2312" w:cs="仿宋_GB2312"/>
          <w:b w:val="0"/>
          <w:bCs w:val="0"/>
          <w:color w:val="auto"/>
          <w:sz w:val="32"/>
          <w:szCs w:val="32"/>
          <w:highlight w:val="none"/>
          <w:shd w:val="clear"/>
          <w:lang w:eastAsia="zh-CN" w:bidi="ar"/>
        </w:rPr>
        <w:t>成果，</w:t>
      </w:r>
      <w:r>
        <w:rPr>
          <w:rFonts w:hint="eastAsia" w:ascii="仿宋_GB2312" w:hAnsi="仿宋_GB2312" w:eastAsia="仿宋_GB2312" w:cs="仿宋_GB2312"/>
          <w:sz w:val="32"/>
          <w:szCs w:val="32"/>
        </w:rPr>
        <w:t>聚焦畜禽、作物、蔬菜花卉、林果及水产五大领域，</w:t>
      </w:r>
      <w:r>
        <w:rPr>
          <w:rFonts w:hint="eastAsia" w:ascii="仿宋_GB2312" w:hAnsi="仿宋_GB2312" w:eastAsia="仿宋_GB2312" w:cs="仿宋_GB2312"/>
          <w:sz w:val="32"/>
          <w:szCs w:val="32"/>
          <w:highlight w:val="none"/>
        </w:rPr>
        <w:t>以</w:t>
      </w:r>
      <w:r>
        <w:rPr>
          <w:rFonts w:hint="eastAsia" w:ascii="仿宋_GB2312" w:hAnsi="仿宋_GB2312" w:eastAsia="仿宋_GB2312" w:cs="仿宋_GB2312"/>
          <w:sz w:val="32"/>
          <w:szCs w:val="32"/>
        </w:rPr>
        <w:t>生物种业创新中心为核心载体，</w:t>
      </w:r>
      <w:r>
        <w:rPr>
          <w:rFonts w:hint="eastAsia" w:ascii="仿宋_GB2312" w:hAnsi="仿宋_GB2312" w:eastAsia="仿宋_GB2312" w:cs="仿宋_GB2312"/>
          <w:sz w:val="32"/>
          <w:szCs w:val="32"/>
          <w:lang w:val="en-US" w:eastAsia="zh-CN"/>
        </w:rPr>
        <w:t>建设</w:t>
      </w:r>
      <w:r>
        <w:rPr>
          <w:rFonts w:hint="eastAsia" w:ascii="仿宋_GB2312" w:hAnsi="仿宋_GB2312" w:eastAsia="仿宋_GB2312" w:cs="仿宋_GB2312"/>
          <w:sz w:val="32"/>
          <w:szCs w:val="32"/>
        </w:rPr>
        <w:t>“科研创新+成果转化+产业服务”一体化平台，重点开展基因编辑、品种改良、种质资源库建设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highlight w:val="none"/>
        </w:rPr>
        <w:t>服务动植物育种全流程。以马昌营镇千亩绿洲AI农场为载体，推广建设“感知</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决策</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执行”全流程智能化的</w:t>
      </w:r>
      <w:r>
        <w:rPr>
          <w:rFonts w:hint="eastAsia" w:ascii="仿宋_GB2312" w:hAnsi="仿宋_GB2312" w:eastAsia="仿宋_GB2312" w:cs="仿宋_GB2312"/>
          <w:sz w:val="32"/>
          <w:szCs w:val="32"/>
          <w:highlight w:val="none"/>
          <w:lang w:val="en-US" w:eastAsia="zh-CN"/>
        </w:rPr>
        <w:t>智慧牧</w:t>
      </w:r>
      <w:r>
        <w:rPr>
          <w:rFonts w:hint="eastAsia" w:ascii="仿宋_GB2312" w:hAnsi="仿宋_GB2312" w:eastAsia="仿宋_GB2312" w:cs="仿宋_GB2312"/>
          <w:sz w:val="32"/>
          <w:szCs w:val="32"/>
          <w:highlight w:val="none"/>
        </w:rPr>
        <w:t>场</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到2030年底，建成1-2家智慧牧</w:t>
      </w:r>
      <w:r>
        <w:rPr>
          <w:rFonts w:hint="eastAsia" w:ascii="仿宋_GB2312" w:hAnsi="仿宋_GB2312" w:eastAsia="仿宋_GB2312" w:cs="仿宋_GB2312"/>
          <w:sz w:val="32"/>
          <w:szCs w:val="32"/>
          <w:highlight w:val="none"/>
        </w:rPr>
        <w:t>场</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推广建设</w:t>
      </w:r>
      <w:r>
        <w:rPr>
          <w:rFonts w:hint="eastAsia" w:ascii="仿宋_GB2312" w:hAnsi="仿宋_GB2312" w:eastAsia="仿宋_GB2312" w:cs="仿宋_GB2312"/>
          <w:sz w:val="32"/>
          <w:szCs w:val="32"/>
          <w:highlight w:val="none"/>
          <w:lang w:eastAsia="zh-CN"/>
        </w:rPr>
        <w:t>畜禽360°全生命周期数智采集平台，实现精准饲喂、健康监测、环境调控智能化。</w:t>
      </w:r>
      <w:r>
        <w:rPr>
          <w:rFonts w:hint="eastAsia" w:ascii="仿宋_GB2312" w:hAnsi="仿宋_GB2312" w:eastAsia="仿宋_GB2312" w:cs="仿宋_GB2312"/>
          <w:color w:val="auto"/>
          <w:kern w:val="2"/>
          <w:sz w:val="32"/>
          <w:szCs w:val="32"/>
          <w:highlight w:val="none"/>
          <w:lang w:val="en-US" w:eastAsia="zh-CN" w:bidi="ar"/>
        </w:rPr>
        <w:t>建设智慧蛋鸡舍、配备福利养殖全套自动化设备，配套蛋库、有机质腐殖酸加工车间、检验室、研发中心等辅助设施</w:t>
      </w:r>
      <w:r>
        <w:rPr>
          <w:rFonts w:hint="eastAsia" w:ascii="仿宋_GB2312" w:hAnsi="仿宋_GB2312" w:eastAsia="仿宋_GB2312" w:cs="仿宋_GB2312"/>
          <w:kern w:val="2"/>
          <w:sz w:val="32"/>
          <w:szCs w:val="32"/>
          <w:highlight w:val="none"/>
          <w:lang w:val="en-US" w:eastAsia="zh-CN" w:bidi="ar"/>
        </w:rPr>
        <w:t>。</w:t>
      </w:r>
    </w:p>
    <w:p w14:paraId="0FF2E07A">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sz w:val="32"/>
          <w:szCs w:val="32"/>
          <w:highlight w:val="none"/>
        </w:rPr>
      </w:pPr>
      <w:r>
        <w:rPr>
          <w:rFonts w:hint="eastAsia" w:ascii="仿宋_GB2312" w:hAnsi="仿宋_GB2312" w:eastAsia="仿宋_GB2312" w:cs="仿宋_GB2312"/>
          <w:b/>
          <w:bCs/>
          <w:color w:val="auto"/>
          <w:sz w:val="32"/>
          <w:szCs w:val="32"/>
          <w:highlight w:val="none"/>
          <w:lang w:val="en-US" w:eastAsia="zh-CN"/>
        </w:rPr>
        <w:t>加快“人工智能+现代农业”场景建设。</w:t>
      </w:r>
      <w:r>
        <w:rPr>
          <w:rFonts w:hint="eastAsia" w:ascii="仿宋_GB2312" w:hAnsi="仿宋_GB2312" w:eastAsia="仿宋_GB2312" w:cs="仿宋_GB2312"/>
          <w:b w:val="0"/>
          <w:bCs w:val="0"/>
          <w:color w:val="auto"/>
          <w:sz w:val="32"/>
          <w:szCs w:val="32"/>
          <w:highlight w:val="none"/>
          <w:lang w:val="en-US" w:eastAsia="zh-CN"/>
        </w:rPr>
        <w:t>围绕畜禽、作物、蔬菜花卉、林果及水产等平谷重点农业产业，有序推进</w:t>
      </w:r>
      <w:r>
        <w:rPr>
          <w:rFonts w:hint="eastAsia" w:ascii="仿宋_GB2312" w:hAnsi="仿宋_GB2312" w:eastAsia="仿宋_GB2312" w:cs="仿宋_GB2312"/>
          <w:i w:val="0"/>
          <w:iCs w:val="0"/>
          <w:caps w:val="0"/>
          <w:color w:val="auto"/>
          <w:spacing w:val="0"/>
          <w:kern w:val="2"/>
          <w:sz w:val="32"/>
          <w:szCs w:val="32"/>
          <w:highlight w:val="none"/>
          <w:u w:val="none"/>
          <w:shd w:val="clear" w:fill="auto"/>
          <w:lang w:val="en-US" w:eastAsia="zh-CN" w:bidi="ar"/>
        </w:rPr>
        <w:t>人工智能驱动的育种体系创新，</w:t>
      </w:r>
      <w:r>
        <w:rPr>
          <w:rFonts w:hint="eastAsia" w:ascii="仿宋_GB2312" w:hAnsi="仿宋_GB2312" w:eastAsia="仿宋_GB2312" w:cs="仿宋_GB2312"/>
          <w:i w:val="0"/>
          <w:iCs w:val="0"/>
          <w:caps w:val="0"/>
          <w:spacing w:val="0"/>
          <w:kern w:val="2"/>
          <w:sz w:val="32"/>
          <w:szCs w:val="32"/>
          <w:highlight w:val="none"/>
          <w:u w:val="none"/>
          <w:shd w:val="clear"/>
          <w:lang w:val="en-US" w:eastAsia="zh-CN" w:bidi="ar"/>
        </w:rPr>
        <w:t>在家禽、奶牛、种猪等方面，开展智能化育种创新。</w:t>
      </w:r>
      <w:r>
        <w:rPr>
          <w:rFonts w:hint="eastAsia" w:ascii="仿宋_GB2312" w:hAnsi="仿宋_GB2312" w:eastAsia="仿宋_GB2312" w:cs="仿宋_GB2312"/>
          <w:i w:val="0"/>
          <w:iCs w:val="0"/>
          <w:caps w:val="0"/>
          <w:color w:val="auto"/>
          <w:spacing w:val="0"/>
          <w:kern w:val="2"/>
          <w:sz w:val="32"/>
          <w:szCs w:val="32"/>
          <w:highlight w:val="none"/>
          <w:u w:val="none"/>
          <w:shd w:val="clear" w:fill="auto"/>
          <w:lang w:val="en-US" w:eastAsia="zh-CN" w:bidi="ar"/>
        </w:rPr>
        <w:t>大力发展智能农机、农业无人机、农业机器人等智能装备，</w:t>
      </w:r>
      <w:r>
        <w:rPr>
          <w:rFonts w:hint="eastAsia" w:ascii="仿宋_GB2312" w:hAnsi="仿宋_GB2312" w:eastAsia="仿宋_GB2312" w:cs="仿宋_GB2312"/>
          <w:i w:val="0"/>
          <w:iCs w:val="0"/>
          <w:caps w:val="0"/>
          <w:spacing w:val="0"/>
          <w:kern w:val="2"/>
          <w:sz w:val="32"/>
          <w:szCs w:val="32"/>
          <w:highlight w:val="none"/>
          <w:u w:val="none"/>
          <w:shd w:val="clear"/>
          <w:lang w:val="en-US" w:eastAsia="zh-CN" w:bidi="ar"/>
        </w:rPr>
        <w:t>鼓励</w:t>
      </w:r>
      <w:r>
        <w:rPr>
          <w:rFonts w:hint="eastAsia" w:ascii="仿宋_GB2312" w:hAnsi="仿宋_GB2312" w:eastAsia="仿宋_GB2312" w:cs="仿宋_GB2312"/>
          <w:color w:val="auto"/>
          <w:kern w:val="2"/>
          <w:sz w:val="32"/>
          <w:szCs w:val="32"/>
          <w:highlight w:val="none"/>
          <w:u w:val="none"/>
          <w:lang w:val="en-US" w:eastAsia="zh-CN" w:bidi="ar"/>
        </w:rPr>
        <w:t>大田生产自动（辅助）驾驶、作业监测、水肥一体化等高效智能绿色装备推广应用</w:t>
      </w:r>
      <w:r>
        <w:rPr>
          <w:rFonts w:hint="eastAsia" w:ascii="仿宋_GB2312" w:hAnsi="仿宋_GB2312" w:eastAsia="仿宋_GB2312" w:cs="仿宋_GB2312"/>
          <w:i w:val="0"/>
          <w:iCs w:val="0"/>
          <w:caps w:val="0"/>
          <w:color w:val="auto"/>
          <w:spacing w:val="0"/>
          <w:kern w:val="2"/>
          <w:sz w:val="32"/>
          <w:szCs w:val="32"/>
          <w:highlight w:val="none"/>
          <w:u w:val="none"/>
          <w:shd w:val="clear" w:fill="auto"/>
          <w:lang w:val="en-US" w:eastAsia="zh-CN" w:bidi="ar"/>
        </w:rPr>
        <w:t>。</w:t>
      </w:r>
      <w:r>
        <w:rPr>
          <w:rFonts w:hint="eastAsia" w:ascii="仿宋_GB2312" w:hAnsi="仿宋_GB2312" w:eastAsia="仿宋_GB2312" w:cs="仿宋_GB2312"/>
          <w:i w:val="0"/>
          <w:iCs w:val="0"/>
          <w:caps w:val="0"/>
          <w:spacing w:val="0"/>
          <w:kern w:val="2"/>
          <w:sz w:val="32"/>
          <w:szCs w:val="32"/>
          <w:highlight w:val="none"/>
          <w:u w:val="none"/>
          <w:shd w:val="clear"/>
          <w:lang w:val="en-US" w:eastAsia="zh-CN" w:bidi="ar"/>
        </w:rPr>
        <w:t>建设智慧设施农业先导园，布局一批“无人果园”“无人菜园”，推广一批渔业繁育等智慧养殖应用场景。</w:t>
      </w:r>
    </w:p>
    <w:p w14:paraId="1FDCCA52">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left"/>
        <w:textAlignment w:val="auto"/>
        <w:outlineLvl w:val="1"/>
        <w:rPr>
          <w:rFonts w:hint="eastAsia" w:ascii="楷体_GB2312" w:hAnsi="楷体_GB2312" w:eastAsia="楷体_GB2312" w:cs="楷体_GB2312"/>
          <w:sz w:val="32"/>
          <w:szCs w:val="32"/>
          <w:lang w:val="en-US" w:eastAsia="zh-CN"/>
        </w:rPr>
      </w:pPr>
      <w:bookmarkStart w:id="136" w:name="_Toc775939784"/>
      <w:bookmarkStart w:id="137" w:name="_Toc746451889"/>
      <w:bookmarkStart w:id="138" w:name="_Toc29644"/>
      <w:bookmarkStart w:id="139" w:name="_Toc1491879281"/>
      <w:bookmarkStart w:id="140" w:name="_Toc1026954072"/>
      <w:bookmarkStart w:id="141" w:name="_Toc1038161686"/>
      <w:bookmarkStart w:id="142" w:name="_Toc94630264"/>
      <w:bookmarkStart w:id="143" w:name="_Toc170716535"/>
      <w:bookmarkStart w:id="144" w:name="_Toc1483760955"/>
      <w:bookmarkStart w:id="145" w:name="_Toc413586611"/>
      <w:bookmarkStart w:id="146" w:name="_Toc809098172"/>
      <w:r>
        <w:rPr>
          <w:rFonts w:hint="eastAsia" w:ascii="楷体_GB2312" w:hAnsi="楷体_GB2312" w:eastAsia="楷体_GB2312" w:cs="楷体_GB2312"/>
          <w:sz w:val="32"/>
          <w:szCs w:val="32"/>
          <w:lang w:val="en-US" w:eastAsia="zh-CN"/>
        </w:rPr>
        <w:t>（三）推进“数据要素×首都物流高地”</w:t>
      </w:r>
      <w:bookmarkEnd w:id="136"/>
      <w:bookmarkEnd w:id="137"/>
      <w:bookmarkEnd w:id="138"/>
      <w:r>
        <w:rPr>
          <w:rFonts w:hint="eastAsia" w:ascii="楷体_GB2312" w:hAnsi="楷体_GB2312" w:eastAsia="楷体_GB2312" w:cs="楷体_GB2312"/>
          <w:sz w:val="32"/>
          <w:szCs w:val="32"/>
          <w:lang w:val="en-US" w:eastAsia="zh-CN"/>
        </w:rPr>
        <w:t>建设</w:t>
      </w:r>
      <w:bookmarkEnd w:id="139"/>
      <w:bookmarkEnd w:id="140"/>
      <w:bookmarkEnd w:id="141"/>
      <w:bookmarkEnd w:id="142"/>
      <w:bookmarkEnd w:id="143"/>
      <w:bookmarkEnd w:id="144"/>
      <w:bookmarkEnd w:id="145"/>
      <w:bookmarkEnd w:id="146"/>
    </w:p>
    <w:p w14:paraId="0F7510F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sz w:val="32"/>
          <w:szCs w:val="32"/>
          <w:lang w:val="en-US" w:eastAsia="zh-CN"/>
        </w:rPr>
        <w:t>推进高端智能化仓储设施建设。</w:t>
      </w:r>
      <w:r>
        <w:rPr>
          <w:rFonts w:hint="eastAsia" w:ascii="仿宋_GB2312" w:hAnsi="仿宋_GB2312" w:eastAsia="仿宋_GB2312" w:cs="仿宋_GB2312"/>
          <w:color w:val="auto"/>
          <w:sz w:val="32"/>
          <w:szCs w:val="32"/>
          <w:highlight w:val="none"/>
          <w:lang w:eastAsia="zh-CN"/>
        </w:rPr>
        <w:t>以京东-平谷智能产业园、普洛斯首都新零售产业园为基础，系统推进现有仓储设施智能化升级改造。围绕农副产品、都市新零售、汽车后市场、医药健康等仓储特点，大力推进已建成仓储设施智能化升级改造，以京东物流、丰豪物流、德生堂等企业为抓手，持续提升仓储运营数字化、智能化、高效化水平。</w:t>
      </w:r>
    </w:p>
    <w:p w14:paraId="6709F68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kern w:val="2"/>
          <w:sz w:val="32"/>
          <w:szCs w:val="32"/>
          <w:lang w:val="en-US" w:eastAsia="zh-CN" w:bidi="ar-SA"/>
        </w:rPr>
        <w:t>搭建京平综合物流枢纽数字化服务平台</w:t>
      </w:r>
      <w:r>
        <w:rPr>
          <w:rFonts w:hint="eastAsia" w:ascii="仿宋_GB2312" w:hAnsi="仿宋_GB2312" w:eastAsia="仿宋_GB2312" w:cs="仿宋_GB2312"/>
          <w:kern w:val="2"/>
          <w:sz w:val="32"/>
          <w:szCs w:val="32"/>
          <w:lang w:val="en-US" w:eastAsia="zh-CN" w:bidi="ar-SA"/>
        </w:rPr>
        <w:t>。全面整合人、车、货、场及产业链关键数据要素及相关业务资源，谋划推动建设覆盖重点业务板块的智慧信息管理平台，力争形成多式联运、仓储配送、金融结算、物业服务、安防管理、科研政务等全环节协同体系，构建统一调度与协同运营体系，有力提升物流转运效率和园区运营服务水平。</w:t>
      </w:r>
    </w:p>
    <w:p w14:paraId="1652AAB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sz w:val="32"/>
          <w:szCs w:val="32"/>
          <w:lang w:val="en-US" w:eastAsia="zh-CN"/>
        </w:rPr>
        <w:t>加强智慧物流场站建设。</w:t>
      </w:r>
      <w:r>
        <w:rPr>
          <w:rFonts w:hint="eastAsia" w:ascii="仿宋_GB2312" w:hAnsi="仿宋_GB2312" w:eastAsia="仿宋_GB2312" w:cs="仿宋_GB2312"/>
          <w:kern w:val="2"/>
          <w:sz w:val="32"/>
          <w:szCs w:val="32"/>
          <w:lang w:val="en-US" w:eastAsia="zh-CN" w:bidi="ar-SA"/>
        </w:rPr>
        <w:t>依托平谷地方铁路，以南、北场区新建工程为抓手，谋划推进智能场站建设，力争实现场站实时分析装卸需求、设备状态和堆场容量，自动生成最优作业序列，轨道吊、集卡等多设备数据互联，进一步减少人工依赖、降低设备损耗、优化资源配置。谋划推动构建集输运智能调拨系统，在效率提升、成本控制、安全保障、资源优化、服务升级五大核心维度产生显著效果，推动多式联运体系的高效运转。</w:t>
      </w:r>
    </w:p>
    <w:p w14:paraId="0E564361">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left"/>
        <w:textAlignment w:val="auto"/>
        <w:outlineLvl w:val="1"/>
        <w:rPr>
          <w:rFonts w:hint="eastAsia" w:ascii="楷体_GB2312" w:hAnsi="楷体_GB2312" w:eastAsia="楷体_GB2312" w:cs="楷体_GB2312"/>
          <w:sz w:val="32"/>
          <w:szCs w:val="32"/>
          <w:lang w:val="en-US" w:eastAsia="zh-CN"/>
        </w:rPr>
      </w:pPr>
      <w:bookmarkStart w:id="147" w:name="_Toc1699245104"/>
      <w:bookmarkStart w:id="148" w:name="_Toc19418"/>
      <w:bookmarkStart w:id="149" w:name="_Toc17432649"/>
      <w:bookmarkStart w:id="150" w:name="_Toc646524000"/>
      <w:bookmarkStart w:id="151" w:name="_Toc990261721"/>
      <w:bookmarkStart w:id="152" w:name="_Toc691017165"/>
      <w:bookmarkStart w:id="153" w:name="_Toc1893089385"/>
      <w:bookmarkStart w:id="154" w:name="_Toc194651353"/>
      <w:bookmarkStart w:id="155" w:name="_Toc78824727"/>
      <w:bookmarkStart w:id="156" w:name="_Toc2143497042"/>
      <w:bookmarkStart w:id="157" w:name="_Toc1312948268"/>
      <w:r>
        <w:rPr>
          <w:rFonts w:hint="eastAsia" w:ascii="楷体_GB2312" w:hAnsi="楷体_GB2312" w:eastAsia="楷体_GB2312" w:cs="楷体_GB2312"/>
          <w:sz w:val="32"/>
          <w:szCs w:val="32"/>
          <w:lang w:val="en-US" w:eastAsia="zh-CN"/>
        </w:rPr>
        <w:t>（四）推进“数据要素×世界休闲谷”</w:t>
      </w:r>
      <w:bookmarkEnd w:id="147"/>
      <w:bookmarkEnd w:id="148"/>
      <w:bookmarkEnd w:id="149"/>
      <w:r>
        <w:rPr>
          <w:rFonts w:hint="eastAsia" w:ascii="楷体_GB2312" w:hAnsi="楷体_GB2312" w:eastAsia="楷体_GB2312" w:cs="楷体_GB2312"/>
          <w:sz w:val="32"/>
          <w:szCs w:val="32"/>
          <w:lang w:val="en-US" w:eastAsia="zh-CN"/>
        </w:rPr>
        <w:t>建设</w:t>
      </w:r>
      <w:bookmarkEnd w:id="150"/>
      <w:bookmarkEnd w:id="151"/>
      <w:bookmarkEnd w:id="152"/>
      <w:bookmarkEnd w:id="153"/>
      <w:bookmarkEnd w:id="154"/>
      <w:bookmarkEnd w:id="155"/>
      <w:bookmarkEnd w:id="156"/>
      <w:bookmarkEnd w:id="157"/>
    </w:p>
    <w:p w14:paraId="248790D9">
      <w:pPr>
        <w:pStyle w:val="12"/>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560" w:lineRule="exact"/>
        <w:ind w:left="0" w:leftChars="0" w:right="0" w:firstLine="643" w:firstLineChars="200"/>
        <w:jc w:val="both"/>
        <w:textAlignment w:val="auto"/>
        <w:outlineLvl w:val="9"/>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仿宋_GB2312" w:hAnsi="仿宋_GB2312" w:eastAsia="仿宋_GB2312" w:cs="仿宋_GB2312"/>
          <w:b/>
          <w:bCs/>
          <w:color w:val="auto"/>
          <w:sz w:val="32"/>
          <w:szCs w:val="32"/>
          <w:highlight w:val="none"/>
          <w:u w:val="none" w:color="auto"/>
          <w:lang w:val="en-US" w:eastAsia="zh-CN"/>
        </w:rPr>
        <w:t>推进全域文旅数据智能中枢建设。</w:t>
      </w:r>
      <w:r>
        <w:rPr>
          <w:rFonts w:hint="eastAsia" w:ascii="仿宋_GB2312" w:hAnsi="仿宋_GB2312" w:eastAsia="仿宋_GB2312" w:cs="仿宋_GB2312"/>
          <w:b w:val="0"/>
          <w:bCs w:val="0"/>
          <w:color w:val="auto"/>
          <w:sz w:val="32"/>
          <w:szCs w:val="32"/>
          <w:highlight w:val="none"/>
          <w:u w:val="none" w:color="auto"/>
          <w:lang w:val="en-US" w:eastAsia="zh-CN"/>
        </w:rPr>
        <w:t>加强</w:t>
      </w:r>
      <w:r>
        <w:rPr>
          <w:rFonts w:hint="eastAsia" w:ascii="仿宋_GB2312" w:hAnsi="仿宋_GB2312" w:eastAsia="仿宋_GB2312" w:cs="仿宋_GB2312"/>
          <w:kern w:val="2"/>
          <w:sz w:val="32"/>
          <w:szCs w:val="32"/>
          <w:highlight w:val="none"/>
          <w:lang w:val="en-US" w:eastAsia="zh-CN" w:bidi="ar-SA"/>
        </w:rPr>
        <w:t>金海湖、丫髻山、泃洳河沿线、农业观光带及各沟域节点多源文旅数据资源汇聚，整合乡村旅游、精品民宿、节庆活动、非遗体验及文体康养等多业态信息资源。</w:t>
      </w:r>
      <w:r>
        <w:rPr>
          <w:rFonts w:hint="eastAsia" w:ascii="仿宋_GB2312" w:hAnsi="仿宋_GB2312" w:eastAsia="仿宋_GB2312" w:cs="仿宋_GB2312"/>
          <w:b w:val="0"/>
          <w:bCs w:val="0"/>
          <w:color w:val="auto"/>
          <w:sz w:val="32"/>
          <w:szCs w:val="32"/>
          <w:highlight w:val="none"/>
          <w:u w:val="none" w:color="auto"/>
          <w:lang w:val="en-US" w:eastAsia="zh-CN"/>
        </w:rPr>
        <w:t>推进平谷智慧旅游平台迭代优化，</w:t>
      </w:r>
      <w:r>
        <w:rPr>
          <w:rFonts w:hint="eastAsia" w:ascii="仿宋_GB2312" w:hAnsi="仿宋_GB2312" w:eastAsia="仿宋_GB2312" w:cs="仿宋_GB2312"/>
          <w:spacing w:val="-4"/>
          <w:kern w:val="0"/>
          <w:sz w:val="32"/>
          <w:szCs w:val="32"/>
          <w:highlight w:val="none"/>
        </w:rPr>
        <w:t>集成活动点单、场馆预订功能，运用大数据动态调整公共文化资源配置。建设“云上文化体验空间”和平谷特色文化数据库，实现数字展览、线上剧场全域共享。</w:t>
      </w:r>
    </w:p>
    <w:p w14:paraId="40B87016">
      <w:pPr>
        <w:pStyle w:val="12"/>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560" w:lineRule="exact"/>
        <w:ind w:left="0" w:leftChars="0" w:right="0" w:firstLine="643" w:firstLineChars="200"/>
        <w:jc w:val="both"/>
        <w:textAlignment w:val="auto"/>
        <w:outlineLvl w:val="9"/>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b/>
          <w:bCs/>
          <w:color w:val="auto"/>
          <w:sz w:val="32"/>
          <w:szCs w:val="32"/>
          <w:highlight w:val="none"/>
          <w:u w:val="none" w:color="auto"/>
          <w:lang w:val="en-US" w:eastAsia="zh-CN"/>
        </w:rPr>
        <w:t>打造全场景数字文旅体系。</w:t>
      </w:r>
      <w:r>
        <w:rPr>
          <w:rFonts w:hint="eastAsia" w:ascii="仿宋_GB2312" w:hAnsi="仿宋_GB2312" w:eastAsia="仿宋_GB2312" w:cs="仿宋_GB2312"/>
          <w:b w:val="0"/>
          <w:bCs w:val="0"/>
          <w:color w:val="auto"/>
          <w:sz w:val="32"/>
          <w:szCs w:val="32"/>
          <w:highlight w:val="none"/>
          <w:u w:val="none" w:color="auto"/>
          <w:lang w:val="en-US" w:eastAsia="zh-CN"/>
        </w:rPr>
        <w:t>实施景区数字化体验提升工程，整合景点介绍、多模态语音导览、AI智能路线推荐等功能，系统构建覆盖全域、贯穿全程的智能旅游服务体系。拓展“智慧+体育”“智慧+农业”文旅新场景。</w:t>
      </w:r>
      <w:r>
        <w:rPr>
          <w:rFonts w:hint="eastAsia" w:ascii="仿宋_GB2312" w:hAnsi="仿宋_GB2312" w:eastAsia="仿宋_GB2312" w:cs="仿宋_GB2312"/>
          <w:sz w:val="32"/>
          <w:szCs w:val="32"/>
          <w:highlight w:val="none"/>
        </w:rPr>
        <w:t>探索</w:t>
      </w:r>
      <w:r>
        <w:rPr>
          <w:rFonts w:hint="eastAsia" w:ascii="仿宋_GB2312" w:hAnsi="仿宋_GB2312" w:eastAsia="仿宋_GB2312" w:cs="仿宋_GB2312"/>
          <w:color w:val="000000"/>
          <w:sz w:val="32"/>
          <w:szCs w:val="32"/>
          <w:highlight w:val="none"/>
        </w:rPr>
        <w:t>AI、机器人、低空技术在重点景区旅游体验和旅游服务中的运用，丰富智慧旅游应用场景。</w:t>
      </w:r>
    </w:p>
    <w:p w14:paraId="4A4DA86E">
      <w:pPr>
        <w:pStyle w:val="12"/>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56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auto"/>
          <w:sz w:val="32"/>
          <w:szCs w:val="32"/>
          <w:highlight w:val="none"/>
          <w:u w:val="none" w:color="auto"/>
          <w:lang w:val="en-US" w:eastAsia="zh-CN"/>
        </w:rPr>
        <w:t>推进非物质文化遗产场景建设和博物馆数字化。</w:t>
      </w:r>
      <w:r>
        <w:rPr>
          <w:rFonts w:hint="eastAsia" w:ascii="仿宋_GB2312" w:hAnsi="仿宋_GB2312" w:eastAsia="仿宋_GB2312" w:cs="仿宋_GB2312"/>
          <w:b w:val="0"/>
          <w:bCs w:val="0"/>
          <w:color w:val="auto"/>
          <w:sz w:val="32"/>
          <w:szCs w:val="32"/>
          <w:highlight w:val="none"/>
          <w:u w:val="none" w:color="auto"/>
          <w:lang w:val="en-US" w:eastAsia="zh-CN"/>
        </w:rPr>
        <w:t>依托沉浸式非遗体验馆，推出非遗技艺AI互动教学系统。依托大桃博物馆，</w:t>
      </w:r>
      <w:r>
        <w:rPr>
          <w:rFonts w:hint="eastAsia" w:ascii="仿宋_GB2312" w:hAnsi="仿宋_GB2312" w:eastAsia="仿宋_GB2312" w:cs="仿宋_GB2312"/>
          <w:kern w:val="0"/>
          <w:sz w:val="32"/>
          <w:szCs w:val="32"/>
          <w:highlight w:val="none"/>
        </w:rPr>
        <w:t>运用数字技术构建多维沉浸式场景；推进平谷博物馆3D文物数据库建设，开发“文物修复工坊”VR互动项目，上线“掌上博物馆”小程序。深化智慧图书馆建设，引入AI咨询机器人、智能投屏阅读设备；推动博物馆数字化展陈，开发可交互虚拟展览及数字互动项目。</w:t>
      </w:r>
    </w:p>
    <w:p w14:paraId="3EA96F85">
      <w:pPr>
        <w:keepNext w:val="0"/>
        <w:keepLines w:val="0"/>
        <w:pageBreakBefore w:val="0"/>
        <w:widowControl w:val="0"/>
        <w:wordWrap/>
        <w:topLinePunct w:val="0"/>
        <w:autoSpaceDE/>
        <w:autoSpaceDN/>
        <w:bidi w:val="0"/>
        <w:adjustRightInd/>
        <w:snapToGrid/>
        <w:spacing w:line="560" w:lineRule="exact"/>
        <w:ind w:firstLine="640" w:firstLineChars="200"/>
        <w:textAlignment w:val="auto"/>
        <w:outlineLvl w:val="0"/>
        <w:rPr>
          <w:rFonts w:hint="eastAsia" w:ascii="黑体" w:hAnsi="黑体" w:eastAsia="黑体" w:cs="Times New Roman"/>
          <w:b w:val="0"/>
          <w:bCs w:val="0"/>
          <w:sz w:val="32"/>
          <w:szCs w:val="32"/>
          <w:lang w:val="en-US" w:eastAsia="zh-CN"/>
        </w:rPr>
      </w:pPr>
      <w:bookmarkStart w:id="158" w:name="_Toc333929179"/>
      <w:bookmarkStart w:id="159" w:name="_Toc1327067351"/>
      <w:bookmarkStart w:id="160" w:name="_Toc330480597"/>
      <w:bookmarkStart w:id="161" w:name="_Toc1716606469"/>
      <w:bookmarkStart w:id="162" w:name="_Toc1007082931"/>
      <w:bookmarkStart w:id="163" w:name="_Toc1957260137"/>
      <w:bookmarkStart w:id="164" w:name="_Toc932755751"/>
      <w:bookmarkStart w:id="165" w:name="_Toc35579743"/>
      <w:bookmarkStart w:id="166" w:name="_Toc887695490"/>
      <w:bookmarkStart w:id="167" w:name="_Toc2009097827"/>
      <w:bookmarkStart w:id="168" w:name="_Toc12596"/>
      <w:r>
        <w:rPr>
          <w:rFonts w:hint="eastAsia" w:ascii="黑体" w:hAnsi="黑体" w:eastAsia="黑体" w:cs="Times New Roman"/>
          <w:b w:val="0"/>
          <w:bCs w:val="0"/>
          <w:sz w:val="32"/>
          <w:szCs w:val="32"/>
          <w:lang w:val="en-US" w:eastAsia="zh-CN"/>
        </w:rPr>
        <w:t>六、全面推进重点领域数智化转型升级</w:t>
      </w:r>
      <w:bookmarkEnd w:id="158"/>
      <w:bookmarkEnd w:id="159"/>
      <w:bookmarkEnd w:id="160"/>
      <w:bookmarkEnd w:id="161"/>
      <w:bookmarkEnd w:id="162"/>
      <w:bookmarkEnd w:id="163"/>
      <w:bookmarkEnd w:id="164"/>
      <w:bookmarkEnd w:id="165"/>
      <w:bookmarkEnd w:id="166"/>
      <w:bookmarkEnd w:id="167"/>
      <w:bookmarkEnd w:id="168"/>
    </w:p>
    <w:p w14:paraId="265C1536">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left"/>
        <w:textAlignment w:val="auto"/>
        <w:outlineLvl w:val="1"/>
        <w:rPr>
          <w:rFonts w:hint="eastAsia" w:ascii="楷体_GB2312" w:hAnsi="楷体_GB2312" w:eastAsia="楷体_GB2312" w:cs="楷体_GB2312"/>
          <w:sz w:val="32"/>
          <w:szCs w:val="32"/>
          <w:lang w:val="en-US" w:eastAsia="zh-CN"/>
        </w:rPr>
      </w:pPr>
      <w:bookmarkStart w:id="169" w:name="_Toc988286735"/>
      <w:bookmarkStart w:id="170" w:name="_Toc2021796608"/>
      <w:bookmarkStart w:id="171" w:name="_Toc939069928"/>
      <w:bookmarkStart w:id="172" w:name="_Toc195283957"/>
      <w:bookmarkStart w:id="173" w:name="_Toc516617813"/>
      <w:bookmarkStart w:id="174" w:name="_Toc994682637"/>
      <w:bookmarkStart w:id="175" w:name="_Toc972941842"/>
      <w:bookmarkStart w:id="176" w:name="_Toc255810515"/>
      <w:bookmarkStart w:id="177" w:name="_Toc1709610685"/>
      <w:bookmarkStart w:id="178" w:name="_Toc31710"/>
      <w:bookmarkStart w:id="179" w:name="_Toc929204721"/>
      <w:r>
        <w:rPr>
          <w:rFonts w:hint="eastAsia" w:ascii="楷体_GB2312" w:hAnsi="楷体_GB2312" w:eastAsia="楷体_GB2312" w:cs="楷体_GB2312"/>
          <w:sz w:val="32"/>
          <w:szCs w:val="32"/>
          <w:lang w:val="en-US" w:eastAsia="zh-CN"/>
        </w:rPr>
        <w:t>（一）推进高效协同数字政务建设</w:t>
      </w:r>
      <w:bookmarkEnd w:id="169"/>
      <w:bookmarkEnd w:id="170"/>
      <w:bookmarkEnd w:id="171"/>
      <w:bookmarkEnd w:id="172"/>
      <w:bookmarkEnd w:id="173"/>
      <w:bookmarkEnd w:id="174"/>
      <w:bookmarkEnd w:id="175"/>
      <w:bookmarkEnd w:id="176"/>
      <w:bookmarkEnd w:id="177"/>
      <w:bookmarkEnd w:id="178"/>
      <w:bookmarkEnd w:id="179"/>
    </w:p>
    <w:p w14:paraId="20486648">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推进政务服务“一网通办”。</w:t>
      </w:r>
      <w:r>
        <w:rPr>
          <w:rFonts w:hint="eastAsia" w:ascii="仿宋_GB2312" w:hAnsi="仿宋_GB2312" w:eastAsia="仿宋_GB2312" w:cs="仿宋_GB2312"/>
          <w:sz w:val="32"/>
          <w:szCs w:val="32"/>
          <w:lang w:val="en-US" w:eastAsia="zh-CN"/>
        </w:rPr>
        <w:t>优化“一网通办”办事体验，持续完善区、街道（乡镇）、社区（村）三级多端一体化政务服务平台，持续推进</w:t>
      </w:r>
      <w:r>
        <w:rPr>
          <w:rFonts w:hint="eastAsia" w:ascii="仿宋_GB2312" w:hAnsi="仿宋_GB2312" w:eastAsia="仿宋_GB2312" w:cs="仿宋_GB2312"/>
          <w:sz w:val="32"/>
          <w:szCs w:val="32"/>
        </w:rPr>
        <w:t>各部门政务服务事项纳入</w:t>
      </w:r>
      <w:r>
        <w:rPr>
          <w:rFonts w:hint="eastAsia" w:ascii="仿宋_GB2312" w:hAnsi="仿宋_GB2312" w:eastAsia="仿宋_GB2312" w:cs="仿宋_GB2312"/>
          <w:sz w:val="32"/>
          <w:szCs w:val="32"/>
          <w:lang w:val="en-US" w:eastAsia="zh-CN"/>
        </w:rPr>
        <w:t>到</w:t>
      </w:r>
      <w:r>
        <w:rPr>
          <w:rFonts w:hint="eastAsia" w:ascii="仿宋_GB2312" w:hAnsi="仿宋_GB2312" w:eastAsia="仿宋_GB2312" w:cs="仿宋_GB2312"/>
          <w:sz w:val="32"/>
          <w:szCs w:val="32"/>
        </w:rPr>
        <w:t>市级统一申办受理平台，</w:t>
      </w:r>
      <w:r>
        <w:rPr>
          <w:rFonts w:hint="eastAsia" w:ascii="仿宋_GB2312" w:hAnsi="仿宋_GB2312" w:eastAsia="仿宋_GB2312" w:cs="仿宋_GB2312"/>
          <w:color w:val="000000" w:themeColor="text1"/>
          <w:sz w:val="32"/>
          <w:szCs w:val="32"/>
          <w14:textFill>
            <w14:solidFill>
              <w14:schemeClr w14:val="tx1"/>
            </w14:solidFill>
          </w14:textFill>
        </w:rPr>
        <w:t>确保区级事项</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全程网办</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率达到</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100%</w:t>
      </w:r>
      <w:r>
        <w:rPr>
          <w:rFonts w:hint="eastAsia" w:ascii="仿宋_GB2312" w:hAnsi="仿宋_GB2312" w:eastAsia="仿宋_GB2312" w:cs="仿宋_GB2312"/>
          <w:sz w:val="32"/>
          <w:szCs w:val="32"/>
          <w:lang w:val="en-US" w:eastAsia="zh-CN"/>
        </w:rPr>
        <w:t>。深入推进“高效办成一件事”改革，拓展“一类事”集成服务，到2026年底，实现经营主体和个人全生命周期重要阶段重要事项“高效办成一件事”场景</w:t>
      </w:r>
      <w:r>
        <w:rPr>
          <w:rFonts w:hint="eastAsia" w:ascii="仿宋_GB2312" w:hAnsi="仿宋_GB2312" w:eastAsia="仿宋_GB2312" w:cs="仿宋_GB2312"/>
          <w:color w:val="auto"/>
          <w:sz w:val="32"/>
          <w:szCs w:val="32"/>
          <w:lang w:val="en-US" w:eastAsia="zh-CN"/>
        </w:rPr>
        <w:t>全覆盖</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color w:val="auto"/>
          <w:kern w:val="2"/>
          <w:sz w:val="32"/>
          <w:szCs w:val="32"/>
          <w:lang w:val="en-US" w:eastAsia="zh-CN" w:bidi="ar"/>
        </w:rPr>
        <w:t>持续推进</w:t>
      </w:r>
      <w:r>
        <w:rPr>
          <w:rFonts w:hint="eastAsia" w:ascii="仿宋_GB2312" w:hAnsi="仿宋_GB2312" w:eastAsia="仿宋_GB2312" w:cs="仿宋_GB2312"/>
          <w:color w:val="auto"/>
          <w:sz w:val="32"/>
          <w:szCs w:val="32"/>
          <w:lang w:val="en-US" w:eastAsia="zh-CN"/>
        </w:rPr>
        <w:t>与“京策”平台</w:t>
      </w:r>
      <w:r>
        <w:rPr>
          <w:rFonts w:hint="eastAsia" w:ascii="仿宋_GB2312" w:hAnsi="仿宋_GB2312" w:eastAsia="仿宋_GB2312" w:cs="仿宋_GB2312"/>
          <w:color w:val="auto"/>
          <w:kern w:val="2"/>
          <w:sz w:val="32"/>
          <w:szCs w:val="32"/>
          <w:lang w:val="en-US" w:eastAsia="zh-CN" w:bidi="ar"/>
        </w:rPr>
        <w:t>对接联通，</w:t>
      </w:r>
      <w:r>
        <w:rPr>
          <w:rFonts w:hint="eastAsia" w:ascii="仿宋_GB2312" w:hAnsi="仿宋_GB2312" w:eastAsia="仿宋_GB2312" w:cs="仿宋_GB2312"/>
          <w:kern w:val="0"/>
          <w:sz w:val="32"/>
          <w:szCs w:val="32"/>
          <w:lang w:val="en-US" w:eastAsia="zh-CN" w:bidi="ar"/>
        </w:rPr>
        <w:t>推进</w:t>
      </w:r>
      <w:r>
        <w:rPr>
          <w:rFonts w:hint="eastAsia" w:ascii="仿宋_GB2312" w:hAnsi="仿宋_GB2312" w:eastAsia="仿宋_GB2312" w:cs="仿宋_GB2312"/>
          <w:color w:val="auto"/>
          <w:kern w:val="2"/>
          <w:sz w:val="32"/>
          <w:szCs w:val="32"/>
          <w:lang w:val="en-US" w:eastAsia="zh-CN" w:bidi="ar"/>
        </w:rPr>
        <w:t>更多符合要求的惠企利民政策实现</w:t>
      </w:r>
      <w:r>
        <w:rPr>
          <w:rFonts w:hint="eastAsia" w:ascii="仿宋_GB2312" w:hAnsi="仿宋_GB2312" w:eastAsia="仿宋_GB2312" w:cs="仿宋_GB2312"/>
          <w:kern w:val="0"/>
          <w:sz w:val="32"/>
          <w:szCs w:val="32"/>
          <w:lang w:val="en-US" w:eastAsia="zh-CN" w:bidi="ar"/>
        </w:rPr>
        <w:t>“免申即享、直达快享”。</w:t>
      </w:r>
      <w:r>
        <w:rPr>
          <w:rFonts w:hint="eastAsia" w:ascii="仿宋_GB2312" w:hAnsi="仿宋_GB2312" w:eastAsia="仿宋_GB2312" w:cs="仿宋_GB2312"/>
          <w:sz w:val="32"/>
          <w:szCs w:val="32"/>
          <w:lang w:val="en-US" w:eastAsia="zh-CN"/>
        </w:rPr>
        <w:t>按北京市相关要求，持续推动</w:t>
      </w:r>
      <w:r>
        <w:rPr>
          <w:rFonts w:hint="eastAsia" w:ascii="仿宋_GB2312" w:hAnsi="仿宋_GB2312" w:eastAsia="仿宋_GB2312" w:cs="仿宋_GB2312"/>
          <w:color w:val="auto"/>
          <w:kern w:val="2"/>
          <w:sz w:val="32"/>
          <w:szCs w:val="32"/>
          <w:lang w:val="en-US" w:eastAsia="zh-CN" w:bidi="ar"/>
        </w:rPr>
        <w:t>京津冀“跨省通办”，</w:t>
      </w:r>
      <w:r>
        <w:rPr>
          <w:rFonts w:hint="eastAsia" w:ascii="仿宋_GB2312" w:hAnsi="仿宋_GB2312" w:eastAsia="仿宋_GB2312" w:cs="仿宋_GB2312"/>
          <w:kern w:val="2"/>
          <w:sz w:val="32"/>
          <w:szCs w:val="32"/>
          <w:lang w:val="en-US" w:eastAsia="zh-CN" w:bidi="ar"/>
        </w:rPr>
        <w:t>将</w:t>
      </w:r>
      <w:r>
        <w:rPr>
          <w:rFonts w:hint="eastAsia" w:ascii="仿宋_GB2312" w:hAnsi="仿宋_GB2312" w:eastAsia="仿宋_GB2312" w:cs="仿宋_GB2312"/>
          <w:color w:val="auto"/>
          <w:kern w:val="2"/>
          <w:sz w:val="32"/>
          <w:szCs w:val="32"/>
          <w:lang w:val="en-US" w:eastAsia="zh-CN" w:bidi="ar"/>
        </w:rPr>
        <w:t>更多生产经营、民生等领域高频</w:t>
      </w:r>
      <w:r>
        <w:rPr>
          <w:rFonts w:hint="eastAsia" w:ascii="仿宋_GB2312" w:hAnsi="仿宋_GB2312" w:eastAsia="仿宋_GB2312" w:cs="仿宋_GB2312"/>
          <w:color w:val="auto"/>
          <w:kern w:val="2"/>
          <w:sz w:val="32"/>
          <w:szCs w:val="32"/>
          <w:highlight w:val="none"/>
          <w:lang w:val="en-US" w:eastAsia="zh-CN" w:bidi="ar"/>
        </w:rPr>
        <w:t>事项</w:t>
      </w:r>
      <w:r>
        <w:rPr>
          <w:rFonts w:hint="eastAsia" w:ascii="仿宋_GB2312" w:hAnsi="仿宋_GB2312" w:eastAsia="仿宋_GB2312" w:cs="仿宋_GB2312"/>
          <w:color w:val="auto"/>
          <w:kern w:val="2"/>
          <w:sz w:val="32"/>
          <w:szCs w:val="32"/>
          <w:lang w:val="en-US" w:eastAsia="zh-CN" w:bidi="ar"/>
        </w:rPr>
        <w:t>纳入“跨省通办”范围。</w:t>
      </w:r>
      <w:r>
        <w:rPr>
          <w:rFonts w:hint="eastAsia" w:ascii="仿宋_GB2312" w:hAnsi="仿宋_GB2312" w:eastAsia="仿宋_GB2312" w:cs="仿宋_GB2312"/>
          <w:sz w:val="32"/>
          <w:szCs w:val="32"/>
          <w:lang w:val="en-US" w:eastAsia="zh-CN"/>
        </w:rPr>
        <w:t>持续推广山区群众“小事不出村、大事就近办”政务服务模式，以“北京服务·平谷温度”品牌建设为抓手，打造“平谷暖心办”服务模式，构建区、镇、村三级联动、线上线下融合的便民服务体系，推动政务服务向基层延伸、向特殊群体倾斜，用精准服务、主动服务、暖心服务打通便民利民“最后一米”。</w:t>
      </w:r>
    </w:p>
    <w:p w14:paraId="47C3C06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推进政务办公数智化升级。</w:t>
      </w:r>
      <w:r>
        <w:rPr>
          <w:rFonts w:hint="eastAsia" w:ascii="仿宋_GB2312" w:hAnsi="仿宋_GB2312" w:eastAsia="仿宋_GB2312" w:cs="仿宋_GB2312"/>
          <w:sz w:val="32"/>
          <w:szCs w:val="32"/>
          <w:highlight w:val="none"/>
          <w:lang w:val="en-US" w:eastAsia="zh-CN"/>
        </w:rPr>
        <w:t>推动区级党政机关内部业务系统关停并转工作，</w:t>
      </w:r>
      <w:r>
        <w:rPr>
          <w:rFonts w:hint="eastAsia" w:ascii="仿宋_GB2312" w:hAnsi="仿宋_GB2312" w:eastAsia="仿宋_GB2312" w:cs="仿宋_GB2312"/>
          <w:b w:val="0"/>
          <w:bCs w:val="0"/>
          <w:sz w:val="32"/>
          <w:szCs w:val="32"/>
          <w:highlight w:val="none"/>
          <w:lang w:val="en-US" w:eastAsia="zh-CN"/>
        </w:rPr>
        <w:t>依托</w:t>
      </w:r>
      <w:r>
        <w:rPr>
          <w:rFonts w:hint="eastAsia" w:ascii="仿宋_GB2312" w:hAnsi="仿宋_GB2312" w:eastAsia="仿宋_GB2312" w:cs="仿宋_GB2312"/>
          <w:sz w:val="32"/>
          <w:szCs w:val="32"/>
          <w:highlight w:val="none"/>
          <w:lang w:val="en-US" w:eastAsia="zh-CN"/>
        </w:rPr>
        <w:t>“京办”系统实现统一认证、登录。</w:t>
      </w:r>
      <w:r>
        <w:rPr>
          <w:rFonts w:hint="eastAsia" w:ascii="仿宋_GB2312" w:hAnsi="仿宋_GB2312" w:eastAsia="仿宋_GB2312" w:cs="仿宋_GB2312"/>
          <w:b w:val="0"/>
          <w:bCs w:val="0"/>
          <w:sz w:val="32"/>
          <w:szCs w:val="32"/>
          <w:highlight w:val="none"/>
          <w:lang w:val="en-US" w:eastAsia="zh-CN"/>
        </w:rPr>
        <w:t>持续推广</w:t>
      </w:r>
      <w:r>
        <w:rPr>
          <w:rFonts w:hint="eastAsia" w:ascii="仿宋_GB2312" w:hAnsi="仿宋_GB2312" w:eastAsia="仿宋_GB2312" w:cs="仿宋_GB2312"/>
          <w:sz w:val="32"/>
          <w:szCs w:val="32"/>
          <w:highlight w:val="none"/>
          <w:lang w:val="en-US" w:eastAsia="zh-CN"/>
        </w:rPr>
        <w:t>“京办”</w:t>
      </w:r>
      <w:r>
        <w:rPr>
          <w:rFonts w:hint="eastAsia" w:ascii="仿宋_GB2312" w:hAnsi="仿宋_GB2312" w:eastAsia="仿宋_GB2312" w:cs="仿宋_GB2312"/>
          <w:b w:val="0"/>
          <w:bCs w:val="0"/>
          <w:color w:val="auto"/>
          <w:sz w:val="32"/>
          <w:szCs w:val="32"/>
          <w:highlight w:val="none"/>
          <w:lang w:val="en-US" w:eastAsia="zh-CN"/>
        </w:rPr>
        <w:t>向基层赋能</w:t>
      </w:r>
      <w:r>
        <w:rPr>
          <w:rFonts w:hint="eastAsia" w:ascii="仿宋_GB2312" w:hAnsi="仿宋_GB2312" w:eastAsia="仿宋_GB2312" w:cs="仿宋_GB2312"/>
          <w:sz w:val="32"/>
          <w:szCs w:val="32"/>
          <w:highlight w:val="none"/>
          <w:lang w:val="en-US" w:eastAsia="zh-CN"/>
        </w:rPr>
        <w:t>，逐步打通政务协同办公需求、供给、管理、决策全链条，推动机关内部事项线上集成化办理。</w:t>
      </w:r>
      <w:r>
        <w:rPr>
          <w:rFonts w:hint="eastAsia" w:ascii="仿宋_GB2312" w:hAnsi="仿宋_GB2312" w:eastAsia="仿宋_GB2312" w:cs="仿宋_GB2312"/>
          <w:sz w:val="32"/>
          <w:szCs w:val="32"/>
          <w:lang w:val="en-US" w:eastAsia="zh-CN"/>
        </w:rPr>
        <w:t>将各类基层报表全面纳入清单管理，梳理形成区级报表精简保留清单，并建立基层报表准入退出机制。依托“一表通”系统，开展数据报表收集填报工作，推进报送采集渠道高效整合，高频报表实现无感生成，报表数据实现“一方采集、多方共用”。开展数字档案馆2.0建设，优化</w:t>
      </w:r>
      <w:r>
        <w:rPr>
          <w:rFonts w:hint="eastAsia" w:ascii="仿宋_GB2312" w:hAnsi="仿宋_GB2312" w:eastAsia="仿宋_GB2312" w:cs="仿宋_GB2312"/>
          <w:sz w:val="32"/>
          <w:szCs w:val="32"/>
          <w:highlight w:val="none"/>
          <w:lang w:val="en-US" w:eastAsia="zh-CN"/>
        </w:rPr>
        <w:t>完善档案管理系统功能，建立完整服务体系，实现档案智能归档、多模态检索、智慧编研、智能开放鉴定等功能，提升档案辅助政府决策的能力。</w:t>
      </w:r>
      <w:r>
        <w:rPr>
          <w:rFonts w:hint="eastAsia" w:ascii="仿宋_GB2312" w:hAnsi="仿宋_GB2312" w:eastAsia="仿宋_GB2312" w:cs="仿宋_GB2312"/>
          <w:sz w:val="32"/>
          <w:szCs w:val="32"/>
          <w:lang w:val="en-US" w:eastAsia="zh-CN"/>
        </w:rPr>
        <w:t>基于市级政务大模型服务资源，梳理全区政务大模型应用场景清单，探索大模型在会前学习材料抓取、会议纪要辅助生成、智能问答、决策支持等典型政务场景应用。</w:t>
      </w:r>
    </w:p>
    <w:p w14:paraId="59F78137">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left"/>
        <w:textAlignment w:val="auto"/>
        <w:outlineLvl w:val="1"/>
        <w:rPr>
          <w:rFonts w:hint="eastAsia" w:ascii="楷体_GB2312" w:hAnsi="楷体_GB2312" w:eastAsia="楷体_GB2312" w:cs="楷体_GB2312"/>
          <w:sz w:val="32"/>
          <w:szCs w:val="32"/>
          <w:lang w:val="en-US" w:eastAsia="zh-CN"/>
        </w:rPr>
      </w:pPr>
      <w:bookmarkStart w:id="180" w:name="_Toc95585935"/>
      <w:bookmarkStart w:id="181" w:name="_Toc701844175"/>
      <w:bookmarkStart w:id="182" w:name="_Toc1293050236"/>
      <w:bookmarkStart w:id="183" w:name="_Toc145064311"/>
      <w:bookmarkStart w:id="184" w:name="_Toc32018"/>
      <w:bookmarkStart w:id="185" w:name="_Toc642664863"/>
      <w:bookmarkStart w:id="186" w:name="_Toc519198270"/>
      <w:bookmarkStart w:id="187" w:name="_Toc1618371811"/>
      <w:bookmarkStart w:id="188" w:name="_Toc1496629247"/>
      <w:bookmarkStart w:id="189" w:name="_Toc1090958093"/>
      <w:bookmarkStart w:id="190" w:name="_Toc782452683"/>
      <w:r>
        <w:rPr>
          <w:rFonts w:hint="eastAsia" w:ascii="楷体_GB2312" w:hAnsi="楷体_GB2312" w:eastAsia="楷体_GB2312" w:cs="楷体_GB2312"/>
          <w:sz w:val="32"/>
          <w:szCs w:val="32"/>
          <w:lang w:val="en-US" w:eastAsia="zh-CN"/>
        </w:rPr>
        <w:t>（二）推进普惠便捷数字社会建设</w:t>
      </w:r>
      <w:bookmarkEnd w:id="180"/>
      <w:bookmarkEnd w:id="181"/>
      <w:bookmarkEnd w:id="182"/>
      <w:bookmarkEnd w:id="183"/>
      <w:bookmarkEnd w:id="184"/>
      <w:bookmarkEnd w:id="185"/>
      <w:bookmarkEnd w:id="186"/>
      <w:bookmarkEnd w:id="187"/>
      <w:bookmarkEnd w:id="188"/>
      <w:bookmarkEnd w:id="189"/>
      <w:bookmarkEnd w:id="190"/>
    </w:p>
    <w:p w14:paraId="0BDDD2BF">
      <w:pPr>
        <w:pStyle w:val="12"/>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推进智慧教育建设。</w:t>
      </w:r>
      <w:r>
        <w:rPr>
          <w:rFonts w:hint="eastAsia" w:ascii="仿宋_GB2312" w:hAnsi="仿宋_GB2312" w:eastAsia="仿宋_GB2312" w:cs="仿宋_GB2312"/>
          <w:sz w:val="32"/>
          <w:szCs w:val="32"/>
          <w:lang w:val="en-US" w:eastAsia="zh-CN"/>
        </w:rPr>
        <w:t>持续推进智慧校园、智慧教室建设，全面开展人工智能通识教育。利用墨水屏智能终端设备，建设区“人工智能+教育”应用平台，打造学生智能电子书包，实施伴随式学情数据采集，实现差异化精准施教。</w:t>
      </w:r>
      <w:r>
        <w:rPr>
          <w:rFonts w:hint="eastAsia" w:ascii="仿宋_GB2312" w:hAnsi="仿宋_GB2312" w:eastAsia="仿宋_GB2312" w:cs="仿宋_GB2312"/>
          <w:b w:val="0"/>
          <w:bCs w:val="0"/>
          <w:sz w:val="32"/>
          <w:szCs w:val="32"/>
          <w:lang w:val="en-US" w:eastAsia="zh-CN"/>
        </w:rPr>
        <w:t>推进智慧教室建设，开展硬件设施</w:t>
      </w:r>
      <w:r>
        <w:rPr>
          <w:rFonts w:hint="eastAsia" w:ascii="仿宋_GB2312" w:hAnsi="仿宋_GB2312" w:eastAsia="仿宋_GB2312" w:cs="仿宋_GB2312"/>
          <w:sz w:val="32"/>
          <w:szCs w:val="32"/>
          <w:lang w:val="en-US" w:eastAsia="zh-CN"/>
        </w:rPr>
        <w:t>升级改造，</w:t>
      </w:r>
      <w:r>
        <w:rPr>
          <w:rFonts w:hint="eastAsia" w:ascii="仿宋_GB2312" w:hAnsi="仿宋_GB2312" w:eastAsia="仿宋_GB2312" w:cs="仿宋_GB2312"/>
          <w:b w:val="0"/>
          <w:bCs w:val="0"/>
          <w:sz w:val="32"/>
          <w:szCs w:val="32"/>
          <w:lang w:val="en-US" w:eastAsia="zh-CN"/>
        </w:rPr>
        <w:t>通过双师课堂模式，实现直播课堂、线上线下教师协同教研等校内外优质资源共享。</w:t>
      </w:r>
      <w:r>
        <w:rPr>
          <w:rFonts w:hint="eastAsia" w:ascii="仿宋_GB2312" w:hAnsi="仿宋_GB2312" w:eastAsia="仿宋_GB2312" w:cs="仿宋_GB2312"/>
          <w:sz w:val="32"/>
          <w:szCs w:val="32"/>
          <w:lang w:val="en-US" w:eastAsia="zh-CN"/>
        </w:rPr>
        <w:t>做好“AI+课堂”“AI+教研”“AI+学习”应用，建立人工智能教育实验学校。</w:t>
      </w:r>
    </w:p>
    <w:p w14:paraId="36F81EE9">
      <w:pPr>
        <w:pStyle w:val="12"/>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推进智慧人社建设。</w:t>
      </w:r>
      <w:r>
        <w:rPr>
          <w:rFonts w:hint="eastAsia" w:ascii="仿宋_GB2312" w:hAnsi="仿宋_GB2312" w:eastAsia="仿宋_GB2312" w:cs="仿宋_GB2312"/>
          <w:b w:val="0"/>
          <w:bCs w:val="0"/>
          <w:sz w:val="32"/>
          <w:szCs w:val="32"/>
          <w:highlight w:val="none"/>
          <w:lang w:val="en-US" w:eastAsia="zh-CN"/>
        </w:rPr>
        <w:t>持续推动智慧人社建设</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sz w:val="32"/>
          <w:szCs w:val="32"/>
          <w:lang w:val="en-US" w:eastAsia="zh-CN"/>
        </w:rPr>
        <w:t>打造智能化就业服务品牌，建设就业服务综合管理平台，重点围绕高校毕业生、农村劳动力等重点群体，支撑人岗精准匹配、就业趋势智能分析和政策效果模拟仿真。</w:t>
      </w:r>
      <w:r>
        <w:rPr>
          <w:rFonts w:hint="eastAsia" w:ascii="仿宋_GB2312" w:hAnsi="仿宋_GB2312" w:eastAsia="仿宋_GB2312" w:cs="仿宋_GB2312"/>
          <w:color w:val="auto"/>
          <w:sz w:val="32"/>
          <w:szCs w:val="32"/>
          <w:highlight w:val="none"/>
          <w:lang w:val="en-US" w:eastAsia="zh-CN"/>
        </w:rPr>
        <w:t>探索利用人工智能大模型精准匹配招聘岗位与就业需求，精准锁定就业困难群体与辖区企业，</w:t>
      </w:r>
      <w:r>
        <w:rPr>
          <w:rFonts w:hint="eastAsia" w:ascii="仿宋_GB2312" w:hAnsi="仿宋_GB2312" w:eastAsia="仿宋_GB2312" w:cs="仿宋_GB2312"/>
          <w:sz w:val="32"/>
          <w:szCs w:val="32"/>
          <w:lang w:val="en-US" w:eastAsia="zh-CN"/>
        </w:rPr>
        <w:t>为相关人员提供个性化就业推荐、技能培训、职业指导、政策补贴管理等一站式服务。</w:t>
      </w:r>
    </w:p>
    <w:p w14:paraId="78626A18">
      <w:pPr>
        <w:pStyle w:val="12"/>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推进智慧卫健建设。</w:t>
      </w:r>
      <w:r>
        <w:rPr>
          <w:rFonts w:hint="eastAsia" w:ascii="仿宋_GB2312" w:hAnsi="仿宋_GB2312" w:eastAsia="仿宋_GB2312" w:cs="仿宋_GB2312"/>
          <w:b w:val="0"/>
          <w:bCs w:val="0"/>
          <w:sz w:val="32"/>
          <w:szCs w:val="32"/>
          <w:lang w:val="en-US" w:eastAsia="zh-CN"/>
        </w:rPr>
        <w:t>持续推进“互联网+医疗健康”</w:t>
      </w:r>
      <w:r>
        <w:rPr>
          <w:rFonts w:hint="eastAsia" w:ascii="仿宋_GB2312" w:hAnsi="仿宋_GB2312" w:eastAsia="仿宋_GB2312" w:cs="仿宋_GB2312"/>
          <w:b w:val="0"/>
          <w:bCs w:val="0"/>
          <w:sz w:val="32"/>
          <w:szCs w:val="32"/>
          <w:highlight w:val="none"/>
          <w:lang w:val="en-US" w:eastAsia="zh-CN"/>
        </w:rPr>
        <w:t>建设，建设京津冀医学智能影像中心</w:t>
      </w:r>
      <w:r>
        <w:rPr>
          <w:rFonts w:hint="eastAsia" w:ascii="仿宋_GB2312" w:hAnsi="仿宋_GB2312" w:eastAsia="仿宋_GB2312" w:cs="仿宋_GB2312"/>
          <w:b w:val="0"/>
          <w:bCs w:val="0"/>
          <w:color w:val="auto"/>
          <w:kern w:val="2"/>
          <w:sz w:val="32"/>
          <w:szCs w:val="32"/>
          <w:highlight w:val="none"/>
          <w:lang w:val="en-US" w:eastAsia="zh-CN" w:bidi="ar-SA"/>
        </w:rPr>
        <w:t>，助力京津冀医疗健康一体化</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b w:val="0"/>
          <w:bCs w:val="0"/>
          <w:color w:val="auto"/>
          <w:kern w:val="2"/>
          <w:sz w:val="32"/>
          <w:szCs w:val="32"/>
          <w:highlight w:val="none"/>
          <w:lang w:val="en-US" w:eastAsia="zh-CN" w:bidi="ar-SA"/>
        </w:rPr>
        <w:t>建设基层医疗机构互联网诊疗平台，形成</w:t>
      </w:r>
      <w:r>
        <w:rPr>
          <w:rFonts w:hint="eastAsia" w:ascii="仿宋_GB2312" w:hAnsi="仿宋_GB2312" w:eastAsia="仿宋_GB2312" w:cs="仿宋_GB2312"/>
          <w:color w:val="auto"/>
          <w:kern w:val="2"/>
          <w:sz w:val="32"/>
          <w:szCs w:val="32"/>
          <w:highlight w:val="none"/>
          <w:lang w:val="en-US" w:eastAsia="zh-CN" w:bidi="ar-SA"/>
        </w:rPr>
        <w:t>基于互联网的就医服务、线上咨询、线上问诊开药、主动健康慢病管理等基层服务体系。探索集智能自诊、智能导诊、智能预问诊、智能问药及智能问答等功能一体的医疗智能数据大模型应用推广，提升智慧医疗服务水平</w:t>
      </w:r>
      <w:r>
        <w:rPr>
          <w:rFonts w:hint="eastAsia" w:ascii="仿宋_GB2312" w:hAnsi="仿宋_GB2312" w:eastAsia="仿宋_GB2312" w:cs="仿宋_GB2312"/>
          <w:color w:val="auto"/>
          <w:sz w:val="32"/>
          <w:szCs w:val="32"/>
        </w:rPr>
        <w:t>。</w:t>
      </w:r>
    </w:p>
    <w:p w14:paraId="73032BF8">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left="0" w:leftChars="0" w:right="0" w:firstLine="643" w:firstLineChars="200"/>
        <w:jc w:val="both"/>
        <w:textAlignment w:val="auto"/>
        <w:outlineLvl w:val="9"/>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lang w:val="en-US" w:eastAsia="zh-CN"/>
        </w:rPr>
        <w:t>推进智慧民政建设。</w:t>
      </w:r>
      <w:r>
        <w:rPr>
          <w:rFonts w:hint="eastAsia" w:ascii="仿宋_GB2312" w:hAnsi="仿宋_GB2312" w:eastAsia="仿宋_GB2312" w:cs="仿宋_GB2312"/>
          <w:sz w:val="32"/>
          <w:szCs w:val="32"/>
          <w:lang w:val="en-US" w:eastAsia="zh-CN"/>
        </w:rPr>
        <w:t>优化智慧养老服务，整合全区</w:t>
      </w:r>
      <w:r>
        <w:rPr>
          <w:rFonts w:hint="eastAsia" w:ascii="仿宋_GB2312" w:hAnsi="仿宋_GB2312" w:eastAsia="仿宋_GB2312" w:cs="仿宋_GB2312"/>
          <w:sz w:val="32"/>
          <w:szCs w:val="32"/>
          <w:highlight w:val="none"/>
          <w:lang w:val="en-US" w:eastAsia="zh-CN"/>
        </w:rPr>
        <w:t>272个行政村</w:t>
      </w:r>
      <w:r>
        <w:rPr>
          <w:rFonts w:hint="eastAsia" w:ascii="仿宋_GB2312" w:hAnsi="仿宋_GB2312" w:eastAsia="仿宋_GB2312" w:cs="仿宋_GB2312"/>
          <w:sz w:val="32"/>
          <w:szCs w:val="32"/>
          <w:lang w:val="en-US" w:eastAsia="zh-CN"/>
        </w:rPr>
        <w:t>互助养老服务资源，实现老年人“一键呼救”、需求智能感知和服务快速响应。</w:t>
      </w:r>
      <w:r>
        <w:rPr>
          <w:rFonts w:hint="eastAsia" w:ascii="仿宋_GB2312" w:hAnsi="仿宋_GB2312" w:eastAsia="仿宋_GB2312" w:cs="仿宋_GB2312"/>
          <w:sz w:val="32"/>
          <w:szCs w:val="32"/>
          <w:lang w:eastAsia="zh-CN" w:bidi="ar-SA"/>
        </w:rPr>
        <w:t>推动“互联网+养老服务”发展，提供</w:t>
      </w:r>
      <w:r>
        <w:rPr>
          <w:rFonts w:hint="eastAsia"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sz w:val="32"/>
          <w:szCs w:val="32"/>
          <w:lang w:eastAsia="zh-CN" w:bidi="ar-SA"/>
        </w:rPr>
        <w:t>菜单式</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bidi="ar-SA"/>
        </w:rPr>
        <w:t>就近便捷为老服务。</w:t>
      </w:r>
      <w:r>
        <w:rPr>
          <w:rFonts w:hint="eastAsia" w:ascii="仿宋_GB2312" w:hAnsi="仿宋_GB2312" w:eastAsia="仿宋_GB2312" w:cs="仿宋_GB2312"/>
          <w:sz w:val="32"/>
          <w:szCs w:val="32"/>
          <w:lang w:eastAsia="zh-CN"/>
        </w:rPr>
        <w:t>建立特殊困难老年人动态管理数据库，构建保障基本、救急救难的多层次关爱服务体系。</w:t>
      </w:r>
      <w:r>
        <w:rPr>
          <w:rFonts w:hint="eastAsia" w:ascii="仿宋_GB2312" w:hAnsi="仿宋_GB2312" w:eastAsia="仿宋_GB2312" w:cs="仿宋_GB2312"/>
          <w:sz w:val="32"/>
          <w:szCs w:val="32"/>
          <w:lang w:val="en-US" w:eastAsia="zh-CN"/>
        </w:rPr>
        <w:t>重点开发特殊困难老年人智能关怀场景，通过物联网设备实现异常行为预警和主动帮扶。</w:t>
      </w:r>
    </w:p>
    <w:p w14:paraId="1F23E1C6">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left"/>
        <w:textAlignment w:val="auto"/>
        <w:outlineLvl w:val="1"/>
        <w:rPr>
          <w:rFonts w:hint="eastAsia" w:ascii="楷体_GB2312" w:hAnsi="楷体_GB2312" w:eastAsia="楷体_GB2312" w:cs="楷体_GB2312"/>
          <w:sz w:val="32"/>
          <w:szCs w:val="32"/>
          <w:lang w:val="en-US" w:eastAsia="zh-CN"/>
        </w:rPr>
      </w:pPr>
      <w:bookmarkStart w:id="191" w:name="_Toc2094638222"/>
      <w:bookmarkStart w:id="192" w:name="_Toc701935632"/>
      <w:bookmarkStart w:id="193" w:name="_Toc19466"/>
      <w:bookmarkStart w:id="194" w:name="_Toc1914859901"/>
      <w:bookmarkStart w:id="195" w:name="_Toc1639872600"/>
      <w:bookmarkStart w:id="196" w:name="_Toc195041589"/>
      <w:bookmarkStart w:id="197" w:name="_Toc1573091678"/>
      <w:bookmarkStart w:id="198" w:name="_Toc1908292459"/>
      <w:bookmarkStart w:id="199" w:name="_Toc939266129"/>
      <w:bookmarkStart w:id="200" w:name="_Toc371797018"/>
      <w:bookmarkStart w:id="201" w:name="_Toc517290965"/>
      <w:r>
        <w:rPr>
          <w:rFonts w:hint="eastAsia" w:ascii="楷体_GB2312" w:hAnsi="楷体_GB2312" w:eastAsia="楷体_GB2312" w:cs="楷体_GB2312"/>
          <w:sz w:val="32"/>
          <w:szCs w:val="32"/>
          <w:lang w:val="en-US" w:eastAsia="zh-CN"/>
        </w:rPr>
        <w:t>（三）推进安全韧性数字城市治理建设</w:t>
      </w:r>
      <w:bookmarkEnd w:id="191"/>
      <w:bookmarkEnd w:id="192"/>
      <w:bookmarkEnd w:id="193"/>
      <w:bookmarkEnd w:id="194"/>
      <w:bookmarkEnd w:id="195"/>
      <w:bookmarkEnd w:id="196"/>
      <w:bookmarkEnd w:id="197"/>
      <w:bookmarkEnd w:id="198"/>
      <w:bookmarkEnd w:id="199"/>
      <w:bookmarkEnd w:id="200"/>
      <w:bookmarkEnd w:id="201"/>
    </w:p>
    <w:p w14:paraId="5BB77D2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spacing w:val="-6"/>
          <w:kern w:val="0"/>
          <w:sz w:val="32"/>
          <w:szCs w:val="32"/>
          <w:u w:val="none"/>
          <w:shd w:val="clear" w:color="auto" w:fill="FFFFFF"/>
          <w:lang w:bidi="ar"/>
        </w:rPr>
      </w:pPr>
      <w:bookmarkStart w:id="202" w:name="_Toc10264"/>
      <w:bookmarkStart w:id="203" w:name="_Toc1095445699"/>
      <w:r>
        <w:rPr>
          <w:rFonts w:hint="eastAsia" w:ascii="仿宋_GB2312" w:hAnsi="仿宋_GB2312" w:eastAsia="仿宋_GB2312" w:cs="仿宋_GB2312"/>
          <w:b/>
          <w:bCs/>
          <w:sz w:val="32"/>
          <w:szCs w:val="32"/>
          <w:lang w:val="en-US" w:eastAsia="zh-CN"/>
        </w:rPr>
        <w:t>推进智慧应急建设。</w:t>
      </w:r>
      <w:r>
        <w:rPr>
          <w:rFonts w:hint="eastAsia" w:ascii="仿宋_GB2312" w:hAnsi="仿宋_GB2312" w:eastAsia="仿宋_GB2312" w:cs="仿宋_GB2312"/>
          <w:b w:val="0"/>
          <w:bCs w:val="0"/>
          <w:sz w:val="32"/>
          <w:szCs w:val="32"/>
          <w:lang w:val="en-US" w:eastAsia="zh-CN"/>
        </w:rPr>
        <w:t>加强安全生产、灾害防治的安全风险综合监测，构建空天地一体化的灾害事故视频监测网络。加强大型建筑、公共设施、地下综合管廊、公共空间等基础设施地下空间安全感知网络建设，完善城市安全监测预警系统。</w:t>
      </w:r>
      <w:r>
        <w:rPr>
          <w:rFonts w:hint="eastAsia" w:ascii="仿宋_GB2312" w:hAnsi="仿宋_GB2312" w:eastAsia="仿宋_GB2312" w:cs="仿宋_GB2312"/>
          <w:color w:val="000000"/>
          <w:spacing w:val="-6"/>
          <w:kern w:val="0"/>
          <w:sz w:val="32"/>
          <w:szCs w:val="32"/>
          <w:u w:val="none"/>
          <w:shd w:val="clear" w:color="auto" w:fill="FFFFFF"/>
          <w:lang w:eastAsia="zh" w:bidi="ar"/>
        </w:rPr>
        <w:t>建设</w:t>
      </w:r>
      <w:r>
        <w:rPr>
          <w:rFonts w:hint="eastAsia" w:ascii="仿宋_GB2312" w:hAnsi="仿宋_GB2312" w:eastAsia="仿宋_GB2312" w:cs="仿宋_GB2312"/>
          <w:color w:val="000000"/>
          <w:spacing w:val="-6"/>
          <w:kern w:val="0"/>
          <w:sz w:val="32"/>
          <w:szCs w:val="32"/>
          <w:u w:val="none"/>
          <w:shd w:val="clear" w:color="auto" w:fill="FFFFFF"/>
          <w:lang w:val="en-US" w:eastAsia="zh-CN" w:bidi="ar"/>
        </w:rPr>
        <w:t>智慧</w:t>
      </w:r>
      <w:r>
        <w:rPr>
          <w:rFonts w:hint="eastAsia" w:ascii="仿宋_GB2312" w:hAnsi="仿宋_GB2312" w:eastAsia="仿宋_GB2312" w:cs="仿宋_GB2312"/>
          <w:color w:val="000000"/>
          <w:spacing w:val="-6"/>
          <w:kern w:val="0"/>
          <w:sz w:val="32"/>
          <w:szCs w:val="32"/>
          <w:u w:val="none"/>
          <w:shd w:val="clear" w:color="auto" w:fill="FFFFFF"/>
          <w:lang w:eastAsia="zh" w:bidi="ar"/>
        </w:rPr>
        <w:t>应急</w:t>
      </w:r>
      <w:r>
        <w:rPr>
          <w:rFonts w:hint="eastAsia" w:ascii="仿宋_GB2312" w:hAnsi="仿宋_GB2312" w:eastAsia="仿宋_GB2312" w:cs="仿宋_GB2312"/>
          <w:color w:val="000000"/>
          <w:spacing w:val="-6"/>
          <w:kern w:val="0"/>
          <w:sz w:val="32"/>
          <w:szCs w:val="32"/>
          <w:u w:val="none"/>
          <w:shd w:val="clear" w:color="auto" w:fill="FFFFFF"/>
          <w:lang w:val="en-US" w:eastAsia="zh-CN" w:bidi="ar"/>
        </w:rPr>
        <w:t>大</w:t>
      </w:r>
      <w:r>
        <w:rPr>
          <w:rFonts w:hint="eastAsia" w:ascii="仿宋_GB2312" w:hAnsi="仿宋_GB2312" w:eastAsia="仿宋_GB2312" w:cs="仿宋_GB2312"/>
          <w:color w:val="000000"/>
          <w:spacing w:val="-6"/>
          <w:kern w:val="0"/>
          <w:sz w:val="32"/>
          <w:szCs w:val="32"/>
          <w:u w:val="none"/>
          <w:shd w:val="clear" w:color="auto" w:fill="FFFFFF"/>
          <w:lang w:eastAsia="zh" w:bidi="ar"/>
        </w:rPr>
        <w:t>数据</w:t>
      </w:r>
      <w:r>
        <w:rPr>
          <w:rFonts w:hint="eastAsia" w:ascii="仿宋_GB2312" w:hAnsi="仿宋_GB2312" w:eastAsia="仿宋_GB2312" w:cs="仿宋_GB2312"/>
          <w:color w:val="000000"/>
          <w:spacing w:val="-6"/>
          <w:kern w:val="0"/>
          <w:sz w:val="32"/>
          <w:szCs w:val="32"/>
          <w:u w:val="none"/>
          <w:shd w:val="clear" w:color="auto" w:fill="FFFFFF"/>
          <w:lang w:val="en-US" w:eastAsia="zh-CN" w:bidi="ar"/>
        </w:rPr>
        <w:t>支撑体系</w:t>
      </w:r>
      <w:r>
        <w:rPr>
          <w:rFonts w:hint="eastAsia" w:ascii="仿宋_GB2312" w:hAnsi="仿宋_GB2312" w:eastAsia="仿宋_GB2312" w:cs="仿宋_GB2312"/>
          <w:color w:val="000000"/>
          <w:spacing w:val="-6"/>
          <w:kern w:val="0"/>
          <w:sz w:val="32"/>
          <w:szCs w:val="32"/>
          <w:u w:val="none"/>
          <w:shd w:val="clear" w:color="auto" w:fill="FFFFFF"/>
          <w:lang w:eastAsia="zh" w:bidi="ar"/>
        </w:rPr>
        <w:t>，</w:t>
      </w:r>
      <w:r>
        <w:rPr>
          <w:rFonts w:hint="eastAsia" w:ascii="仿宋_GB2312" w:hAnsi="仿宋_GB2312" w:eastAsia="仿宋_GB2312" w:cs="仿宋_GB2312"/>
          <w:color w:val="000000"/>
          <w:spacing w:val="-6"/>
          <w:kern w:val="0"/>
          <w:sz w:val="32"/>
          <w:szCs w:val="32"/>
          <w:u w:val="none"/>
          <w:shd w:val="clear" w:color="auto" w:fill="FFFFFF"/>
          <w:lang w:val="en-US" w:eastAsia="zh-CN" w:bidi="ar"/>
        </w:rPr>
        <w:t>整合汇聚灾害监测预警信息，</w:t>
      </w:r>
      <w:r>
        <w:rPr>
          <w:rFonts w:hint="eastAsia" w:ascii="仿宋_GB2312" w:hAnsi="仿宋_GB2312" w:eastAsia="仿宋_GB2312" w:cs="仿宋_GB2312"/>
          <w:color w:val="000000"/>
          <w:spacing w:val="-6"/>
          <w:kern w:val="0"/>
          <w:sz w:val="32"/>
          <w:szCs w:val="32"/>
          <w:u w:val="none"/>
          <w:shd w:val="clear" w:color="auto" w:fill="FFFFFF"/>
          <w:lang w:eastAsia="zh" w:bidi="ar"/>
        </w:rPr>
        <w:t>强化数据汇聚、治理、分析能力</w:t>
      </w:r>
      <w:r>
        <w:rPr>
          <w:rFonts w:hint="eastAsia" w:ascii="仿宋_GB2312" w:hAnsi="仿宋_GB2312" w:eastAsia="仿宋_GB2312" w:cs="仿宋_GB2312"/>
          <w:color w:val="000000"/>
          <w:spacing w:val="-6"/>
          <w:kern w:val="0"/>
          <w:sz w:val="32"/>
          <w:szCs w:val="32"/>
          <w:u w:val="none"/>
          <w:shd w:val="clear" w:color="auto" w:fill="FFFFFF"/>
          <w:lang w:bidi="ar"/>
        </w:rPr>
        <w:t>。</w:t>
      </w:r>
      <w:r>
        <w:rPr>
          <w:rFonts w:hint="eastAsia" w:ascii="仿宋_GB2312" w:hAnsi="仿宋_GB2312" w:eastAsia="仿宋_GB2312" w:cs="仿宋_GB2312"/>
          <w:color w:val="000000"/>
          <w:spacing w:val="-6"/>
          <w:kern w:val="0"/>
          <w:sz w:val="32"/>
          <w:szCs w:val="32"/>
          <w:u w:val="none"/>
          <w:shd w:val="clear" w:color="auto" w:fill="FFFFFF"/>
          <w:lang w:val="en-US" w:eastAsia="zh-CN" w:bidi="ar"/>
        </w:rPr>
        <w:t>依托</w:t>
      </w:r>
      <w:r>
        <w:rPr>
          <w:rFonts w:hint="eastAsia" w:ascii="仿宋_GB2312" w:hAnsi="仿宋_GB2312" w:eastAsia="仿宋_GB2312" w:cs="仿宋_GB2312"/>
          <w:b w:val="0"/>
          <w:bCs w:val="0"/>
          <w:sz w:val="32"/>
          <w:szCs w:val="32"/>
          <w:lang w:val="en-US" w:eastAsia="zh-CN"/>
        </w:rPr>
        <w:t>人工智能技术，提升“平急两用”智慧防灾能力</w:t>
      </w:r>
      <w:r>
        <w:rPr>
          <w:rFonts w:hint="eastAsia" w:ascii="仿宋_GB2312" w:hAnsi="仿宋_GB2312" w:eastAsia="仿宋_GB2312" w:cs="仿宋_GB2312"/>
          <w:sz w:val="32"/>
          <w:szCs w:val="32"/>
          <w:lang w:val="en-US" w:eastAsia="zh-CN"/>
        </w:rPr>
        <w:t>，支撑森林火险、城市内涝、农田渍涝、河道溢流及异常干旱等高风险自然灾害多场景的智能化应用，形成“智能感知、互联互通、融合共享、业务协同”的智慧防灾系统</w:t>
      </w:r>
      <w:r>
        <w:rPr>
          <w:rFonts w:hint="eastAsia" w:ascii="仿宋_GB2312" w:hAnsi="仿宋_GB2312" w:eastAsia="仿宋_GB2312" w:cs="仿宋_GB2312"/>
          <w:sz w:val="32"/>
          <w:szCs w:val="32"/>
        </w:rPr>
        <w:t>。</w:t>
      </w:r>
    </w:p>
    <w:p w14:paraId="738B0537">
      <w:pPr>
        <w:pStyle w:val="10"/>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b w:val="0"/>
          <w:bCs w:val="0"/>
          <w:kern w:val="2"/>
          <w:sz w:val="32"/>
          <w:szCs w:val="32"/>
          <w:highlight w:val="none"/>
          <w:lang w:val="en-US" w:eastAsia="zh-CN" w:bidi="ar-SA"/>
        </w:rPr>
      </w:pPr>
      <w:r>
        <w:rPr>
          <w:rFonts w:hint="eastAsia" w:ascii="仿宋_GB2312" w:hAnsi="仿宋_GB2312" w:eastAsia="仿宋_GB2312" w:cs="仿宋_GB2312"/>
          <w:b/>
          <w:bCs/>
          <w:kern w:val="2"/>
          <w:sz w:val="32"/>
          <w:szCs w:val="32"/>
          <w:lang w:val="en-US" w:eastAsia="zh-CN" w:bidi="ar-SA"/>
        </w:rPr>
        <w:t>推进智慧警务建设。</w:t>
      </w:r>
      <w:r>
        <w:rPr>
          <w:rFonts w:hint="eastAsia" w:ascii="仿宋_GB2312" w:hAnsi="仿宋_GB2312" w:eastAsia="仿宋_GB2312" w:cs="仿宋_GB2312"/>
          <w:b w:val="0"/>
          <w:bCs w:val="0"/>
          <w:kern w:val="2"/>
          <w:sz w:val="32"/>
          <w:szCs w:val="32"/>
          <w:lang w:val="en-US" w:eastAsia="zh-CN" w:bidi="ar-SA"/>
        </w:rPr>
        <w:t>持续推进雪亮工程优化升级，</w:t>
      </w:r>
      <w:r>
        <w:rPr>
          <w:rFonts w:hint="eastAsia" w:ascii="仿宋_GB2312" w:hAnsi="仿宋_GB2312" w:eastAsia="仿宋_GB2312" w:cs="仿宋_GB2312"/>
          <w:kern w:val="2"/>
          <w:sz w:val="32"/>
          <w:szCs w:val="32"/>
          <w:highlight w:val="none"/>
          <w:lang w:val="en-US" w:eastAsia="zh-CN" w:bidi="ar-SA"/>
        </w:rPr>
        <w:t>推动视频监控资源的互联互通，</w:t>
      </w:r>
      <w:r>
        <w:rPr>
          <w:rFonts w:hint="eastAsia" w:ascii="仿宋_GB2312" w:hAnsi="仿宋_GB2312" w:eastAsia="仿宋_GB2312" w:cs="仿宋_GB2312"/>
          <w:b w:val="0"/>
          <w:bCs w:val="0"/>
          <w:kern w:val="2"/>
          <w:sz w:val="32"/>
          <w:szCs w:val="32"/>
          <w:lang w:val="en-US" w:eastAsia="zh-CN" w:bidi="ar-SA"/>
        </w:rPr>
        <w:t>不断拓展视频感知数据接入范围，提升全区视频资源统筹、智能管理能力。</w:t>
      </w:r>
      <w:r>
        <w:rPr>
          <w:rFonts w:hint="eastAsia" w:ascii="仿宋_GB2312" w:hAnsi="仿宋_GB2312" w:eastAsia="仿宋_GB2312" w:cs="仿宋_GB2312"/>
          <w:kern w:val="2"/>
          <w:sz w:val="32"/>
          <w:szCs w:val="32"/>
          <w:highlight w:val="none"/>
        </w:rPr>
        <w:t>建设“视重通”应用平台，</w:t>
      </w:r>
      <w:r>
        <w:rPr>
          <w:rFonts w:hint="eastAsia" w:ascii="仿宋_GB2312" w:hAnsi="仿宋_GB2312" w:eastAsia="仿宋_GB2312" w:cs="仿宋_GB2312"/>
          <w:kern w:val="2"/>
          <w:sz w:val="32"/>
          <w:szCs w:val="32"/>
          <w:highlight w:val="none"/>
          <w:lang w:val="en-US" w:eastAsia="zh-CN"/>
        </w:rPr>
        <w:t>实现对</w:t>
      </w:r>
      <w:r>
        <w:rPr>
          <w:rFonts w:hint="eastAsia" w:ascii="仿宋_GB2312" w:hAnsi="仿宋_GB2312" w:eastAsia="仿宋_GB2312" w:cs="仿宋_GB2312"/>
          <w:kern w:val="2"/>
          <w:sz w:val="32"/>
          <w:szCs w:val="32"/>
          <w:highlight w:val="none"/>
        </w:rPr>
        <w:t>重点</w:t>
      </w:r>
      <w:r>
        <w:rPr>
          <w:rFonts w:hint="eastAsia" w:ascii="仿宋_GB2312" w:hAnsi="仿宋_GB2312" w:eastAsia="仿宋_GB2312" w:cs="仿宋_GB2312"/>
          <w:kern w:val="2"/>
          <w:sz w:val="32"/>
          <w:szCs w:val="32"/>
          <w:highlight w:val="none"/>
          <w:lang w:val="en-US" w:eastAsia="zh-CN"/>
        </w:rPr>
        <w:t>人群</w:t>
      </w:r>
      <w:r>
        <w:rPr>
          <w:rFonts w:hint="eastAsia" w:ascii="仿宋_GB2312" w:hAnsi="仿宋_GB2312" w:eastAsia="仿宋_GB2312" w:cs="仿宋_GB2312"/>
          <w:kern w:val="2"/>
          <w:sz w:val="32"/>
          <w:szCs w:val="32"/>
          <w:highlight w:val="none"/>
        </w:rPr>
        <w:t>的防控</w:t>
      </w:r>
      <w:r>
        <w:rPr>
          <w:rFonts w:hint="eastAsia" w:ascii="仿宋_GB2312" w:hAnsi="仿宋_GB2312" w:eastAsia="仿宋_GB2312" w:cs="仿宋_GB2312"/>
          <w:kern w:val="2"/>
          <w:sz w:val="32"/>
          <w:szCs w:val="32"/>
          <w:highlight w:val="none"/>
          <w:lang w:eastAsia="zh-CN"/>
        </w:rPr>
        <w:t>。</w:t>
      </w:r>
      <w:r>
        <w:rPr>
          <w:rFonts w:hint="eastAsia" w:ascii="仿宋_GB2312" w:hAnsi="仿宋_GB2312" w:eastAsia="仿宋_GB2312" w:cs="仿宋_GB2312"/>
          <w:b w:val="0"/>
          <w:bCs w:val="0"/>
          <w:kern w:val="2"/>
          <w:sz w:val="32"/>
          <w:szCs w:val="32"/>
          <w:lang w:val="en-US" w:eastAsia="zh-CN" w:bidi="ar-SA"/>
        </w:rPr>
        <w:t>围绕全区重点区域开展前端智能安防设施建设，搭建智慧平安小区管控系统，融合人口、房屋、车辆等数据，支撑治安防控、人口管理、研判分析等应用。</w:t>
      </w:r>
    </w:p>
    <w:p w14:paraId="461A16F3">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kern w:val="2"/>
          <w:sz w:val="32"/>
          <w:szCs w:val="32"/>
          <w:highlight w:val="none"/>
          <w:lang w:val="en-US" w:eastAsia="zh-CN" w:bidi="ar-SA"/>
        </w:rPr>
        <w:t>推进智慧城管建设。</w:t>
      </w:r>
      <w:r>
        <w:rPr>
          <w:rFonts w:hint="eastAsia" w:ascii="仿宋_GB2312" w:hAnsi="仿宋_GB2312" w:eastAsia="仿宋_GB2312" w:cs="仿宋_GB2312"/>
          <w:b w:val="0"/>
          <w:bCs w:val="0"/>
          <w:kern w:val="2"/>
          <w:sz w:val="32"/>
          <w:szCs w:val="32"/>
          <w:highlight w:val="none"/>
          <w:lang w:val="en-US" w:eastAsia="zh-CN" w:bidi="ar-SA"/>
        </w:rPr>
        <w:t>聚焦大城市治理问题，建立</w:t>
      </w:r>
      <w:r>
        <w:rPr>
          <w:rFonts w:hint="eastAsia" w:ascii="仿宋_GB2312" w:hAnsi="仿宋_GB2312" w:eastAsia="仿宋_GB2312" w:cs="仿宋_GB2312"/>
          <w:sz w:val="32"/>
          <w:szCs w:val="32"/>
          <w:highlight w:val="none"/>
        </w:rPr>
        <w:t>完</w:t>
      </w:r>
      <w:r>
        <w:rPr>
          <w:rFonts w:hint="eastAsia" w:ascii="仿宋_GB2312" w:hAnsi="仿宋_GB2312" w:eastAsia="仿宋_GB2312" w:cs="仿宋_GB2312"/>
          <w:sz w:val="32"/>
          <w:szCs w:val="32"/>
        </w:rPr>
        <w:t>善城市运行“数字体征”和“数字底图”体系，</w:t>
      </w:r>
      <w:r>
        <w:rPr>
          <w:rFonts w:hint="eastAsia" w:ascii="仿宋_GB2312" w:hAnsi="仿宋_GB2312" w:eastAsia="仿宋_GB2312" w:cs="仿宋_GB2312"/>
          <w:sz w:val="32"/>
          <w:szCs w:val="32"/>
          <w:lang w:val="en-US" w:eastAsia="zh-CN"/>
        </w:rPr>
        <w:t>建设</w:t>
      </w:r>
      <w:r>
        <w:rPr>
          <w:rFonts w:hint="eastAsia" w:ascii="仿宋_GB2312" w:hAnsi="仿宋_GB2312" w:eastAsia="仿宋_GB2312" w:cs="仿宋_GB2312"/>
          <w:sz w:val="32"/>
          <w:szCs w:val="32"/>
        </w:rPr>
        <w:t>智慧网格综合管理平台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推动城市体检与城市更新数据赋能、业务联动，打造超大城市“数治”新范式。</w:t>
      </w:r>
      <w:r>
        <w:rPr>
          <w:rFonts w:hint="eastAsia" w:ascii="仿宋_GB2312" w:hAnsi="仿宋_GB2312" w:eastAsia="仿宋_GB2312" w:cs="仿宋_GB2312"/>
          <w:b w:val="0"/>
          <w:bCs w:val="0"/>
          <w:kern w:val="2"/>
          <w:sz w:val="32"/>
          <w:szCs w:val="32"/>
          <w:lang w:val="en-US" w:eastAsia="zh-CN" w:bidi="ar-SA"/>
        </w:rPr>
        <w:t>加快推动接诉即办平台优化升级，强化涉企服务协同联动，</w:t>
      </w:r>
      <w:r>
        <w:rPr>
          <w:rFonts w:hint="eastAsia" w:ascii="仿宋_GB2312" w:hAnsi="仿宋_GB2312" w:eastAsia="仿宋_GB2312" w:cs="仿宋_GB2312"/>
          <w:sz w:val="32"/>
          <w:szCs w:val="32"/>
        </w:rPr>
        <w:t>新增“专项督办单”功能，实现与市级平台的全流程贯通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建设智能办件助手、智能审核辅助系统及剔除分析辅助功能，提升办件规范性、准确性和一次办结率。</w:t>
      </w:r>
    </w:p>
    <w:bookmarkEnd w:id="202"/>
    <w:p w14:paraId="6CE307D7">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left"/>
        <w:textAlignment w:val="auto"/>
        <w:outlineLvl w:val="1"/>
        <w:rPr>
          <w:rFonts w:hint="eastAsia" w:ascii="楷体_GB2312" w:hAnsi="楷体_GB2312" w:eastAsia="楷体_GB2312" w:cs="楷体_GB2312"/>
          <w:sz w:val="32"/>
          <w:szCs w:val="32"/>
          <w:lang w:val="en-US" w:eastAsia="zh-CN"/>
        </w:rPr>
      </w:pPr>
      <w:bookmarkStart w:id="204" w:name="_Toc860422165"/>
      <w:bookmarkStart w:id="205" w:name="_Toc93541006"/>
      <w:bookmarkStart w:id="206" w:name="_Toc1003941001"/>
      <w:bookmarkStart w:id="207" w:name="_Toc885171883"/>
      <w:bookmarkStart w:id="208" w:name="_Toc3090468"/>
      <w:bookmarkStart w:id="209" w:name="_Toc1762552403"/>
      <w:bookmarkStart w:id="210" w:name="_Toc533662602"/>
      <w:bookmarkStart w:id="211" w:name="_Toc1280653929"/>
      <w:bookmarkStart w:id="212" w:name="_Toc1304494053"/>
      <w:bookmarkStart w:id="213" w:name="_Toc30874"/>
      <w:r>
        <w:rPr>
          <w:rFonts w:hint="eastAsia" w:ascii="楷体_GB2312" w:hAnsi="楷体_GB2312" w:eastAsia="楷体_GB2312" w:cs="楷体_GB2312"/>
          <w:sz w:val="32"/>
          <w:szCs w:val="32"/>
          <w:lang w:val="en-US" w:eastAsia="zh-CN"/>
        </w:rPr>
        <w:t>（四）推进绿色低碳数字生态文明建设</w:t>
      </w:r>
      <w:bookmarkEnd w:id="203"/>
      <w:bookmarkEnd w:id="204"/>
      <w:bookmarkEnd w:id="205"/>
      <w:bookmarkEnd w:id="206"/>
      <w:bookmarkEnd w:id="207"/>
      <w:bookmarkEnd w:id="208"/>
      <w:bookmarkEnd w:id="209"/>
      <w:bookmarkEnd w:id="210"/>
      <w:bookmarkEnd w:id="211"/>
      <w:bookmarkEnd w:id="212"/>
      <w:bookmarkEnd w:id="213"/>
    </w:p>
    <w:p w14:paraId="4EF8BF2E">
      <w:pPr>
        <w:pStyle w:val="12"/>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560" w:lineRule="exact"/>
        <w:ind w:right="0" w:rightChars="0" w:firstLine="643" w:firstLineChars="200"/>
        <w:jc w:val="both"/>
        <w:textAlignment w:val="auto"/>
        <w:outlineLvl w:val="9"/>
        <w:rPr>
          <w:rFonts w:hint="eastAsia" w:ascii="仿宋_GB2312" w:hAnsi="仿宋_GB2312" w:eastAsia="仿宋_GB2312" w:cs="仿宋_GB2312"/>
          <w:kern w:val="2"/>
          <w:sz w:val="32"/>
          <w:szCs w:val="32"/>
          <w:highlight w:val="yellow"/>
          <w:lang w:val="en-US" w:eastAsia="zh-CN" w:bidi="ar-SA"/>
        </w:rPr>
      </w:pPr>
      <w:r>
        <w:rPr>
          <w:rFonts w:hint="eastAsia" w:ascii="仿宋_GB2312" w:hAnsi="仿宋_GB2312" w:eastAsia="仿宋_GB2312" w:cs="仿宋_GB2312"/>
          <w:b/>
          <w:bCs/>
          <w:kern w:val="2"/>
          <w:sz w:val="32"/>
          <w:szCs w:val="32"/>
          <w:lang w:val="en-US" w:eastAsia="zh-CN" w:bidi="ar-SA"/>
        </w:rPr>
        <w:t>推进智慧环境建设。</w:t>
      </w:r>
      <w:r>
        <w:rPr>
          <w:rFonts w:hint="eastAsia" w:ascii="仿宋_GB2312" w:hAnsi="仿宋_GB2312" w:eastAsia="仿宋_GB2312" w:cs="仿宋_GB2312"/>
          <w:kern w:val="2"/>
          <w:sz w:val="32"/>
          <w:szCs w:val="32"/>
          <w:lang w:val="en-US" w:eastAsia="zh-CN" w:bidi="ar-SA"/>
        </w:rPr>
        <w:t>构建“环首都生态圈—市级生态廊道—区级生态节点”三级生态网络体系，融入区域生态格局。</w:t>
      </w:r>
      <w:r>
        <w:rPr>
          <w:rFonts w:hint="eastAsia" w:ascii="仿宋_GB2312" w:hAnsi="仿宋_GB2312" w:eastAsia="仿宋_GB2312" w:cs="仿宋_GB2312"/>
          <w:sz w:val="32"/>
          <w:szCs w:val="32"/>
          <w:highlight w:val="none"/>
        </w:rPr>
        <w:t>拓展</w:t>
      </w:r>
      <w:r>
        <w:rPr>
          <w:rFonts w:hint="eastAsia" w:ascii="仿宋_GB2312" w:hAnsi="仿宋_GB2312" w:eastAsia="仿宋_GB2312" w:cs="仿宋_GB2312"/>
          <w:sz w:val="32"/>
          <w:szCs w:val="32"/>
          <w:highlight w:val="none"/>
          <w:lang w:eastAsia="zh-CN"/>
        </w:rPr>
        <w:t>大气污染监测</w:t>
      </w:r>
      <w:r>
        <w:rPr>
          <w:rFonts w:hint="eastAsia" w:ascii="仿宋_GB2312" w:hAnsi="仿宋_GB2312" w:eastAsia="仿宋_GB2312" w:cs="仿宋_GB2312"/>
          <w:sz w:val="32"/>
          <w:szCs w:val="32"/>
          <w:highlight w:val="none"/>
        </w:rPr>
        <w:t>，建立涵盖机动车、非道路移动机械、船舶的移动源监测体系，加强铁路货场、物流园区等内部或周边</w:t>
      </w:r>
      <w:r>
        <w:rPr>
          <w:rFonts w:hint="eastAsia" w:ascii="仿宋_GB2312" w:hAnsi="仿宋_GB2312" w:eastAsia="仿宋_GB2312" w:cs="仿宋_GB2312"/>
          <w:sz w:val="32"/>
          <w:szCs w:val="32"/>
          <w:highlight w:val="none"/>
          <w:lang w:eastAsia="zh-CN"/>
        </w:rPr>
        <w:t>大气污染监测</w:t>
      </w:r>
      <w:r>
        <w:rPr>
          <w:rFonts w:hint="eastAsia" w:ascii="仿宋_GB2312" w:hAnsi="仿宋_GB2312" w:eastAsia="仿宋_GB2312" w:cs="仿宋_GB2312"/>
          <w:sz w:val="32"/>
          <w:szCs w:val="32"/>
          <w:highlight w:val="none"/>
        </w:rPr>
        <w:t>和管理</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提升</w:t>
      </w:r>
      <w:r>
        <w:rPr>
          <w:rFonts w:hint="eastAsia" w:ascii="仿宋_GB2312" w:hAnsi="仿宋_GB2312" w:eastAsia="仿宋_GB2312" w:cs="仿宋_GB2312"/>
          <w:kern w:val="2"/>
          <w:sz w:val="32"/>
          <w:szCs w:val="32"/>
          <w:lang w:val="en-US" w:eastAsia="zh-CN" w:bidi="ar-SA"/>
        </w:rPr>
        <w:t>重污染天气、地质灾害、森林防火等重大风险智能监测预警与联动处置能力。</w:t>
      </w:r>
    </w:p>
    <w:p w14:paraId="64688C10">
      <w:pPr>
        <w:pStyle w:val="12"/>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560" w:lineRule="exact"/>
        <w:ind w:right="0" w:rightChars="0" w:firstLine="643" w:firstLineChars="20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推进智慧园林建设。</w:t>
      </w:r>
      <w:r>
        <w:rPr>
          <w:rFonts w:hint="eastAsia" w:ascii="仿宋_GB2312" w:hAnsi="仿宋_GB2312" w:eastAsia="仿宋_GB2312" w:cs="仿宋_GB2312"/>
          <w:kern w:val="2"/>
          <w:sz w:val="32"/>
          <w:szCs w:val="32"/>
          <w:lang w:val="en-US" w:eastAsia="zh-CN" w:bidi="ar-SA"/>
        </w:rPr>
        <w:t>依托市“花园城市”和生态惠民建设部署，构建平谷区园林绿化资源数字化体系，加强林地、绿地、自然保护地智能监测和生态价值评估。推进森林防火视频监控设施设备升级改造，加强森林防火、病虫害防控、古树名木保护等智能监管。结合生态产品价值实现机制，探索“林旅+林经”智慧化应用场景。</w:t>
      </w:r>
    </w:p>
    <w:p w14:paraId="74EFB88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推进智慧水务建设。</w:t>
      </w:r>
      <w:r>
        <w:rPr>
          <w:rFonts w:hint="eastAsia" w:ascii="仿宋_GB2312" w:hAnsi="仿宋_GB2312" w:eastAsia="仿宋_GB2312" w:cs="仿宋_GB2312"/>
          <w:kern w:val="2"/>
          <w:sz w:val="32"/>
          <w:szCs w:val="32"/>
          <w:lang w:val="en-US" w:eastAsia="zh-CN" w:bidi="ar-SA"/>
        </w:rPr>
        <w:t>按照北京市“智慧水务”建设总体框架，建立区水资源、水环境、水灾害“三水统筹”的智能管理模式，优化完善水文监测、河湖管理、供水排水、防汛抗旱等智能感知体系，强化水旱灾害防御和应急响应能力。构建准确智能、精细便捷的数字水网，优化完善全区防洪、供水、生态等方面监测、调度、管理智能水务平台建设，持续强化雨情、水情监测预报能力。推动与京津冀水资源协同调控系统对接，配合“引清济洳”“引潮济泃”等区域水网工程，实现水资源优化配置和河湖生态流量精准管控。</w:t>
      </w:r>
    </w:p>
    <w:p w14:paraId="4192C798">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kern w:val="2"/>
          <w:sz w:val="32"/>
          <w:szCs w:val="32"/>
          <w:lang w:val="en-US" w:eastAsia="zh-CN" w:bidi="ar-SA"/>
        </w:rPr>
        <w:t>推进气象领域数智化建设。</w:t>
      </w:r>
      <w:r>
        <w:rPr>
          <w:rFonts w:hint="eastAsia" w:ascii="仿宋_GB2312" w:hAnsi="仿宋_GB2312" w:eastAsia="仿宋_GB2312" w:cs="仿宋_GB2312"/>
          <w:b w:val="0"/>
          <w:bCs w:val="0"/>
          <w:kern w:val="2"/>
          <w:sz w:val="32"/>
          <w:szCs w:val="32"/>
          <w:lang w:val="en-US" w:eastAsia="zh-CN" w:bidi="ar-SA"/>
        </w:rPr>
        <w:t>深化人工智能、大数据技术在气象预报预警中的融合应用，升级信息基础设施，提升数据资源支撑能力。将迭代升级的睿图区域模式预报系统融入数智底座，支</w:t>
      </w:r>
      <w:r>
        <w:rPr>
          <w:rFonts w:hint="eastAsia" w:ascii="仿宋_GB2312" w:hAnsi="仿宋_GB2312" w:eastAsia="仿宋_GB2312" w:cs="仿宋_GB2312"/>
          <w:color w:val="auto"/>
          <w:sz w:val="32"/>
          <w:szCs w:val="32"/>
          <w:lang w:val="en-US" w:eastAsia="zh-CN"/>
        </w:rPr>
        <w:t>撑</w:t>
      </w:r>
      <w:r>
        <w:rPr>
          <w:rFonts w:hint="eastAsia" w:ascii="仿宋_GB2312" w:hAnsi="仿宋_GB2312" w:eastAsia="仿宋_GB2312" w:cs="仿宋_GB2312"/>
          <w:color w:val="auto"/>
          <w:sz w:val="32"/>
          <w:szCs w:val="32"/>
        </w:rPr>
        <w:t>农业生产、文旅康养、生态文明、防灾减灾、交通物流等</w:t>
      </w:r>
      <w:r>
        <w:rPr>
          <w:rFonts w:hint="eastAsia" w:ascii="仿宋_GB2312" w:hAnsi="仿宋_GB2312" w:eastAsia="仿宋_GB2312" w:cs="仿宋_GB2312"/>
          <w:color w:val="auto"/>
          <w:sz w:val="32"/>
          <w:szCs w:val="32"/>
          <w:lang w:val="en-US" w:eastAsia="zh-CN"/>
        </w:rPr>
        <w:t>领域气象服务。</w:t>
      </w:r>
    </w:p>
    <w:p w14:paraId="4C341951">
      <w:pPr>
        <w:keepNext w:val="0"/>
        <w:keepLines w:val="0"/>
        <w:pageBreakBefore w:val="0"/>
        <w:widowControl/>
        <w:numPr>
          <w:ilvl w:val="0"/>
          <w:numId w:val="0"/>
        </w:numPr>
        <w:tabs>
          <w:tab w:val="left" w:pos="4020"/>
        </w:tabs>
        <w:kinsoku/>
        <w:wordWrap/>
        <w:overflowPunct/>
        <w:topLinePunct w:val="0"/>
        <w:autoSpaceDE/>
        <w:autoSpaceDN/>
        <w:bidi w:val="0"/>
        <w:adjustRightInd/>
        <w:snapToGrid/>
        <w:spacing w:line="560" w:lineRule="exact"/>
        <w:ind w:firstLine="0" w:firstLineChars="0"/>
        <w:jc w:val="both"/>
        <w:textAlignment w:val="auto"/>
        <w:outlineLvl w:val="0"/>
        <w:rPr>
          <w:rFonts w:hint="eastAsia" w:ascii="仿宋_GB2312" w:hAnsi="仿宋_GB2312" w:eastAsia="仿宋_GB2312" w:cs="仿宋_GB2312"/>
          <w:sz w:val="32"/>
          <w:szCs w:val="32"/>
          <w:lang w:val="en-US" w:eastAsia="zh-CN"/>
        </w:rPr>
        <w:sectPr>
          <w:pgSz w:w="11906" w:h="16838"/>
          <w:pgMar w:top="2098" w:right="1474" w:bottom="1984" w:left="1587" w:header="851" w:footer="992" w:gutter="0"/>
          <w:pgNumType w:fmt="decimal"/>
          <w:cols w:space="0" w:num="1"/>
          <w:rtlGutter w:val="0"/>
          <w:docGrid w:type="lines" w:linePitch="312" w:charSpace="0"/>
        </w:sectPr>
      </w:pPr>
    </w:p>
    <w:p w14:paraId="55CC1B6C">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left"/>
        <w:textAlignment w:val="auto"/>
        <w:outlineLvl w:val="0"/>
        <w:rPr>
          <w:rFonts w:hint="eastAsia" w:ascii="黑体" w:hAnsi="黑体" w:eastAsia="黑体"/>
          <w:sz w:val="32"/>
          <w:szCs w:val="32"/>
        </w:rPr>
      </w:pPr>
      <w:bookmarkStart w:id="214" w:name="_Toc2228"/>
      <w:bookmarkStart w:id="215" w:name="_Toc970996548"/>
      <w:bookmarkStart w:id="216" w:name="_Toc457389328"/>
      <w:bookmarkStart w:id="217" w:name="_Toc1869474469"/>
      <w:bookmarkStart w:id="218" w:name="_Toc185658238"/>
      <w:bookmarkStart w:id="219" w:name="_Toc2107931904"/>
      <w:bookmarkStart w:id="220" w:name="_Toc828810503"/>
      <w:bookmarkStart w:id="221" w:name="_Toc401888148"/>
      <w:bookmarkStart w:id="222" w:name="_Toc1724199310"/>
      <w:r>
        <w:rPr>
          <w:rFonts w:hint="eastAsia" w:ascii="黑体" w:hAnsi="黑体" w:eastAsia="黑体"/>
          <w:sz w:val="32"/>
          <w:szCs w:val="32"/>
          <w:lang w:val="en-US" w:eastAsia="zh-CN"/>
        </w:rPr>
        <w:t>七、</w:t>
      </w:r>
      <w:bookmarkStart w:id="223" w:name="_Toc4170"/>
      <w:bookmarkStart w:id="224" w:name="_Toc5786"/>
      <w:bookmarkStart w:id="225" w:name="_Toc14032"/>
      <w:r>
        <w:rPr>
          <w:rFonts w:hint="eastAsia" w:ascii="黑体" w:hAnsi="黑体" w:eastAsia="黑体"/>
          <w:sz w:val="32"/>
          <w:szCs w:val="32"/>
          <w:lang w:val="en-US" w:eastAsia="zh-CN"/>
        </w:rPr>
        <w:t>组织实施</w:t>
      </w:r>
      <w:bookmarkEnd w:id="214"/>
      <w:bookmarkEnd w:id="215"/>
      <w:bookmarkEnd w:id="216"/>
      <w:bookmarkEnd w:id="217"/>
      <w:bookmarkEnd w:id="218"/>
      <w:bookmarkEnd w:id="219"/>
      <w:bookmarkEnd w:id="220"/>
      <w:bookmarkEnd w:id="221"/>
      <w:bookmarkEnd w:id="222"/>
      <w:bookmarkEnd w:id="223"/>
      <w:bookmarkEnd w:id="224"/>
      <w:bookmarkEnd w:id="225"/>
    </w:p>
    <w:p w14:paraId="36327662">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outlineLvl w:val="1"/>
        <w:rPr>
          <w:rFonts w:hint="default" w:ascii="楷体_GB2312" w:hAnsi="楷体_GB2312" w:eastAsia="楷体_GB2312" w:cs="楷体_GB2312"/>
          <w:sz w:val="32"/>
          <w:szCs w:val="32"/>
          <w:lang w:val="en-US" w:eastAsia="zh-CN"/>
        </w:rPr>
      </w:pPr>
      <w:bookmarkStart w:id="226" w:name="_Toc31846"/>
      <w:bookmarkStart w:id="227" w:name="_Toc2964"/>
      <w:bookmarkStart w:id="228" w:name="_Toc32042"/>
      <w:bookmarkStart w:id="229" w:name="_Toc28479"/>
      <w:bookmarkStart w:id="230" w:name="_Toc473470552"/>
      <w:bookmarkStart w:id="231" w:name="_Toc64266975"/>
      <w:bookmarkStart w:id="232" w:name="_Toc27215"/>
      <w:bookmarkStart w:id="233" w:name="_Toc698033621"/>
      <w:bookmarkStart w:id="234" w:name="_Toc1498463083"/>
      <w:bookmarkStart w:id="235" w:name="_Toc1239189479"/>
      <w:bookmarkStart w:id="236" w:name="_Toc424161226"/>
      <w:bookmarkStart w:id="237" w:name="_Toc810748683"/>
      <w:r>
        <w:rPr>
          <w:rFonts w:hint="eastAsia" w:ascii="楷体_GB2312" w:hAnsi="楷体_GB2312" w:eastAsia="楷体_GB2312" w:cs="楷体_GB2312"/>
          <w:sz w:val="32"/>
          <w:szCs w:val="32"/>
        </w:rPr>
        <w:t>（一）</w:t>
      </w:r>
      <w:bookmarkEnd w:id="226"/>
      <w:bookmarkEnd w:id="227"/>
      <w:bookmarkEnd w:id="228"/>
      <w:bookmarkEnd w:id="229"/>
      <w:r>
        <w:rPr>
          <w:rFonts w:hint="eastAsia" w:ascii="楷体_GB2312" w:hAnsi="楷体_GB2312" w:eastAsia="楷体_GB2312" w:cs="楷体_GB2312"/>
          <w:sz w:val="32"/>
          <w:szCs w:val="32"/>
          <w:lang w:val="en-US" w:eastAsia="zh-CN"/>
        </w:rPr>
        <w:t>加强组织保障</w:t>
      </w:r>
      <w:bookmarkEnd w:id="230"/>
      <w:bookmarkEnd w:id="231"/>
      <w:bookmarkEnd w:id="232"/>
      <w:bookmarkEnd w:id="233"/>
      <w:bookmarkEnd w:id="234"/>
      <w:bookmarkEnd w:id="235"/>
      <w:bookmarkEnd w:id="236"/>
      <w:bookmarkEnd w:id="237"/>
    </w:p>
    <w:p w14:paraId="420D4D42">
      <w:pPr>
        <w:keepNext w:val="0"/>
        <w:keepLines w:val="0"/>
        <w:pageBreakBefore w:val="0"/>
        <w:widowControl w:val="0"/>
        <w:kinsoku/>
        <w:wordWrap/>
        <w:overflowPunct/>
        <w:topLinePunct w:val="0"/>
        <w:autoSpaceDE/>
        <w:autoSpaceDN/>
        <w:bidi w:val="0"/>
        <w:adjustRightInd/>
        <w:snapToGrid/>
        <w:spacing w:after="0" w:line="560" w:lineRule="exact"/>
        <w:ind w:firstLine="616" w:firstLineChars="200"/>
        <w:jc w:val="both"/>
        <w:textAlignment w:val="auto"/>
        <w:rPr>
          <w:rFonts w:eastAsia="仿宋_GB2312"/>
          <w:spacing w:val="-6"/>
          <w:sz w:val="32"/>
          <w:szCs w:val="32"/>
        </w:rPr>
      </w:pPr>
      <w:r>
        <w:rPr>
          <w:rFonts w:hint="eastAsia" w:eastAsia="仿宋_GB2312"/>
          <w:spacing w:val="-6"/>
          <w:sz w:val="32"/>
          <w:szCs w:val="32"/>
          <w:lang w:val="en-US" w:eastAsia="zh-CN"/>
        </w:rPr>
        <w:t>强化</w:t>
      </w:r>
      <w:r>
        <w:rPr>
          <w:rFonts w:hint="eastAsia" w:eastAsia="仿宋_GB2312"/>
          <w:spacing w:val="-6"/>
          <w:sz w:val="32"/>
          <w:szCs w:val="32"/>
        </w:rPr>
        <w:t>全区数智平谷</w:t>
      </w:r>
      <w:r>
        <w:rPr>
          <w:rFonts w:hint="eastAsia" w:eastAsia="仿宋_GB2312"/>
          <w:spacing w:val="-6"/>
          <w:sz w:val="32"/>
          <w:szCs w:val="32"/>
          <w:lang w:val="en-US" w:eastAsia="zh-CN"/>
        </w:rPr>
        <w:t>建设</w:t>
      </w:r>
      <w:r>
        <w:rPr>
          <w:rFonts w:hint="eastAsia" w:eastAsia="仿宋_GB2312"/>
          <w:spacing w:val="-6"/>
          <w:sz w:val="32"/>
          <w:szCs w:val="32"/>
        </w:rPr>
        <w:t>的统筹协调，</w:t>
      </w:r>
      <w:r>
        <w:rPr>
          <w:rFonts w:hint="eastAsia" w:eastAsia="仿宋_GB2312"/>
          <w:spacing w:val="-6"/>
          <w:sz w:val="32"/>
          <w:szCs w:val="32"/>
          <w:lang w:val="en-US" w:eastAsia="zh-CN"/>
        </w:rPr>
        <w:t>推进</w:t>
      </w:r>
      <w:r>
        <w:rPr>
          <w:rFonts w:hint="eastAsia" w:eastAsia="仿宋_GB2312"/>
          <w:spacing w:val="-6"/>
          <w:sz w:val="32"/>
          <w:szCs w:val="32"/>
        </w:rPr>
        <w:t>顶层设计、统筹机制建设与市区统筹联动，充分复用市级已有建设成果。</w:t>
      </w:r>
      <w:r>
        <w:rPr>
          <w:rFonts w:hint="eastAsia" w:eastAsia="仿宋_GB2312"/>
          <w:spacing w:val="-6"/>
          <w:sz w:val="32"/>
          <w:szCs w:val="32"/>
          <w:lang w:val="en-US" w:eastAsia="zh-CN"/>
        </w:rPr>
        <w:t>区级各相关</w:t>
      </w:r>
      <w:r>
        <w:rPr>
          <w:rFonts w:hint="eastAsia" w:eastAsia="仿宋_GB2312"/>
          <w:spacing w:val="-6"/>
          <w:sz w:val="32"/>
          <w:szCs w:val="32"/>
        </w:rPr>
        <w:t>部门应将</w:t>
      </w:r>
      <w:r>
        <w:rPr>
          <w:rFonts w:hint="eastAsia" w:eastAsia="仿宋_GB2312"/>
          <w:spacing w:val="-6"/>
          <w:sz w:val="32"/>
          <w:szCs w:val="32"/>
          <w:lang w:val="en-US" w:eastAsia="zh-CN"/>
        </w:rPr>
        <w:t>数智平谷</w:t>
      </w:r>
      <w:r>
        <w:rPr>
          <w:rFonts w:hint="eastAsia" w:eastAsia="仿宋_GB2312"/>
          <w:spacing w:val="-6"/>
          <w:sz w:val="32"/>
          <w:szCs w:val="32"/>
        </w:rPr>
        <w:t>建设纳入重点工作和议事日程，明确责任分工，确保各项任务有效落地。持续</w:t>
      </w:r>
      <w:r>
        <w:rPr>
          <w:rFonts w:hint="eastAsia" w:eastAsia="仿宋_GB2312"/>
          <w:spacing w:val="-6"/>
          <w:sz w:val="32"/>
          <w:szCs w:val="32"/>
          <w:lang w:val="en-US" w:eastAsia="zh-CN"/>
        </w:rPr>
        <w:t>推进</w:t>
      </w:r>
      <w:r>
        <w:rPr>
          <w:rFonts w:hint="eastAsia" w:eastAsia="仿宋_GB2312"/>
          <w:spacing w:val="-6"/>
          <w:sz w:val="32"/>
          <w:szCs w:val="32"/>
        </w:rPr>
        <w:t>首席数据官制度</w:t>
      </w:r>
      <w:r>
        <w:rPr>
          <w:rFonts w:hint="eastAsia" w:eastAsia="仿宋_GB2312"/>
          <w:spacing w:val="-6"/>
          <w:sz w:val="32"/>
          <w:szCs w:val="32"/>
          <w:lang w:val="en-US" w:eastAsia="zh-CN"/>
        </w:rPr>
        <w:t>建设</w:t>
      </w:r>
      <w:r>
        <w:rPr>
          <w:rFonts w:hint="eastAsia" w:eastAsia="仿宋_GB2312"/>
          <w:spacing w:val="-6"/>
          <w:sz w:val="32"/>
          <w:szCs w:val="32"/>
        </w:rPr>
        <w:t>应用</w:t>
      </w:r>
      <w:r>
        <w:rPr>
          <w:rFonts w:hint="eastAsia" w:eastAsia="仿宋_GB2312"/>
          <w:spacing w:val="-6"/>
          <w:sz w:val="32"/>
          <w:szCs w:val="32"/>
          <w:lang w:val="en-US" w:eastAsia="zh-CN"/>
        </w:rPr>
        <w:t>与落地</w:t>
      </w:r>
      <w:r>
        <w:rPr>
          <w:rFonts w:hint="eastAsia" w:eastAsia="仿宋_GB2312"/>
          <w:spacing w:val="-6"/>
          <w:sz w:val="32"/>
          <w:szCs w:val="32"/>
        </w:rPr>
        <w:t>。</w:t>
      </w:r>
    </w:p>
    <w:p w14:paraId="103E0A39">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outlineLvl w:val="1"/>
        <w:rPr>
          <w:rFonts w:hint="default" w:ascii="楷体_GB2312" w:hAnsi="楷体_GB2312" w:eastAsia="楷体_GB2312" w:cs="楷体_GB2312"/>
          <w:sz w:val="32"/>
          <w:szCs w:val="32"/>
          <w:lang w:val="en-US" w:eastAsia="zh-CN"/>
        </w:rPr>
      </w:pPr>
      <w:bookmarkStart w:id="238" w:name="_Toc22219"/>
      <w:bookmarkStart w:id="239" w:name="_Toc15896"/>
      <w:bookmarkStart w:id="240" w:name="_Toc12396"/>
      <w:bookmarkStart w:id="241" w:name="_Toc5434"/>
      <w:bookmarkStart w:id="242" w:name="_Toc469374966"/>
      <w:bookmarkStart w:id="243" w:name="_Toc1128307612"/>
      <w:bookmarkStart w:id="244" w:name="_Toc19994"/>
      <w:bookmarkStart w:id="245" w:name="_Toc147904586"/>
      <w:bookmarkStart w:id="246" w:name="_Toc2098258031"/>
      <w:bookmarkStart w:id="247" w:name="_Toc761164947"/>
      <w:bookmarkStart w:id="248" w:name="_Toc1192655329"/>
      <w:bookmarkStart w:id="249" w:name="_Toc1379500989"/>
      <w:r>
        <w:rPr>
          <w:rFonts w:hint="eastAsia" w:ascii="楷体_GB2312" w:hAnsi="楷体_GB2312" w:eastAsia="楷体_GB2312" w:cs="楷体_GB2312"/>
          <w:sz w:val="32"/>
          <w:szCs w:val="32"/>
        </w:rPr>
        <w:t>（二）</w:t>
      </w:r>
      <w:bookmarkEnd w:id="238"/>
      <w:bookmarkEnd w:id="239"/>
      <w:bookmarkEnd w:id="240"/>
      <w:bookmarkEnd w:id="241"/>
      <w:r>
        <w:rPr>
          <w:rFonts w:hint="eastAsia" w:ascii="楷体_GB2312" w:hAnsi="楷体_GB2312" w:eastAsia="楷体_GB2312" w:cs="楷体_GB2312"/>
          <w:sz w:val="32"/>
          <w:szCs w:val="32"/>
          <w:lang w:val="en-US" w:eastAsia="zh-CN"/>
        </w:rPr>
        <w:t>优化政策环境</w:t>
      </w:r>
      <w:bookmarkEnd w:id="242"/>
      <w:bookmarkEnd w:id="243"/>
      <w:bookmarkEnd w:id="244"/>
      <w:bookmarkEnd w:id="245"/>
      <w:bookmarkEnd w:id="246"/>
      <w:bookmarkEnd w:id="247"/>
      <w:bookmarkEnd w:id="248"/>
      <w:bookmarkEnd w:id="249"/>
    </w:p>
    <w:p w14:paraId="02B2ABD4">
      <w:pPr>
        <w:keepNext w:val="0"/>
        <w:keepLines w:val="0"/>
        <w:pageBreakBefore w:val="0"/>
        <w:widowControl w:val="0"/>
        <w:kinsoku/>
        <w:wordWrap/>
        <w:overflowPunct/>
        <w:topLinePunct w:val="0"/>
        <w:autoSpaceDE/>
        <w:autoSpaceDN/>
        <w:bidi w:val="0"/>
        <w:adjustRightInd/>
        <w:snapToGrid/>
        <w:spacing w:after="0" w:line="560" w:lineRule="exact"/>
        <w:ind w:firstLine="616" w:firstLineChars="200"/>
        <w:jc w:val="both"/>
        <w:textAlignment w:val="auto"/>
        <w:outlineLvl w:val="9"/>
        <w:rPr>
          <w:rFonts w:hint="eastAsia" w:ascii="Arial" w:hAnsi="Arial" w:eastAsia="仿宋_GB2312"/>
          <w:spacing w:val="-6"/>
          <w:sz w:val="32"/>
          <w:szCs w:val="32"/>
        </w:rPr>
      </w:pPr>
      <w:r>
        <w:rPr>
          <w:rFonts w:hint="eastAsia" w:ascii="Arial" w:hAnsi="Arial" w:eastAsia="仿宋_GB2312"/>
          <w:spacing w:val="-6"/>
          <w:sz w:val="32"/>
          <w:szCs w:val="32"/>
          <w:lang w:val="en-US" w:eastAsia="zh-CN"/>
        </w:rPr>
        <w:t>全面</w:t>
      </w:r>
      <w:r>
        <w:rPr>
          <w:rFonts w:hint="eastAsia" w:ascii="Arial" w:hAnsi="Arial" w:eastAsia="仿宋_GB2312"/>
          <w:spacing w:val="-6"/>
          <w:sz w:val="32"/>
          <w:szCs w:val="32"/>
        </w:rPr>
        <w:t>贯彻落实国家、北京市智慧城市领域相关标准规范，编制《平谷区智慧城市信息化项目全流程管理办法（试行）》《平谷区政务云管理办法》《平谷区政务外网管理办法》等政策规范，有序推进公共数据共享利用、系统整合对接、政府投资信息化项目管理等</w:t>
      </w:r>
      <w:r>
        <w:rPr>
          <w:rFonts w:hint="eastAsia" w:ascii="Arial" w:hAnsi="Arial" w:eastAsia="仿宋_GB2312"/>
          <w:spacing w:val="-6"/>
          <w:sz w:val="32"/>
          <w:szCs w:val="32"/>
          <w:lang w:eastAsia="zh-CN"/>
        </w:rPr>
        <w:t>制度</w:t>
      </w:r>
      <w:r>
        <w:rPr>
          <w:rFonts w:hint="eastAsia" w:ascii="Arial" w:hAnsi="Arial" w:eastAsia="仿宋_GB2312"/>
          <w:spacing w:val="-6"/>
          <w:sz w:val="32"/>
          <w:szCs w:val="32"/>
        </w:rPr>
        <w:t>落实，持续完善已有关键标准，</w:t>
      </w:r>
      <w:r>
        <w:rPr>
          <w:rFonts w:hint="eastAsia" w:ascii="Arial" w:hAnsi="Arial" w:eastAsia="仿宋_GB2312"/>
          <w:spacing w:val="-6"/>
          <w:sz w:val="32"/>
          <w:szCs w:val="32"/>
          <w:lang w:val="en-US" w:eastAsia="zh-CN"/>
        </w:rPr>
        <w:t>形成</w:t>
      </w:r>
      <w:r>
        <w:rPr>
          <w:rFonts w:hint="eastAsia" w:ascii="Arial" w:hAnsi="Arial" w:eastAsia="仿宋_GB2312"/>
          <w:spacing w:val="-6"/>
          <w:sz w:val="32"/>
          <w:szCs w:val="32"/>
        </w:rPr>
        <w:t>多维标准规范体系。</w:t>
      </w:r>
    </w:p>
    <w:p w14:paraId="415D87C9">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outlineLvl w:val="1"/>
        <w:rPr>
          <w:rFonts w:hint="default" w:ascii="楷体_GB2312" w:hAnsi="楷体_GB2312" w:eastAsia="楷体_GB2312" w:cs="楷体_GB2312"/>
          <w:sz w:val="32"/>
          <w:szCs w:val="32"/>
          <w:lang w:val="en-US" w:eastAsia="zh-CN"/>
        </w:rPr>
      </w:pPr>
      <w:bookmarkStart w:id="250" w:name="_Toc345753405"/>
      <w:bookmarkStart w:id="251" w:name="_Toc1039669111"/>
      <w:bookmarkStart w:id="252" w:name="_Toc1193797323"/>
      <w:bookmarkStart w:id="253" w:name="_Toc1077618131"/>
      <w:bookmarkStart w:id="254" w:name="_Toc1185431874"/>
      <w:bookmarkStart w:id="255" w:name="_Toc1593759630"/>
      <w:bookmarkStart w:id="256" w:name="_Toc1553"/>
      <w:bookmarkStart w:id="257" w:name="_Toc339179050"/>
      <w:r>
        <w:rPr>
          <w:rFonts w:hint="eastAsia" w:ascii="楷体_GB2312" w:hAnsi="楷体_GB2312" w:eastAsia="楷体_GB2312" w:cs="楷体_GB2312"/>
          <w:sz w:val="32"/>
          <w:szCs w:val="32"/>
        </w:rPr>
        <w:t>（三）</w:t>
      </w:r>
      <w:r>
        <w:rPr>
          <w:rFonts w:hint="eastAsia" w:ascii="楷体_GB2312" w:hAnsi="楷体_GB2312" w:eastAsia="楷体_GB2312" w:cs="楷体_GB2312"/>
          <w:sz w:val="32"/>
          <w:szCs w:val="32"/>
          <w:lang w:val="en-US" w:eastAsia="zh-CN"/>
        </w:rPr>
        <w:t>落实资金保障</w:t>
      </w:r>
      <w:bookmarkEnd w:id="250"/>
      <w:bookmarkEnd w:id="251"/>
      <w:bookmarkEnd w:id="252"/>
      <w:bookmarkEnd w:id="253"/>
      <w:bookmarkEnd w:id="254"/>
      <w:bookmarkEnd w:id="255"/>
      <w:bookmarkEnd w:id="256"/>
      <w:bookmarkEnd w:id="257"/>
    </w:p>
    <w:p w14:paraId="7803B3A6">
      <w:pPr>
        <w:keepNext w:val="0"/>
        <w:keepLines w:val="0"/>
        <w:pageBreakBefore w:val="0"/>
        <w:widowControl w:val="0"/>
        <w:kinsoku/>
        <w:wordWrap/>
        <w:overflowPunct/>
        <w:topLinePunct w:val="0"/>
        <w:autoSpaceDE/>
        <w:autoSpaceDN/>
        <w:bidi w:val="0"/>
        <w:adjustRightInd/>
        <w:snapToGrid/>
        <w:spacing w:after="0" w:line="560" w:lineRule="exact"/>
        <w:ind w:firstLine="616" w:firstLineChars="200"/>
        <w:jc w:val="both"/>
        <w:textAlignment w:val="auto"/>
        <w:outlineLvl w:val="9"/>
        <w:rPr>
          <w:rFonts w:hint="eastAsia" w:ascii="仿宋_GB2312" w:eastAsia="仿宋_GB2312"/>
          <w:spacing w:val="-6"/>
          <w:sz w:val="32"/>
          <w:szCs w:val="32"/>
        </w:rPr>
      </w:pPr>
      <w:r>
        <w:rPr>
          <w:rFonts w:hint="eastAsia" w:ascii="仿宋_GB2312" w:eastAsia="仿宋_GB2312"/>
          <w:spacing w:val="-6"/>
          <w:sz w:val="32"/>
          <w:szCs w:val="32"/>
        </w:rPr>
        <w:t>多渠道保障</w:t>
      </w:r>
      <w:r>
        <w:rPr>
          <w:rFonts w:hint="eastAsia" w:ascii="仿宋_GB2312" w:eastAsia="仿宋_GB2312"/>
          <w:spacing w:val="-6"/>
          <w:sz w:val="32"/>
          <w:szCs w:val="32"/>
          <w:lang w:val="en-US" w:eastAsia="zh-CN"/>
        </w:rPr>
        <w:t>数智平谷</w:t>
      </w:r>
      <w:r>
        <w:rPr>
          <w:rFonts w:hint="eastAsia" w:ascii="仿宋_GB2312" w:eastAsia="仿宋_GB2312"/>
          <w:spacing w:val="-6"/>
          <w:sz w:val="32"/>
          <w:szCs w:val="32"/>
        </w:rPr>
        <w:t>建设经费，积极争取国家和市级有关部门的资金支持，优先</w:t>
      </w:r>
      <w:r>
        <w:rPr>
          <w:rFonts w:hint="eastAsia" w:ascii="仿宋_GB2312" w:eastAsia="仿宋_GB2312"/>
          <w:spacing w:val="-6"/>
          <w:sz w:val="32"/>
          <w:szCs w:val="32"/>
          <w:lang w:eastAsia="zh-CN"/>
        </w:rPr>
        <w:t>支持轻量化</w:t>
      </w:r>
      <w:r>
        <w:rPr>
          <w:rFonts w:hint="eastAsia" w:ascii="仿宋_GB2312" w:eastAsia="仿宋_GB2312"/>
          <w:spacing w:val="-6"/>
          <w:sz w:val="32"/>
          <w:szCs w:val="32"/>
        </w:rPr>
        <w:t>、高性价比、</w:t>
      </w:r>
      <w:r>
        <w:rPr>
          <w:rFonts w:hint="eastAsia" w:ascii="仿宋_GB2312" w:eastAsia="仿宋_GB2312"/>
          <w:spacing w:val="-6"/>
          <w:sz w:val="32"/>
          <w:szCs w:val="32"/>
          <w:lang w:eastAsia="zh-CN"/>
        </w:rPr>
        <w:t>建设</w:t>
      </w:r>
      <w:r>
        <w:rPr>
          <w:rFonts w:hint="eastAsia" w:ascii="仿宋_GB2312" w:eastAsia="仿宋_GB2312"/>
          <w:spacing w:val="-6"/>
          <w:sz w:val="32"/>
          <w:szCs w:val="32"/>
        </w:rPr>
        <w:t>效应显著的项目。加强财政资金统筹管理，提高资金使用效益，建立健全与项目绩效挂钩的动态支持机制。围绕技术创新、平台建设、场景应用等方面加大政策协同和支持。</w:t>
      </w:r>
    </w:p>
    <w:p w14:paraId="203B1A01">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outlineLvl w:val="1"/>
        <w:rPr>
          <w:rFonts w:hint="default" w:ascii="楷体_GB2312" w:hAnsi="楷体_GB2312" w:eastAsia="楷体_GB2312" w:cs="楷体_GB2312"/>
          <w:sz w:val="32"/>
          <w:szCs w:val="32"/>
          <w:lang w:val="en-US" w:eastAsia="zh-CN"/>
        </w:rPr>
      </w:pPr>
      <w:bookmarkStart w:id="258" w:name="_Toc31894"/>
      <w:bookmarkStart w:id="259" w:name="_Toc754572379"/>
      <w:bookmarkStart w:id="260" w:name="_Toc1160694212"/>
      <w:bookmarkStart w:id="261" w:name="_Toc1791796585"/>
      <w:bookmarkStart w:id="262" w:name="_Toc1347713099"/>
      <w:bookmarkStart w:id="263" w:name="_Toc2134212700"/>
      <w:bookmarkStart w:id="264" w:name="_Toc1798332566"/>
      <w:bookmarkStart w:id="265" w:name="_Toc211893740"/>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四</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提升数字素养</w:t>
      </w:r>
      <w:bookmarkEnd w:id="258"/>
      <w:bookmarkEnd w:id="259"/>
      <w:bookmarkEnd w:id="260"/>
      <w:bookmarkEnd w:id="261"/>
      <w:bookmarkEnd w:id="262"/>
      <w:bookmarkEnd w:id="263"/>
      <w:bookmarkEnd w:id="264"/>
      <w:bookmarkEnd w:id="265"/>
    </w:p>
    <w:p w14:paraId="5857AEA4">
      <w:pPr>
        <w:pStyle w:val="12"/>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560" w:lineRule="exact"/>
        <w:ind w:right="0" w:rightChars="0" w:firstLine="616" w:firstLineChars="200"/>
        <w:textAlignment w:val="auto"/>
        <w:outlineLvl w:val="9"/>
        <w:rPr>
          <w:rFonts w:hint="eastAsia" w:ascii="仿宋_GB2312" w:hAnsi="Times New Roman" w:eastAsia="仿宋_GB2312" w:cs="Times New Roman"/>
          <w:spacing w:val="-6"/>
          <w:kern w:val="2"/>
          <w:sz w:val="32"/>
          <w:szCs w:val="32"/>
          <w:lang w:val="en-US" w:eastAsia="zh-CN" w:bidi="ar-SA"/>
        </w:rPr>
        <w:sectPr>
          <w:headerReference r:id="rId8" w:type="default"/>
          <w:footerReference r:id="rId10" w:type="default"/>
          <w:headerReference r:id="rId9" w:type="even"/>
          <w:footerReference r:id="rId11" w:type="even"/>
          <w:type w:val="continuous"/>
          <w:pgSz w:w="11906" w:h="16838"/>
          <w:pgMar w:top="2098" w:right="1474" w:bottom="1984" w:left="1587" w:header="851" w:footer="992" w:gutter="0"/>
          <w:pgNumType w:fmt="decimal"/>
          <w:cols w:space="0" w:num="1"/>
          <w:rtlGutter w:val="0"/>
          <w:docGrid w:type="lines" w:linePitch="312" w:charSpace="0"/>
        </w:sectPr>
      </w:pPr>
      <w:r>
        <w:rPr>
          <w:rFonts w:hint="eastAsia" w:ascii="仿宋_GB2312" w:hAnsi="Times New Roman" w:eastAsia="仿宋_GB2312" w:cs="Times New Roman"/>
          <w:spacing w:val="-6"/>
          <w:kern w:val="2"/>
          <w:sz w:val="32"/>
          <w:szCs w:val="32"/>
          <w:lang w:val="en-US" w:eastAsia="zh-CN" w:bidi="ar-SA"/>
        </w:rPr>
        <w:t>依托首席数据官制度，构建常态化培训、交流机制，加强干部队伍和基层工作人员的数智思维，推动跨部门、跨领域数据共享与业务协同。深化与在京高校、科研机构及企业合作，拓展高层次和急需紧缺数字人才引进渠道。完善人才培养、评价和激励机制，打造具备数字素养的专业化队伍。</w:t>
      </w:r>
      <w:bookmarkEnd w:id="0"/>
      <w:bookmarkEnd w:id="1"/>
      <w:bookmarkEnd w:id="2"/>
      <w:bookmarkEnd w:id="3"/>
      <w:bookmarkEnd w:id="4"/>
      <w:bookmarkEnd w:id="5"/>
      <w:bookmarkEnd w:id="6"/>
      <w:bookmarkEnd w:id="7"/>
      <w:bookmarkEnd w:id="8"/>
      <w:bookmarkEnd w:id="9"/>
      <w:bookmarkEnd w:id="10"/>
      <w:bookmarkEnd w:id="11"/>
      <w:bookmarkEnd w:id="107"/>
      <w:bookmarkEnd w:id="108"/>
      <w:bookmarkEnd w:id="109"/>
      <w:bookmarkEnd w:id="110"/>
    </w:p>
    <w:p w14:paraId="07678E41">
      <w:pPr>
        <w:adjustRightInd w:val="0"/>
        <w:snapToGrid w:val="0"/>
        <w:spacing w:line="560" w:lineRule="exact"/>
        <w:outlineLvl w:val="0"/>
        <w:rPr>
          <w:rFonts w:hint="default" w:ascii="黑体" w:hAnsi="黑体" w:eastAsia="黑体" w:cs="黑体"/>
          <w:sz w:val="32"/>
          <w:szCs w:val="32"/>
          <w:lang w:val="en-US" w:eastAsia="zh-CN"/>
        </w:rPr>
      </w:pPr>
      <w:bookmarkStart w:id="266" w:name="_Toc1504029984"/>
      <w:bookmarkStart w:id="267" w:name="_Toc7388"/>
      <w:bookmarkStart w:id="268" w:name="_Toc367290167"/>
      <w:bookmarkStart w:id="269" w:name="_Toc563034971"/>
      <w:bookmarkStart w:id="270" w:name="_Toc46171736"/>
      <w:bookmarkStart w:id="271" w:name="_Toc9336"/>
      <w:bookmarkStart w:id="272" w:name="_Toc770201454"/>
      <w:bookmarkStart w:id="273" w:name="_Toc562022214"/>
      <w:bookmarkStart w:id="274" w:name="_Toc890588884"/>
      <w:bookmarkStart w:id="275" w:name="_Toc8664"/>
      <w:bookmarkStart w:id="276" w:name="_Toc1709061330"/>
      <w:bookmarkStart w:id="277" w:name="_Toc1207038318"/>
      <w:bookmarkStart w:id="278" w:name="_Toc973785969"/>
      <w:bookmarkStart w:id="279" w:name="_Toc231179881"/>
      <w:r>
        <w:rPr>
          <w:rFonts w:hint="eastAsia" w:ascii="黑体" w:hAnsi="黑体" w:eastAsia="黑体" w:cs="黑体"/>
          <w:sz w:val="32"/>
          <w:szCs w:val="32"/>
          <w:lang w:eastAsia="zh-CN"/>
        </w:rPr>
        <w:t>附件</w:t>
      </w:r>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p>
    <w:p w14:paraId="158EE6B2">
      <w:pPr>
        <w:spacing w:line="560" w:lineRule="exact"/>
        <w:jc w:val="center"/>
        <w:rPr>
          <w:rFonts w:hint="eastAsia" w:ascii="方正小标宋简体" w:hAnsi="等线" w:eastAsia="方正小标宋简体" w:cs="宋体"/>
          <w:color w:val="000000"/>
          <w:kern w:val="0"/>
          <w:sz w:val="44"/>
          <w:szCs w:val="44"/>
        </w:rPr>
      </w:pPr>
      <w:r>
        <w:rPr>
          <w:rFonts w:hint="eastAsia" w:ascii="方正小标宋简体" w:hAnsi="等线" w:eastAsia="方正小标宋简体" w:cs="宋体"/>
          <w:color w:val="000000"/>
          <w:kern w:val="0"/>
          <w:sz w:val="44"/>
          <w:szCs w:val="44"/>
        </w:rPr>
        <w:t>“十五五”时期</w:t>
      </w:r>
      <w:r>
        <w:rPr>
          <w:rFonts w:hint="eastAsia" w:ascii="方正小标宋简体" w:hAnsi="等线" w:eastAsia="方正小标宋简体" w:cs="宋体"/>
          <w:color w:val="000000"/>
          <w:kern w:val="0"/>
          <w:sz w:val="44"/>
          <w:szCs w:val="44"/>
          <w:lang w:val="en-US" w:eastAsia="zh-CN"/>
        </w:rPr>
        <w:t>平谷区</w:t>
      </w:r>
      <w:r>
        <w:rPr>
          <w:rFonts w:hint="eastAsia" w:ascii="方正小标宋简体" w:hAnsi="等线" w:eastAsia="方正小标宋简体" w:cs="宋体"/>
          <w:color w:val="000000"/>
          <w:kern w:val="0"/>
          <w:sz w:val="44"/>
          <w:szCs w:val="44"/>
        </w:rPr>
        <w:t>智慧城市</w:t>
      </w:r>
      <w:r>
        <w:rPr>
          <w:rFonts w:hint="eastAsia" w:ascii="方正小标宋简体" w:hAnsi="等线" w:eastAsia="方正小标宋简体" w:cs="宋体"/>
          <w:color w:val="000000"/>
          <w:kern w:val="0"/>
          <w:sz w:val="44"/>
          <w:szCs w:val="44"/>
          <w:lang w:val="en-US" w:eastAsia="zh-CN"/>
        </w:rPr>
        <w:t>重大项目</w:t>
      </w:r>
      <w:r>
        <w:rPr>
          <w:rFonts w:hint="eastAsia" w:ascii="方正小标宋简体" w:hAnsi="等线" w:eastAsia="方正小标宋简体" w:cs="宋体"/>
          <w:color w:val="000000"/>
          <w:kern w:val="0"/>
          <w:sz w:val="44"/>
          <w:szCs w:val="44"/>
        </w:rPr>
        <w:t>清单</w:t>
      </w:r>
    </w:p>
    <w:p w14:paraId="702CCE8C">
      <w:pPr>
        <w:pStyle w:val="12"/>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560" w:lineRule="exact"/>
        <w:ind w:right="0" w:rightChars="0" w:firstLine="616" w:firstLineChars="200"/>
        <w:textAlignment w:val="auto"/>
        <w:outlineLvl w:val="9"/>
        <w:rPr>
          <w:rFonts w:hint="eastAsia" w:ascii="仿宋_GB2312" w:hAnsi="Times New Roman" w:eastAsia="仿宋_GB2312" w:cs="Times New Roman"/>
          <w:spacing w:val="-6"/>
          <w:kern w:val="2"/>
          <w:sz w:val="32"/>
          <w:szCs w:val="32"/>
          <w:lang w:val="en-US" w:eastAsia="zh-CN" w:bidi="ar-SA"/>
        </w:rPr>
      </w:pPr>
    </w:p>
    <w:tbl>
      <w:tblPr>
        <w:tblStyle w:val="14"/>
        <w:tblW w:w="5183" w:type="pct"/>
        <w:tblInd w:w="-1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7"/>
        <w:gridCol w:w="1206"/>
        <w:gridCol w:w="1200"/>
        <w:gridCol w:w="4196"/>
        <w:gridCol w:w="1256"/>
        <w:gridCol w:w="1206"/>
        <w:gridCol w:w="1218"/>
        <w:gridCol w:w="1269"/>
        <w:gridCol w:w="1180"/>
      </w:tblGrid>
      <w:tr w14:paraId="2A5BC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blHeader/>
        </w:trPr>
        <w:tc>
          <w:tcPr>
            <w:tcW w:w="266" w:type="pct"/>
            <w:noWrap w:val="0"/>
            <w:vAlign w:val="center"/>
          </w:tcPr>
          <w:p w14:paraId="4CBFC0A2">
            <w:pPr>
              <w:widowControl/>
              <w:spacing w:line="560" w:lineRule="exact"/>
              <w:ind w:left="0" w:leftChars="0" w:firstLine="0" w:firstLineChars="0"/>
              <w:jc w:val="center"/>
              <w:rPr>
                <w:rFonts w:hint="eastAsia" w:ascii="仿宋_GB2312" w:hAnsi="仿宋_GB2312" w:eastAsia="仿宋_GB2312" w:cs="仿宋_GB2312"/>
                <w:b/>
                <w:bCs/>
                <w:color w:val="000000"/>
                <w:kern w:val="0"/>
                <w:sz w:val="24"/>
                <w:szCs w:val="24"/>
                <w:highlight w:val="none"/>
              </w:rPr>
            </w:pPr>
            <w:r>
              <w:rPr>
                <w:rFonts w:hint="eastAsia" w:ascii="仿宋_GB2312" w:hAnsi="仿宋_GB2312" w:eastAsia="仿宋_GB2312" w:cs="仿宋_GB2312"/>
                <w:b/>
                <w:bCs/>
                <w:color w:val="000000"/>
                <w:kern w:val="0"/>
                <w:sz w:val="24"/>
                <w:szCs w:val="24"/>
                <w:highlight w:val="none"/>
              </w:rPr>
              <w:t>序号</w:t>
            </w:r>
          </w:p>
        </w:tc>
        <w:tc>
          <w:tcPr>
            <w:tcW w:w="448" w:type="pct"/>
            <w:noWrap w:val="0"/>
            <w:vAlign w:val="center"/>
          </w:tcPr>
          <w:p w14:paraId="34D6D88B">
            <w:pPr>
              <w:widowControl/>
              <w:spacing w:line="560" w:lineRule="exact"/>
              <w:ind w:left="0" w:leftChars="0" w:firstLine="0" w:firstLineChars="0"/>
              <w:jc w:val="center"/>
              <w:rPr>
                <w:rFonts w:hint="eastAsia" w:ascii="仿宋_GB2312" w:hAnsi="仿宋_GB2312" w:eastAsia="仿宋_GB2312" w:cs="仿宋_GB2312"/>
                <w:b/>
                <w:bCs/>
                <w:color w:val="000000"/>
                <w:kern w:val="0"/>
                <w:sz w:val="24"/>
                <w:szCs w:val="24"/>
                <w:highlight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项目分类</w:t>
            </w:r>
          </w:p>
        </w:tc>
        <w:tc>
          <w:tcPr>
            <w:tcW w:w="446" w:type="pct"/>
            <w:noWrap w:val="0"/>
            <w:vAlign w:val="center"/>
          </w:tcPr>
          <w:p w14:paraId="7AEB8C5E">
            <w:pPr>
              <w:widowControl/>
              <w:spacing w:line="560" w:lineRule="exact"/>
              <w:ind w:left="0" w:leftChars="0" w:firstLine="0" w:firstLineChars="0"/>
              <w:jc w:val="center"/>
              <w:rPr>
                <w:rFonts w:hint="eastAsia" w:ascii="仿宋_GB2312" w:hAnsi="仿宋_GB2312" w:eastAsia="仿宋_GB2312" w:cs="仿宋_GB2312"/>
                <w:b/>
                <w:bCs/>
                <w:color w:val="000000"/>
                <w:kern w:val="0"/>
                <w:sz w:val="24"/>
                <w:szCs w:val="24"/>
                <w:highlight w:val="none"/>
              </w:rPr>
            </w:pPr>
            <w:r>
              <w:rPr>
                <w:rFonts w:hint="eastAsia" w:ascii="仿宋_GB2312" w:hAnsi="仿宋_GB2312" w:eastAsia="仿宋_GB2312" w:cs="仿宋_GB2312"/>
                <w:b/>
                <w:bCs/>
                <w:color w:val="000000"/>
                <w:kern w:val="0"/>
                <w:sz w:val="24"/>
                <w:szCs w:val="24"/>
                <w:highlight w:val="none"/>
                <w:lang w:val="en-US" w:eastAsia="zh-CN"/>
              </w:rPr>
              <w:t>项目</w:t>
            </w:r>
            <w:r>
              <w:rPr>
                <w:rFonts w:hint="eastAsia" w:ascii="仿宋_GB2312" w:hAnsi="仿宋_GB2312" w:eastAsia="仿宋_GB2312" w:cs="仿宋_GB2312"/>
                <w:b/>
                <w:bCs/>
                <w:color w:val="000000"/>
                <w:kern w:val="0"/>
                <w:sz w:val="24"/>
                <w:szCs w:val="24"/>
                <w:highlight w:val="none"/>
              </w:rPr>
              <w:t>名称</w:t>
            </w:r>
          </w:p>
        </w:tc>
        <w:tc>
          <w:tcPr>
            <w:tcW w:w="1560" w:type="pct"/>
            <w:noWrap w:val="0"/>
            <w:vAlign w:val="center"/>
          </w:tcPr>
          <w:p w14:paraId="12C75F66">
            <w:pPr>
              <w:widowControl/>
              <w:spacing w:line="560" w:lineRule="exact"/>
              <w:jc w:val="center"/>
              <w:rPr>
                <w:rFonts w:hint="eastAsia" w:ascii="仿宋_GB2312" w:hAnsi="仿宋_GB2312" w:eastAsia="仿宋_GB2312" w:cs="仿宋_GB2312"/>
                <w:b/>
                <w:bCs/>
                <w:color w:val="000000"/>
                <w:kern w:val="0"/>
                <w:sz w:val="24"/>
                <w:szCs w:val="24"/>
                <w:highlight w:val="none"/>
              </w:rPr>
            </w:pPr>
            <w:r>
              <w:rPr>
                <w:rFonts w:hint="eastAsia" w:ascii="仿宋_GB2312" w:hAnsi="仿宋_GB2312" w:eastAsia="仿宋_GB2312" w:cs="仿宋_GB2312"/>
                <w:b/>
                <w:bCs/>
                <w:color w:val="000000"/>
                <w:kern w:val="0"/>
                <w:sz w:val="24"/>
                <w:szCs w:val="24"/>
                <w:highlight w:val="none"/>
              </w:rPr>
              <w:t>具体</w:t>
            </w:r>
            <w:r>
              <w:rPr>
                <w:rFonts w:hint="eastAsia" w:ascii="仿宋_GB2312" w:hAnsi="仿宋_GB2312" w:eastAsia="仿宋_GB2312" w:cs="仿宋_GB2312"/>
                <w:b/>
                <w:bCs/>
                <w:color w:val="000000"/>
                <w:kern w:val="0"/>
                <w:sz w:val="24"/>
                <w:szCs w:val="24"/>
                <w:highlight w:val="none"/>
                <w:lang w:val="en-US" w:eastAsia="zh-CN"/>
              </w:rPr>
              <w:t>项目</w:t>
            </w:r>
            <w:r>
              <w:rPr>
                <w:rFonts w:hint="eastAsia" w:ascii="仿宋_GB2312" w:hAnsi="仿宋_GB2312" w:eastAsia="仿宋_GB2312" w:cs="仿宋_GB2312"/>
                <w:b/>
                <w:bCs/>
                <w:color w:val="000000"/>
                <w:kern w:val="0"/>
                <w:sz w:val="24"/>
                <w:szCs w:val="24"/>
                <w:highlight w:val="none"/>
              </w:rPr>
              <w:t>内容</w:t>
            </w:r>
          </w:p>
        </w:tc>
        <w:tc>
          <w:tcPr>
            <w:tcW w:w="466" w:type="pct"/>
            <w:noWrap w:val="0"/>
            <w:vAlign w:val="center"/>
          </w:tcPr>
          <w:p w14:paraId="733F2A5F">
            <w:pPr>
              <w:widowControl/>
              <w:spacing w:line="560" w:lineRule="exact"/>
              <w:ind w:left="0" w:leftChars="0" w:firstLine="0" w:firstLineChars="0"/>
              <w:jc w:val="center"/>
              <w:rPr>
                <w:rFonts w:hint="eastAsia" w:ascii="仿宋_GB2312" w:hAnsi="仿宋_GB2312" w:eastAsia="仿宋_GB2312" w:cs="仿宋_GB2312"/>
                <w:b/>
                <w:bCs/>
                <w:color w:val="000000"/>
                <w:kern w:val="0"/>
                <w:sz w:val="24"/>
                <w:szCs w:val="24"/>
                <w:highlight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项目类型</w:t>
            </w:r>
          </w:p>
        </w:tc>
        <w:tc>
          <w:tcPr>
            <w:tcW w:w="448" w:type="pct"/>
            <w:noWrap w:val="0"/>
            <w:vAlign w:val="center"/>
          </w:tcPr>
          <w:p w14:paraId="79C533F0">
            <w:pPr>
              <w:widowControl/>
              <w:spacing w:line="560" w:lineRule="exact"/>
              <w:ind w:left="0" w:leftChars="0" w:firstLine="0" w:firstLineChars="0"/>
              <w:jc w:val="center"/>
              <w:rPr>
                <w:rFonts w:hint="eastAsia" w:ascii="仿宋_GB2312" w:hAnsi="仿宋_GB2312" w:eastAsia="仿宋_GB2312" w:cs="仿宋_GB2312"/>
                <w:b/>
                <w:bCs/>
                <w:color w:val="000000"/>
                <w:kern w:val="0"/>
                <w:sz w:val="24"/>
                <w:szCs w:val="24"/>
                <w:highlight w:val="none"/>
              </w:rPr>
            </w:pPr>
            <w:r>
              <w:rPr>
                <w:rFonts w:hint="eastAsia" w:ascii="仿宋_GB2312" w:hAnsi="仿宋_GB2312" w:eastAsia="仿宋_GB2312" w:cs="仿宋_GB2312"/>
                <w:b/>
                <w:bCs/>
                <w:color w:val="000000"/>
                <w:kern w:val="0"/>
                <w:sz w:val="24"/>
                <w:szCs w:val="24"/>
                <w:highlight w:val="none"/>
              </w:rPr>
              <w:t>牵头单位</w:t>
            </w:r>
          </w:p>
        </w:tc>
        <w:tc>
          <w:tcPr>
            <w:tcW w:w="452" w:type="pct"/>
            <w:noWrap w:val="0"/>
            <w:vAlign w:val="center"/>
          </w:tcPr>
          <w:p w14:paraId="5F3C5827">
            <w:pPr>
              <w:widowControl/>
              <w:spacing w:line="240" w:lineRule="auto"/>
              <w:ind w:left="0" w:leftChars="0" w:firstLine="0" w:firstLineChars="0"/>
              <w:jc w:val="center"/>
              <w:rPr>
                <w:rFonts w:hint="eastAsia" w:ascii="仿宋_GB2312" w:hAnsi="仿宋_GB2312" w:eastAsia="仿宋_GB2312" w:cs="仿宋_GB2312"/>
                <w:b/>
                <w:bCs/>
                <w:color w:val="000000"/>
                <w:kern w:val="0"/>
                <w:sz w:val="24"/>
                <w:szCs w:val="24"/>
                <w:highlight w:val="none"/>
                <w:lang w:val="en-US" w:eastAsia="zh-CN"/>
              </w:rPr>
            </w:pPr>
            <w:r>
              <w:rPr>
                <w:rFonts w:hint="eastAsia" w:ascii="仿宋_GB2312" w:hAnsi="仿宋_GB2312" w:eastAsia="仿宋_GB2312" w:cs="仿宋_GB2312"/>
                <w:b/>
                <w:bCs/>
                <w:color w:val="000000"/>
                <w:kern w:val="0"/>
                <w:sz w:val="24"/>
                <w:szCs w:val="24"/>
                <w:highlight w:val="none"/>
                <w:lang w:val="en-US" w:eastAsia="zh-CN"/>
              </w:rPr>
              <w:t>预算金额</w:t>
            </w:r>
          </w:p>
          <w:p w14:paraId="3213893A">
            <w:pPr>
              <w:widowControl/>
              <w:spacing w:line="240" w:lineRule="auto"/>
              <w:ind w:left="0" w:leftChars="0" w:firstLine="0" w:firstLineChars="0"/>
              <w:jc w:val="center"/>
              <w:rPr>
                <w:rFonts w:hint="eastAsia" w:ascii="仿宋_GB2312" w:hAnsi="仿宋_GB2312" w:eastAsia="仿宋_GB2312" w:cs="仿宋_GB2312"/>
                <w:b/>
                <w:bCs/>
                <w:color w:val="000000"/>
                <w:kern w:val="0"/>
                <w:sz w:val="24"/>
                <w:szCs w:val="24"/>
                <w:highlight w:val="none"/>
                <w:lang w:val="en-US" w:eastAsia="zh-CN"/>
              </w:rPr>
            </w:pPr>
            <w:r>
              <w:rPr>
                <w:rFonts w:hint="eastAsia" w:ascii="仿宋_GB2312" w:hAnsi="仿宋_GB2312" w:eastAsia="仿宋_GB2312" w:cs="仿宋_GB2312"/>
                <w:b/>
                <w:bCs/>
                <w:color w:val="000000"/>
                <w:kern w:val="0"/>
                <w:sz w:val="24"/>
                <w:szCs w:val="24"/>
                <w:highlight w:val="none"/>
                <w:lang w:val="en-US" w:eastAsia="zh-CN"/>
              </w:rPr>
              <w:t>（万元）</w:t>
            </w:r>
          </w:p>
        </w:tc>
        <w:tc>
          <w:tcPr>
            <w:tcW w:w="471" w:type="pct"/>
            <w:noWrap w:val="0"/>
            <w:vAlign w:val="center"/>
          </w:tcPr>
          <w:p w14:paraId="0AC59554">
            <w:pPr>
              <w:widowControl/>
              <w:spacing w:line="560" w:lineRule="exact"/>
              <w:ind w:left="0" w:leftChars="0" w:firstLine="0" w:firstLineChars="0"/>
              <w:jc w:val="center"/>
              <w:rPr>
                <w:rFonts w:hint="eastAsia" w:ascii="仿宋_GB2312" w:hAnsi="仿宋_GB2312" w:eastAsia="仿宋_GB2312" w:cs="仿宋_GB2312"/>
                <w:b/>
                <w:bCs/>
                <w:color w:val="000000"/>
                <w:kern w:val="0"/>
                <w:sz w:val="24"/>
                <w:szCs w:val="24"/>
                <w:highlight w:val="none"/>
                <w:lang w:val="en-US" w:eastAsia="zh-CN"/>
              </w:rPr>
            </w:pPr>
            <w:r>
              <w:rPr>
                <w:rFonts w:hint="eastAsia" w:ascii="仿宋_GB2312" w:hAnsi="仿宋_GB2312" w:eastAsia="仿宋_GB2312" w:cs="仿宋_GB2312"/>
                <w:b/>
                <w:bCs/>
                <w:color w:val="000000"/>
                <w:kern w:val="0"/>
                <w:sz w:val="24"/>
                <w:szCs w:val="24"/>
                <w:highlight w:val="none"/>
                <w:lang w:val="en-US" w:eastAsia="zh-CN"/>
              </w:rPr>
              <w:t>资金来源</w:t>
            </w:r>
          </w:p>
        </w:tc>
        <w:tc>
          <w:tcPr>
            <w:tcW w:w="438" w:type="pct"/>
            <w:noWrap w:val="0"/>
            <w:vAlign w:val="center"/>
          </w:tcPr>
          <w:p w14:paraId="22A71332">
            <w:pPr>
              <w:widowControl/>
              <w:spacing w:line="560" w:lineRule="exact"/>
              <w:ind w:left="0" w:leftChars="0" w:firstLine="0" w:firstLineChars="0"/>
              <w:jc w:val="center"/>
              <w:rPr>
                <w:rFonts w:hint="eastAsia" w:ascii="仿宋_GB2312" w:hAnsi="仿宋_GB2312" w:eastAsia="仿宋_GB2312" w:cs="仿宋_GB2312"/>
                <w:b/>
                <w:bCs/>
                <w:color w:val="000000"/>
                <w:kern w:val="0"/>
                <w:sz w:val="24"/>
                <w:szCs w:val="24"/>
                <w:highlight w:val="none"/>
              </w:rPr>
            </w:pPr>
            <w:r>
              <w:rPr>
                <w:rFonts w:hint="eastAsia" w:ascii="仿宋_GB2312" w:hAnsi="仿宋_GB2312" w:eastAsia="仿宋_GB2312" w:cs="仿宋_GB2312"/>
                <w:b/>
                <w:bCs/>
                <w:color w:val="000000"/>
                <w:kern w:val="0"/>
                <w:sz w:val="24"/>
                <w:szCs w:val="24"/>
                <w:highlight w:val="none"/>
              </w:rPr>
              <w:t>完成时限</w:t>
            </w:r>
          </w:p>
        </w:tc>
      </w:tr>
      <w:tr w14:paraId="2102D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6" w:hRule="atLeast"/>
        </w:trPr>
        <w:tc>
          <w:tcPr>
            <w:tcW w:w="266" w:type="pct"/>
            <w:shd w:val="clear" w:color="auto" w:fill="auto"/>
            <w:noWrap w:val="0"/>
            <w:vAlign w:val="center"/>
          </w:tcPr>
          <w:p w14:paraId="3023A4CD">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u w:val="none"/>
                <w:lang w:val="en-US" w:eastAsia="zh-CN" w:bidi="ar"/>
              </w:rPr>
            </w:pPr>
            <w:r>
              <w:rPr>
                <w:rFonts w:hint="eastAsia" w:ascii="仿宋_GB2312" w:hAnsi="仿宋_GB2312" w:eastAsia="仿宋_GB2312" w:cs="仿宋_GB2312"/>
                <w:color w:val="000000"/>
                <w:kern w:val="0"/>
                <w:sz w:val="24"/>
                <w:szCs w:val="24"/>
                <w:highlight w:val="none"/>
                <w:u w:val="none"/>
                <w:lang w:val="en-US" w:eastAsia="zh-CN" w:bidi="ar"/>
              </w:rPr>
              <w:t>1</w:t>
            </w:r>
          </w:p>
        </w:tc>
        <w:tc>
          <w:tcPr>
            <w:tcW w:w="448" w:type="pct"/>
            <w:vMerge w:val="restart"/>
            <w:shd w:val="clear" w:color="auto" w:fill="auto"/>
            <w:noWrap w:val="0"/>
            <w:vAlign w:val="center"/>
          </w:tcPr>
          <w:p w14:paraId="28D6674B">
            <w:pPr>
              <w:keepNext w:val="0"/>
              <w:keepLines w:val="0"/>
              <w:widowControl/>
              <w:suppressLineNumbers w:val="0"/>
              <w:spacing w:line="240" w:lineRule="auto"/>
              <w:ind w:firstLine="0" w:firstLineChars="0"/>
              <w:jc w:val="center"/>
              <w:textAlignment w:val="auto"/>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数智底座</w:t>
            </w:r>
          </w:p>
          <w:p w14:paraId="153E794B">
            <w:pPr>
              <w:keepNext w:val="0"/>
              <w:keepLines w:val="0"/>
              <w:widowControl/>
              <w:suppressLineNumbers w:val="0"/>
              <w:spacing w:line="240" w:lineRule="auto"/>
              <w:ind w:firstLine="0" w:firstLineChars="0"/>
              <w:jc w:val="center"/>
              <w:textAlignment w:val="auto"/>
              <w:rPr>
                <w:rFonts w:hint="eastAsia" w:ascii="仿宋_GB2312" w:hAnsi="仿宋_GB2312" w:eastAsia="仿宋_GB2312" w:cs="仿宋_GB2312"/>
                <w:color w:val="000000"/>
                <w:kern w:val="0"/>
                <w:sz w:val="24"/>
                <w:szCs w:val="24"/>
                <w:highlight w:val="none"/>
                <w:lang w:val="en-US" w:eastAsia="zh-CN" w:bidi="ar-SA"/>
              </w:rPr>
            </w:pPr>
          </w:p>
          <w:p w14:paraId="33980EE9">
            <w:pPr>
              <w:keepNext w:val="0"/>
              <w:keepLines w:val="0"/>
              <w:widowControl/>
              <w:suppressLineNumbers w:val="0"/>
              <w:spacing w:line="240" w:lineRule="auto"/>
              <w:ind w:firstLine="0" w:firstLineChars="0"/>
              <w:jc w:val="center"/>
              <w:textAlignment w:val="auto"/>
              <w:rPr>
                <w:rFonts w:hint="eastAsia" w:ascii="仿宋_GB2312" w:hAnsi="仿宋_GB2312" w:eastAsia="仿宋_GB2312" w:cs="仿宋_GB2312"/>
                <w:color w:val="000000"/>
                <w:kern w:val="0"/>
                <w:sz w:val="24"/>
                <w:szCs w:val="24"/>
                <w:highlight w:val="none"/>
                <w:lang w:val="en-US" w:eastAsia="zh-CN" w:bidi="ar-SA"/>
              </w:rPr>
            </w:pPr>
          </w:p>
          <w:p w14:paraId="4689F370">
            <w:pPr>
              <w:keepNext w:val="0"/>
              <w:keepLines w:val="0"/>
              <w:widowControl/>
              <w:suppressLineNumbers w:val="0"/>
              <w:spacing w:line="240" w:lineRule="auto"/>
              <w:ind w:firstLine="0" w:firstLineChars="0"/>
              <w:jc w:val="center"/>
              <w:textAlignment w:val="auto"/>
              <w:rPr>
                <w:rFonts w:hint="eastAsia" w:ascii="仿宋_GB2312" w:hAnsi="仿宋_GB2312" w:eastAsia="仿宋_GB2312" w:cs="仿宋_GB2312"/>
                <w:i w:val="0"/>
                <w:iCs w:val="0"/>
                <w:color w:val="000000"/>
                <w:kern w:val="0"/>
                <w:sz w:val="24"/>
                <w:szCs w:val="24"/>
                <w:highlight w:val="none"/>
                <w:u w:val="none"/>
                <w:lang w:val="en-US" w:eastAsia="zh-CN" w:bidi="ar"/>
              </w:rPr>
            </w:pPr>
          </w:p>
          <w:p w14:paraId="49970B33">
            <w:pPr>
              <w:widowControl/>
              <w:snapToGrid/>
              <w:spacing w:line="240" w:lineRule="auto"/>
              <w:ind w:firstLine="0" w:firstLineChars="0"/>
              <w:jc w:val="center"/>
              <w:textAlignment w:val="auto"/>
              <w:rPr>
                <w:rFonts w:hint="eastAsia" w:ascii="仿宋_GB2312" w:hAnsi="仿宋_GB2312" w:eastAsia="仿宋_GB2312" w:cs="仿宋_GB2312"/>
                <w:color w:val="000000"/>
                <w:kern w:val="0"/>
                <w:sz w:val="24"/>
                <w:szCs w:val="24"/>
                <w:highlight w:val="none"/>
                <w:lang w:val="en-US" w:eastAsia="zh-CN" w:bidi="ar"/>
              </w:rPr>
            </w:pPr>
          </w:p>
          <w:p w14:paraId="301A3D4C">
            <w:pPr>
              <w:widowControl/>
              <w:snapToGrid/>
              <w:spacing w:line="240" w:lineRule="auto"/>
              <w:ind w:firstLine="0" w:firstLineChars="0"/>
              <w:jc w:val="center"/>
              <w:textAlignment w:val="auto"/>
              <w:rPr>
                <w:rFonts w:hint="eastAsia" w:ascii="仿宋_GB2312" w:hAnsi="仿宋_GB2312" w:eastAsia="仿宋_GB2312" w:cs="仿宋_GB2312"/>
                <w:color w:val="000000"/>
                <w:kern w:val="0"/>
                <w:sz w:val="24"/>
                <w:szCs w:val="24"/>
                <w:highlight w:val="none"/>
                <w:lang w:val="en-US" w:eastAsia="zh-CN" w:bidi="ar"/>
              </w:rPr>
            </w:pPr>
          </w:p>
        </w:tc>
        <w:tc>
          <w:tcPr>
            <w:tcW w:w="446" w:type="pct"/>
            <w:shd w:val="clear" w:color="auto" w:fill="auto"/>
            <w:noWrap w:val="0"/>
            <w:vAlign w:val="center"/>
          </w:tcPr>
          <w:p w14:paraId="211F050C">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rPr>
              <w:t>算力中心规划建设项目</w:t>
            </w:r>
          </w:p>
        </w:tc>
        <w:tc>
          <w:tcPr>
            <w:tcW w:w="1560" w:type="pct"/>
            <w:shd w:val="clear" w:color="auto" w:fill="auto"/>
            <w:noWrap w:val="0"/>
            <w:vAlign w:val="center"/>
          </w:tcPr>
          <w:p w14:paraId="4715FDB6">
            <w:pPr>
              <w:pStyle w:val="12"/>
              <w:spacing w:before="0" w:beforeAutospacing="0" w:after="0" w:afterAutospacing="0" w:line="240" w:lineRule="auto"/>
              <w:ind w:firstLine="0" w:firstLineChars="0"/>
              <w:jc w:val="both"/>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
              </w:rPr>
              <w:t>打造兴谷智慧产业赋能中心与高性能算力资源池，支撑人工智能训练推理与大规模数据处理，构建高效运转的城市“最强大脑”。</w:t>
            </w:r>
          </w:p>
        </w:tc>
        <w:tc>
          <w:tcPr>
            <w:tcW w:w="466" w:type="pct"/>
            <w:shd w:val="clear" w:color="auto" w:fill="auto"/>
            <w:noWrap w:val="0"/>
            <w:vAlign w:val="center"/>
          </w:tcPr>
          <w:p w14:paraId="553513C4">
            <w:pPr>
              <w:keepNext w:val="0"/>
              <w:keepLines w:val="0"/>
              <w:widowControl/>
              <w:suppressLineNumbers w:val="0"/>
              <w:spacing w:line="240" w:lineRule="auto"/>
              <w:ind w:firstLine="0" w:firstLineChars="0"/>
              <w:jc w:val="center"/>
              <w:textAlignment w:val="auto"/>
              <w:rPr>
                <w:rFonts w:hint="eastAsia" w:ascii="仿宋_GB2312" w:hAnsi="仿宋_GB2312" w:eastAsia="仿宋_GB2312" w:cs="仿宋_GB2312"/>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吸引/服务企业型项目</w:t>
            </w:r>
          </w:p>
        </w:tc>
        <w:tc>
          <w:tcPr>
            <w:tcW w:w="448" w:type="pct"/>
            <w:shd w:val="clear" w:color="auto" w:fill="auto"/>
            <w:noWrap w:val="0"/>
            <w:vAlign w:val="center"/>
          </w:tcPr>
          <w:p w14:paraId="341327B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b w:val="0"/>
                <w:bCs w:val="0"/>
                <w:kern w:val="2"/>
                <w:sz w:val="24"/>
                <w:szCs w:val="24"/>
                <w:highlight w:val="none"/>
                <w:vertAlign w:val="baseli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rPr>
              <w:t>区科技和信息化局</w:t>
            </w:r>
          </w:p>
        </w:tc>
        <w:tc>
          <w:tcPr>
            <w:tcW w:w="452" w:type="pct"/>
            <w:shd w:val="clear" w:color="auto" w:fill="auto"/>
            <w:noWrap w:val="0"/>
            <w:vAlign w:val="center"/>
          </w:tcPr>
          <w:p w14:paraId="1FA9DF77">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 w:eastAsia="zh-CN" w:bidi="ar-SA"/>
              </w:rPr>
            </w:pPr>
            <w:r>
              <w:rPr>
                <w:rFonts w:hint="eastAsia" w:ascii="仿宋_GB2312" w:hAnsi="仿宋_GB2312" w:eastAsia="仿宋_GB2312" w:cs="仿宋_GB2312"/>
                <w:color w:val="000000"/>
                <w:kern w:val="0"/>
                <w:sz w:val="24"/>
                <w:szCs w:val="24"/>
                <w:highlight w:val="none"/>
                <w:lang w:val="en-US" w:eastAsia="zh-CN"/>
              </w:rPr>
              <w:t>20800</w:t>
            </w:r>
          </w:p>
        </w:tc>
        <w:tc>
          <w:tcPr>
            <w:tcW w:w="471" w:type="pct"/>
            <w:shd w:val="clear" w:color="auto" w:fill="auto"/>
            <w:noWrap w:val="0"/>
            <w:vAlign w:val="center"/>
          </w:tcPr>
          <w:p w14:paraId="53691668">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rPr>
              <w:t>企业自筹资金</w:t>
            </w:r>
          </w:p>
        </w:tc>
        <w:tc>
          <w:tcPr>
            <w:tcW w:w="438" w:type="pct"/>
            <w:shd w:val="clear" w:color="auto" w:fill="auto"/>
            <w:noWrap w:val="0"/>
            <w:vAlign w:val="center"/>
          </w:tcPr>
          <w:p w14:paraId="17CE517E">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rPr>
              <w:t>2027年</w:t>
            </w:r>
          </w:p>
        </w:tc>
      </w:tr>
      <w:tr w14:paraId="5DA68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6" w:hRule="atLeast"/>
        </w:trPr>
        <w:tc>
          <w:tcPr>
            <w:tcW w:w="266" w:type="pct"/>
            <w:noWrap w:val="0"/>
            <w:vAlign w:val="center"/>
          </w:tcPr>
          <w:p w14:paraId="54D5B663">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lang w:val="en-US" w:eastAsia="zh-CN"/>
              </w:rPr>
              <w:t>2</w:t>
            </w:r>
          </w:p>
        </w:tc>
        <w:tc>
          <w:tcPr>
            <w:tcW w:w="448" w:type="pct"/>
            <w:vMerge w:val="continue"/>
            <w:noWrap w:val="0"/>
            <w:vAlign w:val="center"/>
          </w:tcPr>
          <w:p w14:paraId="749E5B07">
            <w:pPr>
              <w:keepNext w:val="0"/>
              <w:keepLines w:val="0"/>
              <w:widowControl/>
              <w:suppressLineNumbers w:val="0"/>
              <w:spacing w:line="240" w:lineRule="auto"/>
              <w:ind w:firstLine="0" w:firstLineChars="0"/>
              <w:jc w:val="center"/>
              <w:textAlignment w:val="auto"/>
              <w:rPr>
                <w:rFonts w:hint="eastAsia" w:ascii="仿宋_GB2312" w:hAnsi="仿宋_GB2312" w:eastAsia="仿宋_GB2312" w:cs="仿宋_GB2312"/>
                <w:color w:val="000000"/>
                <w:kern w:val="0"/>
                <w:sz w:val="24"/>
                <w:szCs w:val="24"/>
                <w:highlight w:val="none"/>
                <w:lang w:val="en-US" w:eastAsia="zh-CN" w:bidi="ar-SA"/>
              </w:rPr>
            </w:pPr>
          </w:p>
        </w:tc>
        <w:tc>
          <w:tcPr>
            <w:tcW w:w="446" w:type="pct"/>
            <w:noWrap w:val="0"/>
            <w:vAlign w:val="center"/>
          </w:tcPr>
          <w:p w14:paraId="768C6F02">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rPr>
              <w:t>政务云优化完善</w:t>
            </w:r>
            <w:r>
              <w:rPr>
                <w:rFonts w:hint="eastAsia" w:ascii="仿宋_GB2312" w:hAnsi="仿宋_GB2312" w:eastAsia="仿宋_GB2312" w:cs="仿宋_GB2312"/>
                <w:color w:val="000000"/>
                <w:kern w:val="0"/>
                <w:sz w:val="24"/>
                <w:szCs w:val="24"/>
                <w:highlight w:val="none"/>
                <w:lang w:val="en-US" w:eastAsia="zh-CN"/>
              </w:rPr>
              <w:t>项目</w:t>
            </w:r>
          </w:p>
        </w:tc>
        <w:tc>
          <w:tcPr>
            <w:tcW w:w="1560" w:type="pct"/>
            <w:noWrap w:val="0"/>
            <w:vAlign w:val="center"/>
          </w:tcPr>
          <w:p w14:paraId="597C6DE5">
            <w:pPr>
              <w:pStyle w:val="12"/>
              <w:spacing w:before="0" w:beforeAutospacing="0" w:after="0" w:afterAutospacing="0" w:line="240" w:lineRule="auto"/>
              <w:ind w:firstLine="0" w:firstLineChars="0"/>
              <w:jc w:val="both"/>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lang w:val="en-US" w:eastAsia="zh-CN" w:bidi="ar"/>
              </w:rPr>
              <w:t>统筹规划虚拟云服务资源布局，构建全区一体化政务云服务体系，实现全区云资源统一管理、弹性分配与安全管控。</w:t>
            </w:r>
          </w:p>
        </w:tc>
        <w:tc>
          <w:tcPr>
            <w:tcW w:w="466" w:type="pct"/>
            <w:noWrap w:val="0"/>
            <w:vAlign w:val="center"/>
          </w:tcPr>
          <w:p w14:paraId="3C02ABAC">
            <w:pPr>
              <w:keepNext w:val="0"/>
              <w:keepLines w:val="0"/>
              <w:widowControl/>
              <w:suppressLineNumbers w:val="0"/>
              <w:spacing w:line="240" w:lineRule="auto"/>
              <w:ind w:firstLine="0" w:firstLineChars="0"/>
              <w:jc w:val="center"/>
              <w:textAlignment w:val="auto"/>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必要性项目</w:t>
            </w:r>
          </w:p>
        </w:tc>
        <w:tc>
          <w:tcPr>
            <w:tcW w:w="448" w:type="pct"/>
            <w:noWrap w:val="0"/>
            <w:vAlign w:val="center"/>
          </w:tcPr>
          <w:p w14:paraId="2AAD6791">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lang w:val="en-US" w:eastAsia="zh-CN"/>
              </w:rPr>
              <w:t>区</w:t>
            </w:r>
            <w:r>
              <w:rPr>
                <w:rFonts w:hint="eastAsia" w:ascii="仿宋_GB2312" w:hAnsi="仿宋_GB2312" w:eastAsia="仿宋_GB2312" w:cs="仿宋_GB2312"/>
                <w:color w:val="000000"/>
                <w:kern w:val="0"/>
                <w:sz w:val="24"/>
                <w:szCs w:val="24"/>
                <w:highlight w:val="none"/>
              </w:rPr>
              <w:t>政务和数据局</w:t>
            </w:r>
          </w:p>
        </w:tc>
        <w:tc>
          <w:tcPr>
            <w:tcW w:w="452" w:type="pct"/>
            <w:noWrap w:val="0"/>
            <w:vAlign w:val="center"/>
          </w:tcPr>
          <w:p w14:paraId="22974642">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 w:eastAsia="zh-CN"/>
              </w:rPr>
            </w:pPr>
            <w:r>
              <w:rPr>
                <w:rFonts w:hint="eastAsia" w:ascii="仿宋_GB2312" w:hAnsi="仿宋_GB2312" w:eastAsia="仿宋_GB2312" w:cs="仿宋_GB2312"/>
                <w:color w:val="000000"/>
                <w:kern w:val="0"/>
                <w:sz w:val="24"/>
                <w:szCs w:val="24"/>
                <w:highlight w:val="none"/>
                <w:lang w:val="en" w:eastAsia="zh-CN"/>
              </w:rPr>
              <w:t>200</w:t>
            </w:r>
          </w:p>
        </w:tc>
        <w:tc>
          <w:tcPr>
            <w:tcW w:w="471" w:type="pct"/>
            <w:noWrap w:val="0"/>
            <w:vAlign w:val="center"/>
          </w:tcPr>
          <w:p w14:paraId="30F1307C">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rPr>
              <w:t>区级财政资金</w:t>
            </w:r>
          </w:p>
        </w:tc>
        <w:tc>
          <w:tcPr>
            <w:tcW w:w="438" w:type="pct"/>
            <w:noWrap w:val="0"/>
            <w:vAlign w:val="center"/>
          </w:tcPr>
          <w:p w14:paraId="2016AA05">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eastAsia="zh-CN"/>
              </w:rPr>
            </w:pPr>
            <w:r>
              <w:rPr>
                <w:rFonts w:hint="eastAsia" w:ascii="仿宋_GB2312" w:hAnsi="仿宋_GB2312" w:eastAsia="仿宋_GB2312" w:cs="仿宋_GB2312"/>
                <w:color w:val="000000"/>
                <w:kern w:val="0"/>
                <w:sz w:val="24"/>
                <w:szCs w:val="24"/>
                <w:highlight w:val="none"/>
              </w:rPr>
              <w:t>持续</w:t>
            </w:r>
            <w:r>
              <w:rPr>
                <w:rFonts w:hint="eastAsia" w:ascii="仿宋_GB2312" w:hAnsi="仿宋_GB2312" w:eastAsia="仿宋_GB2312" w:cs="仿宋_GB2312"/>
                <w:color w:val="000000"/>
                <w:kern w:val="0"/>
                <w:sz w:val="24"/>
                <w:szCs w:val="24"/>
                <w:highlight w:val="none"/>
                <w:lang w:eastAsia="zh-CN"/>
              </w:rPr>
              <w:t>推进</w:t>
            </w:r>
          </w:p>
        </w:tc>
      </w:tr>
      <w:tr w14:paraId="1D1B7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trPr>
        <w:tc>
          <w:tcPr>
            <w:tcW w:w="266" w:type="pct"/>
            <w:noWrap w:val="0"/>
            <w:vAlign w:val="center"/>
          </w:tcPr>
          <w:p w14:paraId="42EF4000">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3</w:t>
            </w:r>
          </w:p>
        </w:tc>
        <w:tc>
          <w:tcPr>
            <w:tcW w:w="448" w:type="pct"/>
            <w:vMerge w:val="continue"/>
            <w:noWrap w:val="0"/>
            <w:vAlign w:val="center"/>
          </w:tcPr>
          <w:p w14:paraId="2B66E2C1">
            <w:pPr>
              <w:keepNext w:val="0"/>
              <w:keepLines w:val="0"/>
              <w:widowControl/>
              <w:suppressLineNumbers w:val="0"/>
              <w:spacing w:line="240" w:lineRule="auto"/>
              <w:ind w:firstLine="0" w:firstLineChars="0"/>
              <w:jc w:val="center"/>
              <w:textAlignment w:val="auto"/>
              <w:rPr>
                <w:rFonts w:hint="eastAsia" w:ascii="仿宋_GB2312" w:hAnsi="仿宋_GB2312" w:eastAsia="仿宋_GB2312" w:cs="仿宋_GB2312"/>
                <w:color w:val="000000"/>
                <w:kern w:val="0"/>
                <w:sz w:val="24"/>
                <w:szCs w:val="24"/>
                <w:highlight w:val="none"/>
                <w:lang w:val="en-US" w:eastAsia="zh-CN" w:bidi="ar-SA"/>
              </w:rPr>
            </w:pPr>
          </w:p>
        </w:tc>
        <w:tc>
          <w:tcPr>
            <w:tcW w:w="446" w:type="pct"/>
            <w:noWrap w:val="0"/>
            <w:vAlign w:val="center"/>
          </w:tcPr>
          <w:p w14:paraId="751E01E0">
            <w:pPr>
              <w:keepNext w:val="0"/>
              <w:keepLines w:val="0"/>
              <w:widowControl/>
              <w:suppressLineNumbers w:val="0"/>
              <w:spacing w:line="240" w:lineRule="auto"/>
              <w:ind w:firstLine="0" w:firstLineChars="0"/>
              <w:jc w:val="center"/>
              <w:textAlignment w:val="auto"/>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color w:val="000000"/>
                <w:kern w:val="0"/>
                <w:sz w:val="24"/>
                <w:szCs w:val="24"/>
                <w:highlight w:val="none"/>
              </w:rPr>
              <w:t>政务网络升级</w:t>
            </w:r>
            <w:r>
              <w:rPr>
                <w:rFonts w:hint="eastAsia" w:ascii="仿宋_GB2312" w:hAnsi="仿宋_GB2312" w:eastAsia="仿宋_GB2312" w:cs="仿宋_GB2312"/>
                <w:color w:val="000000"/>
                <w:kern w:val="0"/>
                <w:sz w:val="24"/>
                <w:szCs w:val="24"/>
                <w:highlight w:val="none"/>
                <w:lang w:val="en-US" w:eastAsia="zh-CN"/>
              </w:rPr>
              <w:t>项目</w:t>
            </w:r>
          </w:p>
        </w:tc>
        <w:tc>
          <w:tcPr>
            <w:tcW w:w="1560" w:type="pct"/>
            <w:noWrap w:val="0"/>
            <w:vAlign w:val="center"/>
          </w:tcPr>
          <w:p w14:paraId="199AED5E">
            <w:pPr>
              <w:widowControl/>
              <w:spacing w:line="240" w:lineRule="auto"/>
              <w:ind w:left="0" w:leftChars="0" w:firstLine="0" w:firstLineChars="0"/>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rPr>
              <w:t>提</w:t>
            </w:r>
            <w:r>
              <w:rPr>
                <w:rFonts w:hint="eastAsia" w:ascii="仿宋_GB2312" w:hAnsi="仿宋_GB2312" w:eastAsia="仿宋_GB2312" w:cs="仿宋_GB2312"/>
                <w:color w:val="000000"/>
                <w:kern w:val="0"/>
                <w:sz w:val="24"/>
                <w:szCs w:val="24"/>
                <w:highlight w:val="none"/>
                <w:lang w:val="en-US" w:eastAsia="zh-CN" w:bidi="ar"/>
              </w:rPr>
              <w:t>升政务外网骨干带宽与接入能力，扩大政务外网接入范围，将区属国有企业、事业单位及重点公共服务机构纳入统一网络管理体系，提升跨单位、跨层级数据共享和业务协同支撑能力。</w:t>
            </w:r>
          </w:p>
        </w:tc>
        <w:tc>
          <w:tcPr>
            <w:tcW w:w="466" w:type="pct"/>
            <w:noWrap w:val="0"/>
            <w:vAlign w:val="center"/>
          </w:tcPr>
          <w:p w14:paraId="7AC7F470">
            <w:pPr>
              <w:keepNext w:val="0"/>
              <w:keepLines w:val="0"/>
              <w:widowControl/>
              <w:suppressLineNumbers w:val="0"/>
              <w:spacing w:line="240" w:lineRule="auto"/>
              <w:ind w:firstLine="0" w:firstLineChars="0"/>
              <w:jc w:val="center"/>
              <w:textAlignment w:val="auto"/>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必要性项目</w:t>
            </w:r>
          </w:p>
        </w:tc>
        <w:tc>
          <w:tcPr>
            <w:tcW w:w="448" w:type="pct"/>
            <w:noWrap w:val="0"/>
            <w:vAlign w:val="center"/>
          </w:tcPr>
          <w:p w14:paraId="3C1F5E61">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rPr>
              <w:t>区</w:t>
            </w:r>
            <w:r>
              <w:rPr>
                <w:rFonts w:hint="eastAsia" w:ascii="仿宋_GB2312" w:hAnsi="仿宋_GB2312" w:eastAsia="仿宋_GB2312" w:cs="仿宋_GB2312"/>
                <w:color w:val="000000"/>
                <w:kern w:val="0"/>
                <w:sz w:val="24"/>
                <w:szCs w:val="24"/>
                <w:highlight w:val="none"/>
              </w:rPr>
              <w:t>政务和数据局</w:t>
            </w:r>
          </w:p>
        </w:tc>
        <w:tc>
          <w:tcPr>
            <w:tcW w:w="452" w:type="pct"/>
            <w:noWrap w:val="0"/>
            <w:vAlign w:val="center"/>
          </w:tcPr>
          <w:p w14:paraId="32A1A48C">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300</w:t>
            </w:r>
          </w:p>
        </w:tc>
        <w:tc>
          <w:tcPr>
            <w:tcW w:w="471" w:type="pct"/>
            <w:noWrap w:val="0"/>
            <w:vAlign w:val="center"/>
          </w:tcPr>
          <w:p w14:paraId="148EF921">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rPr>
              <w:t>区级财政资金</w:t>
            </w:r>
          </w:p>
        </w:tc>
        <w:tc>
          <w:tcPr>
            <w:tcW w:w="438" w:type="pct"/>
            <w:noWrap w:val="0"/>
            <w:vAlign w:val="center"/>
          </w:tcPr>
          <w:p w14:paraId="2DBDECE8">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rPr>
              <w:t>持续</w:t>
            </w:r>
            <w:r>
              <w:rPr>
                <w:rFonts w:hint="eastAsia" w:ascii="仿宋_GB2312" w:hAnsi="仿宋_GB2312" w:eastAsia="仿宋_GB2312" w:cs="仿宋_GB2312"/>
                <w:color w:val="000000"/>
                <w:kern w:val="0"/>
                <w:sz w:val="24"/>
                <w:szCs w:val="24"/>
                <w:highlight w:val="none"/>
                <w:lang w:eastAsia="zh-CN"/>
              </w:rPr>
              <w:t>推进</w:t>
            </w:r>
          </w:p>
        </w:tc>
      </w:tr>
      <w:tr w14:paraId="358DE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trPr>
        <w:tc>
          <w:tcPr>
            <w:tcW w:w="266" w:type="pct"/>
            <w:noWrap w:val="0"/>
            <w:vAlign w:val="center"/>
          </w:tcPr>
          <w:p w14:paraId="6F2C188B">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4</w:t>
            </w:r>
          </w:p>
        </w:tc>
        <w:tc>
          <w:tcPr>
            <w:tcW w:w="448" w:type="pct"/>
            <w:vMerge w:val="continue"/>
            <w:noWrap w:val="0"/>
            <w:vAlign w:val="center"/>
          </w:tcPr>
          <w:p w14:paraId="0B49E313">
            <w:pPr>
              <w:keepNext w:val="0"/>
              <w:keepLines w:val="0"/>
              <w:widowControl/>
              <w:suppressLineNumbers w:val="0"/>
              <w:spacing w:line="240" w:lineRule="auto"/>
              <w:ind w:firstLine="0" w:firstLineChars="0"/>
              <w:jc w:val="center"/>
              <w:textAlignment w:val="auto"/>
              <w:rPr>
                <w:rFonts w:hint="eastAsia" w:ascii="仿宋_GB2312" w:hAnsi="仿宋_GB2312" w:eastAsia="仿宋_GB2312" w:cs="仿宋_GB2312"/>
                <w:i w:val="0"/>
                <w:iCs w:val="0"/>
                <w:color w:val="000000"/>
                <w:kern w:val="0"/>
                <w:sz w:val="24"/>
                <w:szCs w:val="24"/>
                <w:highlight w:val="none"/>
                <w:u w:val="none"/>
                <w:lang w:val="en-US" w:eastAsia="zh-CN" w:bidi="ar"/>
              </w:rPr>
            </w:pPr>
          </w:p>
        </w:tc>
        <w:tc>
          <w:tcPr>
            <w:tcW w:w="446" w:type="pct"/>
            <w:noWrap w:val="0"/>
            <w:vAlign w:val="center"/>
          </w:tcPr>
          <w:p w14:paraId="43B48D32">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rPr>
              <w:t>智能体应用平台建设项目</w:t>
            </w:r>
          </w:p>
        </w:tc>
        <w:tc>
          <w:tcPr>
            <w:tcW w:w="1560" w:type="pct"/>
            <w:noWrap w:val="0"/>
            <w:vAlign w:val="center"/>
          </w:tcPr>
          <w:p w14:paraId="020497D7">
            <w:pPr>
              <w:widowControl/>
              <w:spacing w:line="240" w:lineRule="auto"/>
              <w:ind w:left="0" w:leftChars="0" w:firstLine="0" w:firstLineChars="0"/>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lang w:val="en-US" w:eastAsia="zh-CN"/>
              </w:rPr>
              <w:t>建</w:t>
            </w:r>
            <w:r>
              <w:rPr>
                <w:rFonts w:hint="eastAsia" w:ascii="仿宋_GB2312" w:hAnsi="仿宋_GB2312" w:eastAsia="仿宋_GB2312" w:cs="仿宋_GB2312"/>
                <w:color w:val="000000"/>
                <w:kern w:val="0"/>
                <w:sz w:val="24"/>
                <w:szCs w:val="24"/>
                <w:highlight w:val="none"/>
                <w:lang w:val="en-US" w:eastAsia="zh-CN" w:bidi="ar"/>
              </w:rPr>
              <w:t>设智能体应用平台，包括智能体中心、智能体平台、基础资源与模型管理平台，提供基础算力底座（计算、存储、网络资源）、模型管理平台和智能体运行环境。</w:t>
            </w:r>
          </w:p>
        </w:tc>
        <w:tc>
          <w:tcPr>
            <w:tcW w:w="466" w:type="pct"/>
            <w:noWrap w:val="0"/>
            <w:vAlign w:val="center"/>
          </w:tcPr>
          <w:p w14:paraId="1A6B8F27">
            <w:pPr>
              <w:keepNext w:val="0"/>
              <w:keepLines w:val="0"/>
              <w:widowControl/>
              <w:suppressLineNumbers w:val="0"/>
              <w:spacing w:line="240" w:lineRule="auto"/>
              <w:ind w:firstLine="0" w:firstLineChars="0"/>
              <w:jc w:val="center"/>
              <w:textAlignment w:val="auto"/>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必要性项目</w:t>
            </w:r>
          </w:p>
        </w:tc>
        <w:tc>
          <w:tcPr>
            <w:tcW w:w="448" w:type="pct"/>
            <w:noWrap w:val="0"/>
            <w:vAlign w:val="center"/>
          </w:tcPr>
          <w:p w14:paraId="7EE2584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b w:val="0"/>
                <w:bCs w:val="0"/>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rPr>
              <w:t>区</w:t>
            </w:r>
            <w:r>
              <w:rPr>
                <w:rFonts w:hint="eastAsia" w:ascii="仿宋_GB2312" w:hAnsi="仿宋_GB2312" w:eastAsia="仿宋_GB2312" w:cs="仿宋_GB2312"/>
                <w:color w:val="000000"/>
                <w:kern w:val="0"/>
                <w:sz w:val="24"/>
                <w:szCs w:val="24"/>
                <w:highlight w:val="none"/>
              </w:rPr>
              <w:t>政务和数据局</w:t>
            </w:r>
          </w:p>
        </w:tc>
        <w:tc>
          <w:tcPr>
            <w:tcW w:w="452" w:type="pct"/>
            <w:noWrap w:val="0"/>
            <w:vAlign w:val="center"/>
          </w:tcPr>
          <w:p w14:paraId="106B9366">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rPr>
              <w:t>286</w:t>
            </w:r>
          </w:p>
        </w:tc>
        <w:tc>
          <w:tcPr>
            <w:tcW w:w="471" w:type="pct"/>
            <w:noWrap w:val="0"/>
            <w:vAlign w:val="center"/>
          </w:tcPr>
          <w:p w14:paraId="5C4D7A1E">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rPr>
              <w:t>区级财政资金</w:t>
            </w:r>
          </w:p>
        </w:tc>
        <w:tc>
          <w:tcPr>
            <w:tcW w:w="438" w:type="pct"/>
            <w:noWrap w:val="0"/>
            <w:vAlign w:val="center"/>
          </w:tcPr>
          <w:p w14:paraId="63FB66CD">
            <w:pPr>
              <w:widowControl/>
              <w:spacing w:line="240" w:lineRule="auto"/>
              <w:ind w:left="0" w:leftChars="0" w:firstLine="0" w:firstLineChars="0"/>
              <w:jc w:val="center"/>
              <w:rPr>
                <w:rFonts w:hint="default"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rPr>
              <w:t>2026年</w:t>
            </w:r>
          </w:p>
        </w:tc>
      </w:tr>
      <w:tr w14:paraId="7381E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trPr>
        <w:tc>
          <w:tcPr>
            <w:tcW w:w="266" w:type="pct"/>
            <w:shd w:val="clear" w:color="auto" w:fill="auto"/>
            <w:noWrap w:val="0"/>
            <w:vAlign w:val="center"/>
          </w:tcPr>
          <w:p w14:paraId="796C5701">
            <w:pPr>
              <w:widowControl/>
              <w:snapToGrid/>
              <w:spacing w:line="240" w:lineRule="auto"/>
              <w:ind w:firstLine="0" w:firstLineChars="0"/>
              <w:jc w:val="center"/>
              <w:textAlignment w:val="auto"/>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val="en-US" w:eastAsia="zh-CN" w:bidi="ar"/>
              </w:rPr>
              <w:t>5</w:t>
            </w:r>
          </w:p>
        </w:tc>
        <w:tc>
          <w:tcPr>
            <w:tcW w:w="448" w:type="pct"/>
            <w:vMerge w:val="continue"/>
            <w:shd w:val="clear" w:color="auto" w:fill="auto"/>
            <w:noWrap w:val="0"/>
            <w:vAlign w:val="center"/>
          </w:tcPr>
          <w:p w14:paraId="471DFD1F">
            <w:pPr>
              <w:widowControl/>
              <w:snapToGrid/>
              <w:spacing w:line="240" w:lineRule="auto"/>
              <w:ind w:firstLine="0" w:firstLineChars="0"/>
              <w:jc w:val="center"/>
              <w:textAlignment w:val="auto"/>
              <w:rPr>
                <w:rFonts w:hint="eastAsia" w:ascii="仿宋_GB2312" w:hAnsi="仿宋_GB2312" w:eastAsia="仿宋_GB2312" w:cs="仿宋_GB2312"/>
                <w:color w:val="000000"/>
                <w:kern w:val="0"/>
                <w:sz w:val="24"/>
                <w:szCs w:val="24"/>
                <w:highlight w:val="none"/>
                <w:lang w:val="en-US" w:eastAsia="zh-CN" w:bidi="ar"/>
              </w:rPr>
            </w:pPr>
          </w:p>
        </w:tc>
        <w:tc>
          <w:tcPr>
            <w:tcW w:w="446" w:type="pct"/>
            <w:shd w:val="clear" w:color="auto" w:fill="auto"/>
            <w:noWrap w:val="0"/>
            <w:vAlign w:val="center"/>
          </w:tcPr>
          <w:p w14:paraId="1998D5F0">
            <w:pPr>
              <w:widowControl/>
              <w:snapToGrid/>
              <w:spacing w:line="240" w:lineRule="auto"/>
              <w:ind w:firstLine="0" w:firstLineChars="0"/>
              <w:jc w:val="center"/>
              <w:textAlignment w:val="auto"/>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eastAsia="zh-CN" w:bidi="ar"/>
              </w:rPr>
              <w:t>平谷区视频汇聚平台项目</w:t>
            </w:r>
          </w:p>
        </w:tc>
        <w:tc>
          <w:tcPr>
            <w:tcW w:w="1560" w:type="pct"/>
            <w:shd w:val="clear" w:color="auto" w:fill="auto"/>
            <w:noWrap w:val="0"/>
            <w:vAlign w:val="center"/>
          </w:tcPr>
          <w:p w14:paraId="1E03A9BD">
            <w:pPr>
              <w:pStyle w:val="12"/>
              <w:spacing w:before="0" w:beforeAutospacing="0" w:after="0" w:afterAutospacing="0" w:line="240" w:lineRule="auto"/>
              <w:ind w:firstLine="0" w:firstLineChars="0"/>
              <w:jc w:val="both"/>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val="en-US" w:eastAsia="zh-CN" w:bidi="ar"/>
              </w:rPr>
              <w:t>建设全区统一视频汇聚平台，接入雪亮工程、森林防火、应急广播、水务环保、乡镇等单位视频资源，实现全区共享共用。</w:t>
            </w:r>
          </w:p>
        </w:tc>
        <w:tc>
          <w:tcPr>
            <w:tcW w:w="466" w:type="pct"/>
            <w:shd w:val="clear" w:color="auto" w:fill="auto"/>
            <w:noWrap w:val="0"/>
            <w:vAlign w:val="center"/>
          </w:tcPr>
          <w:p w14:paraId="640FA80F">
            <w:pPr>
              <w:widowControl/>
              <w:snapToGrid/>
              <w:spacing w:line="240" w:lineRule="auto"/>
              <w:ind w:firstLine="0" w:firstLineChars="0"/>
              <w:jc w:val="center"/>
              <w:textAlignment w:val="auto"/>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必要性项目</w:t>
            </w:r>
          </w:p>
        </w:tc>
        <w:tc>
          <w:tcPr>
            <w:tcW w:w="448" w:type="pct"/>
            <w:shd w:val="clear" w:color="auto" w:fill="auto"/>
            <w:noWrap w:val="0"/>
            <w:vAlign w:val="center"/>
          </w:tcPr>
          <w:p w14:paraId="066C6CE2">
            <w:pPr>
              <w:widowControl/>
              <w:snapToGrid/>
              <w:spacing w:line="240" w:lineRule="auto"/>
              <w:ind w:firstLine="0" w:firstLineChars="0"/>
              <w:jc w:val="center"/>
              <w:textAlignment w:val="auto"/>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val="en-US" w:eastAsia="zh-CN" w:bidi="ar"/>
              </w:rPr>
              <w:t>区</w:t>
            </w:r>
            <w:r>
              <w:rPr>
                <w:rFonts w:hint="eastAsia" w:ascii="仿宋_GB2312" w:hAnsi="仿宋_GB2312" w:eastAsia="仿宋_GB2312" w:cs="仿宋_GB2312"/>
                <w:color w:val="000000"/>
                <w:kern w:val="0"/>
                <w:sz w:val="24"/>
                <w:szCs w:val="24"/>
                <w:highlight w:val="none"/>
                <w:lang w:val="en" w:eastAsia="zh-CN" w:bidi="ar"/>
              </w:rPr>
              <w:t>政务和数据局</w:t>
            </w:r>
          </w:p>
        </w:tc>
        <w:tc>
          <w:tcPr>
            <w:tcW w:w="452" w:type="pct"/>
            <w:shd w:val="clear" w:color="auto" w:fill="auto"/>
            <w:noWrap w:val="0"/>
            <w:vAlign w:val="center"/>
          </w:tcPr>
          <w:p w14:paraId="42CF3327">
            <w:pPr>
              <w:widowControl/>
              <w:spacing w:line="240" w:lineRule="auto"/>
              <w:ind w:firstLine="0" w:firstLineChars="0"/>
              <w:jc w:val="center"/>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val="en-US" w:eastAsia="zh-CN" w:bidi="ar"/>
              </w:rPr>
              <w:t>420</w:t>
            </w:r>
          </w:p>
        </w:tc>
        <w:tc>
          <w:tcPr>
            <w:tcW w:w="471" w:type="pct"/>
            <w:shd w:val="clear" w:color="auto" w:fill="auto"/>
            <w:noWrap w:val="0"/>
            <w:vAlign w:val="center"/>
          </w:tcPr>
          <w:p w14:paraId="7D80E7B1">
            <w:pPr>
              <w:widowControl/>
              <w:spacing w:line="240" w:lineRule="auto"/>
              <w:ind w:firstLine="0" w:firstLineChars="0"/>
              <w:jc w:val="center"/>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val="en-US" w:eastAsia="zh-CN"/>
              </w:rPr>
              <w:t>区级财政资金</w:t>
            </w:r>
          </w:p>
        </w:tc>
        <w:tc>
          <w:tcPr>
            <w:tcW w:w="438" w:type="pct"/>
            <w:shd w:val="clear" w:color="auto" w:fill="auto"/>
            <w:noWrap w:val="0"/>
            <w:vAlign w:val="center"/>
          </w:tcPr>
          <w:p w14:paraId="74AB6D85">
            <w:pPr>
              <w:widowControl/>
              <w:snapToGrid/>
              <w:spacing w:line="240" w:lineRule="auto"/>
              <w:ind w:firstLine="0" w:firstLineChars="0"/>
              <w:jc w:val="left"/>
              <w:textAlignment w:val="auto"/>
              <w:rPr>
                <w:rFonts w:hint="default"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val="en-US" w:eastAsia="zh-CN" w:bidi="ar"/>
              </w:rPr>
              <w:t>2027年</w:t>
            </w:r>
          </w:p>
        </w:tc>
      </w:tr>
      <w:tr w14:paraId="5A883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trPr>
        <w:tc>
          <w:tcPr>
            <w:tcW w:w="266" w:type="pct"/>
            <w:shd w:val="clear" w:color="auto" w:fill="auto"/>
            <w:noWrap w:val="0"/>
            <w:vAlign w:val="center"/>
          </w:tcPr>
          <w:p w14:paraId="102B3DD1">
            <w:pPr>
              <w:widowControl/>
              <w:snapToGrid/>
              <w:spacing w:line="240" w:lineRule="auto"/>
              <w:ind w:firstLine="0" w:firstLineChars="0"/>
              <w:jc w:val="center"/>
              <w:textAlignment w:val="auto"/>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val="en-US" w:eastAsia="zh-CN" w:bidi="ar"/>
              </w:rPr>
              <w:t>6</w:t>
            </w:r>
          </w:p>
        </w:tc>
        <w:tc>
          <w:tcPr>
            <w:tcW w:w="448" w:type="pct"/>
            <w:vMerge w:val="continue"/>
            <w:shd w:val="clear" w:color="auto" w:fill="auto"/>
            <w:noWrap w:val="0"/>
            <w:vAlign w:val="center"/>
          </w:tcPr>
          <w:p w14:paraId="332CE196">
            <w:pPr>
              <w:widowControl/>
              <w:snapToGrid/>
              <w:spacing w:line="240" w:lineRule="auto"/>
              <w:ind w:firstLine="0" w:firstLineChars="0"/>
              <w:jc w:val="center"/>
              <w:textAlignment w:val="auto"/>
              <w:rPr>
                <w:rFonts w:hint="eastAsia" w:ascii="仿宋_GB2312" w:hAnsi="仿宋_GB2312" w:eastAsia="仿宋_GB2312" w:cs="仿宋_GB2312"/>
                <w:color w:val="000000"/>
                <w:kern w:val="0"/>
                <w:sz w:val="24"/>
                <w:szCs w:val="24"/>
                <w:highlight w:val="none"/>
                <w:lang w:val="en-US" w:eastAsia="zh-CN" w:bidi="ar"/>
              </w:rPr>
            </w:pPr>
          </w:p>
        </w:tc>
        <w:tc>
          <w:tcPr>
            <w:tcW w:w="446" w:type="pct"/>
            <w:shd w:val="clear" w:color="auto" w:fill="auto"/>
            <w:noWrap w:val="0"/>
            <w:vAlign w:val="center"/>
          </w:tcPr>
          <w:p w14:paraId="30B129EB">
            <w:pPr>
              <w:widowControl/>
              <w:snapToGrid/>
              <w:spacing w:line="240" w:lineRule="auto"/>
              <w:ind w:firstLine="0" w:firstLineChars="0"/>
              <w:jc w:val="center"/>
              <w:textAlignment w:val="auto"/>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val="en" w:eastAsia="zh-CN" w:bidi="ar"/>
              </w:rPr>
              <w:t>全区“一张图”</w:t>
            </w:r>
            <w:r>
              <w:rPr>
                <w:rFonts w:hint="eastAsia" w:ascii="仿宋_GB2312" w:hAnsi="仿宋_GB2312" w:eastAsia="仿宋_GB2312" w:cs="仿宋_GB2312"/>
                <w:color w:val="000000"/>
                <w:kern w:val="0"/>
                <w:sz w:val="24"/>
                <w:szCs w:val="24"/>
                <w:highlight w:val="none"/>
                <w:lang w:val="en-US" w:eastAsia="zh-CN" w:bidi="ar"/>
              </w:rPr>
              <w:t>服务</w:t>
            </w:r>
            <w:r>
              <w:rPr>
                <w:rFonts w:hint="eastAsia" w:ascii="仿宋_GB2312" w:hAnsi="仿宋_GB2312" w:eastAsia="仿宋_GB2312" w:cs="仿宋_GB2312"/>
                <w:color w:val="000000"/>
                <w:kern w:val="0"/>
                <w:sz w:val="24"/>
                <w:szCs w:val="24"/>
                <w:highlight w:val="none"/>
                <w:lang w:val="en" w:eastAsia="zh-CN" w:bidi="ar"/>
              </w:rPr>
              <w:t>平台</w:t>
            </w:r>
            <w:r>
              <w:rPr>
                <w:rFonts w:hint="eastAsia" w:ascii="仿宋_GB2312" w:hAnsi="仿宋_GB2312" w:eastAsia="仿宋_GB2312" w:cs="仿宋_GB2312"/>
                <w:color w:val="000000"/>
                <w:kern w:val="0"/>
                <w:sz w:val="24"/>
                <w:szCs w:val="24"/>
                <w:highlight w:val="none"/>
                <w:lang w:val="en-US" w:eastAsia="zh-CN" w:bidi="ar"/>
              </w:rPr>
              <w:t>建设项目</w:t>
            </w:r>
          </w:p>
        </w:tc>
        <w:tc>
          <w:tcPr>
            <w:tcW w:w="1560" w:type="pct"/>
            <w:shd w:val="clear" w:color="auto" w:fill="auto"/>
            <w:noWrap w:val="0"/>
            <w:vAlign w:val="center"/>
          </w:tcPr>
          <w:p w14:paraId="16A8169F">
            <w:pPr>
              <w:pStyle w:val="12"/>
              <w:spacing w:before="0" w:beforeAutospacing="0" w:after="0" w:afterAutospacing="0" w:line="240" w:lineRule="auto"/>
              <w:ind w:firstLine="0" w:firstLineChars="0"/>
              <w:jc w:val="both"/>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val="en-US" w:eastAsia="zh-CN" w:bidi="ar"/>
              </w:rPr>
              <w:t>统一全区“一张图”系统平台，整合区域内各单位各类数据资源（如地理信息、业务数据、管理台账等）的统一数字化平台，实现 “数据同源、多端共用”。</w:t>
            </w:r>
          </w:p>
        </w:tc>
        <w:tc>
          <w:tcPr>
            <w:tcW w:w="466" w:type="pct"/>
            <w:shd w:val="clear" w:color="auto" w:fill="auto"/>
            <w:noWrap w:val="0"/>
            <w:vAlign w:val="center"/>
          </w:tcPr>
          <w:p w14:paraId="73742396">
            <w:pPr>
              <w:widowControl/>
              <w:snapToGrid/>
              <w:spacing w:line="240" w:lineRule="auto"/>
              <w:ind w:firstLine="0" w:firstLineChars="0"/>
              <w:jc w:val="center"/>
              <w:textAlignment w:val="auto"/>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必要性项目</w:t>
            </w:r>
          </w:p>
        </w:tc>
        <w:tc>
          <w:tcPr>
            <w:tcW w:w="448" w:type="pct"/>
            <w:shd w:val="clear" w:color="auto" w:fill="auto"/>
            <w:noWrap w:val="0"/>
            <w:vAlign w:val="center"/>
          </w:tcPr>
          <w:p w14:paraId="4FE4E350">
            <w:pPr>
              <w:widowControl/>
              <w:snapToGrid/>
              <w:spacing w:line="240" w:lineRule="auto"/>
              <w:ind w:firstLine="0" w:firstLineChars="0"/>
              <w:jc w:val="center"/>
              <w:textAlignment w:val="auto"/>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val="en-US" w:eastAsia="zh-CN" w:bidi="ar"/>
              </w:rPr>
              <w:t>区</w:t>
            </w:r>
            <w:r>
              <w:rPr>
                <w:rFonts w:hint="eastAsia" w:ascii="仿宋_GB2312" w:hAnsi="仿宋_GB2312" w:eastAsia="仿宋_GB2312" w:cs="仿宋_GB2312"/>
                <w:color w:val="000000"/>
                <w:kern w:val="0"/>
                <w:sz w:val="24"/>
                <w:szCs w:val="24"/>
                <w:highlight w:val="none"/>
                <w:lang w:val="en" w:eastAsia="zh-CN" w:bidi="ar"/>
              </w:rPr>
              <w:t>政务和数据局</w:t>
            </w:r>
          </w:p>
        </w:tc>
        <w:tc>
          <w:tcPr>
            <w:tcW w:w="452" w:type="pct"/>
            <w:shd w:val="clear" w:color="auto" w:fill="auto"/>
            <w:noWrap w:val="0"/>
            <w:vAlign w:val="center"/>
          </w:tcPr>
          <w:p w14:paraId="3CF6800F">
            <w:pPr>
              <w:widowControl/>
              <w:spacing w:line="240" w:lineRule="auto"/>
              <w:ind w:firstLine="0" w:firstLineChars="0"/>
              <w:jc w:val="center"/>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val="en" w:eastAsia="zh-CN" w:bidi="ar"/>
              </w:rPr>
              <w:t>待定</w:t>
            </w:r>
          </w:p>
        </w:tc>
        <w:tc>
          <w:tcPr>
            <w:tcW w:w="471" w:type="pct"/>
            <w:shd w:val="clear" w:color="auto" w:fill="auto"/>
            <w:noWrap w:val="0"/>
            <w:vAlign w:val="center"/>
          </w:tcPr>
          <w:p w14:paraId="71A483CD">
            <w:pPr>
              <w:widowControl/>
              <w:spacing w:line="240" w:lineRule="auto"/>
              <w:ind w:firstLine="0" w:firstLineChars="0"/>
              <w:jc w:val="center"/>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val="en-US" w:eastAsia="zh-CN"/>
              </w:rPr>
              <w:t>区级财政资金</w:t>
            </w:r>
          </w:p>
        </w:tc>
        <w:tc>
          <w:tcPr>
            <w:tcW w:w="438" w:type="pct"/>
            <w:shd w:val="clear" w:color="auto" w:fill="auto"/>
            <w:noWrap w:val="0"/>
            <w:vAlign w:val="center"/>
          </w:tcPr>
          <w:p w14:paraId="3AEB4637">
            <w:pPr>
              <w:widowControl/>
              <w:snapToGrid/>
              <w:spacing w:line="240" w:lineRule="auto"/>
              <w:ind w:firstLine="0" w:firstLineChars="0"/>
              <w:jc w:val="left"/>
              <w:textAlignment w:val="auto"/>
              <w:rPr>
                <w:rFonts w:hint="default"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val="en-US" w:eastAsia="zh-CN" w:bidi="ar"/>
              </w:rPr>
              <w:t>持续推进</w:t>
            </w:r>
          </w:p>
        </w:tc>
      </w:tr>
      <w:tr w14:paraId="2AFC5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trPr>
        <w:tc>
          <w:tcPr>
            <w:tcW w:w="266" w:type="pct"/>
            <w:shd w:val="clear" w:color="auto" w:fill="auto"/>
            <w:noWrap w:val="0"/>
            <w:vAlign w:val="center"/>
          </w:tcPr>
          <w:p w14:paraId="10C0FF1A">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 w:eastAsia="zh-CN" w:bidi="ar-SA"/>
              </w:rPr>
            </w:pPr>
            <w:r>
              <w:rPr>
                <w:rFonts w:hint="eastAsia" w:ascii="仿宋_GB2312" w:hAnsi="仿宋_GB2312" w:eastAsia="仿宋_GB2312" w:cs="仿宋_GB2312"/>
                <w:color w:val="000000"/>
                <w:kern w:val="0"/>
                <w:sz w:val="24"/>
                <w:szCs w:val="24"/>
                <w:highlight w:val="none"/>
                <w:lang w:val="en-US" w:eastAsia="zh-CN" w:bidi="ar-SA"/>
              </w:rPr>
              <w:t>7</w:t>
            </w:r>
          </w:p>
        </w:tc>
        <w:tc>
          <w:tcPr>
            <w:tcW w:w="448" w:type="pct"/>
            <w:vMerge w:val="restart"/>
            <w:shd w:val="clear" w:color="auto" w:fill="auto"/>
            <w:noWrap w:val="0"/>
            <w:vAlign w:val="center"/>
          </w:tcPr>
          <w:p w14:paraId="0164ED89">
            <w:pPr>
              <w:keepNext w:val="0"/>
              <w:keepLines w:val="0"/>
              <w:widowControl/>
              <w:suppressLineNumbers w:val="0"/>
              <w:spacing w:line="240" w:lineRule="auto"/>
              <w:ind w:firstLine="0" w:firstLineChars="0"/>
              <w:jc w:val="center"/>
              <w:textAlignment w:val="auto"/>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领域数智化建设</w:t>
            </w:r>
          </w:p>
        </w:tc>
        <w:tc>
          <w:tcPr>
            <w:tcW w:w="446" w:type="pct"/>
            <w:shd w:val="clear" w:color="auto" w:fill="auto"/>
            <w:noWrap w:val="0"/>
            <w:vAlign w:val="center"/>
          </w:tcPr>
          <w:p w14:paraId="7758EE05">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rPr>
              <w:t>“一网通办”二期建设</w:t>
            </w:r>
          </w:p>
        </w:tc>
        <w:tc>
          <w:tcPr>
            <w:tcW w:w="1560" w:type="pct"/>
            <w:shd w:val="clear" w:color="auto" w:fill="auto"/>
            <w:noWrap w:val="0"/>
            <w:vAlign w:val="center"/>
          </w:tcPr>
          <w:p w14:paraId="12259998">
            <w:pPr>
              <w:pStyle w:val="12"/>
              <w:spacing w:before="0" w:beforeAutospacing="0" w:after="0" w:afterAutospacing="0" w:line="240" w:lineRule="auto"/>
              <w:ind w:firstLine="0" w:firstLineChars="0"/>
              <w:jc w:val="both"/>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
              </w:rPr>
              <w:t>升级智能云综窗、拓展电子证照、电子印章、电子档案应用范围、掌办升级（公众号）、无声取叫号系统、网约取号系统升级、智能审批系统、数字政务终端、多语种翻译机、智能“刷脸办”、“好差评”覆盖316个村居政务服务站点等建设。</w:t>
            </w:r>
          </w:p>
        </w:tc>
        <w:tc>
          <w:tcPr>
            <w:tcW w:w="466" w:type="pct"/>
            <w:shd w:val="clear" w:color="auto" w:fill="auto"/>
            <w:noWrap w:val="0"/>
            <w:vAlign w:val="center"/>
          </w:tcPr>
          <w:p w14:paraId="6B6FF25C">
            <w:pPr>
              <w:keepNext w:val="0"/>
              <w:keepLines w:val="0"/>
              <w:widowControl/>
              <w:suppressLineNumbers w:val="0"/>
              <w:spacing w:line="240" w:lineRule="auto"/>
              <w:ind w:firstLine="0" w:firstLineChars="0"/>
              <w:jc w:val="center"/>
              <w:textAlignment w:val="auto"/>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必要性项目</w:t>
            </w:r>
          </w:p>
        </w:tc>
        <w:tc>
          <w:tcPr>
            <w:tcW w:w="448" w:type="pct"/>
            <w:shd w:val="clear" w:color="auto" w:fill="auto"/>
            <w:noWrap w:val="0"/>
            <w:vAlign w:val="center"/>
          </w:tcPr>
          <w:p w14:paraId="35C6D5A9">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 w:eastAsia="zh-CN" w:bidi="ar-SA"/>
              </w:rPr>
            </w:pPr>
            <w:r>
              <w:rPr>
                <w:rFonts w:hint="eastAsia" w:ascii="仿宋_GB2312" w:hAnsi="仿宋_GB2312" w:eastAsia="仿宋_GB2312" w:cs="仿宋_GB2312"/>
                <w:color w:val="000000"/>
                <w:kern w:val="0"/>
                <w:sz w:val="24"/>
                <w:szCs w:val="24"/>
                <w:highlight w:val="none"/>
                <w:lang w:val="en-US" w:eastAsia="zh-CN"/>
              </w:rPr>
              <w:t>区</w:t>
            </w:r>
            <w:r>
              <w:rPr>
                <w:rFonts w:hint="eastAsia" w:ascii="仿宋_GB2312" w:hAnsi="仿宋_GB2312" w:eastAsia="仿宋_GB2312" w:cs="仿宋_GB2312"/>
                <w:color w:val="000000"/>
                <w:kern w:val="0"/>
                <w:sz w:val="24"/>
                <w:szCs w:val="24"/>
                <w:highlight w:val="none"/>
              </w:rPr>
              <w:t>政务和数据局</w:t>
            </w:r>
          </w:p>
        </w:tc>
        <w:tc>
          <w:tcPr>
            <w:tcW w:w="452" w:type="pct"/>
            <w:shd w:val="clear" w:color="auto" w:fill="auto"/>
            <w:noWrap w:val="0"/>
            <w:vAlign w:val="center"/>
          </w:tcPr>
          <w:p w14:paraId="0A67406E">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 w:eastAsia="zh-CN" w:bidi="ar-SA"/>
              </w:rPr>
            </w:pPr>
            <w:r>
              <w:rPr>
                <w:rFonts w:hint="eastAsia" w:ascii="仿宋_GB2312" w:hAnsi="仿宋_GB2312" w:eastAsia="仿宋_GB2312" w:cs="仿宋_GB2312"/>
                <w:color w:val="000000"/>
                <w:kern w:val="0"/>
                <w:sz w:val="24"/>
                <w:szCs w:val="24"/>
                <w:highlight w:val="none"/>
                <w:lang w:val="en-US" w:eastAsia="zh-CN" w:bidi="ar-SA"/>
              </w:rPr>
              <w:t>880</w:t>
            </w:r>
          </w:p>
        </w:tc>
        <w:tc>
          <w:tcPr>
            <w:tcW w:w="471" w:type="pct"/>
            <w:shd w:val="clear" w:color="auto" w:fill="auto"/>
            <w:noWrap w:val="0"/>
            <w:vAlign w:val="center"/>
          </w:tcPr>
          <w:p w14:paraId="29747B71">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rPr>
              <w:t>区级财政资金</w:t>
            </w:r>
          </w:p>
        </w:tc>
        <w:tc>
          <w:tcPr>
            <w:tcW w:w="438" w:type="pct"/>
            <w:shd w:val="clear" w:color="auto" w:fill="auto"/>
            <w:noWrap w:val="0"/>
            <w:vAlign w:val="center"/>
          </w:tcPr>
          <w:p w14:paraId="7D731704">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rPr>
              <w:t>2026年</w:t>
            </w:r>
          </w:p>
        </w:tc>
      </w:tr>
      <w:tr w14:paraId="00ACA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trPr>
        <w:tc>
          <w:tcPr>
            <w:tcW w:w="266" w:type="pct"/>
            <w:shd w:val="clear" w:color="auto" w:fill="auto"/>
            <w:noWrap w:val="0"/>
            <w:vAlign w:val="center"/>
          </w:tcPr>
          <w:p w14:paraId="1B893FC4">
            <w:pPr>
              <w:widowControl/>
              <w:snapToGrid/>
              <w:spacing w:line="240" w:lineRule="auto"/>
              <w:ind w:firstLine="0" w:firstLineChars="0"/>
              <w:jc w:val="center"/>
              <w:textAlignment w:val="auto"/>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val="en-US" w:eastAsia="zh-CN" w:bidi="ar"/>
              </w:rPr>
              <w:t>8</w:t>
            </w:r>
          </w:p>
        </w:tc>
        <w:tc>
          <w:tcPr>
            <w:tcW w:w="448" w:type="pct"/>
            <w:vMerge w:val="continue"/>
            <w:shd w:val="clear" w:color="auto" w:fill="auto"/>
            <w:noWrap w:val="0"/>
            <w:vAlign w:val="center"/>
          </w:tcPr>
          <w:p w14:paraId="7923E64B">
            <w:pPr>
              <w:widowControl/>
              <w:tabs>
                <w:tab w:val="left" w:pos="311"/>
              </w:tabs>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
              </w:rPr>
            </w:pPr>
          </w:p>
        </w:tc>
        <w:tc>
          <w:tcPr>
            <w:tcW w:w="446" w:type="pct"/>
            <w:shd w:val="clear" w:color="auto" w:fill="auto"/>
            <w:noWrap w:val="0"/>
            <w:vAlign w:val="center"/>
          </w:tcPr>
          <w:p w14:paraId="00DCF094">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eastAsia="zh-CN"/>
              </w:rPr>
              <w:t>党政机关能力提升项目</w:t>
            </w:r>
          </w:p>
        </w:tc>
        <w:tc>
          <w:tcPr>
            <w:tcW w:w="1560" w:type="pct"/>
            <w:shd w:val="clear" w:color="auto" w:fill="auto"/>
            <w:noWrap w:val="0"/>
            <w:vAlign w:val="center"/>
          </w:tcPr>
          <w:p w14:paraId="7082A010">
            <w:pPr>
              <w:pStyle w:val="12"/>
              <w:spacing w:before="0" w:beforeAutospacing="0" w:after="0" w:afterAutospacing="0" w:line="240" w:lineRule="auto"/>
              <w:ind w:firstLine="0" w:firstLineChars="0"/>
              <w:jc w:val="both"/>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val="en-US" w:eastAsia="zh-CN" w:bidi="ar"/>
              </w:rPr>
              <w:t>重点开展终端、服务器、操作系统、数据库国产化替代及政务信息系统国产化适配改造工作。</w:t>
            </w:r>
          </w:p>
        </w:tc>
        <w:tc>
          <w:tcPr>
            <w:tcW w:w="466" w:type="pct"/>
            <w:shd w:val="clear" w:color="auto" w:fill="auto"/>
            <w:noWrap w:val="0"/>
            <w:vAlign w:val="center"/>
          </w:tcPr>
          <w:p w14:paraId="1A08724F">
            <w:pPr>
              <w:widowControl/>
              <w:spacing w:line="240" w:lineRule="auto"/>
              <w:ind w:left="0" w:leftChars="0" w:firstLine="0" w:firstLineChars="0"/>
              <w:jc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必要性项目</w:t>
            </w:r>
          </w:p>
        </w:tc>
        <w:tc>
          <w:tcPr>
            <w:tcW w:w="448" w:type="pct"/>
            <w:shd w:val="clear" w:color="auto" w:fill="auto"/>
            <w:noWrap w:val="0"/>
            <w:vAlign w:val="center"/>
          </w:tcPr>
          <w:p w14:paraId="01258488">
            <w:pPr>
              <w:widowControl/>
              <w:tabs>
                <w:tab w:val="left" w:pos="311"/>
              </w:tabs>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val="en-US" w:eastAsia="zh-CN" w:bidi="ar"/>
              </w:rPr>
              <w:t>区</w:t>
            </w:r>
            <w:r>
              <w:rPr>
                <w:rFonts w:hint="eastAsia" w:ascii="仿宋_GB2312" w:hAnsi="仿宋_GB2312" w:eastAsia="仿宋_GB2312" w:cs="仿宋_GB2312"/>
                <w:color w:val="000000"/>
                <w:kern w:val="0"/>
                <w:sz w:val="24"/>
                <w:szCs w:val="24"/>
                <w:highlight w:val="none"/>
                <w:lang w:val="en" w:eastAsia="zh-CN" w:bidi="ar"/>
              </w:rPr>
              <w:t>政务和数据局</w:t>
            </w:r>
          </w:p>
        </w:tc>
        <w:tc>
          <w:tcPr>
            <w:tcW w:w="452" w:type="pct"/>
            <w:shd w:val="clear" w:color="auto" w:fill="auto"/>
            <w:noWrap w:val="0"/>
            <w:vAlign w:val="center"/>
          </w:tcPr>
          <w:p w14:paraId="0A262C46">
            <w:pPr>
              <w:widowControl/>
              <w:spacing w:line="240" w:lineRule="auto"/>
              <w:ind w:left="0" w:leftChars="0" w:firstLine="0" w:firstLineChars="0"/>
              <w:jc w:val="center"/>
              <w:rPr>
                <w:rFonts w:hint="default" w:ascii="仿宋_GB2312" w:hAnsi="仿宋_GB2312" w:eastAsia="仿宋_GB2312" w:cs="仿宋_GB2312"/>
                <w:color w:val="000000"/>
                <w:kern w:val="0"/>
                <w:sz w:val="24"/>
                <w:szCs w:val="24"/>
                <w:highlight w:val="none"/>
                <w:lang w:val="en-US" w:eastAsia="zh-CN" w:bidi="ar"/>
              </w:rPr>
            </w:pPr>
            <w:r>
              <w:rPr>
                <w:rFonts w:hint="default" w:ascii="仿宋_GB2312" w:hAnsi="仿宋_GB2312" w:eastAsia="仿宋_GB2312" w:cs="仿宋_GB2312"/>
                <w:color w:val="000000"/>
                <w:kern w:val="0"/>
                <w:sz w:val="24"/>
                <w:szCs w:val="24"/>
                <w:highlight w:val="none"/>
                <w:lang w:val="en-US" w:eastAsia="zh-CN" w:bidi="ar"/>
              </w:rPr>
              <w:t>5000</w:t>
            </w:r>
          </w:p>
        </w:tc>
        <w:tc>
          <w:tcPr>
            <w:tcW w:w="471" w:type="pct"/>
            <w:shd w:val="clear" w:color="auto" w:fill="auto"/>
            <w:noWrap w:val="0"/>
            <w:vAlign w:val="center"/>
          </w:tcPr>
          <w:p w14:paraId="01A8CDDA">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val="en-US" w:eastAsia="zh-CN"/>
              </w:rPr>
              <w:t>区级财政资金</w:t>
            </w:r>
          </w:p>
        </w:tc>
        <w:tc>
          <w:tcPr>
            <w:tcW w:w="438" w:type="pct"/>
            <w:shd w:val="clear" w:color="auto" w:fill="auto"/>
            <w:noWrap w:val="0"/>
            <w:vAlign w:val="center"/>
          </w:tcPr>
          <w:p w14:paraId="409D13CC">
            <w:pPr>
              <w:widowControl/>
              <w:snapToGrid/>
              <w:spacing w:line="240" w:lineRule="auto"/>
              <w:ind w:firstLine="0" w:firstLineChars="0"/>
              <w:jc w:val="left"/>
              <w:textAlignment w:val="auto"/>
              <w:rPr>
                <w:rFonts w:hint="default" w:ascii="仿宋_GB2312" w:hAnsi="仿宋_GB2312" w:eastAsia="仿宋_GB2312" w:cs="仿宋_GB2312"/>
                <w:color w:val="000000"/>
                <w:kern w:val="0"/>
                <w:sz w:val="24"/>
                <w:szCs w:val="24"/>
                <w:highlight w:val="none"/>
                <w:lang w:val="en-US" w:eastAsia="zh-CN" w:bidi="ar"/>
              </w:rPr>
            </w:pPr>
            <w:r>
              <w:rPr>
                <w:rFonts w:hint="default" w:ascii="仿宋_GB2312" w:hAnsi="仿宋_GB2312" w:eastAsia="仿宋_GB2312" w:cs="仿宋_GB2312"/>
                <w:color w:val="000000"/>
                <w:kern w:val="0"/>
                <w:sz w:val="24"/>
                <w:szCs w:val="24"/>
                <w:highlight w:val="none"/>
                <w:lang w:val="en-US" w:eastAsia="zh-CN" w:bidi="ar"/>
              </w:rPr>
              <w:t>2027</w:t>
            </w:r>
            <w:r>
              <w:rPr>
                <w:rFonts w:hint="eastAsia" w:ascii="仿宋_GB2312" w:hAnsi="仿宋_GB2312" w:eastAsia="仿宋_GB2312" w:cs="仿宋_GB2312"/>
                <w:color w:val="000000"/>
                <w:kern w:val="0"/>
                <w:sz w:val="24"/>
                <w:szCs w:val="24"/>
                <w:highlight w:val="none"/>
                <w:lang w:val="en-US" w:eastAsia="zh-CN" w:bidi="ar"/>
              </w:rPr>
              <w:t>年</w:t>
            </w:r>
          </w:p>
        </w:tc>
      </w:tr>
      <w:tr w14:paraId="45EA6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trPr>
        <w:tc>
          <w:tcPr>
            <w:tcW w:w="266" w:type="pct"/>
            <w:noWrap w:val="0"/>
            <w:vAlign w:val="center"/>
          </w:tcPr>
          <w:p w14:paraId="6F644C88">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rPr>
              <w:t>9</w:t>
            </w:r>
          </w:p>
        </w:tc>
        <w:tc>
          <w:tcPr>
            <w:tcW w:w="448" w:type="pct"/>
            <w:vMerge w:val="continue"/>
            <w:noWrap w:val="0"/>
            <w:vAlign w:val="center"/>
          </w:tcPr>
          <w:p w14:paraId="5B1E5E17">
            <w:pPr>
              <w:keepNext w:val="0"/>
              <w:keepLines w:val="0"/>
              <w:widowControl/>
              <w:suppressLineNumbers w:val="0"/>
              <w:spacing w:line="240" w:lineRule="auto"/>
              <w:ind w:firstLine="0" w:firstLineChars="0"/>
              <w:jc w:val="center"/>
              <w:textAlignment w:val="auto"/>
              <w:rPr>
                <w:rFonts w:hint="eastAsia" w:ascii="仿宋_GB2312" w:hAnsi="仿宋_GB2312" w:eastAsia="仿宋_GB2312" w:cs="仿宋_GB2312"/>
                <w:color w:val="000000"/>
                <w:kern w:val="0"/>
                <w:sz w:val="24"/>
                <w:szCs w:val="24"/>
                <w:highlight w:val="none"/>
                <w:lang w:val="en-US" w:eastAsia="zh-CN" w:bidi="ar-SA"/>
              </w:rPr>
            </w:pPr>
          </w:p>
        </w:tc>
        <w:tc>
          <w:tcPr>
            <w:tcW w:w="446" w:type="pct"/>
            <w:noWrap w:val="0"/>
            <w:vAlign w:val="center"/>
          </w:tcPr>
          <w:p w14:paraId="0CCACBB6">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rPr>
              <w:t>数字档案馆智慧改造项目</w:t>
            </w:r>
          </w:p>
        </w:tc>
        <w:tc>
          <w:tcPr>
            <w:tcW w:w="1560" w:type="pct"/>
            <w:noWrap w:val="0"/>
            <w:vAlign w:val="center"/>
          </w:tcPr>
          <w:p w14:paraId="753541DF">
            <w:pPr>
              <w:pStyle w:val="12"/>
              <w:spacing w:before="0" w:beforeAutospacing="0" w:after="0" w:afterAutospacing="0" w:line="240" w:lineRule="auto"/>
              <w:ind w:firstLine="0" w:firstLineChars="0"/>
              <w:jc w:val="both"/>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lang w:val="en-US" w:eastAsia="zh-CN" w:bidi="ar"/>
              </w:rPr>
              <w:t>持续完善档案管理系统功能，深度融合大数据、人工智能等技术，实现档案智能归档、多模态检索、智慧编研、智能开放鉴定等功能。</w:t>
            </w:r>
          </w:p>
        </w:tc>
        <w:tc>
          <w:tcPr>
            <w:tcW w:w="466" w:type="pct"/>
            <w:noWrap w:val="0"/>
            <w:vAlign w:val="center"/>
          </w:tcPr>
          <w:p w14:paraId="3607C181">
            <w:pPr>
              <w:keepNext w:val="0"/>
              <w:keepLines w:val="0"/>
              <w:widowControl/>
              <w:suppressLineNumbers w:val="0"/>
              <w:spacing w:line="240" w:lineRule="auto"/>
              <w:ind w:firstLine="0" w:firstLineChars="0"/>
              <w:jc w:val="center"/>
              <w:textAlignment w:val="auto"/>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必要性项目</w:t>
            </w:r>
          </w:p>
        </w:tc>
        <w:tc>
          <w:tcPr>
            <w:tcW w:w="448" w:type="pct"/>
            <w:noWrap w:val="0"/>
            <w:vAlign w:val="center"/>
          </w:tcPr>
          <w:p w14:paraId="6C8DB067">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rPr>
              <w:t>区档案馆</w:t>
            </w:r>
          </w:p>
        </w:tc>
        <w:tc>
          <w:tcPr>
            <w:tcW w:w="452" w:type="pct"/>
            <w:noWrap w:val="0"/>
            <w:vAlign w:val="center"/>
          </w:tcPr>
          <w:p w14:paraId="546A6059">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rPr>
              <w:t>300</w:t>
            </w:r>
          </w:p>
        </w:tc>
        <w:tc>
          <w:tcPr>
            <w:tcW w:w="471" w:type="pct"/>
            <w:noWrap w:val="0"/>
            <w:vAlign w:val="center"/>
          </w:tcPr>
          <w:p w14:paraId="7E4622DA">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rPr>
              <w:t>区级财政资金</w:t>
            </w:r>
          </w:p>
        </w:tc>
        <w:tc>
          <w:tcPr>
            <w:tcW w:w="438" w:type="pct"/>
            <w:noWrap w:val="0"/>
            <w:vAlign w:val="center"/>
          </w:tcPr>
          <w:p w14:paraId="701FA80B">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rPr>
              <w:t>持续</w:t>
            </w:r>
            <w:r>
              <w:rPr>
                <w:rFonts w:hint="eastAsia" w:ascii="仿宋_GB2312" w:hAnsi="仿宋_GB2312" w:eastAsia="仿宋_GB2312" w:cs="仿宋_GB2312"/>
                <w:color w:val="000000"/>
                <w:kern w:val="0"/>
                <w:sz w:val="24"/>
                <w:szCs w:val="24"/>
                <w:highlight w:val="none"/>
                <w:lang w:eastAsia="zh-CN"/>
              </w:rPr>
              <w:t>推进</w:t>
            </w:r>
          </w:p>
        </w:tc>
      </w:tr>
      <w:tr w14:paraId="10087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trPr>
        <w:tc>
          <w:tcPr>
            <w:tcW w:w="266" w:type="pct"/>
            <w:noWrap w:val="0"/>
            <w:vAlign w:val="center"/>
          </w:tcPr>
          <w:p w14:paraId="40CA2DFE">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rPr>
              <w:t>10</w:t>
            </w:r>
          </w:p>
        </w:tc>
        <w:tc>
          <w:tcPr>
            <w:tcW w:w="448" w:type="pct"/>
            <w:vMerge w:val="continue"/>
            <w:noWrap w:val="0"/>
            <w:vAlign w:val="center"/>
          </w:tcPr>
          <w:p w14:paraId="39D6956C">
            <w:pPr>
              <w:keepNext w:val="0"/>
              <w:keepLines w:val="0"/>
              <w:widowControl/>
              <w:suppressLineNumbers w:val="0"/>
              <w:spacing w:line="240" w:lineRule="auto"/>
              <w:ind w:firstLine="0" w:firstLineChars="0"/>
              <w:jc w:val="center"/>
              <w:textAlignment w:val="auto"/>
              <w:rPr>
                <w:rFonts w:hint="eastAsia" w:ascii="仿宋_GB2312" w:hAnsi="仿宋_GB2312" w:eastAsia="仿宋_GB2312" w:cs="仿宋_GB2312"/>
                <w:color w:val="000000"/>
                <w:kern w:val="0"/>
                <w:sz w:val="24"/>
                <w:szCs w:val="24"/>
                <w:highlight w:val="none"/>
                <w:lang w:val="en-US" w:eastAsia="zh-CN" w:bidi="ar-SA"/>
              </w:rPr>
            </w:pPr>
          </w:p>
        </w:tc>
        <w:tc>
          <w:tcPr>
            <w:tcW w:w="446" w:type="pct"/>
            <w:noWrap w:val="0"/>
            <w:vAlign w:val="center"/>
          </w:tcPr>
          <w:p w14:paraId="5D756FB4">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rPr>
              <w:t>“人工智能+教育”应用平台建设项目</w:t>
            </w:r>
          </w:p>
        </w:tc>
        <w:tc>
          <w:tcPr>
            <w:tcW w:w="1560" w:type="pct"/>
            <w:noWrap w:val="0"/>
            <w:vAlign w:val="center"/>
          </w:tcPr>
          <w:p w14:paraId="4304C840">
            <w:pPr>
              <w:pStyle w:val="12"/>
              <w:spacing w:before="0" w:beforeAutospacing="0" w:after="0" w:afterAutospacing="0" w:line="240" w:lineRule="auto"/>
              <w:ind w:firstLine="0" w:firstLineChars="0"/>
              <w:jc w:val="both"/>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lang w:val="en-US" w:eastAsia="zh-CN" w:bidi="ar"/>
              </w:rPr>
              <w:t>以墨水屏智能终端为载体建设“人工智能+教育”应用平台，深化探索人工智能技术与教育教学深度融合场景。</w:t>
            </w:r>
          </w:p>
        </w:tc>
        <w:tc>
          <w:tcPr>
            <w:tcW w:w="466" w:type="pct"/>
            <w:noWrap w:val="0"/>
            <w:vAlign w:val="center"/>
          </w:tcPr>
          <w:p w14:paraId="1AC2CB4E">
            <w:pPr>
              <w:keepNext w:val="0"/>
              <w:keepLines w:val="0"/>
              <w:widowControl/>
              <w:suppressLineNumbers w:val="0"/>
              <w:spacing w:line="240" w:lineRule="auto"/>
              <w:ind w:firstLine="0" w:firstLineChars="0"/>
              <w:jc w:val="center"/>
              <w:textAlignment w:val="auto"/>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必要性项目</w:t>
            </w:r>
          </w:p>
        </w:tc>
        <w:tc>
          <w:tcPr>
            <w:tcW w:w="448" w:type="pct"/>
            <w:noWrap w:val="0"/>
            <w:vAlign w:val="center"/>
          </w:tcPr>
          <w:p w14:paraId="17667A8C">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rPr>
              <w:t>区教委</w:t>
            </w:r>
          </w:p>
        </w:tc>
        <w:tc>
          <w:tcPr>
            <w:tcW w:w="452" w:type="pct"/>
            <w:noWrap w:val="0"/>
            <w:vAlign w:val="center"/>
          </w:tcPr>
          <w:p w14:paraId="19663EED">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rPr>
              <w:t>3000</w:t>
            </w:r>
          </w:p>
        </w:tc>
        <w:tc>
          <w:tcPr>
            <w:tcW w:w="471" w:type="pct"/>
            <w:noWrap w:val="0"/>
            <w:vAlign w:val="center"/>
          </w:tcPr>
          <w:p w14:paraId="11C89AD5">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rPr>
              <w:t>市级转移支付或专项资金</w:t>
            </w:r>
          </w:p>
        </w:tc>
        <w:tc>
          <w:tcPr>
            <w:tcW w:w="438" w:type="pct"/>
            <w:noWrap w:val="0"/>
            <w:vAlign w:val="center"/>
          </w:tcPr>
          <w:p w14:paraId="237E7DA1">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持续</w:t>
            </w:r>
            <w:r>
              <w:rPr>
                <w:rFonts w:hint="eastAsia" w:ascii="仿宋_GB2312" w:hAnsi="仿宋_GB2312" w:eastAsia="仿宋_GB2312" w:cs="仿宋_GB2312"/>
                <w:color w:val="000000"/>
                <w:kern w:val="0"/>
                <w:sz w:val="24"/>
                <w:szCs w:val="24"/>
                <w:highlight w:val="none"/>
                <w:lang w:eastAsia="zh-CN"/>
              </w:rPr>
              <w:t>推进</w:t>
            </w:r>
          </w:p>
        </w:tc>
      </w:tr>
      <w:tr w14:paraId="01096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trPr>
        <w:tc>
          <w:tcPr>
            <w:tcW w:w="266" w:type="pct"/>
            <w:noWrap w:val="0"/>
            <w:vAlign w:val="center"/>
          </w:tcPr>
          <w:p w14:paraId="3B20A4BE">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rPr>
              <w:t>11</w:t>
            </w:r>
          </w:p>
        </w:tc>
        <w:tc>
          <w:tcPr>
            <w:tcW w:w="448" w:type="pct"/>
            <w:vMerge w:val="continue"/>
            <w:noWrap w:val="0"/>
            <w:vAlign w:val="center"/>
          </w:tcPr>
          <w:p w14:paraId="2A84C092">
            <w:pPr>
              <w:keepNext w:val="0"/>
              <w:keepLines w:val="0"/>
              <w:widowControl/>
              <w:suppressLineNumbers w:val="0"/>
              <w:spacing w:line="240" w:lineRule="auto"/>
              <w:ind w:firstLine="0" w:firstLineChars="0"/>
              <w:jc w:val="center"/>
              <w:textAlignment w:val="auto"/>
              <w:rPr>
                <w:rFonts w:hint="eastAsia" w:ascii="仿宋_GB2312" w:hAnsi="仿宋_GB2312" w:eastAsia="仿宋_GB2312" w:cs="仿宋_GB2312"/>
                <w:color w:val="000000"/>
                <w:kern w:val="0"/>
                <w:sz w:val="24"/>
                <w:szCs w:val="24"/>
                <w:highlight w:val="none"/>
                <w:lang w:val="en-US" w:eastAsia="zh-CN" w:bidi="ar-SA"/>
              </w:rPr>
            </w:pPr>
          </w:p>
        </w:tc>
        <w:tc>
          <w:tcPr>
            <w:tcW w:w="446" w:type="pct"/>
            <w:noWrap w:val="0"/>
            <w:vAlign w:val="center"/>
          </w:tcPr>
          <w:p w14:paraId="55446491">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rPr>
              <w:t>平谷区“民生底图”综合服务平台建设项目</w:t>
            </w:r>
          </w:p>
        </w:tc>
        <w:tc>
          <w:tcPr>
            <w:tcW w:w="1560" w:type="pct"/>
            <w:noWrap w:val="0"/>
            <w:vAlign w:val="center"/>
          </w:tcPr>
          <w:p w14:paraId="06E09833">
            <w:pPr>
              <w:pStyle w:val="12"/>
              <w:spacing w:before="0" w:beforeAutospacing="0" w:after="0" w:afterAutospacing="0" w:line="240" w:lineRule="auto"/>
              <w:ind w:firstLine="0" w:firstLineChars="0"/>
              <w:jc w:val="both"/>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bidi="ar"/>
              </w:rPr>
              <w:t>通过建设平谷“民生底图”综合服务平台，构建区级统筹、镇级联动、村（社）三级一体化服务架构，整合网格户籍、社保、就失业等多源数据，摸清全区就业底数，实现民生就业数据动态归集、智能研判、全域监管，提升就业服务数字化、智能化、精细化管理水平。</w:t>
            </w:r>
          </w:p>
        </w:tc>
        <w:tc>
          <w:tcPr>
            <w:tcW w:w="466" w:type="pct"/>
            <w:noWrap w:val="0"/>
            <w:vAlign w:val="center"/>
          </w:tcPr>
          <w:p w14:paraId="6A9E7854">
            <w:pPr>
              <w:keepNext w:val="0"/>
              <w:keepLines w:val="0"/>
              <w:widowControl/>
              <w:suppressLineNumbers w:val="0"/>
              <w:spacing w:line="240" w:lineRule="auto"/>
              <w:ind w:firstLine="0" w:firstLineChars="0"/>
              <w:jc w:val="center"/>
              <w:textAlignment w:val="auto"/>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必要性项目</w:t>
            </w:r>
          </w:p>
        </w:tc>
        <w:tc>
          <w:tcPr>
            <w:tcW w:w="448" w:type="pct"/>
            <w:noWrap w:val="0"/>
            <w:vAlign w:val="center"/>
          </w:tcPr>
          <w:p w14:paraId="13C36242">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rPr>
              <w:t>区人社局</w:t>
            </w:r>
          </w:p>
        </w:tc>
        <w:tc>
          <w:tcPr>
            <w:tcW w:w="452" w:type="pct"/>
            <w:noWrap w:val="0"/>
            <w:vAlign w:val="center"/>
          </w:tcPr>
          <w:p w14:paraId="10CCC66A">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 w:eastAsia="zh-CN"/>
              </w:rPr>
            </w:pPr>
            <w:r>
              <w:rPr>
                <w:rFonts w:hint="eastAsia" w:ascii="仿宋_GB2312" w:hAnsi="仿宋_GB2312" w:eastAsia="仿宋_GB2312" w:cs="仿宋_GB2312"/>
                <w:color w:val="000000"/>
                <w:kern w:val="0"/>
                <w:sz w:val="24"/>
                <w:szCs w:val="24"/>
                <w:highlight w:val="none"/>
                <w:lang w:val="en-US" w:eastAsia="zh-CN"/>
              </w:rPr>
              <w:t>202</w:t>
            </w:r>
          </w:p>
        </w:tc>
        <w:tc>
          <w:tcPr>
            <w:tcW w:w="471" w:type="pct"/>
            <w:noWrap w:val="0"/>
            <w:vAlign w:val="center"/>
          </w:tcPr>
          <w:p w14:paraId="282ADAA2">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 w:eastAsia="zh-CN"/>
              </w:rPr>
            </w:pPr>
            <w:r>
              <w:rPr>
                <w:rFonts w:hint="eastAsia" w:ascii="仿宋_GB2312" w:hAnsi="仿宋_GB2312" w:eastAsia="仿宋_GB2312" w:cs="仿宋_GB2312"/>
                <w:color w:val="000000"/>
                <w:kern w:val="0"/>
                <w:sz w:val="24"/>
                <w:szCs w:val="24"/>
                <w:highlight w:val="none"/>
                <w:lang w:val="en-US" w:eastAsia="zh-CN"/>
              </w:rPr>
              <w:t>区级财政资金</w:t>
            </w:r>
          </w:p>
        </w:tc>
        <w:tc>
          <w:tcPr>
            <w:tcW w:w="438" w:type="pct"/>
            <w:noWrap w:val="0"/>
            <w:vAlign w:val="center"/>
          </w:tcPr>
          <w:p w14:paraId="566D1F83">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
              </w:rPr>
              <w:t>2026</w:t>
            </w:r>
            <w:r>
              <w:rPr>
                <w:rFonts w:hint="eastAsia" w:ascii="仿宋_GB2312" w:hAnsi="仿宋_GB2312" w:eastAsia="仿宋_GB2312" w:cs="仿宋_GB2312"/>
                <w:color w:val="000000"/>
                <w:kern w:val="0"/>
                <w:sz w:val="24"/>
                <w:szCs w:val="24"/>
                <w:highlight w:val="none"/>
                <w:lang w:val="en-US" w:eastAsia="zh-CN"/>
              </w:rPr>
              <w:t>年</w:t>
            </w:r>
          </w:p>
        </w:tc>
      </w:tr>
      <w:tr w14:paraId="7D968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trPr>
        <w:tc>
          <w:tcPr>
            <w:tcW w:w="266" w:type="pct"/>
            <w:shd w:val="clear" w:color="auto" w:fill="auto"/>
            <w:noWrap w:val="0"/>
            <w:vAlign w:val="center"/>
          </w:tcPr>
          <w:p w14:paraId="5A822B3D">
            <w:pPr>
              <w:widowControl/>
              <w:snapToGrid/>
              <w:spacing w:line="240" w:lineRule="auto"/>
              <w:ind w:firstLine="0" w:firstLineChars="0"/>
              <w:jc w:val="center"/>
              <w:textAlignment w:val="auto"/>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val="en-US" w:eastAsia="zh-CN" w:bidi="ar"/>
              </w:rPr>
              <w:t>12</w:t>
            </w:r>
          </w:p>
        </w:tc>
        <w:tc>
          <w:tcPr>
            <w:tcW w:w="448" w:type="pct"/>
            <w:vMerge w:val="continue"/>
            <w:shd w:val="clear" w:color="auto" w:fill="auto"/>
            <w:noWrap w:val="0"/>
            <w:vAlign w:val="center"/>
          </w:tcPr>
          <w:p w14:paraId="0702B6CF">
            <w:pPr>
              <w:widowControl/>
              <w:snapToGrid/>
              <w:spacing w:line="240" w:lineRule="auto"/>
              <w:ind w:firstLine="0" w:firstLineChars="0"/>
              <w:jc w:val="center"/>
              <w:textAlignment w:val="auto"/>
              <w:rPr>
                <w:rFonts w:hint="eastAsia" w:ascii="仿宋_GB2312" w:hAnsi="仿宋_GB2312" w:eastAsia="仿宋_GB2312" w:cs="仿宋_GB2312"/>
                <w:color w:val="000000"/>
                <w:kern w:val="0"/>
                <w:sz w:val="24"/>
                <w:szCs w:val="24"/>
                <w:highlight w:val="none"/>
                <w:lang w:val="en-US" w:eastAsia="zh-CN" w:bidi="ar"/>
              </w:rPr>
            </w:pPr>
          </w:p>
        </w:tc>
        <w:tc>
          <w:tcPr>
            <w:tcW w:w="446" w:type="pct"/>
            <w:shd w:val="clear" w:color="auto" w:fill="auto"/>
            <w:noWrap w:val="0"/>
            <w:vAlign w:val="center"/>
          </w:tcPr>
          <w:p w14:paraId="1DEE7DAA">
            <w:pPr>
              <w:widowControl/>
              <w:snapToGrid/>
              <w:spacing w:line="240" w:lineRule="auto"/>
              <w:ind w:firstLine="0" w:firstLineChars="0"/>
              <w:jc w:val="center"/>
              <w:textAlignment w:val="auto"/>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eastAsia="zh-CN" w:bidi="ar"/>
              </w:rPr>
              <w:t>平谷区基层医疗机构互联网诊疗建设项目</w:t>
            </w:r>
          </w:p>
        </w:tc>
        <w:tc>
          <w:tcPr>
            <w:tcW w:w="1560" w:type="pct"/>
            <w:shd w:val="clear" w:color="auto" w:fill="auto"/>
            <w:noWrap w:val="0"/>
            <w:vAlign w:val="center"/>
          </w:tcPr>
          <w:p w14:paraId="1BE4161E">
            <w:pPr>
              <w:widowControl/>
              <w:snapToGrid/>
              <w:spacing w:line="240" w:lineRule="auto"/>
              <w:ind w:firstLine="0" w:firstLineChars="0"/>
              <w:jc w:val="left"/>
              <w:textAlignment w:val="auto"/>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val="en-US" w:eastAsia="zh-CN" w:bidi="ar"/>
              </w:rPr>
              <w:t>建设互联网诊疗平台，</w:t>
            </w:r>
            <w:r>
              <w:rPr>
                <w:rFonts w:hint="eastAsia" w:ascii="仿宋_GB2312" w:hAnsi="仿宋_GB2312" w:eastAsia="仿宋_GB2312" w:cs="仿宋_GB2312"/>
                <w:color w:val="000000"/>
                <w:kern w:val="0"/>
                <w:sz w:val="24"/>
                <w:szCs w:val="24"/>
                <w:highlight w:val="none"/>
                <w:lang w:bidi="ar"/>
              </w:rPr>
              <w:t>实现健康教育、医疗信息查询、电子健康档案、疾病风险评估、在线疾病咨询、电子处方等多种形式的健康医疗服务。</w:t>
            </w:r>
          </w:p>
        </w:tc>
        <w:tc>
          <w:tcPr>
            <w:tcW w:w="466" w:type="pct"/>
            <w:shd w:val="clear" w:color="auto" w:fill="auto"/>
            <w:noWrap w:val="0"/>
            <w:vAlign w:val="center"/>
          </w:tcPr>
          <w:p w14:paraId="44FB2BCE">
            <w:pPr>
              <w:widowControl/>
              <w:snapToGrid/>
              <w:spacing w:line="240" w:lineRule="auto"/>
              <w:ind w:firstLine="0" w:firstLineChars="0"/>
              <w:jc w:val="center"/>
              <w:textAlignment w:val="auto"/>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必要性项目</w:t>
            </w:r>
          </w:p>
        </w:tc>
        <w:tc>
          <w:tcPr>
            <w:tcW w:w="448" w:type="pct"/>
            <w:shd w:val="clear" w:color="auto" w:fill="auto"/>
            <w:noWrap w:val="0"/>
            <w:vAlign w:val="center"/>
          </w:tcPr>
          <w:p w14:paraId="6A3E7C88">
            <w:pPr>
              <w:widowControl/>
              <w:snapToGrid/>
              <w:spacing w:line="240" w:lineRule="auto"/>
              <w:ind w:firstLine="0" w:firstLineChars="0"/>
              <w:jc w:val="center"/>
              <w:textAlignment w:val="auto"/>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val="en-US" w:eastAsia="zh-CN" w:bidi="ar"/>
              </w:rPr>
              <w:t>区卫健委</w:t>
            </w:r>
          </w:p>
        </w:tc>
        <w:tc>
          <w:tcPr>
            <w:tcW w:w="452" w:type="pct"/>
            <w:shd w:val="clear" w:color="auto" w:fill="auto"/>
            <w:noWrap w:val="0"/>
            <w:vAlign w:val="center"/>
          </w:tcPr>
          <w:p w14:paraId="001864CB">
            <w:pPr>
              <w:widowControl/>
              <w:spacing w:line="240" w:lineRule="auto"/>
              <w:ind w:firstLine="0" w:firstLineChars="0"/>
              <w:jc w:val="center"/>
              <w:rPr>
                <w:rFonts w:hint="eastAsia" w:ascii="仿宋_GB2312" w:hAnsi="仿宋_GB2312" w:eastAsia="仿宋_GB2312" w:cs="仿宋_GB2312"/>
                <w:color w:val="000000"/>
                <w:kern w:val="0"/>
                <w:sz w:val="24"/>
                <w:szCs w:val="24"/>
                <w:highlight w:val="none"/>
                <w:lang w:val="en" w:eastAsia="zh-CN" w:bidi="ar"/>
              </w:rPr>
            </w:pPr>
            <w:r>
              <w:rPr>
                <w:rFonts w:hint="eastAsia" w:ascii="仿宋_GB2312" w:hAnsi="仿宋_GB2312" w:eastAsia="仿宋_GB2312" w:cs="仿宋_GB2312"/>
                <w:color w:val="000000"/>
                <w:kern w:val="0"/>
                <w:sz w:val="24"/>
                <w:szCs w:val="24"/>
                <w:highlight w:val="none"/>
                <w:lang w:val="en-US" w:eastAsia="zh-CN" w:bidi="ar"/>
              </w:rPr>
              <w:t>160</w:t>
            </w:r>
          </w:p>
        </w:tc>
        <w:tc>
          <w:tcPr>
            <w:tcW w:w="471" w:type="pct"/>
            <w:shd w:val="clear" w:color="auto" w:fill="auto"/>
            <w:noWrap w:val="0"/>
            <w:vAlign w:val="center"/>
          </w:tcPr>
          <w:p w14:paraId="7F157BA3">
            <w:pPr>
              <w:widowControl/>
              <w:spacing w:line="240" w:lineRule="auto"/>
              <w:ind w:firstLine="0" w:firstLineChars="0"/>
              <w:jc w:val="center"/>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val="en-US" w:eastAsia="zh-CN"/>
              </w:rPr>
              <w:t>区级财政资金</w:t>
            </w:r>
          </w:p>
        </w:tc>
        <w:tc>
          <w:tcPr>
            <w:tcW w:w="438" w:type="pct"/>
            <w:shd w:val="clear" w:color="auto" w:fill="auto"/>
            <w:noWrap w:val="0"/>
            <w:vAlign w:val="center"/>
          </w:tcPr>
          <w:p w14:paraId="0E71C798">
            <w:pPr>
              <w:widowControl/>
              <w:snapToGrid/>
              <w:spacing w:line="240" w:lineRule="auto"/>
              <w:ind w:firstLine="0" w:firstLineChars="0"/>
              <w:jc w:val="center"/>
              <w:textAlignment w:val="auto"/>
              <w:rPr>
                <w:rFonts w:hint="default"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val="en-US" w:eastAsia="zh-CN" w:bidi="ar"/>
              </w:rPr>
              <w:t>2028年</w:t>
            </w:r>
          </w:p>
        </w:tc>
      </w:tr>
      <w:tr w14:paraId="55BDB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trPr>
        <w:tc>
          <w:tcPr>
            <w:tcW w:w="266" w:type="pct"/>
            <w:shd w:val="clear" w:color="auto" w:fill="auto"/>
            <w:noWrap w:val="0"/>
            <w:vAlign w:val="center"/>
          </w:tcPr>
          <w:p w14:paraId="067A5C5F">
            <w:pPr>
              <w:widowControl/>
              <w:snapToGrid/>
              <w:spacing w:line="240" w:lineRule="auto"/>
              <w:ind w:firstLine="0" w:firstLineChars="0"/>
              <w:jc w:val="center"/>
              <w:textAlignment w:val="auto"/>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val="en-US" w:eastAsia="zh-CN" w:bidi="ar"/>
              </w:rPr>
              <w:t>13</w:t>
            </w:r>
          </w:p>
        </w:tc>
        <w:tc>
          <w:tcPr>
            <w:tcW w:w="448" w:type="pct"/>
            <w:vMerge w:val="continue"/>
            <w:shd w:val="clear" w:color="auto" w:fill="auto"/>
            <w:noWrap w:val="0"/>
            <w:vAlign w:val="center"/>
          </w:tcPr>
          <w:p w14:paraId="0AE43ECD">
            <w:pPr>
              <w:widowControl/>
              <w:snapToGrid/>
              <w:spacing w:line="240" w:lineRule="auto"/>
              <w:ind w:firstLine="0" w:firstLineChars="0"/>
              <w:jc w:val="center"/>
              <w:textAlignment w:val="auto"/>
              <w:rPr>
                <w:rFonts w:hint="eastAsia" w:ascii="仿宋_GB2312" w:hAnsi="仿宋_GB2312" w:eastAsia="仿宋_GB2312" w:cs="仿宋_GB2312"/>
                <w:color w:val="000000"/>
                <w:kern w:val="0"/>
                <w:sz w:val="24"/>
                <w:szCs w:val="24"/>
                <w:highlight w:val="none"/>
                <w:lang w:val="en-US" w:eastAsia="zh-CN" w:bidi="ar"/>
              </w:rPr>
            </w:pPr>
          </w:p>
        </w:tc>
        <w:tc>
          <w:tcPr>
            <w:tcW w:w="446" w:type="pct"/>
            <w:shd w:val="clear" w:color="auto" w:fill="auto"/>
            <w:noWrap w:val="0"/>
            <w:vAlign w:val="center"/>
          </w:tcPr>
          <w:p w14:paraId="1D3148B5">
            <w:pPr>
              <w:widowControl/>
              <w:snapToGrid/>
              <w:spacing w:line="240" w:lineRule="auto"/>
              <w:ind w:firstLine="0" w:firstLineChars="0"/>
              <w:jc w:val="center"/>
              <w:textAlignment w:val="auto"/>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eastAsia="zh-CN" w:bidi="ar"/>
              </w:rPr>
              <w:t>“互联网+医疗健康”</w:t>
            </w:r>
            <w:r>
              <w:rPr>
                <w:rFonts w:hint="eastAsia" w:ascii="仿宋_GB2312" w:hAnsi="仿宋_GB2312" w:eastAsia="仿宋_GB2312" w:cs="仿宋_GB2312"/>
                <w:color w:val="000000"/>
                <w:kern w:val="0"/>
                <w:sz w:val="24"/>
                <w:szCs w:val="24"/>
                <w:highlight w:val="none"/>
                <w:lang w:val="en-US" w:eastAsia="zh-CN" w:bidi="ar"/>
              </w:rPr>
              <w:t>建设项目</w:t>
            </w:r>
          </w:p>
        </w:tc>
        <w:tc>
          <w:tcPr>
            <w:tcW w:w="1560" w:type="pct"/>
            <w:shd w:val="clear" w:color="auto" w:fill="auto"/>
            <w:noWrap w:val="0"/>
            <w:vAlign w:val="center"/>
          </w:tcPr>
          <w:p w14:paraId="75023FA1">
            <w:pPr>
              <w:widowControl/>
              <w:snapToGrid/>
              <w:spacing w:line="240" w:lineRule="auto"/>
              <w:ind w:firstLine="0" w:firstLineChars="0"/>
              <w:jc w:val="left"/>
              <w:textAlignment w:val="auto"/>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val="en-US" w:eastAsia="zh-CN" w:bidi="ar"/>
              </w:rPr>
              <w:t>建设</w:t>
            </w:r>
            <w:r>
              <w:rPr>
                <w:rFonts w:hint="eastAsia" w:ascii="仿宋_GB2312" w:hAnsi="仿宋_GB2312" w:eastAsia="仿宋_GB2312" w:cs="仿宋_GB2312"/>
                <w:color w:val="000000"/>
                <w:kern w:val="0"/>
                <w:sz w:val="24"/>
                <w:szCs w:val="24"/>
                <w:highlight w:val="none"/>
                <w:lang w:eastAsia="zh-CN" w:bidi="ar"/>
              </w:rPr>
              <w:t>京津冀医学智能影像中心，提高区医疗服务能力，助力京津冀医疗健康一体化建设。</w:t>
            </w:r>
          </w:p>
        </w:tc>
        <w:tc>
          <w:tcPr>
            <w:tcW w:w="466" w:type="pct"/>
            <w:shd w:val="clear" w:color="auto" w:fill="auto"/>
            <w:noWrap w:val="0"/>
            <w:vAlign w:val="center"/>
          </w:tcPr>
          <w:p w14:paraId="605C17D0">
            <w:pPr>
              <w:widowControl/>
              <w:snapToGrid/>
              <w:spacing w:line="240" w:lineRule="auto"/>
              <w:ind w:firstLine="0" w:firstLineChars="0"/>
              <w:jc w:val="center"/>
              <w:textAlignment w:val="auto"/>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吸引/服务企业型项目</w:t>
            </w:r>
          </w:p>
        </w:tc>
        <w:tc>
          <w:tcPr>
            <w:tcW w:w="448" w:type="pct"/>
            <w:shd w:val="clear" w:color="auto" w:fill="auto"/>
            <w:noWrap w:val="0"/>
            <w:vAlign w:val="center"/>
          </w:tcPr>
          <w:p w14:paraId="0E409473">
            <w:pPr>
              <w:widowControl/>
              <w:snapToGrid/>
              <w:spacing w:line="240" w:lineRule="auto"/>
              <w:ind w:firstLine="0" w:firstLineChars="0"/>
              <w:jc w:val="center"/>
              <w:textAlignment w:val="auto"/>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val="en-US" w:eastAsia="zh-CN" w:bidi="ar"/>
              </w:rPr>
              <w:t>区卫健委</w:t>
            </w:r>
          </w:p>
        </w:tc>
        <w:tc>
          <w:tcPr>
            <w:tcW w:w="452" w:type="pct"/>
            <w:shd w:val="clear" w:color="auto" w:fill="auto"/>
            <w:noWrap w:val="0"/>
            <w:vAlign w:val="center"/>
          </w:tcPr>
          <w:p w14:paraId="17D4BA43">
            <w:pPr>
              <w:widowControl/>
              <w:spacing w:line="240" w:lineRule="auto"/>
              <w:ind w:firstLine="0" w:firstLineChars="0"/>
              <w:jc w:val="center"/>
              <w:rPr>
                <w:rFonts w:hint="eastAsia" w:ascii="仿宋_GB2312" w:hAnsi="仿宋_GB2312" w:eastAsia="仿宋_GB2312" w:cs="仿宋_GB2312"/>
                <w:color w:val="000000"/>
                <w:kern w:val="0"/>
                <w:sz w:val="24"/>
                <w:szCs w:val="24"/>
                <w:highlight w:val="none"/>
                <w:lang w:val="en" w:eastAsia="zh-CN" w:bidi="ar"/>
              </w:rPr>
            </w:pPr>
            <w:r>
              <w:rPr>
                <w:rFonts w:hint="eastAsia" w:ascii="仿宋_GB2312" w:hAnsi="仿宋_GB2312" w:eastAsia="仿宋_GB2312" w:cs="仿宋_GB2312"/>
                <w:color w:val="000000"/>
                <w:kern w:val="0"/>
                <w:sz w:val="24"/>
                <w:szCs w:val="24"/>
                <w:highlight w:val="none"/>
                <w:lang w:val="en-US" w:eastAsia="zh-CN" w:bidi="ar"/>
              </w:rPr>
              <w:t>待定</w:t>
            </w:r>
          </w:p>
        </w:tc>
        <w:tc>
          <w:tcPr>
            <w:tcW w:w="471" w:type="pct"/>
            <w:shd w:val="clear" w:color="auto" w:fill="auto"/>
            <w:noWrap w:val="0"/>
            <w:vAlign w:val="center"/>
          </w:tcPr>
          <w:p w14:paraId="283C9D0D">
            <w:pPr>
              <w:widowControl/>
              <w:spacing w:line="240" w:lineRule="auto"/>
              <w:ind w:firstLine="0" w:firstLineChars="0"/>
              <w:jc w:val="center"/>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val="en-US" w:eastAsia="zh-CN"/>
              </w:rPr>
              <w:t>企业自筹资金</w:t>
            </w:r>
          </w:p>
        </w:tc>
        <w:tc>
          <w:tcPr>
            <w:tcW w:w="438" w:type="pct"/>
            <w:shd w:val="clear" w:color="auto" w:fill="auto"/>
            <w:noWrap w:val="0"/>
            <w:vAlign w:val="center"/>
          </w:tcPr>
          <w:p w14:paraId="4207835B">
            <w:pPr>
              <w:widowControl/>
              <w:snapToGrid/>
              <w:spacing w:line="240" w:lineRule="auto"/>
              <w:ind w:firstLine="0" w:firstLineChars="0"/>
              <w:jc w:val="left"/>
              <w:textAlignment w:val="auto"/>
              <w:rPr>
                <w:rFonts w:hint="eastAsia" w:ascii="仿宋_GB2312" w:hAnsi="仿宋_GB2312" w:eastAsia="仿宋_GB2312" w:cs="仿宋_GB2312"/>
                <w:color w:val="000000"/>
                <w:kern w:val="0"/>
                <w:sz w:val="24"/>
                <w:szCs w:val="24"/>
                <w:highlight w:val="none"/>
                <w:lang w:val="en" w:eastAsia="zh-CN" w:bidi="ar"/>
              </w:rPr>
            </w:pPr>
            <w:r>
              <w:rPr>
                <w:rFonts w:hint="eastAsia" w:ascii="仿宋_GB2312" w:hAnsi="仿宋_GB2312" w:eastAsia="仿宋_GB2312" w:cs="仿宋_GB2312"/>
                <w:color w:val="000000"/>
                <w:kern w:val="0"/>
                <w:sz w:val="24"/>
                <w:szCs w:val="24"/>
                <w:highlight w:val="none"/>
                <w:lang w:val="en-US" w:eastAsia="zh-CN" w:bidi="ar"/>
              </w:rPr>
              <w:t>持续推进</w:t>
            </w:r>
          </w:p>
        </w:tc>
      </w:tr>
      <w:tr w14:paraId="4E540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trPr>
        <w:tc>
          <w:tcPr>
            <w:tcW w:w="266" w:type="pct"/>
            <w:noWrap w:val="0"/>
            <w:vAlign w:val="center"/>
          </w:tcPr>
          <w:p w14:paraId="47721973">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rPr>
              <w:t>14</w:t>
            </w:r>
          </w:p>
        </w:tc>
        <w:tc>
          <w:tcPr>
            <w:tcW w:w="448" w:type="pct"/>
            <w:vMerge w:val="continue"/>
            <w:noWrap w:val="0"/>
            <w:vAlign w:val="center"/>
          </w:tcPr>
          <w:p w14:paraId="3783F69B">
            <w:pPr>
              <w:keepNext w:val="0"/>
              <w:keepLines w:val="0"/>
              <w:widowControl/>
              <w:suppressLineNumbers w:val="0"/>
              <w:spacing w:line="240" w:lineRule="auto"/>
              <w:ind w:firstLine="0" w:firstLineChars="0"/>
              <w:jc w:val="center"/>
              <w:textAlignment w:val="auto"/>
              <w:rPr>
                <w:rFonts w:hint="eastAsia" w:ascii="仿宋_GB2312" w:hAnsi="仿宋_GB2312" w:eastAsia="仿宋_GB2312" w:cs="仿宋_GB2312"/>
                <w:color w:val="000000"/>
                <w:kern w:val="0"/>
                <w:sz w:val="24"/>
                <w:szCs w:val="24"/>
                <w:highlight w:val="none"/>
                <w:lang w:val="en-US" w:eastAsia="zh-CN" w:bidi="ar-SA"/>
              </w:rPr>
            </w:pPr>
          </w:p>
        </w:tc>
        <w:tc>
          <w:tcPr>
            <w:tcW w:w="446" w:type="pct"/>
            <w:noWrap w:val="0"/>
            <w:vAlign w:val="center"/>
          </w:tcPr>
          <w:p w14:paraId="162BAF5B">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rPr>
            </w:pPr>
            <w:r>
              <w:rPr>
                <w:rFonts w:hint="eastAsia" w:ascii="仿宋_GB2312" w:hAnsi="仿宋_GB2312" w:eastAsia="仿宋_GB2312" w:cs="仿宋_GB2312"/>
                <w:color w:val="000000"/>
                <w:kern w:val="0"/>
                <w:sz w:val="24"/>
                <w:szCs w:val="24"/>
                <w:highlight w:val="none"/>
                <w:lang w:val="en-US"/>
              </w:rPr>
              <w:t>平谷区综合防灾能力建设项目</w:t>
            </w:r>
          </w:p>
        </w:tc>
        <w:tc>
          <w:tcPr>
            <w:tcW w:w="1560" w:type="pct"/>
            <w:noWrap w:val="0"/>
            <w:vAlign w:val="center"/>
          </w:tcPr>
          <w:p w14:paraId="24678C31">
            <w:pPr>
              <w:widowControl/>
              <w:spacing w:line="240" w:lineRule="auto"/>
              <w:ind w:left="0" w:leftChars="0" w:firstLine="0" w:firstLineChars="0"/>
              <w:rPr>
                <w:rFonts w:hint="eastAsia" w:ascii="仿宋_GB2312" w:hAnsi="仿宋_GB2312" w:eastAsia="仿宋_GB2312" w:cs="仿宋_GB2312"/>
                <w:color w:val="000000"/>
                <w:kern w:val="0"/>
                <w:sz w:val="24"/>
                <w:szCs w:val="24"/>
                <w:highlight w:val="none"/>
                <w:lang w:eastAsia="zh-CN"/>
              </w:rPr>
            </w:pPr>
            <w:r>
              <w:rPr>
                <w:rFonts w:hint="eastAsia" w:ascii="仿宋_GB2312" w:hAnsi="仿宋_GB2312" w:eastAsia="仿宋_GB2312" w:cs="仿宋_GB2312"/>
                <w:color w:val="000000"/>
                <w:kern w:val="0"/>
                <w:sz w:val="24"/>
                <w:szCs w:val="24"/>
                <w:highlight w:val="none"/>
                <w:lang w:eastAsia="zh-CN"/>
              </w:rPr>
              <w:t>围绕</w:t>
            </w:r>
            <w:r>
              <w:rPr>
                <w:rFonts w:hint="eastAsia" w:ascii="仿宋_GB2312" w:hAnsi="仿宋_GB2312" w:eastAsia="仿宋_GB2312" w:cs="仿宋_GB2312"/>
                <w:color w:val="000000"/>
                <w:kern w:val="0"/>
                <w:sz w:val="24"/>
                <w:szCs w:val="24"/>
                <w:highlight w:val="none"/>
                <w:lang w:val="en-US" w:eastAsia="zh-CN"/>
              </w:rPr>
              <w:t>8项重点任务，</w:t>
            </w:r>
            <w:r>
              <w:rPr>
                <w:rFonts w:hint="eastAsia" w:ascii="仿宋_GB2312" w:hAnsi="仿宋_GB2312" w:eastAsia="仿宋_GB2312" w:cs="仿宋_GB2312"/>
                <w:color w:val="000000"/>
                <w:kern w:val="0"/>
                <w:sz w:val="24"/>
                <w:szCs w:val="24"/>
                <w:highlight w:val="none"/>
                <w:lang w:eastAsia="zh-CN"/>
              </w:rPr>
              <w:t>提升基层综合防灾减灾能力；增强极端灾害应对韧性；夯实综合防灾基础支撑。</w:t>
            </w:r>
          </w:p>
        </w:tc>
        <w:tc>
          <w:tcPr>
            <w:tcW w:w="466" w:type="pct"/>
            <w:noWrap w:val="0"/>
            <w:vAlign w:val="center"/>
          </w:tcPr>
          <w:p w14:paraId="1008A31A">
            <w:pPr>
              <w:keepNext w:val="0"/>
              <w:keepLines w:val="0"/>
              <w:widowControl/>
              <w:suppressLineNumbers w:val="0"/>
              <w:spacing w:line="240" w:lineRule="auto"/>
              <w:ind w:firstLine="0" w:firstLineChars="0"/>
              <w:jc w:val="center"/>
              <w:textAlignment w:val="auto"/>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自主选择性项目</w:t>
            </w:r>
          </w:p>
        </w:tc>
        <w:tc>
          <w:tcPr>
            <w:tcW w:w="448" w:type="pct"/>
            <w:noWrap w:val="0"/>
            <w:vAlign w:val="center"/>
          </w:tcPr>
          <w:p w14:paraId="1ED2D1C5">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rPr>
              <w:t>区应急局</w:t>
            </w:r>
          </w:p>
        </w:tc>
        <w:tc>
          <w:tcPr>
            <w:tcW w:w="452" w:type="pct"/>
            <w:noWrap w:val="0"/>
            <w:vAlign w:val="center"/>
          </w:tcPr>
          <w:p w14:paraId="29BD4927">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rPr>
            </w:pPr>
            <w:r>
              <w:rPr>
                <w:rFonts w:hint="eastAsia" w:ascii="仿宋" w:hAnsi="仿宋" w:eastAsia="仿宋" w:cs="仿宋"/>
                <w:sz w:val="24"/>
                <w:szCs w:val="24"/>
                <w:lang w:val="en-US" w:eastAsia="zh-CN"/>
              </w:rPr>
              <w:t>3900</w:t>
            </w:r>
          </w:p>
        </w:tc>
        <w:tc>
          <w:tcPr>
            <w:tcW w:w="471" w:type="pct"/>
            <w:noWrap w:val="0"/>
            <w:vAlign w:val="center"/>
          </w:tcPr>
          <w:p w14:paraId="01224622">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rPr>
              <w:t>专项资金、区级财政资金</w:t>
            </w:r>
          </w:p>
        </w:tc>
        <w:tc>
          <w:tcPr>
            <w:tcW w:w="438" w:type="pct"/>
            <w:noWrap w:val="0"/>
            <w:vAlign w:val="center"/>
          </w:tcPr>
          <w:p w14:paraId="6798B161">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rPr>
              <w:t>2027年</w:t>
            </w:r>
          </w:p>
        </w:tc>
      </w:tr>
      <w:tr w14:paraId="7A39F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6" w:hRule="atLeast"/>
        </w:trPr>
        <w:tc>
          <w:tcPr>
            <w:tcW w:w="266" w:type="pct"/>
            <w:noWrap w:val="0"/>
            <w:vAlign w:val="center"/>
          </w:tcPr>
          <w:p w14:paraId="5705A6CF">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rPr>
              <w:t>15</w:t>
            </w:r>
          </w:p>
        </w:tc>
        <w:tc>
          <w:tcPr>
            <w:tcW w:w="448" w:type="pct"/>
            <w:vMerge w:val="continue"/>
            <w:noWrap w:val="0"/>
            <w:vAlign w:val="center"/>
          </w:tcPr>
          <w:p w14:paraId="23F0CAB6">
            <w:pPr>
              <w:keepNext w:val="0"/>
              <w:keepLines w:val="0"/>
              <w:widowControl/>
              <w:suppressLineNumbers w:val="0"/>
              <w:spacing w:line="240" w:lineRule="auto"/>
              <w:ind w:firstLine="0" w:firstLineChars="0"/>
              <w:jc w:val="center"/>
              <w:textAlignment w:val="auto"/>
              <w:rPr>
                <w:rFonts w:hint="eastAsia" w:ascii="仿宋_GB2312" w:hAnsi="仿宋_GB2312" w:eastAsia="仿宋_GB2312" w:cs="仿宋_GB2312"/>
                <w:color w:val="000000"/>
                <w:kern w:val="0"/>
                <w:sz w:val="24"/>
                <w:szCs w:val="24"/>
                <w:highlight w:val="none"/>
                <w:lang w:val="en-US" w:eastAsia="zh-CN" w:bidi="ar-SA"/>
              </w:rPr>
            </w:pPr>
          </w:p>
        </w:tc>
        <w:tc>
          <w:tcPr>
            <w:tcW w:w="446" w:type="pct"/>
            <w:noWrap w:val="0"/>
            <w:vAlign w:val="center"/>
          </w:tcPr>
          <w:p w14:paraId="636BD4B9">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rPr>
              <w:t>接诉即办平台数智化升级</w:t>
            </w:r>
            <w:r>
              <w:rPr>
                <w:rFonts w:hint="eastAsia" w:ascii="仿宋_GB2312" w:hAnsi="仿宋_GB2312" w:eastAsia="仿宋_GB2312" w:cs="仿宋_GB2312"/>
                <w:color w:val="000000"/>
                <w:kern w:val="0"/>
                <w:sz w:val="24"/>
                <w:szCs w:val="24"/>
                <w:highlight w:val="none"/>
                <w:lang w:eastAsia="zh-CN"/>
              </w:rPr>
              <w:t>（</w:t>
            </w:r>
            <w:r>
              <w:rPr>
                <w:rFonts w:hint="eastAsia" w:ascii="仿宋_GB2312" w:hAnsi="仿宋_GB2312" w:eastAsia="仿宋_GB2312" w:cs="仿宋_GB2312"/>
                <w:color w:val="000000"/>
                <w:kern w:val="0"/>
                <w:sz w:val="24"/>
                <w:szCs w:val="24"/>
                <w:highlight w:val="none"/>
                <w:lang w:val="en-US" w:eastAsia="zh-CN"/>
              </w:rPr>
              <w:t>二期</w:t>
            </w:r>
            <w:r>
              <w:rPr>
                <w:rFonts w:hint="eastAsia" w:ascii="仿宋_GB2312" w:hAnsi="仿宋_GB2312" w:eastAsia="仿宋_GB2312" w:cs="仿宋_GB2312"/>
                <w:color w:val="000000"/>
                <w:kern w:val="0"/>
                <w:sz w:val="24"/>
                <w:szCs w:val="24"/>
                <w:highlight w:val="none"/>
                <w:lang w:eastAsia="zh-CN"/>
              </w:rPr>
              <w:t>）</w:t>
            </w:r>
            <w:r>
              <w:rPr>
                <w:rFonts w:hint="eastAsia" w:ascii="仿宋_GB2312" w:hAnsi="仿宋_GB2312" w:eastAsia="仿宋_GB2312" w:cs="仿宋_GB2312"/>
                <w:color w:val="000000"/>
                <w:kern w:val="0"/>
                <w:sz w:val="24"/>
                <w:szCs w:val="24"/>
                <w:highlight w:val="none"/>
                <w:lang w:val="en-US" w:eastAsia="zh-CN"/>
              </w:rPr>
              <w:t>项目</w:t>
            </w:r>
          </w:p>
        </w:tc>
        <w:tc>
          <w:tcPr>
            <w:tcW w:w="1560" w:type="pct"/>
            <w:noWrap w:val="0"/>
            <w:vAlign w:val="center"/>
          </w:tcPr>
          <w:p w14:paraId="3EB56E30">
            <w:pPr>
              <w:pStyle w:val="12"/>
              <w:spacing w:before="0" w:beforeAutospacing="0" w:after="0" w:afterAutospacing="0" w:line="240" w:lineRule="auto"/>
              <w:ind w:firstLine="0" w:firstLineChars="0"/>
              <w:jc w:val="both"/>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color w:val="000000"/>
                <w:kern w:val="0"/>
                <w:sz w:val="24"/>
                <w:szCs w:val="24"/>
                <w:highlight w:val="none"/>
                <w:lang w:val="en-US" w:eastAsia="zh-CN" w:bidi="ar"/>
              </w:rPr>
              <w:t>围绕一个基础支撑（精准对接市级业务改革）、三项AI赋能（智能办件助手、智能审核辅助系统、升级剔除分析辅助功能）、三大治理分析（街乡镇效能对标分析、高频诉求点位画像、智能决策支持体系）核心功能进行升级改造（即“1+3+3”）。</w:t>
            </w:r>
          </w:p>
        </w:tc>
        <w:tc>
          <w:tcPr>
            <w:tcW w:w="466" w:type="pct"/>
            <w:noWrap w:val="0"/>
            <w:vAlign w:val="center"/>
          </w:tcPr>
          <w:p w14:paraId="31A1DE1A">
            <w:pPr>
              <w:keepNext w:val="0"/>
              <w:keepLines w:val="0"/>
              <w:widowControl/>
              <w:suppressLineNumbers w:val="0"/>
              <w:spacing w:line="240" w:lineRule="auto"/>
              <w:ind w:firstLine="0" w:firstLineChars="0"/>
              <w:jc w:val="center"/>
              <w:textAlignment w:val="auto"/>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必要性项目</w:t>
            </w:r>
          </w:p>
        </w:tc>
        <w:tc>
          <w:tcPr>
            <w:tcW w:w="448" w:type="pct"/>
            <w:noWrap w:val="0"/>
            <w:vAlign w:val="center"/>
          </w:tcPr>
          <w:p w14:paraId="4CC7B16A">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rPr>
              <w:t>区城指中心</w:t>
            </w:r>
          </w:p>
        </w:tc>
        <w:tc>
          <w:tcPr>
            <w:tcW w:w="452" w:type="pct"/>
            <w:noWrap w:val="0"/>
            <w:vAlign w:val="center"/>
          </w:tcPr>
          <w:p w14:paraId="207EE19A">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rPr>
              <w:t>257</w:t>
            </w:r>
          </w:p>
        </w:tc>
        <w:tc>
          <w:tcPr>
            <w:tcW w:w="471" w:type="pct"/>
            <w:noWrap w:val="0"/>
            <w:vAlign w:val="center"/>
          </w:tcPr>
          <w:p w14:paraId="2B673991">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rPr>
              <w:t>区级财政资金</w:t>
            </w:r>
          </w:p>
        </w:tc>
        <w:tc>
          <w:tcPr>
            <w:tcW w:w="438" w:type="pct"/>
            <w:noWrap w:val="0"/>
            <w:vAlign w:val="center"/>
          </w:tcPr>
          <w:p w14:paraId="2C3B7716">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持续</w:t>
            </w:r>
            <w:r>
              <w:rPr>
                <w:rFonts w:hint="eastAsia" w:ascii="仿宋_GB2312" w:hAnsi="仿宋_GB2312" w:eastAsia="仿宋_GB2312" w:cs="仿宋_GB2312"/>
                <w:color w:val="000000"/>
                <w:kern w:val="0"/>
                <w:sz w:val="24"/>
                <w:szCs w:val="24"/>
                <w:highlight w:val="none"/>
                <w:lang w:eastAsia="zh-CN"/>
              </w:rPr>
              <w:t>推进</w:t>
            </w:r>
          </w:p>
        </w:tc>
      </w:tr>
      <w:tr w14:paraId="57C40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trPr>
        <w:tc>
          <w:tcPr>
            <w:tcW w:w="266" w:type="pct"/>
            <w:noWrap w:val="0"/>
            <w:vAlign w:val="center"/>
          </w:tcPr>
          <w:p w14:paraId="4606412B">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rPr>
              <w:t>16</w:t>
            </w:r>
          </w:p>
        </w:tc>
        <w:tc>
          <w:tcPr>
            <w:tcW w:w="448" w:type="pct"/>
            <w:vMerge w:val="continue"/>
            <w:noWrap w:val="0"/>
            <w:vAlign w:val="center"/>
          </w:tcPr>
          <w:p w14:paraId="3550D703">
            <w:pPr>
              <w:keepNext w:val="0"/>
              <w:keepLines w:val="0"/>
              <w:widowControl/>
              <w:suppressLineNumbers w:val="0"/>
              <w:spacing w:line="240" w:lineRule="auto"/>
              <w:ind w:firstLine="0" w:firstLineChars="0"/>
              <w:jc w:val="center"/>
              <w:textAlignment w:val="auto"/>
              <w:rPr>
                <w:rFonts w:hint="eastAsia" w:ascii="仿宋_GB2312" w:hAnsi="仿宋_GB2312" w:eastAsia="仿宋_GB2312" w:cs="仿宋_GB2312"/>
                <w:color w:val="000000"/>
                <w:kern w:val="0"/>
                <w:sz w:val="24"/>
                <w:szCs w:val="24"/>
                <w:highlight w:val="none"/>
                <w:lang w:val="en-US" w:eastAsia="zh-CN" w:bidi="ar-SA"/>
              </w:rPr>
            </w:pPr>
          </w:p>
        </w:tc>
        <w:tc>
          <w:tcPr>
            <w:tcW w:w="446" w:type="pct"/>
            <w:noWrap w:val="0"/>
            <w:vAlign w:val="center"/>
          </w:tcPr>
          <w:p w14:paraId="17D0F2E1">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rPr>
              <w:t>智慧平安小区建设</w:t>
            </w:r>
            <w:r>
              <w:rPr>
                <w:rFonts w:hint="eastAsia" w:ascii="仿宋_GB2312" w:hAnsi="仿宋_GB2312" w:eastAsia="仿宋_GB2312" w:cs="仿宋_GB2312"/>
                <w:color w:val="000000"/>
                <w:kern w:val="0"/>
                <w:sz w:val="24"/>
                <w:szCs w:val="24"/>
                <w:highlight w:val="none"/>
                <w:lang w:val="en-US" w:eastAsia="zh-CN"/>
              </w:rPr>
              <w:t>项目</w:t>
            </w:r>
          </w:p>
        </w:tc>
        <w:tc>
          <w:tcPr>
            <w:tcW w:w="1560" w:type="pct"/>
            <w:noWrap w:val="0"/>
            <w:vAlign w:val="center"/>
          </w:tcPr>
          <w:p w14:paraId="59B112E2">
            <w:pPr>
              <w:widowControl/>
              <w:spacing w:line="240" w:lineRule="auto"/>
              <w:ind w:left="0" w:leftChars="0" w:firstLine="0" w:firstLineChars="0"/>
              <w:rPr>
                <w:rFonts w:hint="eastAsia" w:ascii="仿宋_GB2312" w:hAnsi="仿宋_GB2312" w:eastAsia="仿宋_GB2312" w:cs="仿宋_GB2312"/>
                <w:color w:val="000000"/>
                <w:kern w:val="0"/>
                <w:sz w:val="24"/>
                <w:szCs w:val="24"/>
                <w:highlight w:val="none"/>
                <w:lang w:eastAsia="zh-CN"/>
              </w:rPr>
            </w:pPr>
            <w:r>
              <w:rPr>
                <w:rFonts w:hint="eastAsia" w:ascii="仿宋_GB2312" w:hAnsi="仿宋_GB2312" w:eastAsia="仿宋_GB2312" w:cs="仿宋_GB2312"/>
                <w:color w:val="000000"/>
                <w:kern w:val="0"/>
                <w:sz w:val="24"/>
                <w:szCs w:val="24"/>
                <w:highlight w:val="none"/>
              </w:rPr>
              <w:t>围绕全区重点区域开展前端智能安防设施建设，搭建智慧平安小区管控系统，提高全区前端建设覆盖率</w:t>
            </w:r>
            <w:r>
              <w:rPr>
                <w:rFonts w:hint="eastAsia" w:ascii="仿宋_GB2312" w:hAnsi="仿宋_GB2312" w:eastAsia="仿宋_GB2312" w:cs="仿宋_GB2312"/>
                <w:color w:val="000000"/>
                <w:kern w:val="0"/>
                <w:sz w:val="24"/>
                <w:szCs w:val="24"/>
                <w:highlight w:val="none"/>
                <w:lang w:eastAsia="zh-CN"/>
              </w:rPr>
              <w:t>。</w:t>
            </w:r>
          </w:p>
        </w:tc>
        <w:tc>
          <w:tcPr>
            <w:tcW w:w="466" w:type="pct"/>
            <w:noWrap w:val="0"/>
            <w:vAlign w:val="center"/>
          </w:tcPr>
          <w:p w14:paraId="324D3B3D">
            <w:pPr>
              <w:keepNext w:val="0"/>
              <w:keepLines w:val="0"/>
              <w:widowControl/>
              <w:suppressLineNumbers w:val="0"/>
              <w:spacing w:line="240" w:lineRule="auto"/>
              <w:ind w:firstLine="0" w:firstLineChars="0"/>
              <w:jc w:val="center"/>
              <w:textAlignment w:val="auto"/>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必要性项目</w:t>
            </w:r>
          </w:p>
        </w:tc>
        <w:tc>
          <w:tcPr>
            <w:tcW w:w="448" w:type="pct"/>
            <w:noWrap w:val="0"/>
            <w:vAlign w:val="center"/>
          </w:tcPr>
          <w:p w14:paraId="4238CC7A">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rPr>
              <w:t>区公安分局</w:t>
            </w:r>
          </w:p>
        </w:tc>
        <w:tc>
          <w:tcPr>
            <w:tcW w:w="452" w:type="pct"/>
            <w:noWrap w:val="0"/>
            <w:vAlign w:val="center"/>
          </w:tcPr>
          <w:p w14:paraId="2DE612BD">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rPr>
              <w:t>1800</w:t>
            </w:r>
          </w:p>
        </w:tc>
        <w:tc>
          <w:tcPr>
            <w:tcW w:w="471" w:type="pct"/>
            <w:noWrap w:val="0"/>
            <w:vAlign w:val="center"/>
          </w:tcPr>
          <w:p w14:paraId="46DAB8A3">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rPr>
              <w:t>区级财政资金</w:t>
            </w:r>
          </w:p>
        </w:tc>
        <w:tc>
          <w:tcPr>
            <w:tcW w:w="438" w:type="pct"/>
            <w:noWrap w:val="0"/>
            <w:vAlign w:val="center"/>
          </w:tcPr>
          <w:p w14:paraId="37BA7B7C">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持续</w:t>
            </w:r>
            <w:r>
              <w:rPr>
                <w:rFonts w:hint="eastAsia" w:ascii="仿宋_GB2312" w:hAnsi="仿宋_GB2312" w:eastAsia="仿宋_GB2312" w:cs="仿宋_GB2312"/>
                <w:color w:val="000000"/>
                <w:kern w:val="0"/>
                <w:sz w:val="24"/>
                <w:szCs w:val="24"/>
                <w:highlight w:val="none"/>
                <w:lang w:eastAsia="zh-CN"/>
              </w:rPr>
              <w:t>推进</w:t>
            </w:r>
          </w:p>
        </w:tc>
      </w:tr>
      <w:tr w14:paraId="24E88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trPr>
        <w:tc>
          <w:tcPr>
            <w:tcW w:w="266" w:type="pct"/>
            <w:noWrap w:val="0"/>
            <w:vAlign w:val="center"/>
          </w:tcPr>
          <w:p w14:paraId="440CF2E9">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rPr>
              <w:t>17</w:t>
            </w:r>
          </w:p>
        </w:tc>
        <w:tc>
          <w:tcPr>
            <w:tcW w:w="448" w:type="pct"/>
            <w:vMerge w:val="continue"/>
            <w:noWrap w:val="0"/>
            <w:vAlign w:val="center"/>
          </w:tcPr>
          <w:p w14:paraId="1CDB1DD0">
            <w:pPr>
              <w:keepNext w:val="0"/>
              <w:keepLines w:val="0"/>
              <w:widowControl/>
              <w:suppressLineNumbers w:val="0"/>
              <w:spacing w:line="240" w:lineRule="auto"/>
              <w:ind w:firstLine="0" w:firstLineChars="0"/>
              <w:jc w:val="center"/>
              <w:textAlignment w:val="auto"/>
              <w:rPr>
                <w:rFonts w:hint="eastAsia" w:ascii="仿宋_GB2312" w:hAnsi="仿宋_GB2312" w:eastAsia="仿宋_GB2312" w:cs="仿宋_GB2312"/>
                <w:color w:val="000000"/>
                <w:kern w:val="0"/>
                <w:sz w:val="24"/>
                <w:szCs w:val="24"/>
                <w:highlight w:val="none"/>
                <w:lang w:val="en-US" w:eastAsia="zh-CN" w:bidi="ar-SA"/>
              </w:rPr>
            </w:pPr>
          </w:p>
        </w:tc>
        <w:tc>
          <w:tcPr>
            <w:tcW w:w="446" w:type="pct"/>
            <w:noWrap w:val="0"/>
            <w:vAlign w:val="center"/>
          </w:tcPr>
          <w:p w14:paraId="706C7FB3">
            <w:pPr>
              <w:widowControl/>
              <w:spacing w:line="240" w:lineRule="auto"/>
              <w:ind w:left="0" w:leftChars="0" w:firstLine="0" w:firstLineChars="0"/>
              <w:jc w:val="center"/>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“视重通”应用平台建设项目</w:t>
            </w:r>
          </w:p>
        </w:tc>
        <w:tc>
          <w:tcPr>
            <w:tcW w:w="1560" w:type="pct"/>
            <w:noWrap w:val="0"/>
            <w:vAlign w:val="center"/>
          </w:tcPr>
          <w:p w14:paraId="0EA82487">
            <w:pPr>
              <w:widowControl/>
              <w:spacing w:line="240" w:lineRule="auto"/>
              <w:ind w:left="0" w:leftChars="0" w:firstLine="0" w:firstLineChars="0"/>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以“重点人员特征值下发、重点人员比对布控、重点人员轨迹上报”等方面为重点，建设“视重通”应用平台，实现重点人</w:t>
            </w:r>
            <w:r>
              <w:rPr>
                <w:rFonts w:hint="eastAsia" w:ascii="仿宋_GB2312" w:hAnsi="仿宋_GB2312" w:eastAsia="仿宋_GB2312" w:cs="仿宋_GB2312"/>
                <w:color w:val="000000"/>
                <w:kern w:val="0"/>
                <w:sz w:val="24"/>
                <w:szCs w:val="24"/>
                <w:highlight w:val="none"/>
                <w:lang w:val="en-US" w:eastAsia="zh-CN"/>
              </w:rPr>
              <w:t>员</w:t>
            </w:r>
            <w:r>
              <w:rPr>
                <w:rFonts w:hint="eastAsia" w:ascii="仿宋_GB2312" w:hAnsi="仿宋_GB2312" w:eastAsia="仿宋_GB2312" w:cs="仿宋_GB2312"/>
                <w:color w:val="000000"/>
                <w:kern w:val="0"/>
                <w:sz w:val="24"/>
                <w:szCs w:val="24"/>
                <w:highlight w:val="none"/>
              </w:rPr>
              <w:t>的防控。</w:t>
            </w:r>
          </w:p>
        </w:tc>
        <w:tc>
          <w:tcPr>
            <w:tcW w:w="466" w:type="pct"/>
            <w:noWrap w:val="0"/>
            <w:vAlign w:val="center"/>
          </w:tcPr>
          <w:p w14:paraId="579A00D1">
            <w:pPr>
              <w:keepNext w:val="0"/>
              <w:keepLines w:val="0"/>
              <w:widowControl/>
              <w:suppressLineNumbers w:val="0"/>
              <w:spacing w:line="240" w:lineRule="auto"/>
              <w:ind w:firstLine="0" w:firstLineChars="0"/>
              <w:jc w:val="center"/>
              <w:textAlignment w:val="auto"/>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必要性项目</w:t>
            </w:r>
          </w:p>
        </w:tc>
        <w:tc>
          <w:tcPr>
            <w:tcW w:w="448" w:type="pct"/>
            <w:noWrap w:val="0"/>
            <w:vAlign w:val="center"/>
          </w:tcPr>
          <w:p w14:paraId="6B1CC8C3">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rPr>
              <w:t>区公安分局</w:t>
            </w:r>
          </w:p>
        </w:tc>
        <w:tc>
          <w:tcPr>
            <w:tcW w:w="452" w:type="pct"/>
            <w:noWrap w:val="0"/>
            <w:vAlign w:val="center"/>
          </w:tcPr>
          <w:p w14:paraId="3D643FA9">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35</w:t>
            </w:r>
            <w:r>
              <w:rPr>
                <w:rFonts w:hint="eastAsia" w:ascii="仿宋_GB2312" w:hAnsi="仿宋_GB2312" w:eastAsia="仿宋_GB2312" w:cs="仿宋_GB2312"/>
                <w:color w:val="000000"/>
                <w:kern w:val="0"/>
                <w:sz w:val="24"/>
                <w:szCs w:val="24"/>
                <w:highlight w:val="none"/>
                <w:lang w:val="en-US" w:eastAsia="zh-CN"/>
              </w:rPr>
              <w:t>9</w:t>
            </w:r>
          </w:p>
        </w:tc>
        <w:tc>
          <w:tcPr>
            <w:tcW w:w="471" w:type="pct"/>
            <w:noWrap w:val="0"/>
            <w:vAlign w:val="center"/>
          </w:tcPr>
          <w:p w14:paraId="04375348">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lang w:val="en-US" w:eastAsia="zh-CN"/>
              </w:rPr>
              <w:t>区级财政资金</w:t>
            </w:r>
          </w:p>
        </w:tc>
        <w:tc>
          <w:tcPr>
            <w:tcW w:w="438" w:type="pct"/>
            <w:noWrap w:val="0"/>
            <w:vAlign w:val="center"/>
          </w:tcPr>
          <w:p w14:paraId="231E6782">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rPr>
              <w:t>202</w:t>
            </w:r>
            <w:r>
              <w:rPr>
                <w:rFonts w:hint="eastAsia" w:ascii="仿宋_GB2312" w:hAnsi="仿宋_GB2312" w:eastAsia="仿宋_GB2312" w:cs="仿宋_GB2312"/>
                <w:color w:val="000000"/>
                <w:kern w:val="0"/>
                <w:sz w:val="24"/>
                <w:szCs w:val="24"/>
                <w:highlight w:val="none"/>
                <w:lang w:val="en-US" w:eastAsia="zh-CN"/>
              </w:rPr>
              <w:t>6年</w:t>
            </w:r>
          </w:p>
        </w:tc>
      </w:tr>
      <w:tr w14:paraId="26CD5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2" w:hRule="atLeast"/>
        </w:trPr>
        <w:tc>
          <w:tcPr>
            <w:tcW w:w="266" w:type="pct"/>
            <w:shd w:val="clear" w:color="auto" w:fill="auto"/>
            <w:noWrap w:val="0"/>
            <w:vAlign w:val="center"/>
          </w:tcPr>
          <w:p w14:paraId="12DD392C">
            <w:pPr>
              <w:widowControl/>
              <w:snapToGrid/>
              <w:spacing w:line="240" w:lineRule="auto"/>
              <w:ind w:firstLine="0" w:firstLineChars="0"/>
              <w:jc w:val="center"/>
              <w:textAlignment w:val="auto"/>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val="en-US" w:eastAsia="zh-CN" w:bidi="ar"/>
              </w:rPr>
              <w:t>18</w:t>
            </w:r>
          </w:p>
        </w:tc>
        <w:tc>
          <w:tcPr>
            <w:tcW w:w="448" w:type="pct"/>
            <w:vMerge w:val="continue"/>
            <w:shd w:val="clear" w:color="auto" w:fill="auto"/>
            <w:noWrap w:val="0"/>
            <w:vAlign w:val="center"/>
          </w:tcPr>
          <w:p w14:paraId="5BD86754">
            <w:pPr>
              <w:widowControl/>
              <w:snapToGrid/>
              <w:spacing w:line="240" w:lineRule="auto"/>
              <w:ind w:firstLine="0" w:firstLineChars="0"/>
              <w:jc w:val="center"/>
              <w:textAlignment w:val="auto"/>
              <w:rPr>
                <w:rFonts w:hint="eastAsia" w:ascii="仿宋_GB2312" w:hAnsi="仿宋_GB2312" w:eastAsia="仿宋_GB2312" w:cs="仿宋_GB2312"/>
                <w:color w:val="000000"/>
                <w:kern w:val="0"/>
                <w:sz w:val="24"/>
                <w:szCs w:val="24"/>
                <w:highlight w:val="none"/>
                <w:lang w:val="en-US" w:eastAsia="zh-CN" w:bidi="ar"/>
              </w:rPr>
            </w:pPr>
          </w:p>
        </w:tc>
        <w:tc>
          <w:tcPr>
            <w:tcW w:w="446" w:type="pct"/>
            <w:shd w:val="clear" w:color="auto" w:fill="auto"/>
            <w:noWrap w:val="0"/>
            <w:vAlign w:val="center"/>
          </w:tcPr>
          <w:p w14:paraId="2F44EEE8">
            <w:pPr>
              <w:pStyle w:val="12"/>
              <w:spacing w:before="0" w:beforeAutospacing="0" w:after="0" w:afterAutospacing="0" w:line="240" w:lineRule="auto"/>
              <w:ind w:firstLine="0" w:firstLineChars="0"/>
              <w:jc w:val="center"/>
              <w:rPr>
                <w:rFonts w:hint="default"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val="en-US" w:eastAsia="zh-CN" w:bidi="ar"/>
              </w:rPr>
              <w:t>预警监测体系建设项目</w:t>
            </w:r>
          </w:p>
        </w:tc>
        <w:tc>
          <w:tcPr>
            <w:tcW w:w="1560" w:type="pct"/>
            <w:shd w:val="clear" w:color="auto" w:fill="auto"/>
            <w:noWrap w:val="0"/>
            <w:vAlign w:val="center"/>
          </w:tcPr>
          <w:p w14:paraId="3B656363">
            <w:pPr>
              <w:pStyle w:val="12"/>
              <w:spacing w:before="0" w:beforeAutospacing="0" w:after="0" w:afterAutospacing="0" w:line="240" w:lineRule="auto"/>
              <w:ind w:firstLine="0" w:firstLineChars="0"/>
              <w:jc w:val="both"/>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val="en-US" w:eastAsia="zh-CN" w:bidi="ar"/>
              </w:rPr>
              <w:t xml:space="preserve">常态化维护雨水情监测站、测雨雷达、预警平台、入户型报警设备等，夯实防汛监测调度软硬件支撑。 </w:t>
            </w:r>
          </w:p>
        </w:tc>
        <w:tc>
          <w:tcPr>
            <w:tcW w:w="466" w:type="pct"/>
            <w:shd w:val="clear" w:color="auto" w:fill="auto"/>
            <w:noWrap w:val="0"/>
            <w:vAlign w:val="center"/>
          </w:tcPr>
          <w:p w14:paraId="0177DFC7">
            <w:pPr>
              <w:widowControl/>
              <w:snapToGrid/>
              <w:spacing w:line="240" w:lineRule="auto"/>
              <w:ind w:firstLine="0" w:firstLineChars="0"/>
              <w:jc w:val="center"/>
              <w:textAlignment w:val="auto"/>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自主选择性项目</w:t>
            </w:r>
          </w:p>
        </w:tc>
        <w:tc>
          <w:tcPr>
            <w:tcW w:w="448" w:type="pct"/>
            <w:shd w:val="clear" w:color="auto" w:fill="auto"/>
            <w:noWrap w:val="0"/>
            <w:vAlign w:val="center"/>
          </w:tcPr>
          <w:p w14:paraId="219DCF77">
            <w:pPr>
              <w:widowControl/>
              <w:snapToGrid/>
              <w:spacing w:line="240" w:lineRule="auto"/>
              <w:ind w:firstLine="0" w:firstLineChars="0"/>
              <w:jc w:val="left"/>
              <w:textAlignment w:val="auto"/>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val="en-US" w:eastAsia="zh-CN" w:bidi="ar"/>
              </w:rPr>
              <w:t>区</w:t>
            </w:r>
            <w:r>
              <w:rPr>
                <w:rFonts w:hint="eastAsia" w:ascii="仿宋_GB2312" w:hAnsi="仿宋_GB2312" w:eastAsia="仿宋_GB2312" w:cs="仿宋_GB2312"/>
                <w:color w:val="000000"/>
                <w:kern w:val="0"/>
                <w:sz w:val="24"/>
                <w:szCs w:val="24"/>
                <w:highlight w:val="none"/>
                <w:lang w:val="en" w:eastAsia="zh-CN" w:bidi="ar"/>
              </w:rPr>
              <w:t>水务局</w:t>
            </w:r>
          </w:p>
        </w:tc>
        <w:tc>
          <w:tcPr>
            <w:tcW w:w="452" w:type="pct"/>
            <w:shd w:val="clear" w:color="auto" w:fill="auto"/>
            <w:noWrap w:val="0"/>
            <w:vAlign w:val="center"/>
          </w:tcPr>
          <w:p w14:paraId="7215C24A">
            <w:pPr>
              <w:widowControl/>
              <w:spacing w:line="240" w:lineRule="auto"/>
              <w:ind w:firstLine="0" w:firstLineChars="0"/>
              <w:jc w:val="center"/>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8"/>
                <w:szCs w:val="28"/>
                <w:lang w:bidi="ar"/>
              </w:rPr>
              <w:t>100</w:t>
            </w:r>
          </w:p>
        </w:tc>
        <w:tc>
          <w:tcPr>
            <w:tcW w:w="471" w:type="pct"/>
            <w:shd w:val="clear" w:color="auto" w:fill="auto"/>
            <w:noWrap w:val="0"/>
            <w:vAlign w:val="center"/>
          </w:tcPr>
          <w:p w14:paraId="7F4F16A2">
            <w:pPr>
              <w:widowControl/>
              <w:spacing w:line="240" w:lineRule="auto"/>
              <w:ind w:firstLine="0" w:firstLineChars="0"/>
              <w:jc w:val="center"/>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val="en-US" w:eastAsia="zh-CN"/>
              </w:rPr>
              <w:t>专项资金</w:t>
            </w:r>
          </w:p>
        </w:tc>
        <w:tc>
          <w:tcPr>
            <w:tcW w:w="438" w:type="pct"/>
            <w:shd w:val="clear" w:color="auto" w:fill="auto"/>
            <w:noWrap w:val="0"/>
            <w:vAlign w:val="center"/>
          </w:tcPr>
          <w:p w14:paraId="4992FCE1">
            <w:pPr>
              <w:widowControl/>
              <w:snapToGrid w:val="0"/>
              <w:spacing w:line="240" w:lineRule="auto"/>
              <w:ind w:firstLine="0" w:firstLineChars="0"/>
              <w:jc w:val="center"/>
              <w:textAlignment w:val="center"/>
              <w:rPr>
                <w:rFonts w:hint="default"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val="en-US" w:eastAsia="zh-CN" w:bidi="ar"/>
              </w:rPr>
              <w:t>2028年</w:t>
            </w:r>
          </w:p>
        </w:tc>
      </w:tr>
      <w:tr w14:paraId="6472C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0" w:hRule="atLeast"/>
        </w:trPr>
        <w:tc>
          <w:tcPr>
            <w:tcW w:w="266" w:type="pct"/>
            <w:noWrap w:val="0"/>
            <w:vAlign w:val="center"/>
          </w:tcPr>
          <w:p w14:paraId="78FDF7AE">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bidi="ar-SA"/>
              </w:rPr>
              <w:t>19</w:t>
            </w:r>
          </w:p>
        </w:tc>
        <w:tc>
          <w:tcPr>
            <w:tcW w:w="448" w:type="pct"/>
            <w:vMerge w:val="continue"/>
            <w:noWrap w:val="0"/>
            <w:vAlign w:val="center"/>
          </w:tcPr>
          <w:p w14:paraId="7EB54513">
            <w:pPr>
              <w:keepNext w:val="0"/>
              <w:keepLines w:val="0"/>
              <w:widowControl/>
              <w:suppressLineNumbers w:val="0"/>
              <w:spacing w:line="240" w:lineRule="auto"/>
              <w:ind w:firstLine="0" w:firstLineChars="0"/>
              <w:jc w:val="center"/>
              <w:textAlignment w:val="auto"/>
              <w:rPr>
                <w:rFonts w:hint="eastAsia" w:ascii="仿宋_GB2312" w:hAnsi="仿宋_GB2312" w:eastAsia="仿宋_GB2312" w:cs="仿宋_GB2312"/>
                <w:color w:val="000000"/>
                <w:kern w:val="0"/>
                <w:sz w:val="24"/>
                <w:szCs w:val="24"/>
                <w:highlight w:val="none"/>
                <w:lang w:val="en-US" w:eastAsia="zh-CN" w:bidi="ar-SA"/>
              </w:rPr>
            </w:pPr>
          </w:p>
        </w:tc>
        <w:tc>
          <w:tcPr>
            <w:tcW w:w="446" w:type="pct"/>
            <w:noWrap w:val="0"/>
            <w:vAlign w:val="center"/>
          </w:tcPr>
          <w:p w14:paraId="76D46DA3">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rPr>
              <w:t>气象防灾减灾提升项目</w:t>
            </w:r>
          </w:p>
        </w:tc>
        <w:tc>
          <w:tcPr>
            <w:tcW w:w="1560" w:type="pct"/>
            <w:noWrap w:val="0"/>
            <w:vAlign w:val="center"/>
          </w:tcPr>
          <w:p w14:paraId="646D89A1">
            <w:pPr>
              <w:pStyle w:val="12"/>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ind w:firstLine="0" w:firstLineChars="0"/>
              <w:jc w:val="both"/>
              <w:textAlignment w:val="auto"/>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lang w:val="en-US" w:eastAsia="zh-CN" w:bidi="ar"/>
              </w:rPr>
              <w:t>迭代升级地、空、天一体化综合立体气象监测站网，统筹推动水务、规自、应急等部门降水观测数据融合与共享，构建蓟运河泃河段流域水文气象资料“一张图”，提升气象灾害及次生灾害监测、预报、预警与服务能力。推动气象科普融入公共科技文化设施，加强气象灾害预警防护指引，有效提升公共气象防灾减灾知识和技能。</w:t>
            </w:r>
          </w:p>
        </w:tc>
        <w:tc>
          <w:tcPr>
            <w:tcW w:w="466" w:type="pct"/>
            <w:noWrap w:val="0"/>
            <w:vAlign w:val="center"/>
          </w:tcPr>
          <w:p w14:paraId="7452FEBD">
            <w:pPr>
              <w:keepNext w:val="0"/>
              <w:keepLines w:val="0"/>
              <w:widowControl/>
              <w:suppressLineNumbers w:val="0"/>
              <w:spacing w:line="240" w:lineRule="auto"/>
              <w:ind w:firstLine="0" w:firstLineChars="0"/>
              <w:jc w:val="center"/>
              <w:textAlignment w:val="auto"/>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必要性项目</w:t>
            </w:r>
          </w:p>
        </w:tc>
        <w:tc>
          <w:tcPr>
            <w:tcW w:w="448" w:type="pct"/>
            <w:noWrap w:val="0"/>
            <w:vAlign w:val="center"/>
          </w:tcPr>
          <w:p w14:paraId="4D46FEBC">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rPr>
              <w:t>区气象局</w:t>
            </w:r>
          </w:p>
        </w:tc>
        <w:tc>
          <w:tcPr>
            <w:tcW w:w="452" w:type="pct"/>
            <w:noWrap w:val="0"/>
            <w:vAlign w:val="center"/>
          </w:tcPr>
          <w:p w14:paraId="1B7A2162">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rPr>
              <w:t>1500</w:t>
            </w:r>
          </w:p>
        </w:tc>
        <w:tc>
          <w:tcPr>
            <w:tcW w:w="471" w:type="pct"/>
            <w:noWrap w:val="0"/>
            <w:vAlign w:val="center"/>
          </w:tcPr>
          <w:p w14:paraId="05D1B31F">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rPr>
              <w:t>区级财政资金、市级定向资金</w:t>
            </w:r>
          </w:p>
        </w:tc>
        <w:tc>
          <w:tcPr>
            <w:tcW w:w="438" w:type="pct"/>
            <w:noWrap w:val="0"/>
            <w:vAlign w:val="center"/>
          </w:tcPr>
          <w:p w14:paraId="4DE8A148">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持续</w:t>
            </w:r>
            <w:r>
              <w:rPr>
                <w:rFonts w:hint="eastAsia" w:ascii="仿宋_GB2312" w:hAnsi="仿宋_GB2312" w:eastAsia="仿宋_GB2312" w:cs="仿宋_GB2312"/>
                <w:color w:val="000000"/>
                <w:kern w:val="0"/>
                <w:sz w:val="24"/>
                <w:szCs w:val="24"/>
                <w:highlight w:val="none"/>
                <w:lang w:eastAsia="zh-CN"/>
              </w:rPr>
              <w:t>推进</w:t>
            </w:r>
          </w:p>
        </w:tc>
      </w:tr>
      <w:tr w14:paraId="02B8C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14" w:hRule="atLeast"/>
        </w:trPr>
        <w:tc>
          <w:tcPr>
            <w:tcW w:w="266" w:type="pct"/>
            <w:noWrap w:val="0"/>
            <w:vAlign w:val="center"/>
          </w:tcPr>
          <w:p w14:paraId="6CE78470">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rPr>
              <w:t>20</w:t>
            </w:r>
          </w:p>
        </w:tc>
        <w:tc>
          <w:tcPr>
            <w:tcW w:w="448" w:type="pct"/>
            <w:vMerge w:val="restart"/>
            <w:noWrap w:val="0"/>
            <w:vAlign w:val="center"/>
          </w:tcPr>
          <w:p w14:paraId="40FA314D">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数据赋能产业</w:t>
            </w:r>
          </w:p>
        </w:tc>
        <w:tc>
          <w:tcPr>
            <w:tcW w:w="446" w:type="pct"/>
            <w:noWrap w:val="0"/>
            <w:vAlign w:val="center"/>
          </w:tcPr>
          <w:p w14:paraId="2621F795">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rPr>
              <w:t>京平枢纽数字化服务平台项目</w:t>
            </w:r>
          </w:p>
        </w:tc>
        <w:tc>
          <w:tcPr>
            <w:tcW w:w="1560" w:type="pct"/>
            <w:noWrap w:val="0"/>
            <w:vAlign w:val="center"/>
          </w:tcPr>
          <w:p w14:paraId="338C0B28">
            <w:pPr>
              <w:pStyle w:val="12"/>
              <w:spacing w:before="0" w:beforeAutospacing="0" w:after="0" w:afterAutospacing="0" w:line="240" w:lineRule="auto"/>
              <w:ind w:firstLine="0" w:firstLineChars="0"/>
              <w:jc w:val="both"/>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lang w:val="en-US" w:eastAsia="zh-CN" w:bidi="ar"/>
              </w:rPr>
              <w:t>构建以“一户”、“两塔”、“五厅”、“五站”、“一基”为特色的京平枢纽数字化服务平台，打造资源聚集、服务共享的新一代物流枢纽。</w:t>
            </w:r>
          </w:p>
        </w:tc>
        <w:tc>
          <w:tcPr>
            <w:tcW w:w="466" w:type="pct"/>
            <w:noWrap w:val="0"/>
            <w:vAlign w:val="center"/>
          </w:tcPr>
          <w:p w14:paraId="0DF81A90">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吸引/服务企业型项目</w:t>
            </w:r>
          </w:p>
        </w:tc>
        <w:tc>
          <w:tcPr>
            <w:tcW w:w="448" w:type="pct"/>
            <w:noWrap w:val="0"/>
            <w:vAlign w:val="center"/>
          </w:tcPr>
          <w:p w14:paraId="44BC0B30">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rPr>
              <w:t>区国资委、马坊物流管委、北京京平综合物流枢纽产业发展公司</w:t>
            </w:r>
          </w:p>
        </w:tc>
        <w:tc>
          <w:tcPr>
            <w:tcW w:w="452" w:type="pct"/>
            <w:noWrap w:val="0"/>
            <w:vAlign w:val="center"/>
          </w:tcPr>
          <w:p w14:paraId="26FD5AA7">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rPr>
              <w:t>15000</w:t>
            </w:r>
          </w:p>
        </w:tc>
        <w:tc>
          <w:tcPr>
            <w:tcW w:w="471" w:type="pct"/>
            <w:noWrap w:val="0"/>
            <w:vAlign w:val="center"/>
          </w:tcPr>
          <w:p w14:paraId="5169E70E">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rPr>
              <w:t>企业自筹资金</w:t>
            </w:r>
          </w:p>
        </w:tc>
        <w:tc>
          <w:tcPr>
            <w:tcW w:w="438" w:type="pct"/>
            <w:noWrap w:val="0"/>
            <w:vAlign w:val="center"/>
          </w:tcPr>
          <w:p w14:paraId="3E25FDB6">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持续</w:t>
            </w:r>
            <w:r>
              <w:rPr>
                <w:rFonts w:hint="eastAsia" w:ascii="仿宋_GB2312" w:hAnsi="仿宋_GB2312" w:eastAsia="仿宋_GB2312" w:cs="仿宋_GB2312"/>
                <w:color w:val="000000"/>
                <w:kern w:val="0"/>
                <w:sz w:val="24"/>
                <w:szCs w:val="24"/>
                <w:highlight w:val="none"/>
                <w:lang w:eastAsia="zh-CN"/>
              </w:rPr>
              <w:t>推进</w:t>
            </w:r>
          </w:p>
        </w:tc>
      </w:tr>
      <w:tr w14:paraId="1E909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trPr>
        <w:tc>
          <w:tcPr>
            <w:tcW w:w="266" w:type="pct"/>
            <w:noWrap w:val="0"/>
            <w:vAlign w:val="center"/>
          </w:tcPr>
          <w:p w14:paraId="55C4787C">
            <w:pPr>
              <w:widowControl/>
              <w:spacing w:line="240" w:lineRule="auto"/>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rPr>
              <w:t>21</w:t>
            </w:r>
          </w:p>
        </w:tc>
        <w:tc>
          <w:tcPr>
            <w:tcW w:w="448" w:type="pct"/>
            <w:vMerge w:val="continue"/>
            <w:noWrap w:val="0"/>
            <w:vAlign w:val="center"/>
          </w:tcPr>
          <w:p w14:paraId="7C0EF00B">
            <w:pPr>
              <w:widowControl/>
              <w:snapToGrid/>
              <w:spacing w:line="240" w:lineRule="auto"/>
              <w:ind w:firstLine="0" w:firstLineChars="0"/>
              <w:jc w:val="center"/>
              <w:textAlignment w:val="auto"/>
              <w:rPr>
                <w:rFonts w:hint="eastAsia" w:ascii="仿宋_GB2312" w:hAnsi="仿宋_GB2312" w:eastAsia="仿宋_GB2312" w:cs="仿宋_GB2312"/>
                <w:i w:val="0"/>
                <w:iCs w:val="0"/>
                <w:color w:val="000000"/>
                <w:kern w:val="0"/>
                <w:sz w:val="24"/>
                <w:szCs w:val="24"/>
                <w:highlight w:val="none"/>
                <w:u w:val="none"/>
                <w:lang w:val="en-US" w:eastAsia="zh-CN" w:bidi="ar"/>
              </w:rPr>
            </w:pPr>
          </w:p>
        </w:tc>
        <w:tc>
          <w:tcPr>
            <w:tcW w:w="446" w:type="pct"/>
            <w:noWrap w:val="0"/>
            <w:vAlign w:val="center"/>
          </w:tcPr>
          <w:p w14:paraId="3F93E48D">
            <w:pPr>
              <w:widowControl/>
              <w:snapToGrid/>
              <w:spacing w:line="240" w:lineRule="auto"/>
              <w:ind w:firstLine="0" w:firstLineChars="0"/>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智慧牧场（猪场）</w:t>
            </w:r>
            <w:r>
              <w:rPr>
                <w:rFonts w:hint="eastAsia" w:ascii="仿宋_GB2312" w:hAnsi="仿宋_GB2312" w:eastAsia="仿宋_GB2312" w:cs="仿宋_GB2312"/>
                <w:color w:val="auto"/>
                <w:kern w:val="0"/>
                <w:sz w:val="24"/>
                <w:szCs w:val="24"/>
                <w:highlight w:val="none"/>
                <w:lang w:val="en-US" w:eastAsia="zh-CN" w:bidi="ar"/>
              </w:rPr>
              <w:t>建设项目</w:t>
            </w:r>
          </w:p>
        </w:tc>
        <w:tc>
          <w:tcPr>
            <w:tcW w:w="1560" w:type="pct"/>
            <w:noWrap w:val="0"/>
            <w:vAlign w:val="center"/>
          </w:tcPr>
          <w:p w14:paraId="678FD8D1">
            <w:pPr>
              <w:pStyle w:val="12"/>
              <w:spacing w:before="0" w:beforeAutospacing="0" w:after="0" w:afterAutospacing="0" w:line="240" w:lineRule="auto"/>
              <w:ind w:firstLine="0" w:firstLineChars="0"/>
              <w:jc w:val="both"/>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val="en-US" w:eastAsia="zh-CN" w:bidi="ar"/>
              </w:rPr>
              <w:t>开展智慧化猪场和综合管理平台建设，在环境控制、生物安全、疫病防控等方面立体提升养殖效率，降低养殖成本，提升智慧化繁育和养殖能力。</w:t>
            </w:r>
          </w:p>
        </w:tc>
        <w:tc>
          <w:tcPr>
            <w:tcW w:w="466" w:type="pct"/>
            <w:noWrap w:val="0"/>
            <w:vAlign w:val="center"/>
          </w:tcPr>
          <w:p w14:paraId="60D09C6D">
            <w:pPr>
              <w:widowControl/>
              <w:snapToGrid/>
              <w:spacing w:line="240" w:lineRule="auto"/>
              <w:ind w:firstLine="0" w:firstLineChars="0"/>
              <w:jc w:val="center"/>
              <w:textAlignment w:val="auto"/>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吸引/服务企业型项目</w:t>
            </w:r>
          </w:p>
        </w:tc>
        <w:tc>
          <w:tcPr>
            <w:tcW w:w="448" w:type="pct"/>
            <w:noWrap w:val="0"/>
            <w:vAlign w:val="center"/>
          </w:tcPr>
          <w:p w14:paraId="2D30CD0E">
            <w:pPr>
              <w:widowControl/>
              <w:snapToGrid/>
              <w:spacing w:line="240" w:lineRule="auto"/>
              <w:ind w:firstLine="0" w:firstLineChars="0"/>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区农业农村局</w:t>
            </w:r>
          </w:p>
        </w:tc>
        <w:tc>
          <w:tcPr>
            <w:tcW w:w="452" w:type="pct"/>
            <w:noWrap w:val="0"/>
            <w:vAlign w:val="center"/>
          </w:tcPr>
          <w:p w14:paraId="24DAB06D">
            <w:pPr>
              <w:widowControl/>
              <w:spacing w:line="240" w:lineRule="auto"/>
              <w:ind w:firstLine="0" w:firstLineChars="0"/>
              <w:jc w:val="center"/>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 w:eastAsia="zh-CN" w:bidi="ar"/>
              </w:rPr>
              <w:t>2</w:t>
            </w:r>
            <w:r>
              <w:rPr>
                <w:rFonts w:hint="eastAsia" w:ascii="仿宋_GB2312" w:hAnsi="仿宋_GB2312" w:eastAsia="仿宋_GB2312" w:cs="仿宋_GB2312"/>
                <w:color w:val="auto"/>
                <w:kern w:val="0"/>
                <w:sz w:val="24"/>
                <w:szCs w:val="24"/>
                <w:highlight w:val="none"/>
                <w:lang w:val="en-US" w:eastAsia="zh-CN" w:bidi="ar"/>
              </w:rPr>
              <w:t>000</w:t>
            </w:r>
          </w:p>
        </w:tc>
        <w:tc>
          <w:tcPr>
            <w:tcW w:w="471" w:type="pct"/>
            <w:noWrap w:val="0"/>
            <w:vAlign w:val="center"/>
          </w:tcPr>
          <w:p w14:paraId="27150CA5">
            <w:pPr>
              <w:widowControl/>
              <w:spacing w:line="240" w:lineRule="auto"/>
              <w:ind w:firstLine="0" w:firstLineChars="0"/>
              <w:jc w:val="center"/>
              <w:rPr>
                <w:rFonts w:hint="eastAsia" w:ascii="仿宋_GB2312" w:hAnsi="仿宋_GB2312" w:eastAsia="仿宋_GB2312" w:cs="仿宋_GB2312"/>
                <w:color w:val="auto"/>
                <w:kern w:val="0"/>
                <w:sz w:val="24"/>
                <w:szCs w:val="24"/>
                <w:highlight w:val="none"/>
                <w:lang w:val="en" w:eastAsia="zh-CN" w:bidi="ar"/>
              </w:rPr>
            </w:pPr>
            <w:r>
              <w:rPr>
                <w:rFonts w:hint="eastAsia" w:ascii="仿宋_GB2312" w:hAnsi="仿宋_GB2312" w:eastAsia="仿宋_GB2312" w:cs="仿宋_GB2312"/>
                <w:color w:val="000000"/>
                <w:kern w:val="0"/>
                <w:sz w:val="24"/>
                <w:szCs w:val="24"/>
                <w:highlight w:val="none"/>
                <w:lang w:val="en-US" w:eastAsia="zh-CN"/>
              </w:rPr>
              <w:t>企业自筹资金</w:t>
            </w:r>
          </w:p>
        </w:tc>
        <w:tc>
          <w:tcPr>
            <w:tcW w:w="438" w:type="pct"/>
            <w:noWrap w:val="0"/>
            <w:vAlign w:val="center"/>
          </w:tcPr>
          <w:p w14:paraId="030F2D53">
            <w:pPr>
              <w:widowControl/>
              <w:snapToGrid w:val="0"/>
              <w:spacing w:line="240" w:lineRule="auto"/>
              <w:ind w:firstLine="0" w:firstLineChars="0"/>
              <w:jc w:val="center"/>
              <w:textAlignment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rPr>
              <w:t>持续推进</w:t>
            </w:r>
          </w:p>
        </w:tc>
      </w:tr>
      <w:tr w14:paraId="7B8BC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trPr>
        <w:tc>
          <w:tcPr>
            <w:tcW w:w="266" w:type="pct"/>
            <w:noWrap w:val="0"/>
            <w:vAlign w:val="center"/>
          </w:tcPr>
          <w:p w14:paraId="6141DAE6">
            <w:pPr>
              <w:widowControl/>
              <w:snapToGrid/>
              <w:spacing w:line="240" w:lineRule="auto"/>
              <w:ind w:firstLine="0" w:firstLineChars="0"/>
              <w:jc w:val="center"/>
              <w:textAlignment w:val="auto"/>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rPr>
              <w:t>22</w:t>
            </w:r>
          </w:p>
        </w:tc>
        <w:tc>
          <w:tcPr>
            <w:tcW w:w="448" w:type="pct"/>
            <w:vMerge w:val="continue"/>
            <w:noWrap w:val="0"/>
            <w:vAlign w:val="center"/>
          </w:tcPr>
          <w:p w14:paraId="2A53126A">
            <w:pPr>
              <w:widowControl/>
              <w:snapToGrid/>
              <w:spacing w:line="240" w:lineRule="auto"/>
              <w:ind w:firstLine="0" w:firstLineChars="0"/>
              <w:jc w:val="center"/>
              <w:textAlignment w:val="auto"/>
              <w:rPr>
                <w:rFonts w:hint="eastAsia" w:ascii="仿宋_GB2312" w:hAnsi="仿宋_GB2312" w:eastAsia="仿宋_GB2312" w:cs="仿宋_GB2312"/>
                <w:color w:val="000000"/>
                <w:kern w:val="0"/>
                <w:sz w:val="24"/>
                <w:szCs w:val="24"/>
                <w:highlight w:val="none"/>
                <w:lang w:val="en-US" w:eastAsia="zh-CN" w:bidi="ar"/>
              </w:rPr>
            </w:pPr>
          </w:p>
        </w:tc>
        <w:tc>
          <w:tcPr>
            <w:tcW w:w="446" w:type="pct"/>
            <w:noWrap w:val="0"/>
            <w:vAlign w:val="center"/>
          </w:tcPr>
          <w:p w14:paraId="5A6033E0">
            <w:pPr>
              <w:widowControl/>
              <w:snapToGrid/>
              <w:spacing w:line="240" w:lineRule="auto"/>
              <w:ind w:firstLine="0" w:firstLineChars="0"/>
              <w:jc w:val="left"/>
              <w:textAlignment w:val="auto"/>
              <w:rPr>
                <w:rFonts w:hint="eastAsia" w:ascii="仿宋_GB2312" w:hAnsi="仿宋_GB2312" w:eastAsia="仿宋_GB2312" w:cs="仿宋_GB2312"/>
                <w:color w:val="000000"/>
                <w:kern w:val="0"/>
                <w:sz w:val="24"/>
                <w:szCs w:val="24"/>
                <w:highlight w:val="none"/>
                <w:lang w:eastAsia="zh-CN" w:bidi="ar"/>
              </w:rPr>
            </w:pPr>
            <w:r>
              <w:rPr>
                <w:rFonts w:hint="eastAsia" w:ascii="仿宋_GB2312" w:hAnsi="仿宋_GB2312" w:eastAsia="仿宋_GB2312" w:cs="仿宋_GB2312"/>
                <w:color w:val="000000"/>
                <w:kern w:val="0"/>
                <w:sz w:val="24"/>
                <w:szCs w:val="24"/>
                <w:highlight w:val="none"/>
                <w:lang w:bidi="ar"/>
              </w:rPr>
              <w:t>蔬菜智能育种重大设施建设项目（中国农科院蔬菜生物育种全国重点实验室）</w:t>
            </w:r>
          </w:p>
        </w:tc>
        <w:tc>
          <w:tcPr>
            <w:tcW w:w="1560" w:type="pct"/>
            <w:noWrap w:val="0"/>
            <w:vAlign w:val="center"/>
          </w:tcPr>
          <w:p w14:paraId="6ED2CCF7">
            <w:pPr>
              <w:pStyle w:val="12"/>
              <w:spacing w:before="0" w:beforeAutospacing="0" w:after="0" w:afterAutospacing="0" w:line="240" w:lineRule="auto"/>
              <w:ind w:firstLine="0" w:firstLineChars="0"/>
              <w:jc w:val="both"/>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lang w:val="en-US" w:eastAsia="zh-CN" w:bidi="ar"/>
              </w:rPr>
              <w:t>打造蔬菜性状采集、性状解析、智能育种应用3大模块，建设“6平台2中心”，实现我国蔬菜的高效精准育种。</w:t>
            </w:r>
          </w:p>
        </w:tc>
        <w:tc>
          <w:tcPr>
            <w:tcW w:w="466" w:type="pct"/>
            <w:noWrap w:val="0"/>
            <w:vAlign w:val="center"/>
          </w:tcPr>
          <w:p w14:paraId="5AA49D5A">
            <w:pPr>
              <w:widowControl/>
              <w:snapToGrid/>
              <w:spacing w:line="240" w:lineRule="auto"/>
              <w:ind w:firstLine="0" w:firstLineChars="0"/>
              <w:jc w:val="center"/>
              <w:textAlignment w:val="auto"/>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自主选择性项目</w:t>
            </w:r>
          </w:p>
        </w:tc>
        <w:tc>
          <w:tcPr>
            <w:tcW w:w="448" w:type="pct"/>
            <w:noWrap w:val="0"/>
            <w:vAlign w:val="center"/>
          </w:tcPr>
          <w:p w14:paraId="427AE6C8">
            <w:pPr>
              <w:widowControl/>
              <w:snapToGrid/>
              <w:spacing w:line="240" w:lineRule="auto"/>
              <w:ind w:firstLine="0" w:firstLineChars="0"/>
              <w:jc w:val="center"/>
              <w:textAlignment w:val="auto"/>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bidi="ar"/>
              </w:rPr>
              <w:t>区</w:t>
            </w:r>
            <w:r>
              <w:rPr>
                <w:rFonts w:hint="eastAsia" w:ascii="仿宋_GB2312" w:hAnsi="仿宋_GB2312" w:eastAsia="仿宋_GB2312" w:cs="仿宋_GB2312"/>
                <w:color w:val="000000"/>
                <w:kern w:val="0"/>
                <w:sz w:val="24"/>
                <w:szCs w:val="24"/>
                <w:highlight w:val="none"/>
                <w:lang w:bidi="ar"/>
              </w:rPr>
              <w:t>农业科技园区管委会</w:t>
            </w:r>
          </w:p>
        </w:tc>
        <w:tc>
          <w:tcPr>
            <w:tcW w:w="452" w:type="pct"/>
            <w:noWrap w:val="0"/>
            <w:vAlign w:val="center"/>
          </w:tcPr>
          <w:p w14:paraId="7319F5BE">
            <w:pPr>
              <w:widowControl/>
              <w:spacing w:line="240" w:lineRule="auto"/>
              <w:ind w:firstLine="0" w:firstLineChars="0"/>
              <w:jc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bidi="ar"/>
              </w:rPr>
              <w:t>15722</w:t>
            </w:r>
          </w:p>
        </w:tc>
        <w:tc>
          <w:tcPr>
            <w:tcW w:w="471" w:type="pct"/>
            <w:noWrap w:val="0"/>
            <w:vAlign w:val="center"/>
          </w:tcPr>
          <w:p w14:paraId="3DD4F76E">
            <w:pPr>
              <w:widowControl/>
              <w:spacing w:line="240" w:lineRule="auto"/>
              <w:ind w:firstLine="0" w:firstLineChars="0"/>
              <w:jc w:val="center"/>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val="en-US" w:eastAsia="zh-CN" w:bidi="ar"/>
              </w:rPr>
              <w:t>——</w:t>
            </w:r>
          </w:p>
        </w:tc>
        <w:tc>
          <w:tcPr>
            <w:tcW w:w="438" w:type="pct"/>
            <w:noWrap w:val="0"/>
            <w:vAlign w:val="center"/>
          </w:tcPr>
          <w:p w14:paraId="048BBECA">
            <w:pPr>
              <w:widowControl/>
              <w:snapToGrid w:val="0"/>
              <w:spacing w:line="240" w:lineRule="auto"/>
              <w:ind w:firstLine="0" w:firstLineChars="0"/>
              <w:jc w:val="center"/>
              <w:textAlignment w:val="center"/>
              <w:rPr>
                <w:rFonts w:hint="default"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rPr>
              <w:t>持续推进</w:t>
            </w:r>
          </w:p>
        </w:tc>
      </w:tr>
    </w:tbl>
    <w:p w14:paraId="76CC8702">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仿宋_GB2312" w:eastAsia="仿宋_GB2312"/>
          <w:spacing w:val="-6"/>
          <w:sz w:val="32"/>
          <w:szCs w:val="32"/>
        </w:rPr>
      </w:pPr>
    </w:p>
    <w:sectPr>
      <w:pgSz w:w="16838" w:h="11906" w:orient="landscape"/>
      <w:pgMar w:top="1587" w:right="2098" w:bottom="1474" w:left="1984" w:header="851" w:footer="992" w:gutter="0"/>
      <w:pgNumType w:fmt="decimal"/>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A1"/>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等线">
    <w:altName w:val="汉仪中宋简"/>
    <w:panose1 w:val="02010600030101010101"/>
    <w:charset w:val="86"/>
    <w:family w:val="auto"/>
    <w:pitch w:val="default"/>
    <w:sig w:usb0="00000000" w:usb1="00000000" w:usb2="00000016" w:usb3="00000000" w:csb0="0004000F" w:csb1="00000000"/>
  </w:font>
  <w:font w:name="汉仪中宋简">
    <w:panose1 w:val="02010600000101010101"/>
    <w:charset w:val="86"/>
    <w:family w:val="auto"/>
    <w:pitch w:val="default"/>
    <w:sig w:usb0="00000001" w:usb1="080E0800" w:usb2="00000002"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Songti SC Regular">
    <w:altName w:val="汉仪中宋简"/>
    <w:panose1 w:val="02010800040101010101"/>
    <w:charset w:val="86"/>
    <w:family w:val="auto"/>
    <w:pitch w:val="default"/>
    <w:sig w:usb0="00000000" w:usb1="00000000" w:usb2="00000000" w:usb3="00000000" w:csb0="00040000" w:csb1="00000000"/>
  </w:font>
  <w:font w:name="Songti SC">
    <w:altName w:val="汉仪中宋简"/>
    <w:panose1 w:val="02010800040101010101"/>
    <w:charset w:val="86"/>
    <w:family w:val="auto"/>
    <w:pitch w:val="default"/>
    <w:sig w:usb0="00000000" w:usb1="00000000" w:usb2="00000000" w:usb3="00000000" w:csb0="00040000" w:csb1="00000000"/>
  </w:font>
  <w:font w:name="SimSong Regular">
    <w:altName w:val="Unifont"/>
    <w:panose1 w:val="02020300000000000000"/>
    <w:charset w:val="86"/>
    <w:family w:val="auto"/>
    <w:pitch w:val="default"/>
    <w:sig w:usb0="00000000" w:usb1="00000000" w:usb2="00000016" w:usb3="00000000" w:csb0="0004000D" w:csb1="00000000"/>
  </w:font>
  <w:font w:name="Unifont">
    <w:panose1 w:val="02000604000000000000"/>
    <w:charset w:val="86"/>
    <w:family w:val="auto"/>
    <w:pitch w:val="default"/>
    <w:sig w:usb0="FFFFFFFF" w:usb1="EBFFFFFF" w:usb2="E817FFFF" w:usb3="007F001F" w:csb0="603F01FF" w:csb1="FFFF0000"/>
  </w:font>
  <w:font w:name="楷体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微软雅黑">
    <w:altName w:val="方正黑体_GBK"/>
    <w:panose1 w:val="00000000000000000000"/>
    <w:charset w:val="00"/>
    <w:family w:val="auto"/>
    <w:pitch w:val="default"/>
    <w:sig w:usb0="00000000" w:usb1="00000000" w:usb2="00000000" w:usb3="00000000" w:csb0="00000000" w:csb1="00000000"/>
  </w:font>
  <w:font w:name="Tahoma">
    <w:altName w:val="noto sans thai"/>
    <w:panose1 w:val="00000000000000000000"/>
    <w:charset w:val="00"/>
    <w:family w:val="auto"/>
    <w:pitch w:val="default"/>
    <w:sig w:usb0="00000000" w:usb1="00000000" w:usb2="00000000" w:usb3="00000000" w:csb0="00000000" w:csb1="00000000"/>
  </w:font>
  <w:font w:name="Wingdings 3">
    <w:panose1 w:val="05040102010807070707"/>
    <w:charset w:val="00"/>
    <w:family w:val="auto"/>
    <w:pitch w:val="default"/>
    <w:sig w:usb0="00000000" w:usb1="00000000" w:usb2="00000000" w:usb3="00000000" w:csb0="80000000" w:csb1="00000000"/>
  </w:font>
  <w:font w:name="noto sans thai">
    <w:panose1 w:val="020B0502040504020204"/>
    <w:charset w:val="00"/>
    <w:family w:val="auto"/>
    <w:pitch w:val="default"/>
    <w:sig w:usb0="81000063" w:usb1="00002000" w:usb2="00000000" w:usb3="00000000" w:csb0="0001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D9230B">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98787F">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F6CFDF">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6CF6CFDF">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F3787">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141C72">
    <w:pPr>
      <w:pStyle w:val="6"/>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6AE3E7">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06AE3E7">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D75554">
    <w:pPr>
      <w:pStyle w:val="6"/>
      <w:wordWrap w:val="0"/>
      <w:jc w:val="right"/>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172AC8">
                          <w:pPr>
                            <w:pStyle w:val="6"/>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0D172AC8">
                    <w:pPr>
                      <w:pStyle w:val="6"/>
                    </w:pPr>
                    <w:r>
                      <w:fldChar w:fldCharType="begin"/>
                    </w:r>
                    <w:r>
                      <w:instrText xml:space="preserve"> PAGE  \* MERGEFORMAT </w:instrText>
                    </w:r>
                    <w:r>
                      <w:fldChar w:fldCharType="separate"/>
                    </w:r>
                    <w:r>
                      <w:t>43</w:t>
                    </w:r>
                    <w:r>
                      <w:fldChar w:fldCharType="end"/>
                    </w:r>
                  </w:p>
                </w:txbxContent>
              </v:textbox>
            </v:shape>
          </w:pict>
        </mc:Fallback>
      </mc:AlternateContent>
    </w:r>
  </w:p>
  <w:p w14:paraId="1FB8FD3C">
    <w:pPr>
      <w:pStyle w:val="6"/>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5701E1">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-165100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DEB6A5B">
                          <w:pPr>
                            <w:pStyle w:val="6"/>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13pt;height:144pt;width:144pt;mso-position-horizontal:outside;mso-position-horizontal-relative:margin;mso-wrap-style:none;z-index:251659264;mso-width-relative:page;mso-height-relative:page;" filled="f" stroked="f" coordsize="21600,21600" o:gfxdata="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KqX8D0wAAAAgBAAAPAAAAAAAAAAEAIAAAACIAAABkcnMvZG93&#10;bnJldi54bWxQSwECFAAUAAAACACHTuJAJpeTdMwBAACnAwAADgAAAAAAAAABACAAAAAiAQAAZHJz&#10;L2Uyb0RvYy54bWxQSwUGAAAAAAYABgBZAQAAYAUAAAAA&#10;">
              <v:fill on="f" focussize="0,0"/>
              <v:stroke on="f"/>
              <v:imagedata o:title=""/>
              <o:lock v:ext="edit" aspectratio="f"/>
              <v:textbox inset="0mm,0mm,0mm,0mm" style="mso-fit-shape-to-text:t;">
                <w:txbxContent>
                  <w:p w14:paraId="7DEB6A5B">
                    <w:pPr>
                      <w:pStyle w:val="6"/>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5B86CC">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A34BA">
    <w:pPr>
      <w:pStyle w:val="7"/>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ADD2BC">
    <w:pPr>
      <w:pStyle w:val="7"/>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bordersDoNotSurroundHeader w:val="0"/>
  <w:bordersDoNotSurroundFooter w:val="0"/>
  <w:documentProtection w:enforcement="0"/>
  <w:defaultTabStop w:val="420"/>
  <w:hyphenationZone w:val="360"/>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FBD9125"/>
    <w:rsid w:val="004B306A"/>
    <w:rsid w:val="004E43BF"/>
    <w:rsid w:val="0067722F"/>
    <w:rsid w:val="006B16A9"/>
    <w:rsid w:val="00867FFD"/>
    <w:rsid w:val="00E80370"/>
    <w:rsid w:val="00F50CDF"/>
    <w:rsid w:val="0156352C"/>
    <w:rsid w:val="01F80A87"/>
    <w:rsid w:val="02355837"/>
    <w:rsid w:val="023B0973"/>
    <w:rsid w:val="02EE59E6"/>
    <w:rsid w:val="02F841E8"/>
    <w:rsid w:val="03065425"/>
    <w:rsid w:val="03376361"/>
    <w:rsid w:val="03AE6DCD"/>
    <w:rsid w:val="03AF786B"/>
    <w:rsid w:val="04243DB5"/>
    <w:rsid w:val="04465A0D"/>
    <w:rsid w:val="04A70542"/>
    <w:rsid w:val="04CD7EC2"/>
    <w:rsid w:val="04F833BC"/>
    <w:rsid w:val="05015EA4"/>
    <w:rsid w:val="051200B1"/>
    <w:rsid w:val="053E2C54"/>
    <w:rsid w:val="056C03BA"/>
    <w:rsid w:val="059565ED"/>
    <w:rsid w:val="05D64447"/>
    <w:rsid w:val="06976AC0"/>
    <w:rsid w:val="069A210C"/>
    <w:rsid w:val="06AB6311"/>
    <w:rsid w:val="07013F3A"/>
    <w:rsid w:val="075C1AB8"/>
    <w:rsid w:val="078B66E8"/>
    <w:rsid w:val="07DC2166"/>
    <w:rsid w:val="081128A2"/>
    <w:rsid w:val="081E0B1B"/>
    <w:rsid w:val="088272FC"/>
    <w:rsid w:val="08DD2784"/>
    <w:rsid w:val="092B20EA"/>
    <w:rsid w:val="092E07E5"/>
    <w:rsid w:val="0935611C"/>
    <w:rsid w:val="09606782"/>
    <w:rsid w:val="09673447"/>
    <w:rsid w:val="09A60DC8"/>
    <w:rsid w:val="09DB5E1B"/>
    <w:rsid w:val="09F2400E"/>
    <w:rsid w:val="09F71624"/>
    <w:rsid w:val="0A426ED9"/>
    <w:rsid w:val="0A7D5FCD"/>
    <w:rsid w:val="0AB94B2B"/>
    <w:rsid w:val="0AF0679F"/>
    <w:rsid w:val="0B2D79F3"/>
    <w:rsid w:val="0B4E34C6"/>
    <w:rsid w:val="0B50474B"/>
    <w:rsid w:val="0C201306"/>
    <w:rsid w:val="0C216E2C"/>
    <w:rsid w:val="0C4A6383"/>
    <w:rsid w:val="0C51117C"/>
    <w:rsid w:val="0CD93263"/>
    <w:rsid w:val="0D2526DF"/>
    <w:rsid w:val="0D847672"/>
    <w:rsid w:val="0DA41AC3"/>
    <w:rsid w:val="0DC7E084"/>
    <w:rsid w:val="0DED1AF0"/>
    <w:rsid w:val="0E3126A9"/>
    <w:rsid w:val="0E627986"/>
    <w:rsid w:val="0E99714E"/>
    <w:rsid w:val="0E9E3446"/>
    <w:rsid w:val="0EBE0962"/>
    <w:rsid w:val="0F696B20"/>
    <w:rsid w:val="0FA1450C"/>
    <w:rsid w:val="0FCE2E27"/>
    <w:rsid w:val="10541FBA"/>
    <w:rsid w:val="114F739F"/>
    <w:rsid w:val="1283614B"/>
    <w:rsid w:val="12CA4192"/>
    <w:rsid w:val="13482EF0"/>
    <w:rsid w:val="137837D5"/>
    <w:rsid w:val="13AA7707"/>
    <w:rsid w:val="13C539D9"/>
    <w:rsid w:val="13C7650B"/>
    <w:rsid w:val="13EA13E4"/>
    <w:rsid w:val="14983A03"/>
    <w:rsid w:val="15006DA9"/>
    <w:rsid w:val="15D54F0F"/>
    <w:rsid w:val="16BD34A4"/>
    <w:rsid w:val="17C9192B"/>
    <w:rsid w:val="183A54FD"/>
    <w:rsid w:val="187C78C4"/>
    <w:rsid w:val="18F2402A"/>
    <w:rsid w:val="18FA6A3B"/>
    <w:rsid w:val="19385314"/>
    <w:rsid w:val="19856C4C"/>
    <w:rsid w:val="1A78230D"/>
    <w:rsid w:val="1AC33221"/>
    <w:rsid w:val="1AC828D7"/>
    <w:rsid w:val="1B3A75C2"/>
    <w:rsid w:val="1B610FF3"/>
    <w:rsid w:val="1B684130"/>
    <w:rsid w:val="1B825FBC"/>
    <w:rsid w:val="1B950C9D"/>
    <w:rsid w:val="1D0D1432"/>
    <w:rsid w:val="1D501C9D"/>
    <w:rsid w:val="1DA43419"/>
    <w:rsid w:val="1DAD0520"/>
    <w:rsid w:val="1DE2702B"/>
    <w:rsid w:val="1E2307E2"/>
    <w:rsid w:val="1E4C7D38"/>
    <w:rsid w:val="1E7F3CD7"/>
    <w:rsid w:val="1EFB3FA5"/>
    <w:rsid w:val="1F3C5FFF"/>
    <w:rsid w:val="1F48483D"/>
    <w:rsid w:val="1F5F11DF"/>
    <w:rsid w:val="1FBAD4B2"/>
    <w:rsid w:val="1FE30229"/>
    <w:rsid w:val="20085EE1"/>
    <w:rsid w:val="209B6D55"/>
    <w:rsid w:val="20F01814"/>
    <w:rsid w:val="210B3EDB"/>
    <w:rsid w:val="21115269"/>
    <w:rsid w:val="2136082C"/>
    <w:rsid w:val="21641474"/>
    <w:rsid w:val="21817CF9"/>
    <w:rsid w:val="2197576F"/>
    <w:rsid w:val="21B55BF5"/>
    <w:rsid w:val="21D10BCE"/>
    <w:rsid w:val="21DA1AFF"/>
    <w:rsid w:val="23362D72"/>
    <w:rsid w:val="2398757C"/>
    <w:rsid w:val="23D04F68"/>
    <w:rsid w:val="23F76998"/>
    <w:rsid w:val="2418246B"/>
    <w:rsid w:val="244D0366"/>
    <w:rsid w:val="246758CC"/>
    <w:rsid w:val="25284930"/>
    <w:rsid w:val="2558365B"/>
    <w:rsid w:val="25A14E0E"/>
    <w:rsid w:val="25D02FFD"/>
    <w:rsid w:val="261E020C"/>
    <w:rsid w:val="265448F0"/>
    <w:rsid w:val="269E759F"/>
    <w:rsid w:val="270A788F"/>
    <w:rsid w:val="276B5C28"/>
    <w:rsid w:val="27986411"/>
    <w:rsid w:val="27B5D677"/>
    <w:rsid w:val="28100029"/>
    <w:rsid w:val="289B1FE8"/>
    <w:rsid w:val="28EF5E90"/>
    <w:rsid w:val="29567A3B"/>
    <w:rsid w:val="29910CF5"/>
    <w:rsid w:val="29CE3CF8"/>
    <w:rsid w:val="29FA2D3E"/>
    <w:rsid w:val="2A950CB9"/>
    <w:rsid w:val="2B033E75"/>
    <w:rsid w:val="2B0379D1"/>
    <w:rsid w:val="2B97531F"/>
    <w:rsid w:val="2D3447B9"/>
    <w:rsid w:val="2D483DC1"/>
    <w:rsid w:val="2D654973"/>
    <w:rsid w:val="2DA21723"/>
    <w:rsid w:val="2DB15E0A"/>
    <w:rsid w:val="2DEFD81C"/>
    <w:rsid w:val="2DFF587B"/>
    <w:rsid w:val="2E32105B"/>
    <w:rsid w:val="2E5031B4"/>
    <w:rsid w:val="2E514EF7"/>
    <w:rsid w:val="2E6609A2"/>
    <w:rsid w:val="2E8928E3"/>
    <w:rsid w:val="2F0106CB"/>
    <w:rsid w:val="2F212B1B"/>
    <w:rsid w:val="2F7978AB"/>
    <w:rsid w:val="2FA774C5"/>
    <w:rsid w:val="2FC30B48"/>
    <w:rsid w:val="30004E27"/>
    <w:rsid w:val="304940D8"/>
    <w:rsid w:val="305F140F"/>
    <w:rsid w:val="306E6E76"/>
    <w:rsid w:val="30AD0B0B"/>
    <w:rsid w:val="312870DB"/>
    <w:rsid w:val="31994BEB"/>
    <w:rsid w:val="31EA5447"/>
    <w:rsid w:val="31FE7144"/>
    <w:rsid w:val="32116E77"/>
    <w:rsid w:val="32625925"/>
    <w:rsid w:val="326B3057"/>
    <w:rsid w:val="32794A1C"/>
    <w:rsid w:val="3281224F"/>
    <w:rsid w:val="32A7458D"/>
    <w:rsid w:val="32AC35F5"/>
    <w:rsid w:val="32E822DB"/>
    <w:rsid w:val="330662B0"/>
    <w:rsid w:val="33A07F61"/>
    <w:rsid w:val="33C63C91"/>
    <w:rsid w:val="33FFDA6C"/>
    <w:rsid w:val="34142C4F"/>
    <w:rsid w:val="34A22009"/>
    <w:rsid w:val="35D95EFE"/>
    <w:rsid w:val="35E473E2"/>
    <w:rsid w:val="35F920FC"/>
    <w:rsid w:val="363059C6"/>
    <w:rsid w:val="364A6DFC"/>
    <w:rsid w:val="3667350A"/>
    <w:rsid w:val="36CA3A99"/>
    <w:rsid w:val="3736112E"/>
    <w:rsid w:val="3775F103"/>
    <w:rsid w:val="377A726D"/>
    <w:rsid w:val="37A784D9"/>
    <w:rsid w:val="37B07132"/>
    <w:rsid w:val="37FC9934"/>
    <w:rsid w:val="37FF5D92"/>
    <w:rsid w:val="384F06F9"/>
    <w:rsid w:val="387AB3BC"/>
    <w:rsid w:val="38DB01DF"/>
    <w:rsid w:val="39113643"/>
    <w:rsid w:val="39311BAD"/>
    <w:rsid w:val="394144E6"/>
    <w:rsid w:val="395A61E8"/>
    <w:rsid w:val="39974106"/>
    <w:rsid w:val="39A131D7"/>
    <w:rsid w:val="39EF3F42"/>
    <w:rsid w:val="3A1104FD"/>
    <w:rsid w:val="3A485400"/>
    <w:rsid w:val="3A6D130B"/>
    <w:rsid w:val="3AB931B1"/>
    <w:rsid w:val="3AEFAFC7"/>
    <w:rsid w:val="3B117EE8"/>
    <w:rsid w:val="3B3F4643"/>
    <w:rsid w:val="3B457B92"/>
    <w:rsid w:val="3BCD3D82"/>
    <w:rsid w:val="3BEBFE26"/>
    <w:rsid w:val="3CBD0327"/>
    <w:rsid w:val="3CE5162C"/>
    <w:rsid w:val="3D0715A3"/>
    <w:rsid w:val="3D756C6C"/>
    <w:rsid w:val="3DBD4357"/>
    <w:rsid w:val="3E23240C"/>
    <w:rsid w:val="3E4D1237"/>
    <w:rsid w:val="3E4F64F3"/>
    <w:rsid w:val="3F1711CB"/>
    <w:rsid w:val="3F2A5A1C"/>
    <w:rsid w:val="3F4A39C9"/>
    <w:rsid w:val="3F9D45B0"/>
    <w:rsid w:val="3FEF8522"/>
    <w:rsid w:val="40640ABA"/>
    <w:rsid w:val="409273D5"/>
    <w:rsid w:val="411E510D"/>
    <w:rsid w:val="411F7A7A"/>
    <w:rsid w:val="41A117E5"/>
    <w:rsid w:val="41B63597"/>
    <w:rsid w:val="428E1E1E"/>
    <w:rsid w:val="43095949"/>
    <w:rsid w:val="43B458B4"/>
    <w:rsid w:val="43F959BD"/>
    <w:rsid w:val="445C6678"/>
    <w:rsid w:val="44D646CD"/>
    <w:rsid w:val="45E16821"/>
    <w:rsid w:val="46240169"/>
    <w:rsid w:val="46592743"/>
    <w:rsid w:val="46E57892"/>
    <w:rsid w:val="46EB3D58"/>
    <w:rsid w:val="47100DB9"/>
    <w:rsid w:val="47680E90"/>
    <w:rsid w:val="47A619B8"/>
    <w:rsid w:val="47B903C9"/>
    <w:rsid w:val="47D429C9"/>
    <w:rsid w:val="47FAE65D"/>
    <w:rsid w:val="481608EC"/>
    <w:rsid w:val="482F35F7"/>
    <w:rsid w:val="48861F15"/>
    <w:rsid w:val="491F7C74"/>
    <w:rsid w:val="4970227E"/>
    <w:rsid w:val="4A0A26D2"/>
    <w:rsid w:val="4B094738"/>
    <w:rsid w:val="4B1C435F"/>
    <w:rsid w:val="4B6776B0"/>
    <w:rsid w:val="4BE3459A"/>
    <w:rsid w:val="4BE551A5"/>
    <w:rsid w:val="4C0513A3"/>
    <w:rsid w:val="4C177328"/>
    <w:rsid w:val="4C455C43"/>
    <w:rsid w:val="4C6A7458"/>
    <w:rsid w:val="4CC27294"/>
    <w:rsid w:val="4D493DD6"/>
    <w:rsid w:val="4D7814A6"/>
    <w:rsid w:val="4D9F1383"/>
    <w:rsid w:val="4F573C42"/>
    <w:rsid w:val="4FA47125"/>
    <w:rsid w:val="4FF791D7"/>
    <w:rsid w:val="4FFD9C54"/>
    <w:rsid w:val="4FFE8C31"/>
    <w:rsid w:val="501E02B3"/>
    <w:rsid w:val="503C110B"/>
    <w:rsid w:val="505455FA"/>
    <w:rsid w:val="507F02BA"/>
    <w:rsid w:val="5107792A"/>
    <w:rsid w:val="51165E00"/>
    <w:rsid w:val="51340FA6"/>
    <w:rsid w:val="516923D4"/>
    <w:rsid w:val="51A52CE0"/>
    <w:rsid w:val="51DD691E"/>
    <w:rsid w:val="5242429B"/>
    <w:rsid w:val="524424F9"/>
    <w:rsid w:val="53563658"/>
    <w:rsid w:val="53D27D64"/>
    <w:rsid w:val="540F204F"/>
    <w:rsid w:val="54E7EF72"/>
    <w:rsid w:val="54E90427"/>
    <w:rsid w:val="55180399"/>
    <w:rsid w:val="554F0D30"/>
    <w:rsid w:val="56187F25"/>
    <w:rsid w:val="56336B0D"/>
    <w:rsid w:val="567B14E9"/>
    <w:rsid w:val="56E04EE6"/>
    <w:rsid w:val="56E46059"/>
    <w:rsid w:val="56FB1D20"/>
    <w:rsid w:val="57315742"/>
    <w:rsid w:val="573214BA"/>
    <w:rsid w:val="579B705F"/>
    <w:rsid w:val="580D6DE0"/>
    <w:rsid w:val="58225865"/>
    <w:rsid w:val="58242BB1"/>
    <w:rsid w:val="58D31E5E"/>
    <w:rsid w:val="58E32A6C"/>
    <w:rsid w:val="59881A57"/>
    <w:rsid w:val="59C75EEA"/>
    <w:rsid w:val="59D7D2BC"/>
    <w:rsid w:val="5ACC12DE"/>
    <w:rsid w:val="5ACD0F47"/>
    <w:rsid w:val="5ADF069C"/>
    <w:rsid w:val="5B7200D7"/>
    <w:rsid w:val="5B7CAE6C"/>
    <w:rsid w:val="5B7FF220"/>
    <w:rsid w:val="5B93162A"/>
    <w:rsid w:val="5BA069F2"/>
    <w:rsid w:val="5BAD55B3"/>
    <w:rsid w:val="5C186ED1"/>
    <w:rsid w:val="5D7C01A2"/>
    <w:rsid w:val="5D7D55CE"/>
    <w:rsid w:val="5DB54949"/>
    <w:rsid w:val="5DFE52E8"/>
    <w:rsid w:val="5E2D5F04"/>
    <w:rsid w:val="5E563CE0"/>
    <w:rsid w:val="5F1C6CD8"/>
    <w:rsid w:val="5F41673E"/>
    <w:rsid w:val="5F4B4013"/>
    <w:rsid w:val="5F57C3C3"/>
    <w:rsid w:val="5F5F1A15"/>
    <w:rsid w:val="5F6124CD"/>
    <w:rsid w:val="5F734150"/>
    <w:rsid w:val="5F7A755A"/>
    <w:rsid w:val="5F7B2A3E"/>
    <w:rsid w:val="5FA42A31"/>
    <w:rsid w:val="5FD01A5D"/>
    <w:rsid w:val="5FFBA91F"/>
    <w:rsid w:val="602120CC"/>
    <w:rsid w:val="608A7C71"/>
    <w:rsid w:val="60BC24F5"/>
    <w:rsid w:val="60CB2763"/>
    <w:rsid w:val="61493688"/>
    <w:rsid w:val="61B76844"/>
    <w:rsid w:val="62D84CC4"/>
    <w:rsid w:val="632626A5"/>
    <w:rsid w:val="640D536E"/>
    <w:rsid w:val="64254456"/>
    <w:rsid w:val="64BE25DF"/>
    <w:rsid w:val="64C97F51"/>
    <w:rsid w:val="658C10DC"/>
    <w:rsid w:val="65B85280"/>
    <w:rsid w:val="661701F9"/>
    <w:rsid w:val="663C1A0D"/>
    <w:rsid w:val="66BF2D77"/>
    <w:rsid w:val="66FF4629"/>
    <w:rsid w:val="66FFAD92"/>
    <w:rsid w:val="67874F0A"/>
    <w:rsid w:val="68363442"/>
    <w:rsid w:val="686139AD"/>
    <w:rsid w:val="68982043"/>
    <w:rsid w:val="690861D7"/>
    <w:rsid w:val="6956090F"/>
    <w:rsid w:val="69AA611C"/>
    <w:rsid w:val="69C935B8"/>
    <w:rsid w:val="69EC54F9"/>
    <w:rsid w:val="69F7F171"/>
    <w:rsid w:val="6A040A94"/>
    <w:rsid w:val="6ADD2461"/>
    <w:rsid w:val="6B6712DB"/>
    <w:rsid w:val="6BB32772"/>
    <w:rsid w:val="6BDC47B9"/>
    <w:rsid w:val="6BEB057F"/>
    <w:rsid w:val="6C3F3C30"/>
    <w:rsid w:val="6CAB51F7"/>
    <w:rsid w:val="6D846F8B"/>
    <w:rsid w:val="6E211213"/>
    <w:rsid w:val="6E8977BA"/>
    <w:rsid w:val="6EFABF8A"/>
    <w:rsid w:val="6F2843E1"/>
    <w:rsid w:val="6F481A96"/>
    <w:rsid w:val="6F773101"/>
    <w:rsid w:val="6F7B60D5"/>
    <w:rsid w:val="6FD35191"/>
    <w:rsid w:val="6FE5D284"/>
    <w:rsid w:val="707B75D6"/>
    <w:rsid w:val="719E17CE"/>
    <w:rsid w:val="71B853E0"/>
    <w:rsid w:val="71F96A05"/>
    <w:rsid w:val="721816B3"/>
    <w:rsid w:val="721970A7"/>
    <w:rsid w:val="7231619E"/>
    <w:rsid w:val="724D04A7"/>
    <w:rsid w:val="726A7902"/>
    <w:rsid w:val="72812BAD"/>
    <w:rsid w:val="72BB13CA"/>
    <w:rsid w:val="72CA214F"/>
    <w:rsid w:val="72E11781"/>
    <w:rsid w:val="73240EFC"/>
    <w:rsid w:val="73246DDB"/>
    <w:rsid w:val="73463ECB"/>
    <w:rsid w:val="73794114"/>
    <w:rsid w:val="73E65ACD"/>
    <w:rsid w:val="73F92CEC"/>
    <w:rsid w:val="73FF5A76"/>
    <w:rsid w:val="75071439"/>
    <w:rsid w:val="75834F63"/>
    <w:rsid w:val="75A849CA"/>
    <w:rsid w:val="75C77BDB"/>
    <w:rsid w:val="7601057E"/>
    <w:rsid w:val="763B75EC"/>
    <w:rsid w:val="764A782F"/>
    <w:rsid w:val="765F34F2"/>
    <w:rsid w:val="768C42EB"/>
    <w:rsid w:val="76B410C4"/>
    <w:rsid w:val="76C53359"/>
    <w:rsid w:val="76D3782B"/>
    <w:rsid w:val="76FFA597"/>
    <w:rsid w:val="770C71DA"/>
    <w:rsid w:val="771209E9"/>
    <w:rsid w:val="77416E84"/>
    <w:rsid w:val="77447586"/>
    <w:rsid w:val="77CB4ADD"/>
    <w:rsid w:val="77EA23B9"/>
    <w:rsid w:val="77FF4CD1"/>
    <w:rsid w:val="7853714E"/>
    <w:rsid w:val="78E0091E"/>
    <w:rsid w:val="793B3DA7"/>
    <w:rsid w:val="793F3897"/>
    <w:rsid w:val="794B223C"/>
    <w:rsid w:val="794F202B"/>
    <w:rsid w:val="79CF6ED7"/>
    <w:rsid w:val="79F04B91"/>
    <w:rsid w:val="7AC2652D"/>
    <w:rsid w:val="7AEF6BF7"/>
    <w:rsid w:val="7AF9264F"/>
    <w:rsid w:val="7AFF5F50"/>
    <w:rsid w:val="7B446F42"/>
    <w:rsid w:val="7B6C5620"/>
    <w:rsid w:val="7B795FEB"/>
    <w:rsid w:val="7BF791AD"/>
    <w:rsid w:val="7BFC278B"/>
    <w:rsid w:val="7BFDCF28"/>
    <w:rsid w:val="7C3945CD"/>
    <w:rsid w:val="7C492879"/>
    <w:rsid w:val="7CB124D1"/>
    <w:rsid w:val="7CBC50DD"/>
    <w:rsid w:val="7CC4451B"/>
    <w:rsid w:val="7CE3B668"/>
    <w:rsid w:val="7D9835CB"/>
    <w:rsid w:val="7DB52379"/>
    <w:rsid w:val="7DFF676D"/>
    <w:rsid w:val="7E1846B6"/>
    <w:rsid w:val="7E192908"/>
    <w:rsid w:val="7E553215"/>
    <w:rsid w:val="7E61605D"/>
    <w:rsid w:val="7E6664F5"/>
    <w:rsid w:val="7E684CD7"/>
    <w:rsid w:val="7E7538B7"/>
    <w:rsid w:val="7E87507E"/>
    <w:rsid w:val="7E89123F"/>
    <w:rsid w:val="7EA2350B"/>
    <w:rsid w:val="7EC42148"/>
    <w:rsid w:val="7F10538E"/>
    <w:rsid w:val="7F6B99D5"/>
    <w:rsid w:val="7F74CE4C"/>
    <w:rsid w:val="7F7AE691"/>
    <w:rsid w:val="7F9EE73D"/>
    <w:rsid w:val="7FB552B5"/>
    <w:rsid w:val="7FD50AB1"/>
    <w:rsid w:val="7FE75835"/>
    <w:rsid w:val="7FE7924E"/>
    <w:rsid w:val="7FFE77D5"/>
    <w:rsid w:val="7FFF47AE"/>
    <w:rsid w:val="90FF59E4"/>
    <w:rsid w:val="977F1D40"/>
    <w:rsid w:val="9BD5B68D"/>
    <w:rsid w:val="B6CF8F57"/>
    <w:rsid w:val="B6FCE977"/>
    <w:rsid w:val="BBE2CBA0"/>
    <w:rsid w:val="BBEF8008"/>
    <w:rsid w:val="BEFB4A09"/>
    <w:rsid w:val="BEFF8B0B"/>
    <w:rsid w:val="BF5FC6D4"/>
    <w:rsid w:val="BF7FBCD6"/>
    <w:rsid w:val="C35F01AC"/>
    <w:rsid w:val="C6D22DFF"/>
    <w:rsid w:val="C7FBB398"/>
    <w:rsid w:val="CFBD9125"/>
    <w:rsid w:val="DBA39D17"/>
    <w:rsid w:val="DCF39D3C"/>
    <w:rsid w:val="DDDDE24F"/>
    <w:rsid w:val="DFFDA93C"/>
    <w:rsid w:val="DFFFFDE2"/>
    <w:rsid w:val="E7DF9587"/>
    <w:rsid w:val="EB7F452A"/>
    <w:rsid w:val="EDFF4F4A"/>
    <w:rsid w:val="EFA79355"/>
    <w:rsid w:val="EFBB45B6"/>
    <w:rsid w:val="EFCFF802"/>
    <w:rsid w:val="EFFF182B"/>
    <w:rsid w:val="F4FFCE63"/>
    <w:rsid w:val="F77F85FD"/>
    <w:rsid w:val="F7BD1B61"/>
    <w:rsid w:val="F8AE49D3"/>
    <w:rsid w:val="F9F6C641"/>
    <w:rsid w:val="FBE743CA"/>
    <w:rsid w:val="FBF6811A"/>
    <w:rsid w:val="FCFFCEBD"/>
    <w:rsid w:val="FD5A14AD"/>
    <w:rsid w:val="FD7D3E15"/>
    <w:rsid w:val="FDBB8C9A"/>
    <w:rsid w:val="FDFF7459"/>
    <w:rsid w:val="FEBFAF0B"/>
    <w:rsid w:val="FEDB581D"/>
    <w:rsid w:val="FEEF801B"/>
    <w:rsid w:val="FEFEF64A"/>
    <w:rsid w:val="FEFF200E"/>
    <w:rsid w:val="FF6EE62C"/>
    <w:rsid w:val="FF7D42D5"/>
    <w:rsid w:val="FFAF6D01"/>
    <w:rsid w:val="FFCB1C0A"/>
    <w:rsid w:val="FFDD0658"/>
    <w:rsid w:val="FFEE0DE7"/>
    <w:rsid w:val="FFEEB6C6"/>
    <w:rsid w:val="FFEF74A8"/>
    <w:rsid w:val="FFF7FC37"/>
    <w:rsid w:val="FFFFA66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next w:val="1"/>
    <w:qFormat/>
    <w:uiPriority w:val="1"/>
    <w:pPr>
      <w:widowControl w:val="0"/>
      <w:autoSpaceDE w:val="0"/>
      <w:autoSpaceDN w:val="0"/>
      <w:adjustRightInd w:val="0"/>
      <w:spacing w:line="652" w:lineRule="exact"/>
      <w:ind w:left="866"/>
      <w:outlineLvl w:val="0"/>
    </w:pPr>
    <w:rPr>
      <w:rFonts w:hint="eastAsia" w:ascii="方正小标宋简体" w:hAnsi="方正小标宋简体" w:eastAsia="方正小标宋简体" w:cs="Times New Roman"/>
      <w:sz w:val="44"/>
      <w:szCs w:val="24"/>
      <w:lang w:val="en-US" w:eastAsia="zh-CN" w:bidi="ar-SA"/>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3">
    <w:name w:val="Body Text"/>
    <w:basedOn w:val="1"/>
    <w:unhideWhenUsed/>
    <w:qFormat/>
    <w:uiPriority w:val="99"/>
    <w:pPr>
      <w:spacing w:after="120"/>
    </w:pPr>
    <w:rPr>
      <w:rFonts w:hint="eastAsia" w:ascii="等线" w:hAnsi="等线" w:eastAsia="等线"/>
      <w:szCs w:val="21"/>
    </w:rPr>
  </w:style>
  <w:style w:type="paragraph" w:styleId="4">
    <w:name w:val="Body Text Indent"/>
    <w:basedOn w:val="1"/>
    <w:qFormat/>
    <w:uiPriority w:val="0"/>
    <w:pPr>
      <w:spacing w:after="120"/>
      <w:ind w:left="420" w:leftChars="200"/>
    </w:pPr>
    <w:rPr>
      <w:kern w:val="0"/>
      <w:sz w:val="24"/>
      <w:szCs w:val="20"/>
    </w:rPr>
  </w:style>
  <w:style w:type="paragraph" w:styleId="5">
    <w:name w:val="Body Text Indent 2"/>
    <w:basedOn w:val="1"/>
    <w:qFormat/>
    <w:uiPriority w:val="0"/>
    <w:pPr>
      <w:spacing w:after="120" w:afterLines="0" w:afterAutospacing="0" w:line="480" w:lineRule="auto"/>
      <w:ind w:left="420" w:leftChars="2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39"/>
    <w:pPr>
      <w:jc w:val="center"/>
    </w:pPr>
  </w:style>
  <w:style w:type="paragraph" w:styleId="9">
    <w:name w:val="footnote text"/>
    <w:basedOn w:val="1"/>
    <w:unhideWhenUsed/>
    <w:qFormat/>
    <w:uiPriority w:val="99"/>
    <w:pPr>
      <w:snapToGrid w:val="0"/>
      <w:jc w:val="left"/>
    </w:pPr>
    <w:rPr>
      <w:sz w:val="18"/>
      <w:szCs w:val="18"/>
    </w:rPr>
  </w:style>
  <w:style w:type="paragraph" w:styleId="10">
    <w:name w:val="toc 2"/>
    <w:basedOn w:val="1"/>
    <w:next w:val="1"/>
    <w:qFormat/>
    <w:uiPriority w:val="39"/>
    <w:pPr>
      <w:ind w:left="420" w:leftChars="200"/>
    </w:pPr>
  </w:style>
  <w:style w:type="paragraph" w:styleId="11">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2">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3">
    <w:name w:val="Body Text First Indent 2"/>
    <w:basedOn w:val="4"/>
    <w:qFormat/>
    <w:uiPriority w:val="0"/>
    <w:pPr>
      <w:ind w:firstLine="420"/>
    </w:pPr>
  </w:style>
  <w:style w:type="table" w:styleId="15">
    <w:name w:val="Table Grid"/>
    <w:basedOn w:val="14"/>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Emphasis"/>
    <w:basedOn w:val="16"/>
    <w:qFormat/>
    <w:uiPriority w:val="0"/>
    <w:rPr>
      <w:i/>
    </w:rPr>
  </w:style>
  <w:style w:type="character" w:styleId="18">
    <w:name w:val="footnote reference"/>
    <w:basedOn w:val="16"/>
    <w:unhideWhenUsed/>
    <w:qFormat/>
    <w:uiPriority w:val="99"/>
    <w:rPr>
      <w:vertAlign w:val="superscript"/>
    </w:rPr>
  </w:style>
  <w:style w:type="paragraph" w:customStyle="1" w:styleId="19">
    <w:name w:val="目录 11"/>
    <w:next w:val="1"/>
    <w:qFormat/>
    <w:uiPriority w:val="99"/>
    <w:pPr>
      <w:wordWrap w:val="0"/>
      <w:spacing w:line="300" w:lineRule="atLeast"/>
      <w:jc w:val="both"/>
    </w:pPr>
    <w:rPr>
      <w:rFonts w:ascii="Times New Roman" w:hAnsi="Times New Roman" w:eastAsia="宋体" w:cs="Times New Roman"/>
      <w:sz w:val="21"/>
      <w:szCs w:val="22"/>
      <w:lang w:val="en-US" w:eastAsia="zh-CN" w:bidi="ar-SA"/>
    </w:rPr>
  </w:style>
  <w:style w:type="paragraph" w:customStyle="1" w:styleId="20">
    <w:name w:val="p0"/>
    <w:basedOn w:val="1"/>
    <w:qFormat/>
    <w:uiPriority w:val="0"/>
    <w:pPr>
      <w:widowControl/>
    </w:pPr>
    <w:rPr>
      <w:rFonts w:eastAsia="宋体"/>
      <w:kern w:val="0"/>
      <w:szCs w:val="32"/>
    </w:rPr>
  </w:style>
  <w:style w:type="paragraph" w:customStyle="1" w:styleId="21">
    <w:name w:val="列表段落1"/>
    <w:basedOn w:val="1"/>
    <w:qFormat/>
    <w:uiPriority w:val="99"/>
    <w:pPr>
      <w:ind w:firstLine="420"/>
    </w:p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ef07fe05-8f04-44b5-8ca9-9fd4872758a8</errorID>
      <errorWord xmlns="http://schemas.wps.cn/vas-ai-hub/contract-review">2026年08月</errorWord>
      <group xmlns="http://schemas.wps.cn/vas-ai-hub/contract-review">L1_Knowledge</group>
      <groupName xmlns="http://schemas.wps.cn/vas-ai-hub/contract-review">知识性问题</groupName>
      <ability xmlns="http://schemas.wps.cn/vas-ai-hub/contract-review">L2_Time</ability>
      <abilityName xmlns="http://schemas.wps.cn/vas-ai-hub/contract-review">日期时间</abilityName>
      <candidateList xmlns="http://schemas.wps.cn/vas-ai-hub/contract-review">
        <item xmlns="http://schemas.wps.cn/vas-ai-hub/contract-review">2026年8月</item>
      </candidateList>
      <explain xmlns="http://schemas.wps.cn/vas-ai-hub/contract-review">根据日常书写习惯，月份一般会省略前导零。</explain>
      <paraID xmlns="http://schemas.wps.cn/vas-ai-hub/contract-review">1FA524E7</paraID>
      <start xmlns="http://schemas.wps.cn/vas-ai-hub/contract-review">0</start>
      <end xmlns="http://schemas.wps.cn/vas-ai-hub/contract-review">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68264a07-bf09-4a50-b1b7-cab36d613fbb</errorID>
      <errorWord xmlns="http://schemas.wps.cn/vas-ai-hub/contract-review">展</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展了</item>
      </candidateList>
      <explain xmlns="http://schemas.wps.cn/vas-ai-hub/contract-review"/>
      <paraID xmlns="http://schemas.wps.cn/vas-ai-hub/contract-review">6971CA38</paraID>
      <start xmlns="http://schemas.wps.cn/vas-ai-hub/contract-review">26</start>
      <end xmlns="http://schemas.wps.cn/vas-ai-hub/contract-review">27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02f9b32e-5bc4-4a1f-a9dd-715e245c170b</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6971CA38</paraID>
      <start xmlns="http://schemas.wps.cn/vas-ai-hub/contract-review">248</start>
      <end xmlns="http://schemas.wps.cn/vas-ai-hub/contract-review">249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6cf5f894-fbb8-4049-a432-76857525feb6</errorID>
      <errorWord xmlns="http://schemas.wps.cn/vas-ai-hub/contract-review">智城市建设</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智慧城市建设</item>
      </candidateList>
      <explain xmlns="http://schemas.wps.cn/vas-ai-hub/contract-review">词汇“智慧城市建设”在特定场景下为固定表述形式，请确认此处的“智城市建设”是否存在不当。</explain>
      <paraID xmlns="http://schemas.wps.cn/vas-ai-hub/contract-review">593181E0</paraID>
      <start xmlns="http://schemas.wps.cn/vas-ai-hub/contract-review">9</start>
      <end xmlns="http://schemas.wps.cn/vas-ai-hub/contract-review">14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3c1b7c6d-0983-4a38-a175-90a7030f3782</errorID>
      <errorWord xmlns="http://schemas.wps.cn/vas-ai-hub/contract-review">思路</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的思路</item>
      </candidateList>
      <explain xmlns="http://schemas.wps.cn/vas-ai-hub/contract-review"/>
      <paraID xmlns="http://schemas.wps.cn/vas-ai-hub/contract-review">  134CF6</paraID>
      <start xmlns="http://schemas.wps.cn/vas-ai-hub/contract-review">23</start>
      <end xmlns="http://schemas.wps.cn/vas-ai-hub/contract-review">25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e596c085-a36e-4bfa-82be-dc94e0449903</errorID>
      <errorWord xmlns="http://schemas.wps.cn/vas-ai-hub/contract-review">一个</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即一个</item>
      </candidateList>
      <explain xmlns="http://schemas.wps.cn/vas-ai-hub/contract-review"/>
      <paraID xmlns="http://schemas.wps.cn/vas-ai-hub/contract-review">  134CF6</paraID>
      <start xmlns="http://schemas.wps.cn/vas-ai-hub/contract-review">39</start>
      <end xmlns="http://schemas.wps.cn/vas-ai-hub/contract-review">41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5b477a17-2b5c-478f-af70-247a25c2894a</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155364B8</paraID>
      <start xmlns="http://schemas.wps.cn/vas-ai-hub/contract-review">119</start>
      <end xmlns="http://schemas.wps.cn/vas-ai-hub/contract-review">120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f5843dfa-c8f6-4fe3-9a2b-a6c1a632c948</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39C53226</paraID>
      <start xmlns="http://schemas.wps.cn/vas-ai-hub/contract-review">138</start>
      <end xmlns="http://schemas.wps.cn/vas-ai-hub/contract-review">139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460f726c-eb6d-4b10-9fa7-7f3e1a844f18</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664796C4</paraID>
      <start xmlns="http://schemas.wps.cn/vas-ai-hub/contract-review">26</start>
      <end xmlns="http://schemas.wps.cn/vas-ai-hub/contract-review">27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d5c6dbf6-ba2a-4b67-bf98-25ee197fad19</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664796C4</paraID>
      <start xmlns="http://schemas.wps.cn/vas-ai-hub/contract-review">125</start>
      <end xmlns="http://schemas.wps.cn/vas-ai-hub/contract-review">126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acc2dce5-7db1-4b76-a482-d7be4eea0e7c</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3BA10999</paraID>
      <start xmlns="http://schemas.wps.cn/vas-ai-hub/contract-review">27</start>
      <end xmlns="http://schemas.wps.cn/vas-ai-hub/contract-review">28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a6bbcfec-9f30-427f-8a12-5acd779e2beb</errorID>
      <errorWord xmlns="http://schemas.wps.cn/vas-ai-hub/contract-review">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善的</item>
      </candidateList>
      <explain xmlns="http://schemas.wps.cn/vas-ai-hub/contract-review"/>
      <paraID xmlns="http://schemas.wps.cn/vas-ai-hub/contract-review">3BA10999</paraID>
      <start xmlns="http://schemas.wps.cn/vas-ai-hub/contract-review">57</start>
      <end xmlns="http://schemas.wps.cn/vas-ai-hub/contract-review">59</end>
      <status xmlns="http://schemas.wps.cn/vas-ai-hub/contract-review">modified</status>
      <modifiedWord xmlns="http://schemas.wps.cn/vas-ai-hub/contract-review">善的</modifiedWord>
      <trackRevisions xmlns="http://schemas.wps.cn/vas-ai-hub/contract-review">false</trackRevisions>
    </reviewItem>
    <reviewItem xmlns="http://schemas.wps.cn/vas-ai-hub/contract-review">
      <errorID xmlns="http://schemas.wps.cn/vas-ai-hub/contract-review">c2543667-937a-4916-a961-355c3c57b976</errorID>
      <errorWord xmlns="http://schemas.wps.cn/vas-ai-hub/contract-review">安全</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的安全</item>
      </candidateList>
      <explain xmlns="http://schemas.wps.cn/vas-ai-hub/contract-review"/>
      <paraID xmlns="http://schemas.wps.cn/vas-ai-hub/contract-review">3BA10999</paraID>
      <start xmlns="http://schemas.wps.cn/vas-ai-hub/contract-review">59</start>
      <end xmlns="http://schemas.wps.cn/vas-ai-hub/contract-review">61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bcad0790-58d8-4b22-92f6-e7319f4d6f61</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49AD4E4A</paraID>
      <start xmlns="http://schemas.wps.cn/vas-ai-hub/contract-review">31</start>
      <end xmlns="http://schemas.wps.cn/vas-ai-hub/contract-review">32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761f5b2b-1118-4d3c-b995-c35848641a35</errorID>
      <errorWord xmlns="http://schemas.wps.cn/vas-ai-hub/contract-review">，</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活动，</item>
      </candidateList>
      <explain xmlns="http://schemas.wps.cn/vas-ai-hub/contract-review"/>
      <paraID xmlns="http://schemas.wps.cn/vas-ai-hub/contract-review">49AD4E4A</paraID>
      <start xmlns="http://schemas.wps.cn/vas-ai-hub/contract-review">76</start>
      <end xmlns="http://schemas.wps.cn/vas-ai-hub/contract-review">80</end>
      <status xmlns="http://schemas.wps.cn/vas-ai-hub/contract-review">modified</status>
      <modifiedWord xmlns="http://schemas.wps.cn/vas-ai-hub/contract-review">活动，</modifiedWord>
      <trackRevisions xmlns="http://schemas.wps.cn/vas-ai-hub/contract-review">true</trackRevisions>
    </reviewItem>
    <reviewItem xmlns="http://schemas.wps.cn/vas-ai-hub/contract-review">
      <errorID xmlns="http://schemas.wps.cn/vas-ai-hub/contract-review">b02764ab-1e2f-4c05-ae93-9221d18ee17e</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49AD4E4A</paraID>
      <start xmlns="http://schemas.wps.cn/vas-ai-hub/contract-review">142</start>
      <end xmlns="http://schemas.wps.cn/vas-ai-hub/contract-review">143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50201c35-7dbb-4779-937a-c1e9f86e5be0</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1680ED90</paraID>
      <start xmlns="http://schemas.wps.cn/vas-ai-hub/contract-review">71</start>
      <end xmlns="http://schemas.wps.cn/vas-ai-hub/contract-review">72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849ab9f7-7b4f-492b-885a-2b4217b22b70</errorID>
      <errorWord xmlns="http://schemas.wps.cn/vas-ai-hub/contract-review">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业在</item>
      </candidateList>
      <explain xmlns="http://schemas.wps.cn/vas-ai-hub/contract-review"/>
      <paraID xmlns="http://schemas.wps.cn/vas-ai-hub/contract-review">545C23EE</paraID>
      <start xmlns="http://schemas.wps.cn/vas-ai-hub/contract-review">5</start>
      <end xmlns="http://schemas.wps.cn/vas-ai-hub/contract-review">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14e41dfe-2047-4b4e-bca6-1ca9ca81746c</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545C23EE</paraID>
      <start xmlns="http://schemas.wps.cn/vas-ai-hub/contract-review">213</start>
      <end xmlns="http://schemas.wps.cn/vas-ai-hub/contract-review">214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c66c211c-eb30-4685-abfd-1e84aa1a0b58</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545C23EE</paraID>
      <start xmlns="http://schemas.wps.cn/vas-ai-hub/contract-review">225</start>
      <end xmlns="http://schemas.wps.cn/vas-ai-hub/contract-review">226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7f93ea7e-ef03-42f2-9024-1a796c37c73a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1652AAB6</paraID>
      <start xmlns="http://schemas.wps.cn/vas-ai-hub/contract-review">34</start>
      <end xmlns="http://schemas.wps.cn/vas-ai-hub/contract-review">35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b49bdd49-f8be-4195-b66c-498d0dc14b09</errorID>
      <errorWord xmlns="http://schemas.wps.cn/vas-ai-hub/contract-review">数字政务建设</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数字政府建设</item>
      </candidateList>
      <explain xmlns="http://schemas.wps.cn/vas-ai-hub/contract-review">词汇“数字政府建设”在特定场景下为固定表述形式，请确认此处的“数字政务建设”是否存在不当。</explain>
      <paraID xmlns="http://schemas.wps.cn/vas-ai-hub/contract-review">265C1536</paraID>
      <start xmlns="http://schemas.wps.cn/vas-ai-hub/contract-review">9</start>
      <end xmlns="http://schemas.wps.cn/vas-ai-hub/contract-review">15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ebf4ac10-c8c8-4472-b4ab-06ce41a2437c</errorID>
      <errorWord xmlns="http://schemas.wps.cn/vas-ai-hub/contract-review">纳入到</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纳入</item>
      </candidateList>
      <explain xmlns="http://schemas.wps.cn/vas-ai-hub/contract-review"/>
      <paraID xmlns="http://schemas.wps.cn/vas-ai-hub/contract-review">20486648</paraID>
      <start xmlns="http://schemas.wps.cn/vas-ai-hub/contract-review">71</start>
      <end xmlns="http://schemas.wps.cn/vas-ai-hub/contract-review">74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3648bfe4-0e25-40dc-bfb8-81c948b01cd6</errorID>
      <errorWord xmlns="http://schemas.wps.cn/vas-ai-hub/contract-review">。</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的能力。</item>
      </candidateList>
      <explain xmlns="http://schemas.wps.cn/vas-ai-hub/contract-review"/>
      <paraID xmlns="http://schemas.wps.cn/vas-ai-hub/contract-review">47C3C068</paraID>
      <start xmlns="http://schemas.wps.cn/vas-ai-hub/contract-review">229</start>
      <end xmlns="http://schemas.wps.cn/vas-ai-hub/contract-review">234</end>
      <status xmlns="http://schemas.wps.cn/vas-ai-hub/contract-review">modified</status>
      <modifiedWord xmlns="http://schemas.wps.cn/vas-ai-hub/contract-review">的能力。</modifiedWord>
      <trackRevisions xmlns="http://schemas.wps.cn/vas-ai-hub/contract-review">true</trackRevisions>
    </reviewItem>
    <reviewItem xmlns="http://schemas.wps.cn/vas-ai-hub/contract-review">
      <errorID xmlns="http://schemas.wps.cn/vas-ai-hub/contract-review">18d46381-f893-438f-8871-5eefcfdcdc9b</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、可</item>
      </candidateList>
      <explain xmlns="http://schemas.wps.cn/vas-ai-hub/contract-review"/>
      <paraID xmlns="http://schemas.wps.cn/vas-ai-hub/contract-review">78626A18</paraID>
      <start xmlns="http://schemas.wps.cn/vas-ai-hub/contract-review">138</start>
      <end xmlns="http://schemas.wps.cn/vas-ai-hub/contract-review">139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2b39c429-b615-43bc-8254-10682915c49e</errorID>
      <errorWord xmlns="http://schemas.wps.cn/vas-ai-hub/contract-review">互助养老服务</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互助性养老服务</item>
      </candidateList>
      <explain xmlns="http://schemas.wps.cn/vas-ai-hub/contract-review">词汇“互助性养老服务”在特定场景下为固定表述形式，请确认此处的“互助养老服务”是否存在不当。</explain>
      <paraID xmlns="http://schemas.wps.cn/vas-ai-hub/contract-review">73032BF8</paraID>
      <start xmlns="http://schemas.wps.cn/vas-ai-hub/contract-review">29</start>
      <end xmlns="http://schemas.wps.cn/vas-ai-hub/contract-review">35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cfd3f752-276a-48a2-96e2-9352e6da390c</errorID>
      <errorWord xmlns="http://schemas.wps.cn/vas-ai-hub/contract-review">自然灾害等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自然灾害</item>
      </candidateList>
      <explain xmlns="http://schemas.wps.cn/vas-ai-hub/contract-review"/>
      <paraID xmlns="http://schemas.wps.cn/vas-ai-hub/contract-review">5BB77D2B</paraID>
      <start xmlns="http://schemas.wps.cn/vas-ai-hub/contract-review">191</start>
      <end xmlns="http://schemas.wps.cn/vas-ai-hub/contract-review">200</end>
      <status xmlns="http://schemas.wps.cn/vas-ai-hub/contract-review">modified</status>
      <modifiedWord xmlns="http://schemas.wps.cn/vas-ai-hub/contract-review">自然灾害</modifiedWord>
      <trackRevisions xmlns="http://schemas.wps.cn/vas-ai-hub/contract-review">true</trackRevisions>
    </reviewItem>
    <reviewItem xmlns="http://schemas.wps.cn/vas-ai-hub/contract-review">
      <errorID xmlns="http://schemas.wps.cn/vas-ai-hub/contract-review">7f904821-edb5-40ae-9038-ad67fb4d452f</errorID>
      <errorWord xmlns="http://schemas.wps.cn/vas-ai-hub/contract-review">雪亮工程</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“雪亮工程”</item>
      </candidateList>
      <explain xmlns="http://schemas.wps.cn/vas-ai-hub/contract-review">注意检查当前固定表述标点是否使用规范。</explain>
      <paraID xmlns="http://schemas.wps.cn/vas-ai-hub/contract-review">738B0537</paraID>
      <start xmlns="http://schemas.wps.cn/vas-ai-hub/contract-review">13</start>
      <end xmlns="http://schemas.wps.cn/vas-ai-hub/contract-review">17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c42a6075-405b-4b62-9bfe-3d605376d611</errorID>
      <errorWord xmlns="http://schemas.wps.cn/vas-ai-hub/contract-review">大气污染监控监测</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大气污染监测</item>
      </candidateList>
      <explain xmlns="http://schemas.wps.cn/vas-ai-hub/contract-review"/>
      <paraID xmlns="http://schemas.wps.cn/vas-ai-hub/contract-review">4EF8BF2E</paraID>
      <start xmlns="http://schemas.wps.cn/vas-ai-hub/contract-review">53</start>
      <end xmlns="http://schemas.wps.cn/vas-ai-hub/contract-review">67</end>
      <status xmlns="http://schemas.wps.cn/vas-ai-hub/contract-review">modified</status>
      <modifiedWord xmlns="http://schemas.wps.cn/vas-ai-hub/contract-review">大气污染监测</modifiedWord>
      <trackRevisions xmlns="http://schemas.wps.cn/vas-ai-hub/contract-review">true</trackRevisions>
    </reviewItem>
    <reviewItem xmlns="http://schemas.wps.cn/vas-ai-hub/contract-review">
      <errorID xmlns="http://schemas.wps.cn/vas-ai-hub/contract-review">7743cd1f-9cb2-48f1-90d8-c287b4aca577</errorID>
      <errorWord xmlns="http://schemas.wps.cn/vas-ai-hub/contract-review">大气污染监控</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大气污染监测</item>
      </candidateList>
      <explain xmlns="http://schemas.wps.cn/vas-ai-hub/contract-review"/>
      <paraID xmlns="http://schemas.wps.cn/vas-ai-hub/contract-review">4EF8BF2E</paraID>
      <start xmlns="http://schemas.wps.cn/vas-ai-hub/contract-review">112</start>
      <end xmlns="http://schemas.wps.cn/vas-ai-hub/contract-review">124</end>
      <status xmlns="http://schemas.wps.cn/vas-ai-hub/contract-review">modified</status>
      <modifiedWord xmlns="http://schemas.wps.cn/vas-ai-hub/contract-review">大气污染监测</modifiedWord>
      <trackRevisions xmlns="http://schemas.wps.cn/vas-ai-hub/contract-review">true</trackRevisions>
    </reviewItem>
    <reviewItem xmlns="http://schemas.wps.cn/vas-ai-hub/contract-review">
      <errorID xmlns="http://schemas.wps.cn/vas-ai-hub/contract-review">5b526984-c0a1-4dbc-bc13-a7202e8eca9c</errorID>
      <errorWord xmlns="http://schemas.wps.cn/vas-ai-hub/contract-review">制度与</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制度</item>
      </candidateList>
      <explain xmlns="http://schemas.wps.cn/vas-ai-hub/contract-review"/>
      <paraID xmlns="http://schemas.wps.cn/vas-ai-hub/contract-review"> 2B2ABD4</paraID>
      <start xmlns="http://schemas.wps.cn/vas-ai-hub/contract-review">115</start>
      <end xmlns="http://schemas.wps.cn/vas-ai-hub/contract-review">120</end>
      <status xmlns="http://schemas.wps.cn/vas-ai-hub/contract-review">modified</status>
      <modifiedWord xmlns="http://schemas.wps.cn/vas-ai-hub/contract-review">制度</modifiedWord>
      <trackRevisions xmlns="http://schemas.wps.cn/vas-ai-hub/contract-review">true</trackRevisions>
    </reviewItem>
    <reviewItem xmlns="http://schemas.wps.cn/vas-ai-hub/contract-review">
      <errorID xmlns="http://schemas.wps.cn/vas-ai-hub/contract-review">160be4ed-2110-4fe1-baaf-5e37e0f406d6</errorID>
      <errorWord xmlns="http://schemas.wps.cn/vas-ai-hub/contract-review">轻量化</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支持轻量化</item>
      </candidateList>
      <explain xmlns="http://schemas.wps.cn/vas-ai-hub/contract-review"/>
      <paraID xmlns="http://schemas.wps.cn/vas-ai-hub/contract-review">7803B3A6</paraID>
      <start xmlns="http://schemas.wps.cn/vas-ai-hub/contract-review">35</start>
      <end xmlns="http://schemas.wps.cn/vas-ai-hub/contract-review">43</end>
      <status xmlns="http://schemas.wps.cn/vas-ai-hub/contract-review">modified</status>
      <modifiedWord xmlns="http://schemas.wps.cn/vas-ai-hub/contract-review">支持轻量化</modifiedWord>
      <trackRevisions xmlns="http://schemas.wps.cn/vas-ai-hub/contract-review">true</trackRevisions>
    </reviewItem>
    <reviewItem xmlns="http://schemas.wps.cn/vas-ai-hub/contract-review">
      <errorID xmlns="http://schemas.wps.cn/vas-ai-hub/contract-review">808857ef-1f4c-42c0-97a1-08314e480e0a</errorID>
      <errorWord xmlns="http://schemas.wps.cn/vas-ai-hub/contract-review">雪亮工程</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“雪亮工程”</item>
      </candidateList>
      <explain xmlns="http://schemas.wps.cn/vas-ai-hub/contract-review">注意检查当前固定表述标点是否使用规范。</explain>
      <paraID xmlns="http://schemas.wps.cn/vas-ai-hub/contract-review">1E03A9BD</paraID>
      <start xmlns="http://schemas.wps.cn/vas-ai-hub/contract-review">15</start>
      <end xmlns="http://schemas.wps.cn/vas-ai-hub/contract-review">19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624938b2-11ab-4f03-ba7d-cf151d7b289c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12259998</paraID>
      <start xmlns="http://schemas.wps.cn/vas-ai-hub/contract-review">83</start>
      <end xmlns="http://schemas.wps.cn/vas-ai-hub/contract-review">86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d03bd99b-4d03-4e66-89ba-2239e6a6a051</errorID>
      <errorWord xmlns="http://schemas.wps.cn/vas-ai-hub/contract-review">通过建设</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通过</item>
      </candidateList>
      <explain xmlns="http://schemas.wps.cn/vas-ai-hub/contract-review"/>
      <paraID xmlns="http://schemas.wps.cn/vas-ai-hub/contract-review"> 6E09833</paraID>
      <start xmlns="http://schemas.wps.cn/vas-ai-hub/contract-review">46</start>
      <end xmlns="http://schemas.wps.cn/vas-ai-hub/contract-review">52</end>
      <status xmlns="http://schemas.wps.cn/vas-ai-hub/contract-review">modified</status>
      <modifiedWord xmlns="http://schemas.wps.cn/vas-ai-hub/contract-review">通过</modifiedWord>
      <trackRevisions xmlns="http://schemas.wps.cn/vas-ai-hub/contract-review">true</trackRevisions>
    </reviewItem>
    <reviewItem xmlns="http://schemas.wps.cn/vas-ai-hub/contract-review">
      <errorID xmlns="http://schemas.wps.cn/vas-ai-hub/contract-review">aba5c295-8776-4006-8c94-81d17338f47f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6E09833</paraID>
      <start xmlns="http://schemas.wps.cn/vas-ai-hub/contract-review">75</start>
      <end xmlns="http://schemas.wps.cn/vas-ai-hub/contract-review">76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17e763e5-444c-455d-894d-3898b4119e26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6E09833</paraID>
      <start xmlns="http://schemas.wps.cn/vas-ai-hub/contract-review">80</start>
      <end xmlns="http://schemas.wps.cn/vas-ai-hub/contract-review">81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cfe973b8-818b-4c20-afec-7da4009c51de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6E09833</paraID>
      <start xmlns="http://schemas.wps.cn/vas-ai-hub/contract-review">85</start>
      <end xmlns="http://schemas.wps.cn/vas-ai-hub/contract-review">86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bc166f85-6bc0-4bed-921b-ba07578fdd83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6E09833</paraID>
      <start xmlns="http://schemas.wps.cn/vas-ai-hub/contract-review">90</start>
      <end xmlns="http://schemas.wps.cn/vas-ai-hub/contract-review">91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b70ead27-97dd-45ed-bcea-ad37b64f80ac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6E09833</paraID>
      <start xmlns="http://schemas.wps.cn/vas-ai-hub/contract-review">95</start>
      <end xmlns="http://schemas.wps.cn/vas-ai-hub/contract-review">96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45910852-ccb1-4deb-861b-9b76188b3aa2</errorID>
      <errorWord xmlns="http://schemas.wps.cn/vas-ai-hub/contract-review">重点人</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对重点人员</item>
      </candidateList>
      <explain xmlns="http://schemas.wps.cn/vas-ai-hub/contract-review"/>
      <paraID xmlns="http://schemas.wps.cn/vas-ai-hub/contract-review"> EA82487</paraID>
      <start xmlns="http://schemas.wps.cn/vas-ai-hub/contract-review">51</start>
      <end xmlns="http://schemas.wps.cn/vas-ai-hub/contract-review">54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347a01ae-cd8c-413f-83c4-3f747a938774</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3B656363</paraID>
      <start xmlns="http://schemas.wps.cn/vas-ai-hub/contract-review">35</start>
      <end xmlns="http://schemas.wps.cn/vas-ai-hub/contract-review">36</end>
      <status xmlns="http://schemas.wps.cn/vas-ai-hub/contract-review">modified</status>
      <modifiedWord xmlns="http://schemas.wps.cn/vas-ai-hub/contract-review"/>
      <trackRevisions xmlns="http://schemas.wps.cn/vas-ai-hub/contract-review">true</trackRevisions>
    </reviewItem>
    <reviewItem xmlns="http://schemas.wps.cn/vas-ai-hub/contract-review">
      <errorID xmlns="http://schemas.wps.cn/vas-ai-hub/contract-review">e5899568-b3c0-4504-b26f-45ee15268d94</errorID>
      <errorWord xmlns="http://schemas.wps.cn/vas-ai-hub/contract-review">以及</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，并</item>
      </candidateList>
      <explain xmlns="http://schemas.wps.cn/vas-ai-hub/contract-review"/>
      <paraID xmlns="http://schemas.wps.cn/vas-ai-hub/contract-review">3B656363</paraID>
      <start xmlns="http://schemas.wps.cn/vas-ai-hub/contract-review">43</start>
      <end xmlns="http://schemas.wps.cn/vas-ai-hub/contract-review">47</end>
      <status xmlns="http://schemas.wps.cn/vas-ai-hub/contract-review">modified</status>
      <modifiedWord xmlns="http://schemas.wps.cn/vas-ai-hub/contract-review">，并</modifiedWord>
      <trackRevisions xmlns="http://schemas.wps.cn/vas-ai-hub/contract-review">true</trackRevisions>
    </reviewItem>
    <reviewItem xmlns="http://schemas.wps.cn/vas-ai-hub/contract-review">
      <errorID xmlns="http://schemas.wps.cn/vas-ai-hub/contract-review">9dc1985c-9ec1-44e3-a88e-0e69a91d7804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338C0B28</paraID>
      <start xmlns="http://schemas.wps.cn/vas-ai-hub/contract-review">6</start>
      <end xmlns="http://schemas.wps.cn/vas-ai-hub/contract-review">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58f4b6e8-99bc-440d-9089-a7f3cd02e25a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338C0B28</paraID>
      <start xmlns="http://schemas.wps.cn/vas-ai-hub/contract-review">11</start>
      <end xmlns="http://schemas.wps.cn/vas-ai-hub/contract-review">14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2a1d609b-c30e-478f-adb8-8b2f173b2841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338C0B28</paraID>
      <start xmlns="http://schemas.wps.cn/vas-ai-hub/contract-review">16</start>
      <end xmlns="http://schemas.wps.cn/vas-ai-hub/contract-review">19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edfe9635-f664-4809-aa0a-fea44613ce3c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338C0B28</paraID>
      <start xmlns="http://schemas.wps.cn/vas-ai-hub/contract-review">21</start>
      <end xmlns="http://schemas.wps.cn/vas-ai-hub/contract-review">24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134fa383-1fb1-4e86-8c28-9f0506ba9382</errorID>
      <errorWord xmlns="http://schemas.wps.cn/vas-ai-hub/contract-review">服务平台项目</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服务平台</item>
      </candidateList>
      <explain xmlns="http://schemas.wps.cn/vas-ai-hub/contract-review"/>
      <paraID xmlns="http://schemas.wps.cn/vas-ai-hub/contract-review">338C0B28</paraID>
      <start xmlns="http://schemas.wps.cn/vas-ai-hub/contract-review">38</start>
      <end xmlns="http://schemas.wps.cn/vas-ai-hub/contract-review">48</end>
      <status xmlns="http://schemas.wps.cn/vas-ai-hub/contract-review">modified</status>
      <modifiedWord xmlns="http://schemas.wps.cn/vas-ai-hub/contract-review">服务平台</modifiedWord>
      <trackRevisions xmlns="http://schemas.wps.cn/vas-ai-hub/contract-review">true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46de6c-3c91-4a5a-9c8d-17c08ef2c97e}">
  <ds:schemaRefs/>
</ds:datastoreItem>
</file>

<file path=docProps/app.xml><?xml version="1.0" encoding="utf-8"?>
<Properties xmlns="http://schemas.openxmlformats.org/officeDocument/2006/extended-properties" xmlns:vt="http://schemas.openxmlformats.org/officeDocument/2006/docPropsVTypes">
  <Template>Normal.dotm</Template>
  <Pages>26</Pages>
  <Words>1405</Words>
  <Characters>1452</Characters>
  <Lines>0</Lines>
  <Paragraphs>0</Paragraphs>
  <TotalTime>3</TotalTime>
  <ScaleCrop>false</ScaleCrop>
  <LinksUpToDate>false</LinksUpToDate>
  <CharactersWithSpaces>1481</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2025-11-19T16:12:00Z</dcterms:created>
  <dc:creator>lym</dc:creator>
  <cp:lastModifiedBy>owner</cp:lastModifiedBy>
  <dcterms:modified xsi:type="dcterms:W3CDTF">2026-09-01T17:49:07Z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CA115B40022B424CBEEC6EF88646E437_13</vt:lpwstr>
  </property>
  <property fmtid="{D5CDD505-2E9C-101B-9397-08002B2CF9AE}" pid="4" name="KSOTemplateDocerSaveRecord">
    <vt:lpwstr>eyJoZGlkIjoiNDZjMDIyZTg1NTI2NzE2YTNiYTY0YTAzM2MzZWIxZDgiLCJ1c2VySWQiOiIxMjgxNzc1NTIifQ==</vt:lpwstr>
  </property>
</Properties>
</file>