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B7E67">
      <w:pPr>
        <w:spacing w:line="700" w:lineRule="exact"/>
        <w:jc w:val="center"/>
        <w:rPr>
          <w:rFonts w:hint="eastAsia" w:ascii="仿宋_GB2312" w:hAnsi="仿宋_GB2312" w:eastAsia="仿宋_GB2312" w:cs="仿宋_GB2312"/>
          <w:color w:val="auto"/>
          <w:sz w:val="44"/>
          <w:szCs w:val="44"/>
        </w:rPr>
      </w:pPr>
      <w:bookmarkStart w:id="0" w:name="_Toc19818"/>
      <w:bookmarkStart w:id="1" w:name="_Toc9386"/>
      <w:bookmarkStart w:id="2" w:name="_Toc4839"/>
      <w:bookmarkStart w:id="3" w:name="_Toc20612"/>
    </w:p>
    <w:p w14:paraId="27FE04C2">
      <w:pPr>
        <w:pStyle w:val="2"/>
        <w:rPr>
          <w:rFonts w:hint="eastAsia"/>
        </w:rPr>
      </w:pPr>
    </w:p>
    <w:p w14:paraId="645BCC3C">
      <w:pPr>
        <w:spacing w:line="700" w:lineRule="exact"/>
        <w:jc w:val="center"/>
        <w:rPr>
          <w:rFonts w:hint="eastAsia" w:ascii="仿宋_GB2312" w:hAnsi="仿宋_GB2312" w:eastAsia="仿宋_GB2312" w:cs="仿宋_GB2312"/>
          <w:color w:val="auto"/>
          <w:sz w:val="44"/>
          <w:szCs w:val="44"/>
        </w:rPr>
      </w:pPr>
    </w:p>
    <w:p w14:paraId="4B5A4EBE">
      <w:pPr>
        <w:spacing w:line="700" w:lineRule="exact"/>
        <w:jc w:val="center"/>
        <w:rPr>
          <w:rFonts w:hint="eastAsia" w:ascii="仿宋_GB2312" w:hAnsi="仿宋_GB2312" w:eastAsia="仿宋_GB2312" w:cs="仿宋_GB2312"/>
          <w:color w:val="auto"/>
          <w:sz w:val="44"/>
          <w:szCs w:val="44"/>
        </w:rPr>
      </w:pPr>
    </w:p>
    <w:p w14:paraId="4D9F6BEA">
      <w:pPr>
        <w:spacing w:line="700" w:lineRule="exact"/>
        <w:jc w:val="center"/>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 xml:space="preserve">  北京城市副中心（通州区）</w:t>
      </w:r>
    </w:p>
    <w:p w14:paraId="5BC6E26B">
      <w:pPr>
        <w:spacing w:line="700" w:lineRule="exact"/>
        <w:jc w:val="center"/>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color w:val="auto"/>
          <w:sz w:val="44"/>
          <w:szCs w:val="44"/>
        </w:rPr>
        <w:t>“十五五”时期</w:t>
      </w:r>
      <w:bookmarkEnd w:id="0"/>
      <w:bookmarkEnd w:id="1"/>
      <w:bookmarkEnd w:id="2"/>
      <w:bookmarkEnd w:id="3"/>
      <w:r>
        <w:rPr>
          <w:rFonts w:hint="eastAsia" w:ascii="方正小标宋简体" w:hAnsi="方正小标宋简体" w:eastAsia="方正小标宋简体" w:cs="方正小标宋简体"/>
          <w:b/>
          <w:bCs/>
          <w:color w:val="auto"/>
          <w:sz w:val="44"/>
          <w:szCs w:val="44"/>
        </w:rPr>
        <w:t>乡村振兴规划</w:t>
      </w:r>
    </w:p>
    <w:p w14:paraId="1229658C">
      <w:pPr>
        <w:pStyle w:val="2"/>
        <w:spacing w:line="560" w:lineRule="exact"/>
        <w:ind w:firstLine="640" w:firstLineChars="200"/>
        <w:rPr>
          <w:rFonts w:hint="eastAsia" w:ascii="仿宋_GB2312" w:hAnsi="仿宋_GB2312" w:eastAsia="仿宋_GB2312" w:cs="仿宋_GB2312"/>
          <w:color w:val="auto"/>
          <w:szCs w:val="32"/>
        </w:rPr>
      </w:pPr>
    </w:p>
    <w:p w14:paraId="179E0D62">
      <w:pPr>
        <w:pStyle w:val="2"/>
        <w:spacing w:line="560" w:lineRule="exact"/>
        <w:ind w:firstLine="640" w:firstLineChars="200"/>
        <w:rPr>
          <w:rFonts w:hint="eastAsia" w:ascii="仿宋_GB2312" w:hAnsi="仿宋_GB2312" w:eastAsia="仿宋_GB2312" w:cs="仿宋_GB2312"/>
          <w:color w:val="auto"/>
          <w:szCs w:val="32"/>
        </w:rPr>
      </w:pPr>
    </w:p>
    <w:p w14:paraId="686BD27F">
      <w:pPr>
        <w:rPr>
          <w:rFonts w:hint="eastAsia" w:ascii="仿宋_GB2312" w:hAnsi="仿宋_GB2312" w:eastAsia="仿宋_GB2312" w:cs="仿宋_GB2312"/>
          <w:color w:val="auto"/>
          <w:szCs w:val="32"/>
        </w:rPr>
      </w:pPr>
    </w:p>
    <w:p w14:paraId="2427F3DE">
      <w:pPr>
        <w:pStyle w:val="2"/>
        <w:rPr>
          <w:rFonts w:hint="eastAsia" w:ascii="仿宋_GB2312" w:hAnsi="仿宋_GB2312" w:eastAsia="仿宋_GB2312" w:cs="仿宋_GB2312"/>
          <w:color w:val="auto"/>
          <w:szCs w:val="32"/>
        </w:rPr>
      </w:pPr>
    </w:p>
    <w:p w14:paraId="3070FE21">
      <w:pPr>
        <w:rPr>
          <w:rFonts w:hint="eastAsia" w:ascii="仿宋_GB2312" w:hAnsi="仿宋_GB2312" w:eastAsia="仿宋_GB2312" w:cs="仿宋_GB2312"/>
          <w:color w:val="auto"/>
          <w:szCs w:val="32"/>
        </w:rPr>
      </w:pPr>
    </w:p>
    <w:p w14:paraId="04E5DA8F">
      <w:pPr>
        <w:pStyle w:val="2"/>
        <w:rPr>
          <w:rFonts w:hint="eastAsia" w:ascii="仿宋_GB2312" w:hAnsi="仿宋_GB2312" w:eastAsia="仿宋_GB2312" w:cs="仿宋_GB2312"/>
          <w:color w:val="auto"/>
          <w:szCs w:val="32"/>
        </w:rPr>
      </w:pPr>
    </w:p>
    <w:p w14:paraId="30809891">
      <w:pPr>
        <w:rPr>
          <w:rFonts w:hint="eastAsia"/>
        </w:rPr>
      </w:pPr>
    </w:p>
    <w:p w14:paraId="6E6F26B5">
      <w:pPr>
        <w:pStyle w:val="2"/>
        <w:rPr>
          <w:rFonts w:hint="eastAsia"/>
        </w:rPr>
      </w:pPr>
    </w:p>
    <w:p w14:paraId="460479F2">
      <w:pPr>
        <w:rPr>
          <w:rFonts w:hint="eastAsia"/>
        </w:rPr>
      </w:pPr>
    </w:p>
    <w:p w14:paraId="1451B871">
      <w:pPr>
        <w:pStyle w:val="2"/>
        <w:rPr>
          <w:rFonts w:hint="eastAsia"/>
        </w:rPr>
      </w:pPr>
    </w:p>
    <w:p w14:paraId="03F1BB76">
      <w:pPr>
        <w:pStyle w:val="2"/>
        <w:rPr>
          <w:rFonts w:hint="eastAsia" w:ascii="仿宋_GB2312" w:hAnsi="仿宋_GB2312" w:eastAsia="仿宋_GB2312" w:cs="仿宋_GB2312"/>
          <w:color w:val="auto"/>
          <w:szCs w:val="32"/>
        </w:rPr>
      </w:pPr>
    </w:p>
    <w:p w14:paraId="679D2884">
      <w:pPr>
        <w:jc w:val="center"/>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通州区农业农村局</w:t>
      </w:r>
    </w:p>
    <w:p w14:paraId="45A1EB32">
      <w:pPr>
        <w:jc w:val="center"/>
        <w:rPr>
          <w:rFonts w:hint="eastAsia" w:ascii="仿宋_GB2312" w:hAnsi="仿宋_GB2312" w:eastAsia="仿宋_GB2312" w:cs="仿宋_GB2312"/>
          <w:b/>
          <w:bCs/>
          <w:color w:val="auto"/>
        </w:rPr>
      </w:pPr>
      <w:r>
        <w:rPr>
          <w:rFonts w:hint="eastAsia" w:ascii="仿宋_GB2312" w:hAnsi="仿宋_GB2312" w:eastAsia="仿宋_GB2312" w:cs="仿宋_GB2312"/>
          <w:b/>
          <w:bCs/>
          <w:color w:val="auto"/>
          <w:szCs w:val="32"/>
        </w:rPr>
        <w:t>2026年8月</w:t>
      </w:r>
    </w:p>
    <w:p w14:paraId="7E059865">
      <w:pPr>
        <w:rPr>
          <w:rFonts w:hint="eastAsia" w:ascii="仿宋_GB2312" w:hAnsi="仿宋_GB2312" w:eastAsia="仿宋_GB2312" w:cs="仿宋_GB2312"/>
          <w:color w:val="auto"/>
        </w:rPr>
        <w:sectPr>
          <w:footnotePr>
            <w:numFmt w:val="decimalEnclosedCircleChinese"/>
          </w:footnotePr>
          <w:pgSz w:w="11906" w:h="16838"/>
          <w:pgMar w:top="2098" w:right="1474" w:bottom="1984" w:left="1587" w:header="1701" w:footer="1701" w:gutter="0"/>
          <w:pgNumType w:start="1"/>
          <w:cols w:space="720" w:num="1"/>
          <w:docGrid w:type="lines" w:linePitch="312" w:charSpace="0"/>
        </w:sectPr>
      </w:pPr>
    </w:p>
    <w:p w14:paraId="11EEB79D">
      <w:pPr>
        <w:spacing w:line="240" w:lineRule="auto"/>
        <w:jc w:val="center"/>
        <w:rPr>
          <w:rFonts w:hint="eastAsia" w:ascii="黑体" w:hAnsi="黑体" w:eastAsia="黑体" w:cs="黑体"/>
          <w:color w:val="auto"/>
          <w:szCs w:val="32"/>
        </w:rPr>
      </w:pPr>
      <w:r>
        <w:rPr>
          <w:rFonts w:hint="eastAsia" w:ascii="黑体" w:hAnsi="黑体" w:eastAsia="黑体" w:cs="黑体"/>
          <w:color w:val="auto"/>
          <w:szCs w:val="32"/>
        </w:rPr>
        <w:t>目录</w:t>
      </w:r>
    </w:p>
    <w:p w14:paraId="6B762A64">
      <w:pPr>
        <w:pStyle w:val="19"/>
        <w:tabs>
          <w:tab w:val="right" w:leader="dot" w:pos="8845"/>
        </w:tabs>
        <w:spacing w:line="500" w:lineRule="exact"/>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rPr>
        <w:instrText xml:space="preserve">TOC \o "1-3" \h \u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_Toc25886 </w:instrText>
      </w:r>
      <w:r>
        <w:rPr>
          <w:rFonts w:hint="default" w:ascii="Times New Roman" w:hAnsi="Times New Roman" w:eastAsia="仿宋_GB2312" w:cs="Times New Roman"/>
          <w:szCs w:val="28"/>
        </w:rPr>
        <w:fldChar w:fldCharType="separate"/>
      </w:r>
      <w:r>
        <w:rPr>
          <w:rFonts w:hint="eastAsia" w:ascii="黑体" w:hAnsi="黑体" w:eastAsia="黑体" w:cs="黑体"/>
          <w:szCs w:val="32"/>
        </w:rPr>
        <w:t>一、</w:t>
      </w:r>
      <w:r>
        <w:rPr>
          <w:rFonts w:hint="eastAsia" w:ascii="黑体" w:hAnsi="黑体" w:eastAsia="黑体" w:cs="黑体"/>
          <w:szCs w:val="32"/>
          <w:lang w:val="en-US" w:eastAsia="zh-CN"/>
        </w:rPr>
        <w:t>总体要求</w:t>
      </w:r>
      <w:r>
        <w:tab/>
      </w:r>
      <w:r>
        <w:fldChar w:fldCharType="begin"/>
      </w:r>
      <w:r>
        <w:instrText xml:space="preserve"> PAGEREF _Toc25886 \h </w:instrText>
      </w:r>
      <w:r>
        <w:fldChar w:fldCharType="separate"/>
      </w:r>
      <w:r>
        <w:t>1</w:t>
      </w:r>
      <w:r>
        <w:fldChar w:fldCharType="end"/>
      </w:r>
      <w:r>
        <w:rPr>
          <w:rFonts w:hint="default" w:ascii="Times New Roman" w:hAnsi="Times New Roman" w:eastAsia="仿宋_GB2312" w:cs="Times New Roman"/>
          <w:color w:val="auto"/>
          <w:szCs w:val="28"/>
        </w:rPr>
        <w:fldChar w:fldCharType="end"/>
      </w:r>
    </w:p>
    <w:p w14:paraId="76D87300">
      <w:pPr>
        <w:pStyle w:val="19"/>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_Toc21357 </w:instrText>
      </w:r>
      <w:r>
        <w:rPr>
          <w:rFonts w:hint="default" w:ascii="Times New Roman" w:hAnsi="Times New Roman" w:eastAsia="仿宋_GB2312" w:cs="Times New Roman"/>
          <w:szCs w:val="28"/>
        </w:rPr>
        <w:fldChar w:fldCharType="separate"/>
      </w:r>
      <w:r>
        <w:rPr>
          <w:rFonts w:hint="eastAsia" w:ascii="黑体" w:hAnsi="黑体" w:eastAsia="黑体" w:cs="黑体"/>
          <w:szCs w:val="32"/>
        </w:rPr>
        <w:t>二、建设都市特色现代农业，科技赋能乡村产业振兴</w:t>
      </w:r>
      <w:r>
        <w:tab/>
      </w:r>
      <w:r>
        <w:fldChar w:fldCharType="begin"/>
      </w:r>
      <w:r>
        <w:instrText xml:space="preserve"> PAGEREF _Toc21357 \h </w:instrText>
      </w:r>
      <w:r>
        <w:fldChar w:fldCharType="separate"/>
      </w:r>
      <w:r>
        <w:t>3</w:t>
      </w:r>
      <w:r>
        <w:fldChar w:fldCharType="end"/>
      </w:r>
      <w:r>
        <w:rPr>
          <w:rFonts w:hint="default" w:ascii="Times New Roman" w:hAnsi="Times New Roman" w:eastAsia="仿宋_GB2312" w:cs="Times New Roman"/>
          <w:color w:val="auto"/>
          <w:szCs w:val="28"/>
        </w:rPr>
        <w:fldChar w:fldCharType="end"/>
      </w:r>
    </w:p>
    <w:p w14:paraId="04D46AD0">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_Toc4665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（一）夯实农业产业基础，提高稳产保供能力</w:t>
      </w:r>
      <w:r>
        <w:tab/>
      </w:r>
      <w:r>
        <w:fldChar w:fldCharType="begin"/>
      </w:r>
      <w:r>
        <w:instrText xml:space="preserve"> PAGEREF _Toc4665 \h </w:instrText>
      </w:r>
      <w:r>
        <w:fldChar w:fldCharType="separate"/>
      </w:r>
      <w:r>
        <w:t>3</w:t>
      </w:r>
      <w:r>
        <w:fldChar w:fldCharType="end"/>
      </w:r>
      <w:r>
        <w:rPr>
          <w:rFonts w:hint="default" w:ascii="Times New Roman" w:hAnsi="Times New Roman" w:eastAsia="仿宋_GB2312" w:cs="Times New Roman"/>
          <w:color w:val="auto"/>
          <w:szCs w:val="28"/>
        </w:rPr>
        <w:fldChar w:fldCharType="end"/>
      </w:r>
    </w:p>
    <w:p w14:paraId="5DB20D61">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_Toc2973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（二）推进科技创新应用，发展农业新质生产力</w:t>
      </w:r>
      <w:r>
        <w:tab/>
      </w:r>
      <w:r>
        <w:fldChar w:fldCharType="begin"/>
      </w:r>
      <w:r>
        <w:instrText xml:space="preserve"> PAGEREF _Toc2973 \h </w:instrText>
      </w:r>
      <w:r>
        <w:fldChar w:fldCharType="separate"/>
      </w:r>
      <w:r>
        <w:t>4</w:t>
      </w:r>
      <w:r>
        <w:fldChar w:fldCharType="end"/>
      </w:r>
      <w:r>
        <w:rPr>
          <w:rFonts w:hint="default" w:ascii="Times New Roman" w:hAnsi="Times New Roman" w:eastAsia="仿宋_GB2312" w:cs="Times New Roman"/>
          <w:color w:val="auto"/>
          <w:szCs w:val="28"/>
        </w:rPr>
        <w:fldChar w:fldCharType="end"/>
      </w:r>
    </w:p>
    <w:p w14:paraId="2118037A">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_Toc17736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（三）创新种业发展格局，助力种业之都建设</w:t>
      </w:r>
      <w:r>
        <w:tab/>
      </w:r>
      <w:r>
        <w:fldChar w:fldCharType="begin"/>
      </w:r>
      <w:r>
        <w:instrText xml:space="preserve"> PAGEREF _Toc17736 \h </w:instrText>
      </w:r>
      <w:r>
        <w:fldChar w:fldCharType="separate"/>
      </w:r>
      <w:r>
        <w:t>4</w:t>
      </w:r>
      <w:r>
        <w:fldChar w:fldCharType="end"/>
      </w:r>
      <w:r>
        <w:rPr>
          <w:rFonts w:hint="default" w:ascii="Times New Roman" w:hAnsi="Times New Roman" w:eastAsia="仿宋_GB2312" w:cs="Times New Roman"/>
          <w:color w:val="auto"/>
          <w:szCs w:val="28"/>
        </w:rPr>
        <w:fldChar w:fldCharType="end"/>
      </w:r>
    </w:p>
    <w:p w14:paraId="2E039537">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_Toc4401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（四）深化产业融合发展，释放延链增值潜力</w:t>
      </w:r>
      <w:r>
        <w:tab/>
      </w:r>
      <w:r>
        <w:fldChar w:fldCharType="begin"/>
      </w:r>
      <w:r>
        <w:instrText xml:space="preserve"> PAGEREF _Toc4401 \h </w:instrText>
      </w:r>
      <w:r>
        <w:fldChar w:fldCharType="separate"/>
      </w:r>
      <w:r>
        <w:t>5</w:t>
      </w:r>
      <w:r>
        <w:fldChar w:fldCharType="end"/>
      </w:r>
      <w:r>
        <w:rPr>
          <w:rFonts w:hint="default" w:ascii="Times New Roman" w:hAnsi="Times New Roman" w:eastAsia="仿宋_GB2312" w:cs="Times New Roman"/>
          <w:color w:val="auto"/>
          <w:szCs w:val="28"/>
        </w:rPr>
        <w:fldChar w:fldCharType="end"/>
      </w:r>
    </w:p>
    <w:p w14:paraId="0F1084ED">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_Toc17260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（五）筑牢质量安全根基，加快品牌矩阵建设</w:t>
      </w:r>
      <w:r>
        <w:tab/>
      </w:r>
      <w:r>
        <w:fldChar w:fldCharType="begin"/>
      </w:r>
      <w:r>
        <w:instrText xml:space="preserve"> PAGEREF _Toc17260 \h </w:instrText>
      </w:r>
      <w:r>
        <w:fldChar w:fldCharType="separate"/>
      </w:r>
      <w:r>
        <w:t>6</w:t>
      </w:r>
      <w:r>
        <w:fldChar w:fldCharType="end"/>
      </w:r>
      <w:r>
        <w:rPr>
          <w:rFonts w:hint="default" w:ascii="Times New Roman" w:hAnsi="Times New Roman" w:eastAsia="仿宋_GB2312" w:cs="Times New Roman"/>
          <w:color w:val="auto"/>
          <w:szCs w:val="28"/>
        </w:rPr>
        <w:fldChar w:fldCharType="end"/>
      </w:r>
    </w:p>
    <w:p w14:paraId="01380D45">
      <w:pPr>
        <w:pStyle w:val="19"/>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_Toc10439 </w:instrText>
      </w:r>
      <w:r>
        <w:rPr>
          <w:rFonts w:hint="default" w:ascii="Times New Roman" w:hAnsi="Times New Roman" w:eastAsia="仿宋_GB2312" w:cs="Times New Roman"/>
          <w:szCs w:val="28"/>
        </w:rPr>
        <w:fldChar w:fldCharType="separate"/>
      </w:r>
      <w:r>
        <w:rPr>
          <w:rFonts w:hint="eastAsia" w:ascii="黑体" w:hAnsi="黑体" w:eastAsia="黑体" w:cs="黑体"/>
          <w:szCs w:val="32"/>
        </w:rPr>
        <w:t>三、持续优化乡村人居环境，建设宜居宜业和美乡村</w:t>
      </w:r>
      <w:r>
        <w:tab/>
      </w:r>
      <w:r>
        <w:fldChar w:fldCharType="begin"/>
      </w:r>
      <w:r>
        <w:instrText xml:space="preserve"> PAGEREF _Toc10439 \h </w:instrText>
      </w:r>
      <w:r>
        <w:fldChar w:fldCharType="separate"/>
      </w:r>
      <w:r>
        <w:t>7</w:t>
      </w:r>
      <w:r>
        <w:fldChar w:fldCharType="end"/>
      </w:r>
      <w:r>
        <w:rPr>
          <w:rFonts w:hint="default" w:ascii="Times New Roman" w:hAnsi="Times New Roman" w:eastAsia="仿宋_GB2312" w:cs="Times New Roman"/>
          <w:color w:val="auto"/>
          <w:szCs w:val="28"/>
        </w:rPr>
        <w:fldChar w:fldCharType="end"/>
      </w:r>
    </w:p>
    <w:p w14:paraId="03C7A315">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_Toc2756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（一）</w:t>
      </w:r>
      <w:r>
        <w:rPr>
          <w:rFonts w:hint="eastAsia" w:ascii="仿宋_GB2312" w:hAnsi="仿宋_GB2312" w:eastAsia="仿宋_GB2312" w:cs="仿宋_GB2312"/>
          <w:bCs/>
          <w:szCs w:val="32"/>
        </w:rPr>
        <w:t>持续加强基础设施建设，夯实城乡融合根基</w:t>
      </w:r>
      <w:r>
        <w:tab/>
      </w:r>
      <w:r>
        <w:fldChar w:fldCharType="begin"/>
      </w:r>
      <w:r>
        <w:instrText xml:space="preserve"> PAGEREF _Toc2756 \h </w:instrText>
      </w:r>
      <w:r>
        <w:fldChar w:fldCharType="separate"/>
      </w:r>
      <w:r>
        <w:t>7</w:t>
      </w:r>
      <w:r>
        <w:fldChar w:fldCharType="end"/>
      </w:r>
      <w:r>
        <w:rPr>
          <w:rFonts w:hint="default" w:ascii="Times New Roman" w:hAnsi="Times New Roman" w:eastAsia="仿宋_GB2312" w:cs="Times New Roman"/>
          <w:color w:val="auto"/>
          <w:szCs w:val="28"/>
        </w:rPr>
        <w:fldChar w:fldCharType="end"/>
      </w:r>
    </w:p>
    <w:p w14:paraId="530906DB">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_Toc23575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（二）全面优化乡村人居环境，打造宜居宜业家园</w:t>
      </w:r>
      <w:r>
        <w:tab/>
      </w:r>
      <w:r>
        <w:fldChar w:fldCharType="begin"/>
      </w:r>
      <w:r>
        <w:instrText xml:space="preserve"> PAGEREF _Toc23575 \h </w:instrText>
      </w:r>
      <w:r>
        <w:fldChar w:fldCharType="separate"/>
      </w:r>
      <w:r>
        <w:t>8</w:t>
      </w:r>
      <w:r>
        <w:fldChar w:fldCharType="end"/>
      </w:r>
      <w:r>
        <w:rPr>
          <w:rFonts w:hint="default" w:ascii="Times New Roman" w:hAnsi="Times New Roman" w:eastAsia="仿宋_GB2312" w:cs="Times New Roman"/>
          <w:color w:val="auto"/>
          <w:szCs w:val="28"/>
        </w:rPr>
        <w:fldChar w:fldCharType="end"/>
      </w:r>
    </w:p>
    <w:p w14:paraId="26CC2AED">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_Toc14831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（三）提高基本公共服务水平，增进民生福祉保障</w:t>
      </w:r>
      <w:r>
        <w:tab/>
      </w:r>
      <w:r>
        <w:fldChar w:fldCharType="begin"/>
      </w:r>
      <w:r>
        <w:instrText xml:space="preserve"> PAGEREF _Toc14831 \h </w:instrText>
      </w:r>
      <w:r>
        <w:fldChar w:fldCharType="separate"/>
      </w:r>
      <w:r>
        <w:t>8</w:t>
      </w:r>
      <w:r>
        <w:fldChar w:fldCharType="end"/>
      </w:r>
      <w:r>
        <w:rPr>
          <w:rFonts w:hint="default" w:ascii="Times New Roman" w:hAnsi="Times New Roman" w:eastAsia="仿宋_GB2312" w:cs="Times New Roman"/>
          <w:color w:val="auto"/>
          <w:szCs w:val="28"/>
        </w:rPr>
        <w:fldChar w:fldCharType="end"/>
      </w:r>
    </w:p>
    <w:p w14:paraId="3BE70CAB">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_Toc17377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（四）持续提升党建引领水平，促进乡村有效治理</w:t>
      </w:r>
      <w:r>
        <w:tab/>
      </w:r>
      <w:r>
        <w:fldChar w:fldCharType="begin"/>
      </w:r>
      <w:r>
        <w:instrText xml:space="preserve"> PAGEREF _Toc17377 \h </w:instrText>
      </w:r>
      <w:r>
        <w:fldChar w:fldCharType="separate"/>
      </w:r>
      <w:r>
        <w:t>9</w:t>
      </w:r>
      <w:r>
        <w:fldChar w:fldCharType="end"/>
      </w:r>
      <w:r>
        <w:rPr>
          <w:rFonts w:hint="default" w:ascii="Times New Roman" w:hAnsi="Times New Roman" w:eastAsia="仿宋_GB2312" w:cs="Times New Roman"/>
          <w:color w:val="auto"/>
          <w:szCs w:val="28"/>
        </w:rPr>
        <w:fldChar w:fldCharType="end"/>
      </w:r>
    </w:p>
    <w:p w14:paraId="7E72EE25">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_Toc10823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（五）深入推进乡村生态治理，提升生态文明水平</w:t>
      </w:r>
      <w:r>
        <w:tab/>
      </w:r>
      <w:r>
        <w:fldChar w:fldCharType="begin"/>
      </w:r>
      <w:r>
        <w:instrText xml:space="preserve"> PAGEREF _Toc10823 \h </w:instrText>
      </w:r>
      <w:r>
        <w:fldChar w:fldCharType="separate"/>
      </w:r>
      <w:r>
        <w:t>10</w:t>
      </w:r>
      <w:r>
        <w:fldChar w:fldCharType="end"/>
      </w:r>
      <w:r>
        <w:rPr>
          <w:rFonts w:hint="default" w:ascii="Times New Roman" w:hAnsi="Times New Roman" w:eastAsia="仿宋_GB2312" w:cs="Times New Roman"/>
          <w:color w:val="auto"/>
          <w:szCs w:val="28"/>
        </w:rPr>
        <w:fldChar w:fldCharType="end"/>
      </w:r>
    </w:p>
    <w:p w14:paraId="2714418D">
      <w:pPr>
        <w:pStyle w:val="19"/>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_Toc7128 </w:instrText>
      </w:r>
      <w:r>
        <w:rPr>
          <w:rFonts w:hint="default" w:ascii="Times New Roman" w:hAnsi="Times New Roman" w:eastAsia="仿宋_GB2312" w:cs="Times New Roman"/>
          <w:szCs w:val="28"/>
        </w:rPr>
        <w:fldChar w:fldCharType="separate"/>
      </w:r>
      <w:r>
        <w:rPr>
          <w:rFonts w:hint="eastAsia" w:ascii="黑体" w:hAnsi="黑体" w:eastAsia="黑体" w:cs="黑体"/>
          <w:szCs w:val="32"/>
        </w:rPr>
        <w:t>四、全面深化农业农村改革，扎实推进共同富裕事业</w:t>
      </w:r>
      <w:r>
        <w:tab/>
      </w:r>
      <w:r>
        <w:fldChar w:fldCharType="begin"/>
      </w:r>
      <w:r>
        <w:instrText xml:space="preserve"> PAGEREF _Toc7128 \h </w:instrText>
      </w:r>
      <w:r>
        <w:fldChar w:fldCharType="separate"/>
      </w:r>
      <w:r>
        <w:t>11</w:t>
      </w:r>
      <w:r>
        <w:fldChar w:fldCharType="end"/>
      </w:r>
      <w:r>
        <w:rPr>
          <w:rFonts w:hint="default" w:ascii="Times New Roman" w:hAnsi="Times New Roman" w:eastAsia="仿宋_GB2312" w:cs="Times New Roman"/>
          <w:color w:val="auto"/>
          <w:szCs w:val="28"/>
        </w:rPr>
        <w:fldChar w:fldCharType="end"/>
      </w:r>
    </w:p>
    <w:p w14:paraId="5C19872D">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_Toc4348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（一）深化农村土地制度改革，筑牢农业农村发展根基</w:t>
      </w:r>
      <w:r>
        <w:tab/>
      </w:r>
      <w:r>
        <w:fldChar w:fldCharType="begin"/>
      </w:r>
      <w:r>
        <w:instrText xml:space="preserve"> PAGEREF _Toc4348 \h </w:instrText>
      </w:r>
      <w:r>
        <w:fldChar w:fldCharType="separate"/>
      </w:r>
      <w:r>
        <w:t>11</w:t>
      </w:r>
      <w:r>
        <w:fldChar w:fldCharType="end"/>
      </w:r>
      <w:r>
        <w:rPr>
          <w:rFonts w:hint="default" w:ascii="Times New Roman" w:hAnsi="Times New Roman" w:eastAsia="仿宋_GB2312" w:cs="Times New Roman"/>
          <w:color w:val="auto"/>
          <w:szCs w:val="28"/>
        </w:rPr>
        <w:fldChar w:fldCharType="end"/>
      </w:r>
    </w:p>
    <w:p w14:paraId="38EE30EB">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_Toc26682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（二）建强集体经济运行机制，激活共同富裕内生动力</w:t>
      </w:r>
      <w:r>
        <w:tab/>
      </w:r>
      <w:r>
        <w:fldChar w:fldCharType="begin"/>
      </w:r>
      <w:r>
        <w:instrText xml:space="preserve"> PAGEREF _Toc26682 \h </w:instrText>
      </w:r>
      <w:r>
        <w:fldChar w:fldCharType="separate"/>
      </w:r>
      <w:r>
        <w:t>12</w:t>
      </w:r>
      <w:r>
        <w:fldChar w:fldCharType="end"/>
      </w:r>
      <w:r>
        <w:rPr>
          <w:rFonts w:hint="default" w:ascii="Times New Roman" w:hAnsi="Times New Roman" w:eastAsia="仿宋_GB2312" w:cs="Times New Roman"/>
          <w:color w:val="auto"/>
          <w:szCs w:val="28"/>
        </w:rPr>
        <w:fldChar w:fldCharType="end"/>
      </w:r>
    </w:p>
    <w:p w14:paraId="573453ED">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_Toc16882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（三）健全多元支农政策体系，强化乡村振兴投入保障</w:t>
      </w:r>
      <w:r>
        <w:tab/>
      </w:r>
      <w:r>
        <w:fldChar w:fldCharType="begin"/>
      </w:r>
      <w:r>
        <w:instrText xml:space="preserve"> PAGEREF _Toc16882 \h </w:instrText>
      </w:r>
      <w:r>
        <w:fldChar w:fldCharType="separate"/>
      </w:r>
      <w:r>
        <w:t>12</w:t>
      </w:r>
      <w:r>
        <w:fldChar w:fldCharType="end"/>
      </w:r>
      <w:r>
        <w:rPr>
          <w:rFonts w:hint="default" w:ascii="Times New Roman" w:hAnsi="Times New Roman" w:eastAsia="仿宋_GB2312" w:cs="Times New Roman"/>
          <w:color w:val="auto"/>
          <w:szCs w:val="28"/>
        </w:rPr>
        <w:fldChar w:fldCharType="end"/>
      </w:r>
    </w:p>
    <w:p w14:paraId="39F1E11A">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_Toc19493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（四）建强乡村人才骨干队伍，强化乡村振兴人才支撑</w:t>
      </w:r>
      <w:r>
        <w:tab/>
      </w:r>
      <w:r>
        <w:fldChar w:fldCharType="begin"/>
      </w:r>
      <w:r>
        <w:instrText xml:space="preserve"> PAGEREF _Toc19493 \h </w:instrText>
      </w:r>
      <w:r>
        <w:fldChar w:fldCharType="separate"/>
      </w:r>
      <w:r>
        <w:t>13</w:t>
      </w:r>
      <w:r>
        <w:fldChar w:fldCharType="end"/>
      </w:r>
      <w:r>
        <w:rPr>
          <w:rFonts w:hint="default" w:ascii="Times New Roman" w:hAnsi="Times New Roman" w:eastAsia="仿宋_GB2312" w:cs="Times New Roman"/>
          <w:color w:val="auto"/>
          <w:szCs w:val="28"/>
        </w:rPr>
        <w:fldChar w:fldCharType="end"/>
      </w:r>
    </w:p>
    <w:p w14:paraId="628EF82D">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_Toc1641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（五）多维拓宽农民增收渠道，稳步提升共同富裕水平</w:t>
      </w:r>
      <w:r>
        <w:tab/>
      </w:r>
      <w:r>
        <w:fldChar w:fldCharType="begin"/>
      </w:r>
      <w:r>
        <w:instrText xml:space="preserve"> PAGEREF _Toc1641 \h </w:instrText>
      </w:r>
      <w:r>
        <w:fldChar w:fldCharType="separate"/>
      </w:r>
      <w:r>
        <w:t>13</w:t>
      </w:r>
      <w:r>
        <w:fldChar w:fldCharType="end"/>
      </w:r>
      <w:r>
        <w:rPr>
          <w:rFonts w:hint="default" w:ascii="Times New Roman" w:hAnsi="Times New Roman" w:eastAsia="仿宋_GB2312" w:cs="Times New Roman"/>
          <w:color w:val="auto"/>
          <w:szCs w:val="28"/>
        </w:rPr>
        <w:fldChar w:fldCharType="end"/>
      </w:r>
    </w:p>
    <w:p w14:paraId="15AF0922">
      <w:pPr>
        <w:pStyle w:val="19"/>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_Toc12336 </w:instrText>
      </w:r>
      <w:r>
        <w:rPr>
          <w:rFonts w:hint="default" w:ascii="Times New Roman" w:hAnsi="Times New Roman" w:eastAsia="仿宋_GB2312" w:cs="Times New Roman"/>
          <w:szCs w:val="28"/>
        </w:rPr>
        <w:fldChar w:fldCharType="separate"/>
      </w:r>
      <w:r>
        <w:rPr>
          <w:rFonts w:hint="eastAsia" w:ascii="黑体" w:hAnsi="黑体" w:eastAsia="黑体" w:cs="黑体"/>
          <w:szCs w:val="32"/>
        </w:rPr>
        <w:t>五、推动全域城乡融合发展，促进区域联动协同共进</w:t>
      </w:r>
      <w:r>
        <w:tab/>
      </w:r>
      <w:r>
        <w:fldChar w:fldCharType="begin"/>
      </w:r>
      <w:r>
        <w:instrText xml:space="preserve"> PAGEREF _Toc12336 \h </w:instrText>
      </w:r>
      <w:r>
        <w:fldChar w:fldCharType="separate"/>
      </w:r>
      <w:r>
        <w:t>14</w:t>
      </w:r>
      <w:r>
        <w:fldChar w:fldCharType="end"/>
      </w:r>
      <w:r>
        <w:rPr>
          <w:rFonts w:hint="default" w:ascii="Times New Roman" w:hAnsi="Times New Roman" w:eastAsia="仿宋_GB2312" w:cs="Times New Roman"/>
          <w:color w:val="auto"/>
          <w:szCs w:val="28"/>
        </w:rPr>
        <w:fldChar w:fldCharType="end"/>
      </w:r>
    </w:p>
    <w:p w14:paraId="067CA2AB">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_Toc16275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（一）推动城乡融合发展，形成域内均衡发展新格局</w:t>
      </w:r>
      <w:r>
        <w:tab/>
      </w:r>
      <w:r>
        <w:fldChar w:fldCharType="begin"/>
      </w:r>
      <w:r>
        <w:instrText xml:space="preserve"> PAGEREF _Toc16275 \h </w:instrText>
      </w:r>
      <w:r>
        <w:fldChar w:fldCharType="separate"/>
      </w:r>
      <w:r>
        <w:t>14</w:t>
      </w:r>
      <w:r>
        <w:fldChar w:fldCharType="end"/>
      </w:r>
      <w:r>
        <w:rPr>
          <w:rFonts w:hint="default" w:ascii="Times New Roman" w:hAnsi="Times New Roman" w:eastAsia="仿宋_GB2312" w:cs="Times New Roman"/>
          <w:color w:val="auto"/>
          <w:szCs w:val="28"/>
        </w:rPr>
        <w:fldChar w:fldCharType="end"/>
      </w:r>
    </w:p>
    <w:p w14:paraId="5107B11C">
      <w:pPr>
        <w:pStyle w:val="24"/>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_Toc26614 </w:instrText>
      </w:r>
      <w:r>
        <w:rPr>
          <w:rFonts w:hint="default" w:ascii="Times New Roman" w:hAnsi="Times New Roman" w:eastAsia="仿宋_GB2312" w:cs="Times New Roman"/>
          <w:szCs w:val="28"/>
        </w:rPr>
        <w:fldChar w:fldCharType="separate"/>
      </w:r>
      <w:r>
        <w:rPr>
          <w:rFonts w:hint="eastAsia" w:ascii="仿宋_GB2312" w:hAnsi="仿宋_GB2312" w:eastAsia="仿宋_GB2312" w:cs="仿宋_GB2312"/>
          <w:szCs w:val="32"/>
        </w:rPr>
        <w:t>（二）推进区域协同发展，形成区域联动发展新局面</w:t>
      </w:r>
      <w:r>
        <w:tab/>
      </w:r>
      <w:r>
        <w:fldChar w:fldCharType="begin"/>
      </w:r>
      <w:r>
        <w:instrText xml:space="preserve"> PAGEREF _Toc26614 \h </w:instrText>
      </w:r>
      <w:r>
        <w:fldChar w:fldCharType="separate"/>
      </w:r>
      <w:r>
        <w:t>15</w:t>
      </w:r>
      <w:r>
        <w:fldChar w:fldCharType="end"/>
      </w:r>
      <w:r>
        <w:rPr>
          <w:rFonts w:hint="default" w:ascii="Times New Roman" w:hAnsi="Times New Roman" w:eastAsia="仿宋_GB2312" w:cs="Times New Roman"/>
          <w:color w:val="auto"/>
          <w:szCs w:val="28"/>
        </w:rPr>
        <w:fldChar w:fldCharType="end"/>
      </w:r>
    </w:p>
    <w:p w14:paraId="0F433DF3">
      <w:pPr>
        <w:pStyle w:val="19"/>
        <w:tabs>
          <w:tab w:val="right" w:leader="dot" w:pos="8845"/>
        </w:tabs>
        <w:spacing w:line="500" w:lineRule="exact"/>
      </w:pPr>
      <w:r>
        <w:rPr>
          <w:rFonts w:hint="default" w:ascii="Times New Roman" w:hAnsi="Times New Roman" w:eastAsia="仿宋_GB2312" w:cs="Times New Roman"/>
          <w:color w:val="auto"/>
          <w:szCs w:val="28"/>
        </w:rPr>
        <w:fldChar w:fldCharType="begin"/>
      </w:r>
      <w:r>
        <w:rPr>
          <w:rFonts w:hint="default" w:ascii="Times New Roman" w:hAnsi="Times New Roman" w:eastAsia="仿宋_GB2312" w:cs="Times New Roman"/>
          <w:szCs w:val="28"/>
        </w:rPr>
        <w:instrText xml:space="preserve"> HYPERLINK \l _Toc13599 </w:instrText>
      </w:r>
      <w:r>
        <w:rPr>
          <w:rFonts w:hint="default" w:ascii="Times New Roman" w:hAnsi="Times New Roman" w:eastAsia="仿宋_GB2312" w:cs="Times New Roman"/>
          <w:szCs w:val="28"/>
        </w:rPr>
        <w:fldChar w:fldCharType="separate"/>
      </w:r>
      <w:r>
        <w:rPr>
          <w:rFonts w:hint="eastAsia" w:ascii="黑体" w:hAnsi="黑体" w:eastAsia="黑体" w:cs="黑体"/>
          <w:szCs w:val="32"/>
        </w:rPr>
        <w:t>六、</w:t>
      </w:r>
      <w:r>
        <w:rPr>
          <w:rFonts w:hint="eastAsia" w:ascii="黑体" w:hAnsi="黑体" w:eastAsia="黑体" w:cs="黑体"/>
          <w:szCs w:val="32"/>
          <w:lang w:val="en-US" w:eastAsia="zh-CN"/>
        </w:rPr>
        <w:t>保障措施</w:t>
      </w:r>
      <w:r>
        <w:tab/>
      </w:r>
      <w:r>
        <w:fldChar w:fldCharType="begin"/>
      </w:r>
      <w:r>
        <w:instrText xml:space="preserve"> PAGEREF _Toc13599 \h </w:instrText>
      </w:r>
      <w:r>
        <w:fldChar w:fldCharType="separate"/>
      </w:r>
      <w:r>
        <w:t>15</w:t>
      </w:r>
      <w:r>
        <w:fldChar w:fldCharType="end"/>
      </w:r>
      <w:r>
        <w:rPr>
          <w:rFonts w:hint="default" w:ascii="Times New Roman" w:hAnsi="Times New Roman" w:eastAsia="仿宋_GB2312" w:cs="Times New Roman"/>
          <w:color w:val="auto"/>
          <w:szCs w:val="28"/>
        </w:rPr>
        <w:fldChar w:fldCharType="end"/>
      </w:r>
    </w:p>
    <w:p w14:paraId="7AD7903F">
      <w:pPr>
        <w:pStyle w:val="19"/>
        <w:keepNext w:val="0"/>
        <w:keepLines w:val="0"/>
        <w:pageBreakBefore w:val="0"/>
        <w:widowControl w:val="0"/>
        <w:tabs>
          <w:tab w:val="right" w:leader="dot" w:pos="8845"/>
        </w:tabs>
        <w:kinsoku/>
        <w:wordWrap/>
        <w:overflowPunct/>
        <w:topLinePunct w:val="0"/>
        <w:autoSpaceDE/>
        <w:autoSpaceDN/>
        <w:bidi w:val="0"/>
        <w:adjustRightInd/>
        <w:snapToGrid w:val="0"/>
        <w:spacing w:line="40" w:lineRule="atLeast"/>
        <w:textAlignment w:val="auto"/>
        <w:rPr>
          <w:rFonts w:hint="eastAsia" w:ascii="仿宋_GB2312" w:hAnsi="仿宋_GB2312" w:eastAsia="仿宋_GB2312" w:cs="仿宋_GB2312"/>
          <w:color w:val="auto"/>
          <w:sz w:val="10"/>
          <w:szCs w:val="10"/>
        </w:rPr>
      </w:pPr>
      <w:r>
        <w:rPr>
          <w:rFonts w:hint="default" w:ascii="Times New Roman" w:hAnsi="Times New Roman" w:eastAsia="仿宋_GB2312" w:cs="Times New Roman"/>
          <w:color w:val="auto"/>
          <w:szCs w:val="28"/>
        </w:rPr>
        <w:fldChar w:fldCharType="end"/>
      </w:r>
    </w:p>
    <w:p w14:paraId="751230D4">
      <w:pPr>
        <w:pStyle w:val="2"/>
        <w:keepNext w:val="0"/>
        <w:keepLines w:val="0"/>
        <w:pageBreakBefore w:val="0"/>
        <w:widowControl w:val="0"/>
        <w:kinsoku/>
        <w:wordWrap/>
        <w:overflowPunct/>
        <w:topLinePunct w:val="0"/>
        <w:autoSpaceDE/>
        <w:autoSpaceDN/>
        <w:bidi w:val="0"/>
        <w:adjustRightInd/>
        <w:snapToGrid w:val="0"/>
        <w:spacing w:line="40" w:lineRule="atLeast"/>
        <w:ind w:firstLine="200" w:firstLineChars="200"/>
        <w:textAlignment w:val="auto"/>
        <w:rPr>
          <w:rFonts w:hint="eastAsia" w:ascii="仿宋_GB2312" w:hAnsi="仿宋_GB2312" w:eastAsia="仿宋_GB2312" w:cs="仿宋_GB2312"/>
          <w:color w:val="auto"/>
          <w:sz w:val="10"/>
          <w:szCs w:val="10"/>
        </w:rPr>
        <w:sectPr>
          <w:footnotePr>
            <w:numFmt w:val="decimalEnclosedCircleChinese"/>
          </w:footnotePr>
          <w:pgSz w:w="11906" w:h="16838"/>
          <w:pgMar w:top="2098" w:right="1474" w:bottom="1984" w:left="1587" w:header="1701" w:footer="1701" w:gutter="0"/>
          <w:pgNumType w:start="1"/>
          <w:cols w:space="720" w:num="1"/>
          <w:docGrid w:type="lines" w:linePitch="312" w:charSpace="0"/>
        </w:sectPr>
      </w:pPr>
    </w:p>
    <w:p w14:paraId="049601A9">
      <w:pPr>
        <w:pStyle w:val="2"/>
        <w:spacing w:line="56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为加快农业农村现代化建设，推动北京城市副中心（通州区）乡村全面振兴，制定本规划。规划期限为</w:t>
      </w:r>
      <w:r>
        <w:rPr>
          <w:rFonts w:hint="eastAsia" w:ascii="仿宋_GB2312" w:hAnsi="仿宋_GB2312" w:eastAsia="仿宋_GB2312" w:cs="仿宋_GB2312"/>
          <w:color w:val="auto"/>
        </w:rPr>
        <w:t>2026—2030</w:t>
      </w:r>
      <w:r>
        <w:rPr>
          <w:rFonts w:hint="eastAsia" w:ascii="仿宋_GB2312" w:hAnsi="仿宋_GB2312" w:eastAsia="仿宋_GB2312" w:cs="仿宋_GB2312"/>
          <w:color w:val="auto"/>
          <w:szCs w:val="32"/>
        </w:rPr>
        <w:t>年。</w:t>
      </w:r>
    </w:p>
    <w:p w14:paraId="0C8FE48F">
      <w:pPr>
        <w:pStyle w:val="2"/>
        <w:spacing w:line="560" w:lineRule="exact"/>
        <w:ind w:firstLine="640" w:firstLineChars="200"/>
        <w:outlineLvl w:val="0"/>
        <w:rPr>
          <w:rFonts w:hint="eastAsia" w:ascii="黑体" w:hAnsi="黑体" w:eastAsia="黑体" w:cs="黑体"/>
          <w:color w:val="auto"/>
          <w:szCs w:val="32"/>
          <w:lang w:eastAsia="zh-CN"/>
        </w:rPr>
      </w:pPr>
      <w:bookmarkStart w:id="4" w:name="_Toc17357"/>
      <w:bookmarkStart w:id="5" w:name="_Toc1862324457"/>
      <w:bookmarkStart w:id="6" w:name="_Toc25886"/>
      <w:r>
        <w:rPr>
          <w:rFonts w:hint="eastAsia" w:ascii="黑体" w:hAnsi="黑体" w:eastAsia="黑体" w:cs="黑体"/>
          <w:color w:val="auto"/>
          <w:szCs w:val="32"/>
        </w:rPr>
        <w:t>一、</w:t>
      </w:r>
      <w:bookmarkEnd w:id="4"/>
      <w:bookmarkEnd w:id="5"/>
      <w:r>
        <w:rPr>
          <w:rFonts w:hint="eastAsia" w:ascii="黑体" w:hAnsi="黑体" w:eastAsia="黑体" w:cs="黑体"/>
          <w:color w:val="auto"/>
          <w:szCs w:val="32"/>
          <w:lang w:val="en-US" w:eastAsia="zh-CN"/>
        </w:rPr>
        <w:t>总体要求</w:t>
      </w:r>
      <w:bookmarkEnd w:id="6"/>
    </w:p>
    <w:p w14:paraId="4A7E5145">
      <w:pPr>
        <w:pStyle w:val="2"/>
        <w:spacing w:line="560" w:lineRule="exact"/>
        <w:ind w:firstLine="640"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未来五年是北京锚定率先基本实现农业农村现代化目标，扎实推进乡村全面振兴的关键时期。要</w:t>
      </w:r>
      <w:bookmarkStart w:id="7" w:name="_Hlk200362165"/>
      <w:r>
        <w:rPr>
          <w:rFonts w:hint="eastAsia" w:ascii="仿宋_GB2312" w:hAnsi="仿宋_GB2312" w:eastAsia="仿宋_GB2312" w:cs="仿宋_GB2312"/>
          <w:color w:val="auto"/>
          <w:szCs w:val="32"/>
        </w:rPr>
        <w:t>以习近平新时代中国特色社会主义思想为指导，全面贯彻党中央关于乡村振兴的总方针和新要求，深入落实习近平总书记对北京重要讲话和对城市副中心重要指示批示精神，落实</w:t>
      </w:r>
      <w:r>
        <w:rPr>
          <w:rFonts w:hint="eastAsia" w:ascii="仿宋_GB2312" w:hAnsi="仿宋_GB2312" w:eastAsia="仿宋_GB2312" w:cs="仿宋_GB2312"/>
          <w:color w:val="auto"/>
          <w:szCs w:val="32"/>
          <w:lang w:val="en-US" w:eastAsia="zh-CN"/>
        </w:rPr>
        <w:t>《国务院关于支持</w:t>
      </w:r>
      <w:r>
        <w:rPr>
          <w:rFonts w:hint="eastAsia" w:ascii="仿宋_GB2312" w:hAnsi="仿宋_GB2312" w:eastAsia="仿宋_GB2312" w:cs="仿宋_GB2312"/>
          <w:color w:val="auto"/>
          <w:szCs w:val="32"/>
        </w:rPr>
        <w:t>北京城市副中心高质量发展的意见</w:t>
      </w:r>
      <w:r>
        <w:rPr>
          <w:rFonts w:hint="eastAsia" w:ascii="仿宋_GB2312" w:hAnsi="仿宋_GB2312" w:eastAsia="仿宋_GB2312" w:cs="仿宋_GB2312"/>
          <w:color w:val="auto"/>
          <w:szCs w:val="32"/>
          <w:lang w:val="en-US" w:eastAsia="zh-CN"/>
        </w:rPr>
        <w:t>》有关</w:t>
      </w:r>
      <w:r>
        <w:rPr>
          <w:rFonts w:hint="eastAsia" w:ascii="仿宋_GB2312" w:hAnsi="仿宋_GB2312" w:eastAsia="仿宋_GB2312" w:cs="仿宋_GB2312"/>
          <w:color w:val="auto"/>
          <w:szCs w:val="32"/>
        </w:rPr>
        <w:t>要求，立足京津冀协同发展大局和新时代首都发展全局，以集体增收、农民致富为目标，以科技创新与深化改革为动力，</w:t>
      </w:r>
      <w:bookmarkStart w:id="8" w:name="_Hlk199866009"/>
      <w:r>
        <w:rPr>
          <w:rFonts w:hint="eastAsia" w:ascii="仿宋_GB2312" w:hAnsi="仿宋_GB2312" w:eastAsia="仿宋_GB2312" w:cs="仿宋_GB2312"/>
          <w:color w:val="auto"/>
          <w:szCs w:val="32"/>
        </w:rPr>
        <w:t>以城乡融合发展为手段</w:t>
      </w:r>
      <w:bookmarkEnd w:id="8"/>
      <w:r>
        <w:rPr>
          <w:rFonts w:hint="eastAsia" w:ascii="仿宋_GB2312" w:hAnsi="仿宋_GB2312" w:eastAsia="仿宋_GB2312" w:cs="仿宋_GB2312"/>
          <w:color w:val="auto"/>
          <w:szCs w:val="32"/>
        </w:rPr>
        <w:t>，深入推进国际一流和谐宜居之都示范区、新型城镇化示范区、通州区与北三县一体化高质量发展示范区、国家绿色发展示范区建设，持续提升乡村振兴发展水平。</w:t>
      </w:r>
    </w:p>
    <w:bookmarkEnd w:id="7"/>
    <w:p w14:paraId="352C1442">
      <w:pPr>
        <w:pStyle w:val="2"/>
        <w:spacing w:line="560" w:lineRule="exact"/>
        <w:ind w:firstLine="643" w:firstLineChars="200"/>
        <w:rPr>
          <w:rFonts w:hint="eastAsia" w:ascii="仿宋_GB2312" w:hAnsi="仿宋_GB2312" w:eastAsia="仿宋_GB2312" w:cs="仿宋_GB2312"/>
          <w:color w:val="auto"/>
          <w:szCs w:val="32"/>
        </w:rPr>
      </w:pPr>
      <w:bookmarkStart w:id="9" w:name="_Toc15011"/>
      <w:bookmarkStart w:id="10" w:name="_Toc15004"/>
      <w:bookmarkStart w:id="11" w:name="_Toc14290"/>
      <w:bookmarkStart w:id="12" w:name="_Toc21200"/>
      <w:bookmarkStart w:id="13" w:name="_Toc14182"/>
      <w:bookmarkStart w:id="14" w:name="_Toc440896194"/>
      <w:bookmarkStart w:id="15" w:name="_Toc6342"/>
      <w:bookmarkStart w:id="16" w:name="_Toc688233346"/>
      <w:bookmarkStart w:id="17" w:name="_Toc15705"/>
      <w:bookmarkStart w:id="18" w:name="_Toc517272078"/>
      <w:bookmarkStart w:id="19" w:name="_Toc17174"/>
      <w:bookmarkStart w:id="20" w:name="_Toc1701977456"/>
      <w:bookmarkStart w:id="21" w:name="_Toc1476"/>
      <w:r>
        <w:rPr>
          <w:rFonts w:hint="eastAsia" w:ascii="仿宋_GB2312" w:hAnsi="仿宋_GB2312" w:eastAsia="仿宋_GB2312" w:cs="仿宋_GB2312"/>
          <w:b/>
          <w:bCs/>
          <w:color w:val="auto"/>
          <w:szCs w:val="32"/>
        </w:rPr>
        <w:t>发展目标</w:t>
      </w:r>
      <w:bookmarkEnd w:id="9"/>
      <w:bookmarkEnd w:id="10"/>
      <w:bookmarkEnd w:id="11"/>
      <w:bookmarkEnd w:id="12"/>
      <w:bookmarkEnd w:id="13"/>
      <w:bookmarkEnd w:id="14"/>
      <w:bookmarkEnd w:id="15"/>
      <w:bookmarkEnd w:id="16"/>
      <w:bookmarkEnd w:id="17"/>
      <w:bookmarkEnd w:id="18"/>
      <w:bookmarkEnd w:id="19"/>
      <w:bookmarkEnd w:id="20"/>
      <w:bookmarkEnd w:id="21"/>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到</w:t>
      </w:r>
      <w:r>
        <w:rPr>
          <w:rFonts w:hint="eastAsia" w:ascii="仿宋_GB2312" w:hAnsi="仿宋_GB2312" w:eastAsia="仿宋_GB2312" w:cs="仿宋_GB2312"/>
          <w:color w:val="auto"/>
        </w:rPr>
        <w:t>2030年</w:t>
      </w:r>
      <w:r>
        <w:rPr>
          <w:rFonts w:hint="eastAsia" w:ascii="仿宋_GB2312" w:hAnsi="仿宋_GB2312" w:eastAsia="仿宋_GB2312" w:cs="仿宋_GB2312"/>
          <w:color w:val="auto"/>
          <w:szCs w:val="32"/>
        </w:rPr>
        <w:t>，乡村振兴取得显著成效，</w:t>
      </w:r>
      <w:r>
        <w:rPr>
          <w:rFonts w:hint="eastAsia" w:ascii="仿宋_GB2312" w:hAnsi="仿宋_GB2312" w:eastAsia="仿宋_GB2312" w:cs="仿宋_GB2312"/>
          <w:b/>
          <w:bCs/>
          <w:color w:val="auto"/>
          <w:szCs w:val="32"/>
        </w:rPr>
        <w:t>率先基本实现农业农村现代化</w:t>
      </w:r>
      <w:r>
        <w:rPr>
          <w:rFonts w:hint="eastAsia" w:ascii="仿宋_GB2312" w:hAnsi="仿宋_GB2312" w:eastAsia="仿宋_GB2312" w:cs="仿宋_GB2312"/>
          <w:color w:val="auto"/>
          <w:szCs w:val="32"/>
        </w:rPr>
        <w:t>。</w:t>
      </w:r>
    </w:p>
    <w:p w14:paraId="5A9CA3B1">
      <w:pPr>
        <w:pStyle w:val="2"/>
        <w:spacing w:line="560" w:lineRule="exact"/>
        <w:ind w:firstLine="643"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——产业兴旺：</w:t>
      </w:r>
      <w:r>
        <w:rPr>
          <w:rFonts w:hint="eastAsia" w:ascii="仿宋_GB2312" w:hAnsi="仿宋_GB2312" w:eastAsia="仿宋_GB2312" w:cs="仿宋_GB2312"/>
          <w:color w:val="auto"/>
          <w:szCs w:val="32"/>
        </w:rPr>
        <w:t>农业综合生产能力</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以种业科技和智慧农业为代表的科技创新能力</w:t>
      </w:r>
      <w:r>
        <w:rPr>
          <w:rFonts w:hint="eastAsia" w:ascii="仿宋_GB2312" w:hAnsi="仿宋_GB2312" w:eastAsia="仿宋_GB2312" w:cs="仿宋_GB2312"/>
          <w:color w:val="auto"/>
          <w:szCs w:val="32"/>
          <w:lang w:eastAsia="zh-CN"/>
        </w:rPr>
        <w:t>均</w:t>
      </w:r>
      <w:r>
        <w:rPr>
          <w:rFonts w:hint="eastAsia" w:ascii="仿宋_GB2312" w:hAnsi="仿宋_GB2312" w:eastAsia="仿宋_GB2312" w:cs="仿宋_GB2312"/>
          <w:color w:val="auto"/>
          <w:szCs w:val="32"/>
        </w:rPr>
        <w:t>显著提升，具有副中心特色的现代农业产业体系构建取得显著成效。</w:t>
      </w:r>
    </w:p>
    <w:p w14:paraId="6731510F">
      <w:pPr>
        <w:pStyle w:val="2"/>
        <w:spacing w:line="560" w:lineRule="exact"/>
        <w:ind w:firstLine="643"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——生态宜居：</w:t>
      </w:r>
      <w:r>
        <w:rPr>
          <w:rFonts w:hint="eastAsia" w:ascii="仿宋_GB2312" w:hAnsi="仿宋_GB2312" w:eastAsia="仿宋_GB2312" w:cs="仿宋_GB2312"/>
          <w:color w:val="auto"/>
          <w:szCs w:val="32"/>
        </w:rPr>
        <w:t>农村基础设施、人居环境、公共服务水平得到明显提升，生态优势逐步转化为乡村发展新动能。</w:t>
      </w:r>
    </w:p>
    <w:p w14:paraId="40967C4F">
      <w:pPr>
        <w:pStyle w:val="2"/>
        <w:spacing w:line="560" w:lineRule="exact"/>
        <w:ind w:firstLine="643"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——乡风文明：</w:t>
      </w:r>
      <w:r>
        <w:rPr>
          <w:rFonts w:hint="eastAsia" w:ascii="仿宋_GB2312" w:hAnsi="仿宋_GB2312" w:eastAsia="仿宋_GB2312" w:cs="仿宋_GB2312"/>
          <w:color w:val="auto"/>
          <w:szCs w:val="32"/>
        </w:rPr>
        <w:t>农村社会文明程度进一步提高，农民精神风貌持续向好，乡村文化繁荣兴盛。</w:t>
      </w:r>
    </w:p>
    <w:p w14:paraId="16EF24A3">
      <w:pPr>
        <w:pStyle w:val="2"/>
        <w:spacing w:line="560" w:lineRule="exact"/>
        <w:ind w:firstLine="643"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——治理有效：</w:t>
      </w:r>
      <w:r>
        <w:rPr>
          <w:rFonts w:hint="eastAsia" w:ascii="仿宋_GB2312" w:hAnsi="仿宋_GB2312" w:eastAsia="仿宋_GB2312" w:cs="仿宋_GB2312"/>
          <w:color w:val="auto"/>
          <w:szCs w:val="32"/>
        </w:rPr>
        <w:t>农村基层组织焕发新活力，党建引领乡村治理体系更加健全，现代乡村治理效能得到明显提升。</w:t>
      </w:r>
    </w:p>
    <w:p w14:paraId="7198A857">
      <w:pPr>
        <w:pStyle w:val="2"/>
        <w:spacing w:line="560" w:lineRule="exact"/>
        <w:ind w:firstLine="643"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——生活富裕：</w:t>
      </w:r>
      <w:r>
        <w:rPr>
          <w:rFonts w:hint="eastAsia" w:ascii="仿宋_GB2312" w:hAnsi="仿宋_GB2312" w:eastAsia="仿宋_GB2312" w:cs="仿宋_GB2312"/>
          <w:color w:val="auto"/>
          <w:szCs w:val="32"/>
        </w:rPr>
        <w:t>农民增收渠道进一步拓宽，收入稳步提高，民生保障水平显著提升，农民生活更富足。</w:t>
      </w:r>
    </w:p>
    <w:p w14:paraId="0C75E88A">
      <w:pPr>
        <w:spacing w:line="600" w:lineRule="exact"/>
        <w:jc w:val="center"/>
        <w:rPr>
          <w:rFonts w:hint="eastAsia" w:ascii="仿宋_GB2312" w:hAnsi="仿宋_GB2312" w:eastAsia="仿宋_GB2312" w:cs="仿宋_GB2312"/>
          <w:color w:val="auto"/>
        </w:rPr>
      </w:pPr>
      <w:r>
        <w:rPr>
          <w:rFonts w:hint="eastAsia" w:ascii="仿宋_GB2312" w:hAnsi="仿宋_GB2312" w:eastAsia="仿宋_GB2312" w:cs="仿宋_GB2312"/>
          <w:b/>
          <w:bCs/>
          <w:color w:val="auto"/>
          <w:sz w:val="28"/>
          <w:szCs w:val="28"/>
        </w:rPr>
        <w:t>“十五五”时期主要指标</w:t>
      </w:r>
    </w:p>
    <w:tbl>
      <w:tblPr>
        <w:tblStyle w:val="30"/>
        <w:tblW w:w="8942" w:type="dxa"/>
        <w:tblInd w:w="-57" w:type="dxa"/>
        <w:tblLayout w:type="fixed"/>
        <w:tblCellMar>
          <w:top w:w="0" w:type="dxa"/>
          <w:left w:w="108" w:type="dxa"/>
          <w:bottom w:w="0" w:type="dxa"/>
          <w:right w:w="108" w:type="dxa"/>
        </w:tblCellMar>
      </w:tblPr>
      <w:tblGrid>
        <w:gridCol w:w="565"/>
        <w:gridCol w:w="596"/>
        <w:gridCol w:w="3575"/>
        <w:gridCol w:w="711"/>
        <w:gridCol w:w="891"/>
        <w:gridCol w:w="1828"/>
        <w:gridCol w:w="776"/>
      </w:tblGrid>
      <w:tr w14:paraId="18601082">
        <w:tblPrEx>
          <w:tblCellMar>
            <w:top w:w="0" w:type="dxa"/>
            <w:left w:w="108" w:type="dxa"/>
            <w:bottom w:w="0" w:type="dxa"/>
            <w:right w:w="108" w:type="dxa"/>
          </w:tblCellMar>
        </w:tblPrEx>
        <w:trPr>
          <w:trHeight w:val="661" w:hRule="atLeast"/>
        </w:trPr>
        <w:tc>
          <w:tcPr>
            <w:tcW w:w="565"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1DED43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Cs w:val="21"/>
              </w:rPr>
            </w:pPr>
            <w:r>
              <w:rPr>
                <w:rStyle w:val="47"/>
                <w:rFonts w:hint="eastAsia" w:ascii="仿宋_GB2312" w:hAnsi="仿宋_GB2312" w:eastAsia="仿宋_GB2312" w:cs="仿宋_GB2312"/>
                <w:color w:val="auto"/>
              </w:rPr>
              <w:t>指标类别</w:t>
            </w:r>
          </w:p>
        </w:tc>
        <w:tc>
          <w:tcPr>
            <w:tcW w:w="59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5931C6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Cs w:val="21"/>
              </w:rPr>
            </w:pPr>
            <w:r>
              <w:rPr>
                <w:rStyle w:val="47"/>
                <w:rFonts w:hint="eastAsia" w:ascii="仿宋_GB2312" w:hAnsi="仿宋_GB2312" w:eastAsia="仿宋_GB2312" w:cs="仿宋_GB2312"/>
                <w:color w:val="auto"/>
              </w:rPr>
              <w:t>序号</w:t>
            </w:r>
          </w:p>
        </w:tc>
        <w:tc>
          <w:tcPr>
            <w:tcW w:w="3575"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0F30B2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Cs w:val="21"/>
              </w:rPr>
            </w:pPr>
            <w:r>
              <w:rPr>
                <w:rStyle w:val="47"/>
                <w:rFonts w:hint="eastAsia" w:ascii="仿宋_GB2312" w:hAnsi="仿宋_GB2312" w:eastAsia="仿宋_GB2312" w:cs="仿宋_GB2312"/>
                <w:color w:val="auto"/>
              </w:rPr>
              <w:t>具体指标</w:t>
            </w:r>
          </w:p>
        </w:tc>
        <w:tc>
          <w:tcPr>
            <w:tcW w:w="71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566F3E6">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Cs w:val="21"/>
              </w:rPr>
            </w:pPr>
            <w:r>
              <w:rPr>
                <w:rStyle w:val="47"/>
                <w:rFonts w:hint="eastAsia" w:ascii="仿宋_GB2312" w:hAnsi="仿宋_GB2312" w:eastAsia="仿宋_GB2312" w:cs="仿宋_GB2312"/>
                <w:color w:val="auto"/>
              </w:rPr>
              <w:t>单位</w:t>
            </w:r>
          </w:p>
        </w:tc>
        <w:tc>
          <w:tcPr>
            <w:tcW w:w="89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BB28A86">
            <w:pPr>
              <w:keepNext w:val="0"/>
              <w:keepLines w:val="0"/>
              <w:pageBreakBefore w:val="0"/>
              <w:widowControl/>
              <w:kinsoku/>
              <w:wordWrap/>
              <w:overflowPunct/>
              <w:topLinePunct w:val="0"/>
              <w:autoSpaceDE/>
              <w:autoSpaceDN/>
              <w:bidi w:val="0"/>
              <w:adjustRightInd/>
              <w:snapToGrid/>
              <w:spacing w:line="240" w:lineRule="auto"/>
              <w:jc w:val="center"/>
              <w:textAlignment w:val="center"/>
              <w:rPr>
                <w:rStyle w:val="47"/>
                <w:rFonts w:hint="eastAsia" w:ascii="仿宋_GB2312" w:hAnsi="仿宋_GB2312" w:eastAsia="仿宋_GB2312" w:cs="仿宋_GB2312"/>
                <w:color w:val="auto"/>
              </w:rPr>
            </w:pPr>
            <w:r>
              <w:rPr>
                <w:rStyle w:val="52"/>
                <w:rFonts w:hint="eastAsia" w:ascii="仿宋_GB2312" w:hAnsi="仿宋_GB2312" w:eastAsia="仿宋_GB2312" w:cs="仿宋_GB2312"/>
                <w:color w:val="auto"/>
              </w:rPr>
              <w:t>2025</w:t>
            </w:r>
            <w:r>
              <w:rPr>
                <w:rStyle w:val="47"/>
                <w:rFonts w:hint="eastAsia" w:ascii="仿宋_GB2312" w:hAnsi="仿宋_GB2312" w:eastAsia="仿宋_GB2312" w:cs="仿宋_GB2312"/>
                <w:color w:val="auto"/>
              </w:rPr>
              <w:t>年</w:t>
            </w:r>
          </w:p>
          <w:p w14:paraId="0BBDA2D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Cs w:val="21"/>
              </w:rPr>
            </w:pPr>
            <w:r>
              <w:rPr>
                <w:rStyle w:val="47"/>
                <w:rFonts w:hint="eastAsia" w:ascii="仿宋_GB2312" w:hAnsi="仿宋_GB2312" w:eastAsia="仿宋_GB2312" w:cs="仿宋_GB2312"/>
                <w:color w:val="auto"/>
              </w:rPr>
              <w:t>现状值</w:t>
            </w:r>
          </w:p>
        </w:tc>
        <w:tc>
          <w:tcPr>
            <w:tcW w:w="1828"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2AB930F">
            <w:pPr>
              <w:keepNext w:val="0"/>
              <w:keepLines w:val="0"/>
              <w:pageBreakBefore w:val="0"/>
              <w:widowControl/>
              <w:kinsoku/>
              <w:wordWrap/>
              <w:overflowPunct/>
              <w:topLinePunct w:val="0"/>
              <w:autoSpaceDE/>
              <w:autoSpaceDN/>
              <w:bidi w:val="0"/>
              <w:adjustRightInd/>
              <w:snapToGrid/>
              <w:spacing w:line="240" w:lineRule="auto"/>
              <w:jc w:val="center"/>
              <w:textAlignment w:val="center"/>
              <w:rPr>
                <w:rStyle w:val="47"/>
                <w:rFonts w:hint="eastAsia" w:ascii="仿宋_GB2312" w:hAnsi="仿宋_GB2312" w:eastAsia="仿宋_GB2312" w:cs="仿宋_GB2312"/>
                <w:color w:val="auto"/>
              </w:rPr>
            </w:pPr>
            <w:r>
              <w:rPr>
                <w:rStyle w:val="52"/>
                <w:rFonts w:hint="eastAsia" w:ascii="仿宋_GB2312" w:hAnsi="仿宋_GB2312" w:eastAsia="仿宋_GB2312" w:cs="仿宋_GB2312"/>
                <w:color w:val="auto"/>
              </w:rPr>
              <w:t>2030</w:t>
            </w:r>
            <w:r>
              <w:rPr>
                <w:rStyle w:val="47"/>
                <w:rFonts w:hint="eastAsia" w:ascii="仿宋_GB2312" w:hAnsi="仿宋_GB2312" w:eastAsia="仿宋_GB2312" w:cs="仿宋_GB2312"/>
                <w:color w:val="auto"/>
              </w:rPr>
              <w:t>年</w:t>
            </w:r>
          </w:p>
          <w:p w14:paraId="1B33E5A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Cs w:val="21"/>
              </w:rPr>
            </w:pPr>
            <w:r>
              <w:rPr>
                <w:rStyle w:val="47"/>
                <w:rFonts w:hint="eastAsia" w:ascii="仿宋_GB2312" w:hAnsi="仿宋_GB2312" w:eastAsia="仿宋_GB2312" w:cs="仿宋_GB2312"/>
                <w:color w:val="auto"/>
              </w:rPr>
              <w:t>目标值</w:t>
            </w:r>
          </w:p>
        </w:tc>
        <w:tc>
          <w:tcPr>
            <w:tcW w:w="77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863CE8C">
            <w:pPr>
              <w:keepNext w:val="0"/>
              <w:keepLines w:val="0"/>
              <w:pageBreakBefore w:val="0"/>
              <w:widowControl/>
              <w:kinsoku/>
              <w:wordWrap/>
              <w:overflowPunct/>
              <w:topLinePunct w:val="0"/>
              <w:autoSpaceDE/>
              <w:autoSpaceDN/>
              <w:bidi w:val="0"/>
              <w:adjustRightInd/>
              <w:snapToGrid/>
              <w:spacing w:line="240" w:lineRule="auto"/>
              <w:jc w:val="center"/>
              <w:textAlignment w:val="center"/>
              <w:rPr>
                <w:rStyle w:val="47"/>
                <w:rFonts w:hint="eastAsia" w:ascii="仿宋_GB2312" w:hAnsi="仿宋_GB2312" w:eastAsia="仿宋_GB2312" w:cs="仿宋_GB2312"/>
                <w:color w:val="auto"/>
              </w:rPr>
            </w:pPr>
            <w:r>
              <w:rPr>
                <w:rStyle w:val="47"/>
                <w:rFonts w:hint="eastAsia" w:ascii="仿宋_GB2312" w:hAnsi="仿宋_GB2312" w:eastAsia="仿宋_GB2312" w:cs="仿宋_GB2312"/>
                <w:color w:val="auto"/>
              </w:rPr>
              <w:t>指标</w:t>
            </w:r>
          </w:p>
          <w:p w14:paraId="5721515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Cs w:val="21"/>
              </w:rPr>
            </w:pPr>
            <w:r>
              <w:rPr>
                <w:rStyle w:val="47"/>
                <w:rFonts w:hint="eastAsia" w:ascii="仿宋_GB2312" w:hAnsi="仿宋_GB2312" w:eastAsia="仿宋_GB2312" w:cs="仿宋_GB2312"/>
                <w:color w:val="auto"/>
              </w:rPr>
              <w:t>属性</w:t>
            </w:r>
          </w:p>
        </w:tc>
      </w:tr>
      <w:tr w14:paraId="04C651DF">
        <w:tblPrEx>
          <w:tblCellMar>
            <w:top w:w="0" w:type="dxa"/>
            <w:left w:w="108" w:type="dxa"/>
            <w:bottom w:w="0" w:type="dxa"/>
            <w:right w:w="108" w:type="dxa"/>
          </w:tblCellMar>
        </w:tblPrEx>
        <w:trPr>
          <w:trHeight w:val="397" w:hRule="exact"/>
        </w:trPr>
        <w:tc>
          <w:tcPr>
            <w:tcW w:w="565" w:type="dxa"/>
            <w:vMerge w:val="restart"/>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61CE7B6">
            <w:pPr>
              <w:widowControl/>
              <w:spacing w:line="240" w:lineRule="auto"/>
              <w:jc w:val="center"/>
              <w:textAlignment w:val="center"/>
              <w:rPr>
                <w:rFonts w:hint="eastAsia" w:ascii="仿宋_GB2312" w:hAnsi="仿宋_GB2312" w:eastAsia="仿宋_GB2312" w:cs="仿宋_GB2312"/>
                <w:color w:val="auto"/>
                <w:szCs w:val="21"/>
              </w:rPr>
            </w:pPr>
            <w:r>
              <w:rPr>
                <w:rStyle w:val="51"/>
                <w:rFonts w:hint="eastAsia" w:ascii="仿宋_GB2312" w:hAnsi="仿宋_GB2312" w:eastAsia="仿宋_GB2312" w:cs="仿宋_GB2312"/>
                <w:color w:val="auto"/>
              </w:rPr>
              <w:t>农业强</w:t>
            </w:r>
          </w:p>
        </w:tc>
        <w:tc>
          <w:tcPr>
            <w:tcW w:w="59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473954B">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w:t>
            </w:r>
          </w:p>
        </w:tc>
        <w:tc>
          <w:tcPr>
            <w:tcW w:w="3575"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53EE812">
            <w:pPr>
              <w:widowControl/>
              <w:snapToGrid w:val="0"/>
              <w:spacing w:line="240" w:lineRule="auto"/>
              <w:jc w:val="both"/>
              <w:textAlignment w:val="center"/>
              <w:rPr>
                <w:rFonts w:hint="eastAsia" w:ascii="仿宋_GB2312" w:hAnsi="仿宋_GB2312" w:eastAsia="仿宋_GB2312" w:cs="仿宋_GB2312"/>
                <w:color w:val="auto"/>
                <w:szCs w:val="21"/>
              </w:rPr>
            </w:pPr>
            <w:r>
              <w:rPr>
                <w:rStyle w:val="46"/>
                <w:rFonts w:hint="eastAsia" w:ascii="仿宋_GB2312" w:hAnsi="仿宋_GB2312" w:eastAsia="仿宋_GB2312" w:cs="仿宋_GB2312"/>
                <w:color w:val="auto"/>
              </w:rPr>
              <w:t>农林牧渔业总产值</w:t>
            </w:r>
          </w:p>
        </w:tc>
        <w:tc>
          <w:tcPr>
            <w:tcW w:w="71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05666BA">
            <w:pPr>
              <w:widowControl/>
              <w:snapToGrid w:val="0"/>
              <w:spacing w:line="240" w:lineRule="auto"/>
              <w:jc w:val="center"/>
              <w:textAlignment w:val="center"/>
              <w:rPr>
                <w:rFonts w:hint="eastAsia" w:ascii="仿宋_GB2312" w:hAnsi="仿宋_GB2312" w:eastAsia="仿宋_GB2312" w:cs="仿宋_GB2312"/>
                <w:color w:val="auto"/>
                <w:sz w:val="21"/>
                <w:szCs w:val="21"/>
              </w:rPr>
            </w:pPr>
            <w:r>
              <w:rPr>
                <w:rStyle w:val="46"/>
                <w:rFonts w:hint="eastAsia" w:ascii="仿宋_GB2312" w:hAnsi="仿宋_GB2312" w:eastAsia="仿宋_GB2312" w:cs="仿宋_GB2312"/>
                <w:color w:val="auto"/>
              </w:rPr>
              <w:t>亿元</w:t>
            </w:r>
          </w:p>
        </w:tc>
        <w:tc>
          <w:tcPr>
            <w:tcW w:w="89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F1E79FA">
            <w:pPr>
              <w:widowControl/>
              <w:snapToGrid w:val="0"/>
              <w:spacing w:line="240" w:lineRule="auto"/>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29.55</w:t>
            </w:r>
          </w:p>
        </w:tc>
        <w:tc>
          <w:tcPr>
            <w:tcW w:w="1828"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E783856">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val="en-US" w:eastAsia="zh-CN"/>
              </w:rPr>
              <w:t>稳步提升</w:t>
            </w:r>
          </w:p>
        </w:tc>
        <w:tc>
          <w:tcPr>
            <w:tcW w:w="77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FC0D5AE">
            <w:pPr>
              <w:widowControl/>
              <w:snapToGrid w:val="0"/>
              <w:spacing w:line="240" w:lineRule="auto"/>
              <w:jc w:val="center"/>
              <w:textAlignment w:val="center"/>
              <w:rPr>
                <w:rFonts w:hint="eastAsia" w:ascii="仿宋_GB2312" w:hAnsi="仿宋_GB2312" w:eastAsia="仿宋_GB2312" w:cs="仿宋_GB2312"/>
                <w:color w:val="auto"/>
                <w:szCs w:val="21"/>
              </w:rPr>
            </w:pPr>
            <w:r>
              <w:rPr>
                <w:rStyle w:val="46"/>
                <w:rFonts w:hint="eastAsia" w:ascii="仿宋_GB2312" w:hAnsi="仿宋_GB2312" w:eastAsia="仿宋_GB2312" w:cs="仿宋_GB2312"/>
                <w:color w:val="auto"/>
              </w:rPr>
              <w:t>预期性</w:t>
            </w:r>
          </w:p>
        </w:tc>
      </w:tr>
      <w:tr w14:paraId="74AB0FAE">
        <w:tblPrEx>
          <w:tblCellMar>
            <w:top w:w="0" w:type="dxa"/>
            <w:left w:w="108" w:type="dxa"/>
            <w:bottom w:w="0" w:type="dxa"/>
            <w:right w:w="108" w:type="dxa"/>
          </w:tblCellMar>
        </w:tblPrEx>
        <w:trPr>
          <w:trHeight w:val="397" w:hRule="exact"/>
        </w:trPr>
        <w:tc>
          <w:tcPr>
            <w:tcW w:w="565" w:type="dxa"/>
            <w:vMerge w:val="continue"/>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8972D0C">
            <w:pPr>
              <w:spacing w:line="560" w:lineRule="exact"/>
              <w:jc w:val="center"/>
              <w:rPr>
                <w:rFonts w:hint="eastAsia" w:ascii="仿宋_GB2312" w:hAnsi="仿宋_GB2312" w:eastAsia="仿宋_GB2312" w:cs="仿宋_GB2312"/>
                <w:color w:val="auto"/>
                <w:szCs w:val="21"/>
              </w:rPr>
            </w:pPr>
          </w:p>
        </w:tc>
        <w:tc>
          <w:tcPr>
            <w:tcW w:w="59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14AC2FD">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2</w:t>
            </w:r>
          </w:p>
        </w:tc>
        <w:tc>
          <w:tcPr>
            <w:tcW w:w="3575"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3FA2BB5">
            <w:pPr>
              <w:widowControl/>
              <w:spacing w:line="240" w:lineRule="auto"/>
              <w:jc w:val="both"/>
              <w:textAlignment w:val="center"/>
              <w:rPr>
                <w:rFonts w:hint="eastAsia" w:ascii="仿宋_GB2312" w:hAnsi="仿宋_GB2312" w:eastAsia="仿宋_GB2312" w:cs="仿宋_GB2312"/>
                <w:color w:val="auto"/>
                <w:szCs w:val="21"/>
              </w:rPr>
            </w:pPr>
            <w:r>
              <w:rPr>
                <w:rStyle w:val="51"/>
                <w:rFonts w:hint="eastAsia" w:ascii="仿宋_GB2312" w:hAnsi="仿宋_GB2312" w:eastAsia="仿宋_GB2312" w:cs="仿宋_GB2312"/>
                <w:color w:val="auto"/>
              </w:rPr>
              <w:t>粮食产量</w:t>
            </w:r>
          </w:p>
        </w:tc>
        <w:tc>
          <w:tcPr>
            <w:tcW w:w="71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47B9F50">
            <w:pPr>
              <w:widowControl/>
              <w:spacing w:line="240" w:lineRule="auto"/>
              <w:jc w:val="center"/>
              <w:textAlignment w:val="center"/>
              <w:rPr>
                <w:rFonts w:hint="eastAsia" w:ascii="仿宋_GB2312" w:hAnsi="仿宋_GB2312" w:eastAsia="仿宋_GB2312" w:cs="仿宋_GB2312"/>
                <w:color w:val="auto"/>
                <w:sz w:val="21"/>
                <w:szCs w:val="21"/>
              </w:rPr>
            </w:pPr>
            <w:r>
              <w:rPr>
                <w:rStyle w:val="51"/>
                <w:rFonts w:hint="eastAsia" w:ascii="仿宋_GB2312" w:hAnsi="仿宋_GB2312" w:eastAsia="仿宋_GB2312" w:cs="仿宋_GB2312"/>
                <w:color w:val="auto"/>
              </w:rPr>
              <w:t>万吨</w:t>
            </w:r>
          </w:p>
        </w:tc>
        <w:tc>
          <w:tcPr>
            <w:tcW w:w="89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F106E2F">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8.7</w:t>
            </w:r>
          </w:p>
        </w:tc>
        <w:tc>
          <w:tcPr>
            <w:tcW w:w="1828"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DEF698A">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完成市级下达任务</w:t>
            </w:r>
          </w:p>
        </w:tc>
        <w:tc>
          <w:tcPr>
            <w:tcW w:w="77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C5F6939">
            <w:pPr>
              <w:widowControl/>
              <w:spacing w:line="240" w:lineRule="auto"/>
              <w:jc w:val="center"/>
              <w:textAlignment w:val="center"/>
              <w:rPr>
                <w:rFonts w:hint="eastAsia" w:ascii="仿宋_GB2312" w:hAnsi="仿宋_GB2312" w:eastAsia="仿宋_GB2312" w:cs="仿宋_GB2312"/>
                <w:color w:val="auto"/>
                <w:szCs w:val="21"/>
              </w:rPr>
            </w:pPr>
            <w:r>
              <w:rPr>
                <w:rStyle w:val="51"/>
                <w:rFonts w:hint="eastAsia" w:ascii="仿宋_GB2312" w:hAnsi="仿宋_GB2312" w:eastAsia="仿宋_GB2312" w:cs="仿宋_GB2312"/>
                <w:color w:val="auto"/>
              </w:rPr>
              <w:t>约束性</w:t>
            </w:r>
          </w:p>
        </w:tc>
      </w:tr>
      <w:tr w14:paraId="5B2C30D7">
        <w:tblPrEx>
          <w:tblCellMar>
            <w:top w:w="0" w:type="dxa"/>
            <w:left w:w="108" w:type="dxa"/>
            <w:bottom w:w="0" w:type="dxa"/>
            <w:right w:w="108" w:type="dxa"/>
          </w:tblCellMar>
        </w:tblPrEx>
        <w:trPr>
          <w:trHeight w:val="397" w:hRule="exact"/>
        </w:trPr>
        <w:tc>
          <w:tcPr>
            <w:tcW w:w="565" w:type="dxa"/>
            <w:vMerge w:val="continue"/>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0535B7E">
            <w:pPr>
              <w:spacing w:line="560" w:lineRule="exact"/>
              <w:jc w:val="center"/>
              <w:rPr>
                <w:rFonts w:hint="eastAsia" w:ascii="仿宋_GB2312" w:hAnsi="仿宋_GB2312" w:eastAsia="仿宋_GB2312" w:cs="仿宋_GB2312"/>
                <w:color w:val="auto"/>
                <w:szCs w:val="21"/>
              </w:rPr>
            </w:pPr>
          </w:p>
        </w:tc>
        <w:tc>
          <w:tcPr>
            <w:tcW w:w="59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DC105CD">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3</w:t>
            </w:r>
          </w:p>
        </w:tc>
        <w:tc>
          <w:tcPr>
            <w:tcW w:w="3575"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D3A3EEF">
            <w:pPr>
              <w:widowControl/>
              <w:spacing w:line="240" w:lineRule="auto"/>
              <w:jc w:val="both"/>
              <w:textAlignment w:val="center"/>
              <w:rPr>
                <w:rFonts w:hint="eastAsia" w:ascii="仿宋_GB2312" w:hAnsi="仿宋_GB2312" w:eastAsia="仿宋_GB2312" w:cs="仿宋_GB2312"/>
                <w:color w:val="auto"/>
                <w:szCs w:val="21"/>
              </w:rPr>
            </w:pPr>
            <w:r>
              <w:rPr>
                <w:rStyle w:val="51"/>
                <w:rFonts w:hint="eastAsia" w:ascii="仿宋_GB2312" w:hAnsi="仿宋_GB2312" w:eastAsia="仿宋_GB2312" w:cs="仿宋_GB2312"/>
                <w:color w:val="auto"/>
              </w:rPr>
              <w:t>蔬菜播种面积</w:t>
            </w:r>
          </w:p>
        </w:tc>
        <w:tc>
          <w:tcPr>
            <w:tcW w:w="71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99D6C4E">
            <w:pPr>
              <w:widowControl/>
              <w:spacing w:line="240" w:lineRule="auto"/>
              <w:jc w:val="center"/>
              <w:textAlignment w:val="center"/>
              <w:rPr>
                <w:rFonts w:hint="eastAsia" w:ascii="仿宋_GB2312" w:hAnsi="仿宋_GB2312" w:eastAsia="仿宋_GB2312" w:cs="仿宋_GB2312"/>
                <w:color w:val="auto"/>
                <w:sz w:val="21"/>
                <w:szCs w:val="21"/>
              </w:rPr>
            </w:pPr>
            <w:r>
              <w:rPr>
                <w:rStyle w:val="51"/>
                <w:rFonts w:hint="eastAsia" w:ascii="仿宋_GB2312" w:hAnsi="仿宋_GB2312" w:eastAsia="仿宋_GB2312" w:cs="仿宋_GB2312"/>
                <w:color w:val="auto"/>
              </w:rPr>
              <w:t>万亩</w:t>
            </w:r>
          </w:p>
        </w:tc>
        <w:tc>
          <w:tcPr>
            <w:tcW w:w="89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50D6F24">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12.4</w:t>
            </w:r>
          </w:p>
        </w:tc>
        <w:tc>
          <w:tcPr>
            <w:tcW w:w="1828"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591AFD6">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完成市级下达任务</w:t>
            </w:r>
          </w:p>
        </w:tc>
        <w:tc>
          <w:tcPr>
            <w:tcW w:w="77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C7CBA10">
            <w:pPr>
              <w:widowControl/>
              <w:spacing w:line="240" w:lineRule="auto"/>
              <w:jc w:val="center"/>
              <w:textAlignment w:val="center"/>
              <w:rPr>
                <w:rFonts w:hint="eastAsia" w:ascii="仿宋_GB2312" w:hAnsi="仿宋_GB2312" w:eastAsia="仿宋_GB2312" w:cs="仿宋_GB2312"/>
                <w:color w:val="auto"/>
                <w:szCs w:val="21"/>
              </w:rPr>
            </w:pPr>
            <w:r>
              <w:rPr>
                <w:rStyle w:val="51"/>
                <w:rFonts w:hint="eastAsia" w:ascii="仿宋_GB2312" w:hAnsi="仿宋_GB2312" w:eastAsia="仿宋_GB2312" w:cs="仿宋_GB2312"/>
                <w:color w:val="auto"/>
              </w:rPr>
              <w:t>约束性</w:t>
            </w:r>
          </w:p>
        </w:tc>
      </w:tr>
      <w:tr w14:paraId="10317CC7">
        <w:tblPrEx>
          <w:tblCellMar>
            <w:top w:w="0" w:type="dxa"/>
            <w:left w:w="108" w:type="dxa"/>
            <w:bottom w:w="0" w:type="dxa"/>
            <w:right w:w="108" w:type="dxa"/>
          </w:tblCellMar>
        </w:tblPrEx>
        <w:trPr>
          <w:trHeight w:val="397" w:hRule="exact"/>
        </w:trPr>
        <w:tc>
          <w:tcPr>
            <w:tcW w:w="565" w:type="dxa"/>
            <w:vMerge w:val="continue"/>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3718002">
            <w:pPr>
              <w:spacing w:line="560" w:lineRule="exact"/>
              <w:jc w:val="center"/>
              <w:rPr>
                <w:rFonts w:hint="eastAsia" w:ascii="仿宋_GB2312" w:hAnsi="仿宋_GB2312" w:eastAsia="仿宋_GB2312" w:cs="仿宋_GB2312"/>
                <w:color w:val="auto"/>
                <w:szCs w:val="21"/>
              </w:rPr>
            </w:pPr>
          </w:p>
        </w:tc>
        <w:tc>
          <w:tcPr>
            <w:tcW w:w="59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75F18FF">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4</w:t>
            </w:r>
          </w:p>
        </w:tc>
        <w:tc>
          <w:tcPr>
            <w:tcW w:w="3575"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07CD54F">
            <w:pPr>
              <w:widowControl/>
              <w:spacing w:line="240" w:lineRule="auto"/>
              <w:jc w:val="both"/>
              <w:textAlignment w:val="center"/>
              <w:rPr>
                <w:rFonts w:hint="eastAsia" w:ascii="仿宋_GB2312" w:hAnsi="仿宋_GB2312" w:eastAsia="仿宋_GB2312" w:cs="仿宋_GB2312"/>
                <w:color w:val="auto"/>
                <w:szCs w:val="21"/>
              </w:rPr>
            </w:pPr>
            <w:r>
              <w:rPr>
                <w:rStyle w:val="51"/>
                <w:rFonts w:hint="eastAsia" w:ascii="仿宋_GB2312" w:hAnsi="仿宋_GB2312" w:eastAsia="仿宋_GB2312" w:cs="仿宋_GB2312"/>
                <w:color w:val="auto"/>
              </w:rPr>
              <w:t>蔬菜产量</w:t>
            </w:r>
          </w:p>
        </w:tc>
        <w:tc>
          <w:tcPr>
            <w:tcW w:w="71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FC7C629">
            <w:pPr>
              <w:widowControl/>
              <w:spacing w:line="240" w:lineRule="auto"/>
              <w:jc w:val="center"/>
              <w:textAlignment w:val="center"/>
              <w:rPr>
                <w:rFonts w:hint="eastAsia" w:ascii="仿宋_GB2312" w:hAnsi="仿宋_GB2312" w:eastAsia="仿宋_GB2312" w:cs="仿宋_GB2312"/>
                <w:color w:val="auto"/>
                <w:sz w:val="21"/>
                <w:szCs w:val="21"/>
              </w:rPr>
            </w:pPr>
            <w:r>
              <w:rPr>
                <w:rStyle w:val="51"/>
                <w:rFonts w:hint="eastAsia" w:ascii="仿宋_GB2312" w:hAnsi="仿宋_GB2312" w:eastAsia="仿宋_GB2312" w:cs="仿宋_GB2312"/>
                <w:color w:val="auto"/>
              </w:rPr>
              <w:t>万吨</w:t>
            </w:r>
          </w:p>
        </w:tc>
        <w:tc>
          <w:tcPr>
            <w:tcW w:w="89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B1B316D">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37.7</w:t>
            </w:r>
          </w:p>
        </w:tc>
        <w:tc>
          <w:tcPr>
            <w:tcW w:w="1828"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0AA3279">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完成市级下达任务</w:t>
            </w:r>
          </w:p>
        </w:tc>
        <w:tc>
          <w:tcPr>
            <w:tcW w:w="77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B52C261">
            <w:pPr>
              <w:widowControl/>
              <w:spacing w:line="240" w:lineRule="auto"/>
              <w:jc w:val="center"/>
              <w:textAlignment w:val="center"/>
              <w:rPr>
                <w:rFonts w:hint="eastAsia" w:ascii="仿宋_GB2312" w:hAnsi="仿宋_GB2312" w:eastAsia="仿宋_GB2312" w:cs="仿宋_GB2312"/>
                <w:color w:val="auto"/>
                <w:szCs w:val="21"/>
              </w:rPr>
            </w:pPr>
            <w:r>
              <w:rPr>
                <w:rStyle w:val="51"/>
                <w:rFonts w:hint="eastAsia" w:ascii="仿宋_GB2312" w:hAnsi="仿宋_GB2312" w:eastAsia="仿宋_GB2312" w:cs="仿宋_GB2312"/>
                <w:color w:val="auto"/>
              </w:rPr>
              <w:t>约束性</w:t>
            </w:r>
          </w:p>
        </w:tc>
      </w:tr>
      <w:tr w14:paraId="6CF18A67">
        <w:tblPrEx>
          <w:tblCellMar>
            <w:top w:w="0" w:type="dxa"/>
            <w:left w:w="108" w:type="dxa"/>
            <w:bottom w:w="0" w:type="dxa"/>
            <w:right w:w="108" w:type="dxa"/>
          </w:tblCellMar>
        </w:tblPrEx>
        <w:trPr>
          <w:trHeight w:val="397" w:hRule="exact"/>
        </w:trPr>
        <w:tc>
          <w:tcPr>
            <w:tcW w:w="565" w:type="dxa"/>
            <w:vMerge w:val="continue"/>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DDC6E2B">
            <w:pPr>
              <w:spacing w:line="560" w:lineRule="exact"/>
              <w:jc w:val="center"/>
              <w:rPr>
                <w:rFonts w:hint="eastAsia" w:ascii="仿宋_GB2312" w:hAnsi="仿宋_GB2312" w:eastAsia="仿宋_GB2312" w:cs="仿宋_GB2312"/>
                <w:color w:val="auto"/>
                <w:szCs w:val="21"/>
              </w:rPr>
            </w:pPr>
          </w:p>
        </w:tc>
        <w:tc>
          <w:tcPr>
            <w:tcW w:w="59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5DA7D25">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5</w:t>
            </w:r>
          </w:p>
        </w:tc>
        <w:tc>
          <w:tcPr>
            <w:tcW w:w="3575"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9D214B4">
            <w:pPr>
              <w:widowControl/>
              <w:spacing w:line="240" w:lineRule="auto"/>
              <w:jc w:val="both"/>
              <w:textAlignment w:val="center"/>
              <w:rPr>
                <w:rFonts w:hint="eastAsia" w:ascii="仿宋_GB2312" w:hAnsi="仿宋_GB2312" w:eastAsia="仿宋_GB2312" w:cs="仿宋_GB2312"/>
                <w:color w:val="auto"/>
                <w:szCs w:val="21"/>
              </w:rPr>
            </w:pPr>
            <w:r>
              <w:rPr>
                <w:rStyle w:val="46"/>
                <w:rFonts w:hint="eastAsia" w:ascii="仿宋_GB2312" w:hAnsi="仿宋_GB2312" w:eastAsia="仿宋_GB2312" w:cs="仿宋_GB2312"/>
                <w:color w:val="auto"/>
              </w:rPr>
              <w:t>高标准农田面积</w:t>
            </w:r>
          </w:p>
        </w:tc>
        <w:tc>
          <w:tcPr>
            <w:tcW w:w="71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9540D68">
            <w:pPr>
              <w:widowControl/>
              <w:spacing w:line="240" w:lineRule="auto"/>
              <w:jc w:val="center"/>
              <w:textAlignment w:val="center"/>
              <w:rPr>
                <w:rFonts w:hint="eastAsia" w:ascii="仿宋_GB2312" w:hAnsi="仿宋_GB2312" w:eastAsia="仿宋_GB2312" w:cs="仿宋_GB2312"/>
                <w:color w:val="auto"/>
                <w:sz w:val="21"/>
                <w:szCs w:val="21"/>
              </w:rPr>
            </w:pPr>
            <w:r>
              <w:rPr>
                <w:rStyle w:val="46"/>
                <w:rFonts w:hint="eastAsia" w:ascii="仿宋_GB2312" w:hAnsi="仿宋_GB2312" w:eastAsia="仿宋_GB2312" w:cs="仿宋_GB2312"/>
                <w:color w:val="auto"/>
              </w:rPr>
              <w:t>万亩</w:t>
            </w:r>
          </w:p>
        </w:tc>
        <w:tc>
          <w:tcPr>
            <w:tcW w:w="89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3601B98">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7.6</w:t>
            </w:r>
          </w:p>
        </w:tc>
        <w:tc>
          <w:tcPr>
            <w:tcW w:w="1828"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A434116">
            <w:pPr>
              <w:widowControl/>
              <w:snapToGrid w:val="0"/>
              <w:spacing w:line="240" w:lineRule="auto"/>
              <w:jc w:val="center"/>
              <w:textAlignment w:val="center"/>
              <w:rPr>
                <w:rFonts w:hint="default"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lang w:val="en-US" w:eastAsia="zh-CN"/>
              </w:rPr>
              <w:t>16.8</w:t>
            </w:r>
          </w:p>
        </w:tc>
        <w:tc>
          <w:tcPr>
            <w:tcW w:w="77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8045B39">
            <w:pPr>
              <w:widowControl/>
              <w:spacing w:line="240" w:lineRule="auto"/>
              <w:jc w:val="center"/>
              <w:textAlignment w:val="center"/>
              <w:rPr>
                <w:rFonts w:hint="eastAsia" w:ascii="仿宋_GB2312" w:hAnsi="仿宋_GB2312" w:eastAsia="仿宋_GB2312" w:cs="仿宋_GB2312"/>
                <w:color w:val="auto"/>
                <w:szCs w:val="21"/>
              </w:rPr>
            </w:pPr>
            <w:r>
              <w:rPr>
                <w:rStyle w:val="46"/>
                <w:rFonts w:hint="eastAsia" w:ascii="仿宋_GB2312" w:hAnsi="仿宋_GB2312" w:eastAsia="仿宋_GB2312" w:cs="仿宋_GB2312"/>
                <w:color w:val="auto"/>
              </w:rPr>
              <w:t>预期性</w:t>
            </w:r>
          </w:p>
        </w:tc>
      </w:tr>
      <w:tr w14:paraId="26389A8B">
        <w:tblPrEx>
          <w:tblCellMar>
            <w:top w:w="0" w:type="dxa"/>
            <w:left w:w="108" w:type="dxa"/>
            <w:bottom w:w="0" w:type="dxa"/>
            <w:right w:w="108" w:type="dxa"/>
          </w:tblCellMar>
        </w:tblPrEx>
        <w:trPr>
          <w:trHeight w:val="397" w:hRule="exact"/>
        </w:trPr>
        <w:tc>
          <w:tcPr>
            <w:tcW w:w="565" w:type="dxa"/>
            <w:vMerge w:val="continue"/>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86F879A">
            <w:pPr>
              <w:spacing w:line="560" w:lineRule="exact"/>
              <w:jc w:val="center"/>
              <w:rPr>
                <w:rFonts w:hint="eastAsia" w:ascii="仿宋_GB2312" w:hAnsi="仿宋_GB2312" w:eastAsia="仿宋_GB2312" w:cs="仿宋_GB2312"/>
                <w:color w:val="auto"/>
                <w:szCs w:val="21"/>
              </w:rPr>
            </w:pPr>
          </w:p>
        </w:tc>
        <w:tc>
          <w:tcPr>
            <w:tcW w:w="59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D133D8E">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6</w:t>
            </w:r>
          </w:p>
        </w:tc>
        <w:tc>
          <w:tcPr>
            <w:tcW w:w="3575"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6043D46">
            <w:pPr>
              <w:widowControl/>
              <w:spacing w:line="240" w:lineRule="auto"/>
              <w:jc w:val="both"/>
              <w:textAlignment w:val="center"/>
              <w:rPr>
                <w:rFonts w:hint="eastAsia" w:ascii="仿宋_GB2312" w:hAnsi="仿宋_GB2312" w:eastAsia="仿宋_GB2312" w:cs="仿宋_GB2312"/>
                <w:color w:val="auto"/>
                <w:szCs w:val="21"/>
              </w:rPr>
            </w:pPr>
            <w:r>
              <w:rPr>
                <w:rStyle w:val="51"/>
                <w:rFonts w:hint="eastAsia" w:ascii="仿宋_GB2312" w:hAnsi="仿宋_GB2312" w:eastAsia="仿宋_GB2312" w:cs="仿宋_GB2312"/>
                <w:color w:val="auto"/>
              </w:rPr>
              <w:t>绿色有机产品总量</w:t>
            </w:r>
          </w:p>
        </w:tc>
        <w:tc>
          <w:tcPr>
            <w:tcW w:w="71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9931A7B">
            <w:pPr>
              <w:widowControl/>
              <w:spacing w:line="240" w:lineRule="auto"/>
              <w:jc w:val="center"/>
              <w:textAlignment w:val="center"/>
              <w:rPr>
                <w:rFonts w:hint="eastAsia" w:ascii="仿宋_GB2312" w:hAnsi="仿宋_GB2312" w:eastAsia="仿宋_GB2312" w:cs="仿宋_GB2312"/>
                <w:color w:val="auto"/>
                <w:sz w:val="21"/>
                <w:szCs w:val="21"/>
              </w:rPr>
            </w:pPr>
            <w:r>
              <w:rPr>
                <w:rStyle w:val="51"/>
                <w:rFonts w:hint="eastAsia" w:ascii="仿宋_GB2312" w:hAnsi="仿宋_GB2312" w:eastAsia="仿宋_GB2312" w:cs="仿宋_GB2312"/>
                <w:color w:val="auto"/>
              </w:rPr>
              <w:t>万吨</w:t>
            </w:r>
          </w:p>
        </w:tc>
        <w:tc>
          <w:tcPr>
            <w:tcW w:w="89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D4015D1">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4.48</w:t>
            </w:r>
          </w:p>
        </w:tc>
        <w:tc>
          <w:tcPr>
            <w:tcW w:w="1828"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AFE7B3E">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6</w:t>
            </w:r>
          </w:p>
        </w:tc>
        <w:tc>
          <w:tcPr>
            <w:tcW w:w="77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2F30154">
            <w:pPr>
              <w:widowControl/>
              <w:spacing w:line="240" w:lineRule="auto"/>
              <w:jc w:val="center"/>
              <w:textAlignment w:val="center"/>
              <w:rPr>
                <w:rFonts w:hint="eastAsia" w:ascii="仿宋_GB2312" w:hAnsi="仿宋_GB2312" w:eastAsia="仿宋_GB2312" w:cs="仿宋_GB2312"/>
                <w:color w:val="auto"/>
                <w:szCs w:val="21"/>
              </w:rPr>
            </w:pPr>
            <w:r>
              <w:rPr>
                <w:rStyle w:val="51"/>
                <w:rFonts w:hint="eastAsia" w:ascii="仿宋_GB2312" w:hAnsi="仿宋_GB2312" w:eastAsia="仿宋_GB2312" w:cs="仿宋_GB2312"/>
                <w:color w:val="auto"/>
              </w:rPr>
              <w:t>预期性</w:t>
            </w:r>
          </w:p>
        </w:tc>
      </w:tr>
      <w:tr w14:paraId="4612747D">
        <w:tblPrEx>
          <w:tblCellMar>
            <w:top w:w="0" w:type="dxa"/>
            <w:left w:w="108" w:type="dxa"/>
            <w:bottom w:w="0" w:type="dxa"/>
            <w:right w:w="108" w:type="dxa"/>
          </w:tblCellMar>
        </w:tblPrEx>
        <w:trPr>
          <w:trHeight w:val="397" w:hRule="exact"/>
        </w:trPr>
        <w:tc>
          <w:tcPr>
            <w:tcW w:w="565" w:type="dxa"/>
            <w:vMerge w:val="continue"/>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0CDEB2D">
            <w:pPr>
              <w:spacing w:line="560" w:lineRule="exact"/>
              <w:jc w:val="center"/>
              <w:rPr>
                <w:rFonts w:hint="eastAsia" w:ascii="仿宋_GB2312" w:hAnsi="仿宋_GB2312" w:eastAsia="仿宋_GB2312" w:cs="仿宋_GB2312"/>
                <w:color w:val="auto"/>
                <w:szCs w:val="21"/>
              </w:rPr>
            </w:pPr>
          </w:p>
        </w:tc>
        <w:tc>
          <w:tcPr>
            <w:tcW w:w="59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028F2B9">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7</w:t>
            </w:r>
          </w:p>
        </w:tc>
        <w:tc>
          <w:tcPr>
            <w:tcW w:w="3575"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A615C92">
            <w:pPr>
              <w:widowControl/>
              <w:spacing w:line="240" w:lineRule="auto"/>
              <w:jc w:val="both"/>
              <w:textAlignment w:val="center"/>
              <w:rPr>
                <w:rStyle w:val="51"/>
                <w:rFonts w:hint="eastAsia" w:ascii="仿宋_GB2312" w:hAnsi="仿宋_GB2312" w:eastAsia="仿宋_GB2312" w:cs="仿宋_GB2312"/>
                <w:color w:val="auto"/>
              </w:rPr>
            </w:pPr>
            <w:r>
              <w:rPr>
                <w:rStyle w:val="51"/>
                <w:rFonts w:hint="eastAsia" w:ascii="仿宋_GB2312" w:hAnsi="仿宋_GB2312" w:eastAsia="仿宋_GB2312" w:cs="仿宋_GB2312"/>
                <w:color w:val="auto"/>
              </w:rPr>
              <w:t>农产品质量安全监测合格率</w:t>
            </w:r>
          </w:p>
        </w:tc>
        <w:tc>
          <w:tcPr>
            <w:tcW w:w="71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023BE8C9">
            <w:pPr>
              <w:widowControl/>
              <w:spacing w:line="240" w:lineRule="auto"/>
              <w:jc w:val="center"/>
              <w:textAlignment w:val="center"/>
              <w:rPr>
                <w:rStyle w:val="51"/>
                <w:rFonts w:hint="eastAsia" w:ascii="仿宋_GB2312" w:hAnsi="仿宋_GB2312" w:eastAsia="仿宋_GB2312" w:cs="仿宋_GB2312"/>
                <w:color w:val="auto"/>
              </w:rPr>
            </w:pPr>
            <w:r>
              <w:rPr>
                <w:rStyle w:val="51"/>
                <w:rFonts w:hint="eastAsia" w:ascii="仿宋_GB2312" w:hAnsi="仿宋_GB2312" w:eastAsia="仿宋_GB2312" w:cs="仿宋_GB2312"/>
                <w:color w:val="auto"/>
              </w:rPr>
              <w:t>%</w:t>
            </w:r>
          </w:p>
        </w:tc>
        <w:tc>
          <w:tcPr>
            <w:tcW w:w="89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92CFDCD">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99.85</w:t>
            </w:r>
          </w:p>
        </w:tc>
        <w:tc>
          <w:tcPr>
            <w:tcW w:w="1828"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B8B8DEC">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98以上</w:t>
            </w:r>
          </w:p>
        </w:tc>
        <w:tc>
          <w:tcPr>
            <w:tcW w:w="77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BC0EED8">
            <w:pPr>
              <w:widowControl/>
              <w:spacing w:line="240" w:lineRule="auto"/>
              <w:jc w:val="center"/>
              <w:textAlignment w:val="center"/>
              <w:rPr>
                <w:rFonts w:hint="eastAsia" w:ascii="仿宋_GB2312" w:hAnsi="仿宋_GB2312" w:eastAsia="仿宋_GB2312" w:cs="仿宋_GB2312"/>
                <w:color w:val="auto"/>
                <w:sz w:val="21"/>
                <w:szCs w:val="21"/>
              </w:rPr>
            </w:pPr>
            <w:r>
              <w:rPr>
                <w:rStyle w:val="51"/>
                <w:rFonts w:hint="eastAsia" w:ascii="仿宋_GB2312" w:hAnsi="仿宋_GB2312" w:eastAsia="仿宋_GB2312" w:cs="仿宋_GB2312"/>
                <w:color w:val="auto"/>
              </w:rPr>
              <w:t>预期性</w:t>
            </w:r>
          </w:p>
        </w:tc>
      </w:tr>
      <w:tr w14:paraId="3A6F65D2">
        <w:tblPrEx>
          <w:tblCellMar>
            <w:top w:w="0" w:type="dxa"/>
            <w:left w:w="108" w:type="dxa"/>
            <w:bottom w:w="0" w:type="dxa"/>
            <w:right w:w="108" w:type="dxa"/>
          </w:tblCellMar>
        </w:tblPrEx>
        <w:trPr>
          <w:trHeight w:val="397" w:hRule="exact"/>
        </w:trPr>
        <w:tc>
          <w:tcPr>
            <w:tcW w:w="565" w:type="dxa"/>
            <w:vMerge w:val="continue"/>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0BDF8C2">
            <w:pPr>
              <w:spacing w:line="560" w:lineRule="exact"/>
              <w:jc w:val="center"/>
              <w:rPr>
                <w:rFonts w:hint="eastAsia" w:ascii="仿宋_GB2312" w:hAnsi="仿宋_GB2312" w:eastAsia="仿宋_GB2312" w:cs="仿宋_GB2312"/>
                <w:color w:val="auto"/>
                <w:szCs w:val="21"/>
              </w:rPr>
            </w:pPr>
          </w:p>
        </w:tc>
        <w:tc>
          <w:tcPr>
            <w:tcW w:w="59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6873DF1">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8</w:t>
            </w:r>
          </w:p>
        </w:tc>
        <w:tc>
          <w:tcPr>
            <w:tcW w:w="3575"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379FE48">
            <w:pPr>
              <w:widowControl/>
              <w:spacing w:line="240" w:lineRule="auto"/>
              <w:jc w:val="both"/>
              <w:textAlignment w:val="center"/>
              <w:rPr>
                <w:rFonts w:hint="eastAsia" w:ascii="仿宋_GB2312" w:hAnsi="仿宋_GB2312" w:eastAsia="仿宋_GB2312" w:cs="仿宋_GB2312"/>
                <w:color w:val="auto"/>
                <w:szCs w:val="21"/>
              </w:rPr>
            </w:pPr>
            <w:r>
              <w:rPr>
                <w:rStyle w:val="46"/>
                <w:rFonts w:hint="eastAsia" w:ascii="仿宋_GB2312" w:hAnsi="仿宋_GB2312" w:eastAsia="仿宋_GB2312" w:cs="仿宋_GB2312"/>
                <w:color w:val="auto"/>
              </w:rPr>
              <w:t>农作物耕种收综合机械化率</w:t>
            </w:r>
          </w:p>
        </w:tc>
        <w:tc>
          <w:tcPr>
            <w:tcW w:w="71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82FB725">
            <w:pPr>
              <w:widowControl/>
              <w:spacing w:line="240" w:lineRule="auto"/>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w:t>
            </w:r>
          </w:p>
        </w:tc>
        <w:tc>
          <w:tcPr>
            <w:tcW w:w="89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1BB8D4A">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81.7</w:t>
            </w:r>
          </w:p>
        </w:tc>
        <w:tc>
          <w:tcPr>
            <w:tcW w:w="1828"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28152E8A">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85</w:t>
            </w:r>
          </w:p>
        </w:tc>
        <w:tc>
          <w:tcPr>
            <w:tcW w:w="77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CC28B77">
            <w:pPr>
              <w:widowControl/>
              <w:spacing w:line="240" w:lineRule="auto"/>
              <w:jc w:val="center"/>
              <w:textAlignment w:val="center"/>
              <w:rPr>
                <w:rFonts w:hint="eastAsia" w:ascii="仿宋_GB2312" w:hAnsi="仿宋_GB2312" w:eastAsia="仿宋_GB2312" w:cs="仿宋_GB2312"/>
                <w:color w:val="auto"/>
                <w:szCs w:val="21"/>
              </w:rPr>
            </w:pPr>
            <w:r>
              <w:rPr>
                <w:rStyle w:val="46"/>
                <w:rFonts w:hint="eastAsia" w:ascii="仿宋_GB2312" w:hAnsi="仿宋_GB2312" w:eastAsia="仿宋_GB2312" w:cs="仿宋_GB2312"/>
                <w:color w:val="auto"/>
              </w:rPr>
              <w:t>预期性</w:t>
            </w:r>
          </w:p>
        </w:tc>
      </w:tr>
      <w:tr w14:paraId="46D05F2A">
        <w:tblPrEx>
          <w:tblCellMar>
            <w:top w:w="0" w:type="dxa"/>
            <w:left w:w="108" w:type="dxa"/>
            <w:bottom w:w="0" w:type="dxa"/>
            <w:right w:w="108" w:type="dxa"/>
          </w:tblCellMar>
        </w:tblPrEx>
        <w:trPr>
          <w:trHeight w:val="397" w:hRule="exact"/>
        </w:trPr>
        <w:tc>
          <w:tcPr>
            <w:tcW w:w="565" w:type="dxa"/>
            <w:vMerge w:val="continue"/>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124F6CA">
            <w:pPr>
              <w:spacing w:line="560" w:lineRule="exact"/>
              <w:jc w:val="center"/>
              <w:rPr>
                <w:rFonts w:hint="eastAsia" w:ascii="仿宋_GB2312" w:hAnsi="仿宋_GB2312" w:eastAsia="仿宋_GB2312" w:cs="仿宋_GB2312"/>
                <w:color w:val="auto"/>
                <w:szCs w:val="21"/>
              </w:rPr>
            </w:pPr>
          </w:p>
        </w:tc>
        <w:tc>
          <w:tcPr>
            <w:tcW w:w="59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062C54C">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9</w:t>
            </w:r>
          </w:p>
        </w:tc>
        <w:tc>
          <w:tcPr>
            <w:tcW w:w="3575"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B92DA76">
            <w:pPr>
              <w:widowControl/>
              <w:spacing w:line="240" w:lineRule="auto"/>
              <w:jc w:val="both"/>
              <w:textAlignment w:val="center"/>
              <w:rPr>
                <w:rFonts w:hint="eastAsia" w:ascii="仿宋_GB2312" w:hAnsi="仿宋_GB2312" w:eastAsia="仿宋_GB2312" w:cs="仿宋_GB2312"/>
                <w:color w:val="auto"/>
                <w:szCs w:val="21"/>
              </w:rPr>
            </w:pPr>
            <w:r>
              <w:rPr>
                <w:rStyle w:val="46"/>
                <w:rFonts w:hint="eastAsia" w:ascii="仿宋_GB2312" w:hAnsi="仿宋_GB2312" w:eastAsia="仿宋_GB2312" w:cs="仿宋_GB2312"/>
                <w:color w:val="auto"/>
              </w:rPr>
              <w:t>乡村休闲旅游收入</w:t>
            </w:r>
          </w:p>
        </w:tc>
        <w:tc>
          <w:tcPr>
            <w:tcW w:w="71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5C6506CE">
            <w:pPr>
              <w:widowControl/>
              <w:spacing w:line="240" w:lineRule="auto"/>
              <w:jc w:val="center"/>
              <w:textAlignment w:val="center"/>
              <w:rPr>
                <w:rFonts w:hint="eastAsia" w:ascii="仿宋_GB2312" w:hAnsi="仿宋_GB2312" w:eastAsia="仿宋_GB2312" w:cs="仿宋_GB2312"/>
                <w:color w:val="auto"/>
                <w:sz w:val="21"/>
                <w:szCs w:val="21"/>
              </w:rPr>
            </w:pPr>
            <w:r>
              <w:rPr>
                <w:rStyle w:val="51"/>
                <w:rFonts w:hint="eastAsia" w:ascii="仿宋_GB2312" w:hAnsi="仿宋_GB2312" w:eastAsia="仿宋_GB2312" w:cs="仿宋_GB2312"/>
                <w:color w:val="auto"/>
              </w:rPr>
              <w:t>亿元</w:t>
            </w:r>
          </w:p>
        </w:tc>
        <w:tc>
          <w:tcPr>
            <w:tcW w:w="891"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C1CCD8F">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1.8638</w:t>
            </w:r>
          </w:p>
        </w:tc>
        <w:tc>
          <w:tcPr>
            <w:tcW w:w="1828"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9BE5E4A">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稳步提升</w:t>
            </w:r>
          </w:p>
        </w:tc>
        <w:tc>
          <w:tcPr>
            <w:tcW w:w="77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E9FB6A9">
            <w:pPr>
              <w:widowControl/>
              <w:spacing w:line="240" w:lineRule="auto"/>
              <w:jc w:val="center"/>
              <w:textAlignment w:val="center"/>
              <w:rPr>
                <w:rFonts w:hint="eastAsia" w:ascii="仿宋_GB2312" w:hAnsi="仿宋_GB2312" w:eastAsia="仿宋_GB2312" w:cs="仿宋_GB2312"/>
                <w:color w:val="auto"/>
                <w:szCs w:val="21"/>
              </w:rPr>
            </w:pPr>
            <w:r>
              <w:rPr>
                <w:rStyle w:val="51"/>
                <w:rFonts w:hint="eastAsia" w:ascii="仿宋_GB2312" w:hAnsi="仿宋_GB2312" w:eastAsia="仿宋_GB2312" w:cs="仿宋_GB2312"/>
                <w:color w:val="auto"/>
              </w:rPr>
              <w:t>预期性</w:t>
            </w:r>
          </w:p>
        </w:tc>
      </w:tr>
      <w:tr w14:paraId="6EA55360">
        <w:tblPrEx>
          <w:tblCellMar>
            <w:top w:w="0" w:type="dxa"/>
            <w:left w:w="108" w:type="dxa"/>
            <w:bottom w:w="0" w:type="dxa"/>
            <w:right w:w="108" w:type="dxa"/>
          </w:tblCellMar>
        </w:tblPrEx>
        <w:trPr>
          <w:trHeight w:val="397" w:hRule="exact"/>
        </w:trPr>
        <w:tc>
          <w:tcPr>
            <w:tcW w:w="565" w:type="dxa"/>
            <w:vMerge w:val="restart"/>
            <w:tcBorders>
              <w:top w:val="single" w:color="000000" w:sz="4" w:space="0"/>
              <w:left w:val="single" w:color="000000" w:sz="4" w:space="0"/>
              <w:right w:val="single" w:color="000000" w:sz="4" w:space="0"/>
            </w:tcBorders>
            <w:tcMar>
              <w:top w:w="0" w:type="dxa"/>
              <w:left w:w="51" w:type="dxa"/>
              <w:bottom w:w="0" w:type="dxa"/>
              <w:right w:w="51" w:type="dxa"/>
            </w:tcMar>
            <w:vAlign w:val="center"/>
          </w:tcPr>
          <w:p w14:paraId="64C243E7">
            <w:pPr>
              <w:widowControl/>
              <w:spacing w:line="240" w:lineRule="auto"/>
              <w:jc w:val="center"/>
              <w:textAlignment w:val="center"/>
              <w:rPr>
                <w:rFonts w:hint="eastAsia" w:ascii="仿宋_GB2312" w:hAnsi="仿宋_GB2312" w:eastAsia="仿宋_GB2312" w:cs="仿宋_GB2312"/>
                <w:color w:val="auto"/>
                <w:szCs w:val="21"/>
              </w:rPr>
            </w:pPr>
            <w:r>
              <w:rPr>
                <w:rStyle w:val="51"/>
                <w:rFonts w:hint="eastAsia" w:ascii="仿宋_GB2312" w:hAnsi="仿宋_GB2312" w:eastAsia="仿宋_GB2312" w:cs="仿宋_GB2312"/>
                <w:color w:val="auto"/>
              </w:rPr>
              <w:t>农村美</w:t>
            </w:r>
          </w:p>
        </w:tc>
        <w:tc>
          <w:tcPr>
            <w:tcW w:w="596" w:type="dxa"/>
            <w:tcBorders>
              <w:top w:val="single" w:color="000000" w:sz="4" w:space="0"/>
              <w:left w:val="single" w:color="000000" w:sz="4" w:space="0"/>
              <w:bottom w:val="single" w:color="auto" w:sz="4" w:space="0"/>
              <w:right w:val="single" w:color="000000" w:sz="4" w:space="0"/>
            </w:tcBorders>
            <w:tcMar>
              <w:top w:w="0" w:type="dxa"/>
              <w:left w:w="51" w:type="dxa"/>
              <w:bottom w:w="0" w:type="dxa"/>
              <w:right w:w="51" w:type="dxa"/>
            </w:tcMar>
            <w:vAlign w:val="center"/>
          </w:tcPr>
          <w:p w14:paraId="72C2BEE2">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default" w:ascii="仿宋_GB2312" w:hAnsi="仿宋_GB2312" w:eastAsia="仿宋_GB2312" w:cs="仿宋_GB2312"/>
                <w:color w:val="auto"/>
                <w:kern w:val="0"/>
                <w:sz w:val="21"/>
                <w:szCs w:val="21"/>
                <w:lang w:val="en-US"/>
              </w:rPr>
              <w:t>10</w:t>
            </w:r>
          </w:p>
        </w:tc>
        <w:tc>
          <w:tcPr>
            <w:tcW w:w="3575"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60117711">
            <w:pPr>
              <w:widowControl/>
              <w:spacing w:line="240" w:lineRule="auto"/>
              <w:jc w:val="both"/>
              <w:textAlignment w:val="center"/>
              <w:rPr>
                <w:rStyle w:val="51"/>
                <w:rFonts w:hint="eastAsia" w:ascii="仿宋_GB2312" w:hAnsi="仿宋_GB2312" w:eastAsia="仿宋_GB2312" w:cs="仿宋_GB2312"/>
                <w:color w:val="auto"/>
                <w:highlight w:val="none"/>
              </w:rPr>
            </w:pPr>
            <w:r>
              <w:rPr>
                <w:rStyle w:val="51"/>
                <w:rFonts w:hint="eastAsia" w:ascii="仿宋_GB2312" w:hAnsi="仿宋_GB2312" w:eastAsia="仿宋_GB2312" w:cs="仿宋_GB2312"/>
                <w:color w:val="auto"/>
                <w:highlight w:val="none"/>
              </w:rPr>
              <w:t>美丽乡村整区推进比例</w:t>
            </w:r>
          </w:p>
        </w:tc>
        <w:tc>
          <w:tcPr>
            <w:tcW w:w="711"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7A3FA799">
            <w:pPr>
              <w:widowControl/>
              <w:spacing w:line="240" w:lineRule="auto"/>
              <w:jc w:val="center"/>
              <w:textAlignment w:val="center"/>
              <w:rPr>
                <w:rStyle w:val="51"/>
                <w:rFonts w:hint="eastAsia" w:ascii="仿宋_GB2312" w:hAnsi="仿宋_GB2312" w:eastAsia="仿宋_GB2312" w:cs="仿宋_GB2312"/>
                <w:color w:val="auto"/>
                <w:highlight w:val="none"/>
                <w:lang w:val="en-US" w:eastAsia="zh-CN"/>
              </w:rPr>
            </w:pPr>
            <w:r>
              <w:rPr>
                <w:rStyle w:val="51"/>
                <w:rFonts w:hint="eastAsia" w:ascii="仿宋_GB2312" w:hAnsi="仿宋_GB2312" w:eastAsia="仿宋_GB2312" w:cs="仿宋_GB2312"/>
                <w:color w:val="auto"/>
                <w:highlight w:val="none"/>
                <w:lang w:val="en-US" w:eastAsia="zh-CN"/>
              </w:rPr>
              <w:t>%</w:t>
            </w:r>
          </w:p>
        </w:tc>
        <w:tc>
          <w:tcPr>
            <w:tcW w:w="891"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079E197D">
            <w:pPr>
              <w:widowControl/>
              <w:snapToGrid w:val="0"/>
              <w:spacing w:line="240" w:lineRule="auto"/>
              <w:jc w:val="center"/>
              <w:textAlignment w:val="center"/>
              <w:rPr>
                <w:rFonts w:hint="default" w:ascii="仿宋_GB2312" w:hAnsi="仿宋_GB2312" w:eastAsia="仿宋_GB2312" w:cs="仿宋_GB2312"/>
                <w:color w:val="auto"/>
                <w:kern w:val="0"/>
                <w:sz w:val="21"/>
                <w:szCs w:val="21"/>
                <w:highlight w:val="none"/>
                <w:lang w:val="en-US" w:eastAsia="zh-CN"/>
              </w:rPr>
            </w:pPr>
            <w:r>
              <w:rPr>
                <w:rFonts w:hint="eastAsia" w:ascii="仿宋_GB2312" w:hAnsi="仿宋_GB2312" w:eastAsia="仿宋_GB2312" w:cs="仿宋_GB2312"/>
                <w:color w:val="auto"/>
                <w:kern w:val="0"/>
                <w:sz w:val="21"/>
                <w:szCs w:val="21"/>
                <w:highlight w:val="none"/>
                <w:lang w:val="en-US" w:eastAsia="zh-CN"/>
              </w:rPr>
              <w:t>80</w:t>
            </w:r>
          </w:p>
        </w:tc>
        <w:tc>
          <w:tcPr>
            <w:tcW w:w="1828"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1EADBA1C">
            <w:pPr>
              <w:widowControl/>
              <w:snapToGrid w:val="0"/>
              <w:spacing w:line="240" w:lineRule="auto"/>
              <w:jc w:val="center"/>
              <w:textAlignment w:val="center"/>
              <w:rPr>
                <w:rFonts w:hint="eastAsia" w:ascii="仿宋_GB2312" w:hAnsi="仿宋_GB2312" w:eastAsia="仿宋_GB2312" w:cs="仿宋_GB2312"/>
                <w:color w:val="auto"/>
                <w:kern w:val="0"/>
                <w:sz w:val="21"/>
                <w:szCs w:val="21"/>
                <w:highlight w:val="none"/>
                <w:lang w:val="en-US" w:eastAsia="zh-CN"/>
              </w:rPr>
            </w:pPr>
            <w:r>
              <w:rPr>
                <w:rFonts w:hint="eastAsia" w:ascii="仿宋_GB2312" w:hAnsi="仿宋_GB2312" w:eastAsia="仿宋_GB2312" w:cs="仿宋_GB2312"/>
                <w:color w:val="auto"/>
                <w:kern w:val="0"/>
                <w:sz w:val="21"/>
                <w:szCs w:val="21"/>
                <w:highlight w:val="none"/>
                <w:lang w:val="en-US" w:eastAsia="zh-CN"/>
              </w:rPr>
              <w:t>达到市级要求</w:t>
            </w:r>
          </w:p>
        </w:tc>
        <w:tc>
          <w:tcPr>
            <w:tcW w:w="776"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06F1A30F">
            <w:pPr>
              <w:widowControl/>
              <w:spacing w:line="240" w:lineRule="auto"/>
              <w:jc w:val="center"/>
              <w:textAlignment w:val="center"/>
              <w:rPr>
                <w:rStyle w:val="51"/>
                <w:rFonts w:hint="eastAsia" w:ascii="仿宋_GB2312" w:hAnsi="仿宋_GB2312" w:eastAsia="仿宋_GB2312" w:cs="仿宋_GB2312"/>
                <w:color w:val="auto"/>
                <w:highlight w:val="none"/>
                <w:lang w:eastAsia="zh-CN"/>
              </w:rPr>
            </w:pPr>
            <w:r>
              <w:rPr>
                <w:rStyle w:val="51"/>
                <w:rFonts w:hint="eastAsia" w:ascii="仿宋_GB2312" w:hAnsi="仿宋_GB2312" w:eastAsia="仿宋_GB2312" w:cs="仿宋_GB2312"/>
                <w:color w:val="auto"/>
                <w:highlight w:val="none"/>
                <w:lang w:eastAsia="zh-CN"/>
              </w:rPr>
              <w:t>预期性</w:t>
            </w:r>
          </w:p>
        </w:tc>
      </w:tr>
      <w:tr w14:paraId="333BF7F1">
        <w:tblPrEx>
          <w:tblCellMar>
            <w:top w:w="0" w:type="dxa"/>
            <w:left w:w="108" w:type="dxa"/>
            <w:bottom w:w="0" w:type="dxa"/>
            <w:right w:w="108" w:type="dxa"/>
          </w:tblCellMar>
        </w:tblPrEx>
        <w:trPr>
          <w:trHeight w:val="397" w:hRule="exact"/>
        </w:trPr>
        <w:tc>
          <w:tcPr>
            <w:tcW w:w="565" w:type="dxa"/>
            <w:vMerge w:val="continue"/>
            <w:tcBorders>
              <w:left w:val="single" w:color="000000" w:sz="4" w:space="0"/>
              <w:right w:val="single" w:color="000000" w:sz="4" w:space="0"/>
            </w:tcBorders>
            <w:tcMar>
              <w:top w:w="0" w:type="dxa"/>
              <w:left w:w="51" w:type="dxa"/>
              <w:bottom w:w="0" w:type="dxa"/>
              <w:right w:w="51" w:type="dxa"/>
            </w:tcMar>
            <w:vAlign w:val="center"/>
          </w:tcPr>
          <w:p w14:paraId="28507104">
            <w:pPr>
              <w:widowControl/>
              <w:spacing w:line="240" w:lineRule="auto"/>
              <w:jc w:val="center"/>
              <w:textAlignment w:val="center"/>
              <w:rPr>
                <w:rFonts w:hint="eastAsia" w:ascii="仿宋_GB2312" w:hAnsi="仿宋_GB2312" w:eastAsia="仿宋_GB2312" w:cs="仿宋_GB2312"/>
                <w:color w:val="auto"/>
                <w:szCs w:val="21"/>
              </w:rPr>
            </w:pPr>
          </w:p>
        </w:tc>
        <w:tc>
          <w:tcPr>
            <w:tcW w:w="596" w:type="dxa"/>
            <w:tcBorders>
              <w:top w:val="single" w:color="000000" w:sz="4" w:space="0"/>
              <w:left w:val="single" w:color="000000" w:sz="4" w:space="0"/>
              <w:bottom w:val="single" w:color="auto" w:sz="4" w:space="0"/>
              <w:right w:val="single" w:color="000000" w:sz="4" w:space="0"/>
            </w:tcBorders>
            <w:tcMar>
              <w:top w:w="0" w:type="dxa"/>
              <w:left w:w="51" w:type="dxa"/>
              <w:bottom w:w="0" w:type="dxa"/>
              <w:right w:w="51" w:type="dxa"/>
            </w:tcMar>
            <w:vAlign w:val="center"/>
          </w:tcPr>
          <w:p w14:paraId="67F5262F">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w:t>
            </w:r>
            <w:r>
              <w:rPr>
                <w:rFonts w:hint="default" w:ascii="仿宋_GB2312" w:hAnsi="仿宋_GB2312" w:eastAsia="仿宋_GB2312" w:cs="仿宋_GB2312"/>
                <w:color w:val="auto"/>
                <w:kern w:val="0"/>
                <w:sz w:val="21"/>
                <w:szCs w:val="21"/>
                <w:lang w:val="en-US"/>
              </w:rPr>
              <w:t>1</w:t>
            </w:r>
          </w:p>
        </w:tc>
        <w:tc>
          <w:tcPr>
            <w:tcW w:w="3575"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41A59807">
            <w:pPr>
              <w:widowControl/>
              <w:spacing w:line="240" w:lineRule="auto"/>
              <w:jc w:val="both"/>
              <w:textAlignment w:val="center"/>
              <w:rPr>
                <w:rFonts w:hint="eastAsia" w:ascii="仿宋_GB2312" w:hAnsi="仿宋_GB2312" w:eastAsia="仿宋_GB2312" w:cs="仿宋_GB2312"/>
                <w:color w:val="auto"/>
                <w:kern w:val="2"/>
                <w:sz w:val="21"/>
                <w:szCs w:val="21"/>
                <w:highlight w:val="none"/>
                <w:u w:val="none"/>
                <w:lang w:val="en-US" w:eastAsia="zh-CN"/>
              </w:rPr>
            </w:pPr>
            <w:r>
              <w:rPr>
                <w:rStyle w:val="51"/>
                <w:rFonts w:hint="eastAsia" w:ascii="仿宋_GB2312" w:hAnsi="仿宋_GB2312" w:eastAsia="仿宋_GB2312" w:cs="仿宋_GB2312"/>
                <w:color w:val="auto"/>
                <w:highlight w:val="none"/>
              </w:rPr>
              <w:t>“百千工程”建设村庄数量</w:t>
            </w:r>
          </w:p>
        </w:tc>
        <w:tc>
          <w:tcPr>
            <w:tcW w:w="711"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75157C8D">
            <w:pPr>
              <w:widowControl/>
              <w:spacing w:line="240" w:lineRule="auto"/>
              <w:jc w:val="center"/>
              <w:textAlignment w:val="center"/>
              <w:rPr>
                <w:rFonts w:hint="eastAsia" w:ascii="仿宋_GB2312" w:hAnsi="仿宋_GB2312" w:eastAsia="仿宋_GB2312" w:cs="仿宋_GB2312"/>
                <w:color w:val="auto"/>
                <w:kern w:val="2"/>
                <w:sz w:val="21"/>
                <w:szCs w:val="21"/>
                <w:highlight w:val="none"/>
                <w:u w:val="none"/>
                <w:lang w:val="en-US" w:eastAsia="zh-CN"/>
              </w:rPr>
            </w:pPr>
            <w:r>
              <w:rPr>
                <w:rStyle w:val="51"/>
                <w:rFonts w:hint="eastAsia" w:ascii="仿宋_GB2312" w:hAnsi="仿宋_GB2312" w:eastAsia="仿宋_GB2312" w:cs="仿宋_GB2312"/>
                <w:color w:val="auto"/>
                <w:highlight w:val="none"/>
              </w:rPr>
              <w:t>个</w:t>
            </w:r>
          </w:p>
        </w:tc>
        <w:tc>
          <w:tcPr>
            <w:tcW w:w="891"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0E26FE37">
            <w:pPr>
              <w:widowControl/>
              <w:snapToGrid w:val="0"/>
              <w:spacing w:line="240" w:lineRule="auto"/>
              <w:jc w:val="center"/>
              <w:textAlignment w:val="center"/>
              <w:rPr>
                <w:rFonts w:hint="eastAsia" w:ascii="仿宋_GB2312" w:hAnsi="仿宋_GB2312" w:eastAsia="仿宋_GB2312" w:cs="仿宋_GB2312"/>
                <w:color w:val="auto"/>
                <w:kern w:val="0"/>
                <w:sz w:val="21"/>
                <w:szCs w:val="21"/>
                <w:highlight w:val="none"/>
                <w:lang w:val="en-US" w:eastAsia="zh-CN"/>
              </w:rPr>
            </w:pPr>
            <w:r>
              <w:rPr>
                <w:rFonts w:hint="eastAsia" w:ascii="仿宋_GB2312" w:hAnsi="仿宋_GB2312" w:eastAsia="仿宋_GB2312" w:cs="仿宋_GB2312"/>
                <w:color w:val="auto"/>
                <w:kern w:val="0"/>
                <w:sz w:val="21"/>
                <w:szCs w:val="21"/>
                <w:highlight w:val="none"/>
              </w:rPr>
              <w:t>13</w:t>
            </w:r>
          </w:p>
        </w:tc>
        <w:tc>
          <w:tcPr>
            <w:tcW w:w="1828"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10F7D506">
            <w:pPr>
              <w:widowControl/>
              <w:snapToGrid w:val="0"/>
              <w:spacing w:line="240" w:lineRule="auto"/>
              <w:jc w:val="center"/>
              <w:textAlignment w:val="center"/>
              <w:rPr>
                <w:rFonts w:hint="default" w:ascii="仿宋_GB2312" w:hAnsi="仿宋_GB2312" w:eastAsia="仿宋_GB2312" w:cs="仿宋_GB2312"/>
                <w:color w:val="auto"/>
                <w:kern w:val="0"/>
                <w:sz w:val="21"/>
                <w:szCs w:val="21"/>
                <w:highlight w:val="yellow"/>
                <w:lang w:val="en-US" w:eastAsia="zh-CN"/>
              </w:rPr>
            </w:pPr>
            <w:r>
              <w:rPr>
                <w:rFonts w:hint="eastAsia" w:ascii="仿宋_GB2312" w:hAnsi="仿宋_GB2312" w:eastAsia="仿宋_GB2312" w:cs="仿宋_GB2312"/>
                <w:color w:val="auto"/>
                <w:kern w:val="0"/>
                <w:sz w:val="21"/>
                <w:szCs w:val="21"/>
                <w:highlight w:val="none"/>
                <w:lang w:val="en-US" w:eastAsia="zh-CN"/>
              </w:rPr>
              <w:t>22</w:t>
            </w:r>
          </w:p>
        </w:tc>
        <w:tc>
          <w:tcPr>
            <w:tcW w:w="776"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515DA0D5">
            <w:pPr>
              <w:widowControl/>
              <w:spacing w:line="240" w:lineRule="auto"/>
              <w:jc w:val="center"/>
              <w:textAlignment w:val="center"/>
              <w:rPr>
                <w:rFonts w:hint="eastAsia" w:ascii="仿宋_GB2312" w:hAnsi="仿宋_GB2312" w:eastAsia="仿宋_GB2312" w:cs="仿宋_GB2312"/>
                <w:color w:val="auto"/>
                <w:kern w:val="2"/>
                <w:sz w:val="21"/>
                <w:szCs w:val="21"/>
                <w:highlight w:val="none"/>
                <w:u w:val="none"/>
                <w:lang w:val="en-US" w:eastAsia="zh-CN"/>
              </w:rPr>
            </w:pPr>
            <w:r>
              <w:rPr>
                <w:rStyle w:val="51"/>
                <w:rFonts w:hint="eastAsia" w:ascii="仿宋_GB2312" w:hAnsi="仿宋_GB2312" w:eastAsia="仿宋_GB2312" w:cs="仿宋_GB2312"/>
                <w:color w:val="auto"/>
                <w:highlight w:val="none"/>
              </w:rPr>
              <w:t>预期性</w:t>
            </w:r>
          </w:p>
        </w:tc>
      </w:tr>
      <w:tr w14:paraId="2660540B">
        <w:tblPrEx>
          <w:tblCellMar>
            <w:top w:w="0" w:type="dxa"/>
            <w:left w:w="108" w:type="dxa"/>
            <w:bottom w:w="0" w:type="dxa"/>
            <w:right w:w="108" w:type="dxa"/>
          </w:tblCellMar>
        </w:tblPrEx>
        <w:trPr>
          <w:trHeight w:val="397" w:hRule="exact"/>
        </w:trPr>
        <w:tc>
          <w:tcPr>
            <w:tcW w:w="565" w:type="dxa"/>
            <w:vMerge w:val="continue"/>
            <w:tcBorders>
              <w:left w:val="single" w:color="000000" w:sz="4" w:space="0"/>
              <w:right w:val="single" w:color="000000" w:sz="4" w:space="0"/>
            </w:tcBorders>
            <w:tcMar>
              <w:top w:w="0" w:type="dxa"/>
              <w:left w:w="51" w:type="dxa"/>
              <w:bottom w:w="0" w:type="dxa"/>
              <w:right w:w="51" w:type="dxa"/>
            </w:tcMar>
            <w:vAlign w:val="center"/>
          </w:tcPr>
          <w:p w14:paraId="7B89AA1B">
            <w:pPr>
              <w:widowControl/>
              <w:spacing w:line="240" w:lineRule="auto"/>
              <w:jc w:val="center"/>
              <w:textAlignment w:val="center"/>
              <w:rPr>
                <w:rFonts w:hint="eastAsia" w:ascii="仿宋_GB2312" w:hAnsi="仿宋_GB2312" w:eastAsia="仿宋_GB2312" w:cs="仿宋_GB2312"/>
                <w:color w:val="auto"/>
                <w:szCs w:val="21"/>
              </w:rPr>
            </w:pPr>
          </w:p>
        </w:tc>
        <w:tc>
          <w:tcPr>
            <w:tcW w:w="596" w:type="dxa"/>
            <w:tcBorders>
              <w:top w:val="single" w:color="000000" w:sz="4" w:space="0"/>
              <w:left w:val="single" w:color="000000" w:sz="4" w:space="0"/>
              <w:bottom w:val="single" w:color="auto" w:sz="4" w:space="0"/>
              <w:right w:val="single" w:color="000000" w:sz="4" w:space="0"/>
            </w:tcBorders>
            <w:tcMar>
              <w:top w:w="0" w:type="dxa"/>
              <w:left w:w="51" w:type="dxa"/>
              <w:bottom w:w="0" w:type="dxa"/>
              <w:right w:w="51" w:type="dxa"/>
            </w:tcMar>
            <w:vAlign w:val="center"/>
          </w:tcPr>
          <w:p w14:paraId="189066C0">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w:t>
            </w:r>
            <w:r>
              <w:rPr>
                <w:rFonts w:hint="default" w:ascii="仿宋_GB2312" w:hAnsi="仿宋_GB2312" w:eastAsia="仿宋_GB2312" w:cs="仿宋_GB2312"/>
                <w:color w:val="auto"/>
                <w:kern w:val="0"/>
                <w:sz w:val="21"/>
                <w:szCs w:val="21"/>
                <w:lang w:val="en-US"/>
              </w:rPr>
              <w:t>2</w:t>
            </w:r>
          </w:p>
        </w:tc>
        <w:tc>
          <w:tcPr>
            <w:tcW w:w="3575"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21640EDA">
            <w:pPr>
              <w:widowControl/>
              <w:spacing w:line="240" w:lineRule="auto"/>
              <w:jc w:val="both"/>
              <w:textAlignment w:val="center"/>
              <w:rPr>
                <w:rFonts w:hint="eastAsia" w:ascii="仿宋_GB2312" w:hAnsi="仿宋_GB2312" w:eastAsia="仿宋_GB2312" w:cs="仿宋_GB2312"/>
                <w:color w:val="auto"/>
                <w:kern w:val="2"/>
                <w:sz w:val="21"/>
                <w:szCs w:val="21"/>
                <w:u w:val="none"/>
                <w:lang w:val="en-US" w:eastAsia="zh-CN"/>
              </w:rPr>
            </w:pPr>
            <w:r>
              <w:rPr>
                <w:rStyle w:val="51"/>
                <w:rFonts w:hint="eastAsia" w:ascii="仿宋_GB2312" w:hAnsi="仿宋_GB2312" w:eastAsia="仿宋_GB2312" w:cs="仿宋_GB2312"/>
                <w:color w:val="auto"/>
              </w:rPr>
              <w:t>“美丽乡村路”里程</w:t>
            </w:r>
          </w:p>
        </w:tc>
        <w:tc>
          <w:tcPr>
            <w:tcW w:w="711"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14ABDC79">
            <w:pPr>
              <w:widowControl/>
              <w:spacing w:line="240" w:lineRule="auto"/>
              <w:jc w:val="center"/>
              <w:textAlignment w:val="center"/>
              <w:rPr>
                <w:rFonts w:hint="eastAsia" w:ascii="仿宋_GB2312" w:hAnsi="仿宋_GB2312" w:eastAsia="仿宋_GB2312" w:cs="仿宋_GB2312"/>
                <w:color w:val="auto"/>
                <w:kern w:val="2"/>
                <w:sz w:val="21"/>
                <w:szCs w:val="21"/>
                <w:u w:val="none"/>
                <w:lang w:val="en-US" w:eastAsia="zh-CN"/>
              </w:rPr>
            </w:pPr>
            <w:r>
              <w:rPr>
                <w:rStyle w:val="51"/>
                <w:rFonts w:hint="eastAsia" w:ascii="仿宋_GB2312" w:hAnsi="仿宋_GB2312" w:eastAsia="仿宋_GB2312" w:cs="仿宋_GB2312"/>
                <w:color w:val="auto"/>
              </w:rPr>
              <w:t>公里</w:t>
            </w:r>
          </w:p>
        </w:tc>
        <w:tc>
          <w:tcPr>
            <w:tcW w:w="891"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693E0A97">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302</w:t>
            </w:r>
          </w:p>
        </w:tc>
        <w:tc>
          <w:tcPr>
            <w:tcW w:w="1828"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554EEAD7">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452</w:t>
            </w:r>
          </w:p>
        </w:tc>
        <w:tc>
          <w:tcPr>
            <w:tcW w:w="776"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79EE0871">
            <w:pPr>
              <w:widowControl/>
              <w:spacing w:line="240" w:lineRule="auto"/>
              <w:jc w:val="center"/>
              <w:textAlignment w:val="center"/>
              <w:rPr>
                <w:rFonts w:hint="eastAsia" w:ascii="仿宋_GB2312" w:hAnsi="仿宋_GB2312" w:eastAsia="仿宋_GB2312" w:cs="仿宋_GB2312"/>
                <w:color w:val="auto"/>
                <w:kern w:val="2"/>
                <w:sz w:val="32"/>
                <w:szCs w:val="21"/>
                <w:lang w:val="en-US" w:eastAsia="zh-CN" w:bidi="ar-SA"/>
              </w:rPr>
            </w:pPr>
            <w:r>
              <w:rPr>
                <w:rStyle w:val="51"/>
                <w:rFonts w:hint="eastAsia" w:ascii="仿宋_GB2312" w:hAnsi="仿宋_GB2312" w:eastAsia="仿宋_GB2312" w:cs="仿宋_GB2312"/>
                <w:color w:val="auto"/>
              </w:rPr>
              <w:t>预期性</w:t>
            </w:r>
          </w:p>
        </w:tc>
      </w:tr>
      <w:tr w14:paraId="4F9DF4D4">
        <w:tblPrEx>
          <w:tblCellMar>
            <w:top w:w="0" w:type="dxa"/>
            <w:left w:w="108" w:type="dxa"/>
            <w:bottom w:w="0" w:type="dxa"/>
            <w:right w:w="108" w:type="dxa"/>
          </w:tblCellMar>
        </w:tblPrEx>
        <w:trPr>
          <w:trHeight w:val="397" w:hRule="exact"/>
        </w:trPr>
        <w:tc>
          <w:tcPr>
            <w:tcW w:w="565" w:type="dxa"/>
            <w:vMerge w:val="continue"/>
            <w:tcBorders>
              <w:left w:val="single" w:color="000000" w:sz="4" w:space="0"/>
              <w:right w:val="single" w:color="000000" w:sz="4" w:space="0"/>
            </w:tcBorders>
            <w:tcMar>
              <w:top w:w="0" w:type="dxa"/>
              <w:left w:w="51" w:type="dxa"/>
              <w:bottom w:w="0" w:type="dxa"/>
              <w:right w:w="51" w:type="dxa"/>
            </w:tcMar>
            <w:vAlign w:val="center"/>
          </w:tcPr>
          <w:p w14:paraId="3CDC5B99">
            <w:pPr>
              <w:widowControl/>
              <w:spacing w:line="240" w:lineRule="auto"/>
              <w:jc w:val="center"/>
              <w:textAlignment w:val="center"/>
              <w:rPr>
                <w:rFonts w:hint="eastAsia" w:ascii="仿宋_GB2312" w:hAnsi="仿宋_GB2312" w:eastAsia="仿宋_GB2312" w:cs="仿宋_GB2312"/>
                <w:color w:val="auto"/>
                <w:szCs w:val="21"/>
              </w:rPr>
            </w:pPr>
          </w:p>
        </w:tc>
        <w:tc>
          <w:tcPr>
            <w:tcW w:w="596" w:type="dxa"/>
            <w:tcBorders>
              <w:top w:val="single" w:color="auto"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4631FB8C">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w:t>
            </w:r>
            <w:r>
              <w:rPr>
                <w:rFonts w:hint="default" w:ascii="仿宋_GB2312" w:hAnsi="仿宋_GB2312" w:eastAsia="仿宋_GB2312" w:cs="仿宋_GB2312"/>
                <w:color w:val="auto"/>
                <w:kern w:val="0"/>
                <w:sz w:val="21"/>
                <w:szCs w:val="21"/>
                <w:lang w:val="en-US"/>
              </w:rPr>
              <w:t>3</w:t>
            </w:r>
          </w:p>
        </w:tc>
        <w:tc>
          <w:tcPr>
            <w:tcW w:w="3575" w:type="dxa"/>
            <w:tcBorders>
              <w:top w:val="single" w:color="auto"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389EA8F2">
            <w:pPr>
              <w:widowControl/>
              <w:spacing w:line="240" w:lineRule="auto"/>
              <w:jc w:val="both"/>
              <w:textAlignment w:val="center"/>
              <w:rPr>
                <w:rFonts w:hint="eastAsia" w:ascii="仿宋_GB2312" w:hAnsi="仿宋_GB2312" w:eastAsia="仿宋_GB2312" w:cs="仿宋_GB2312"/>
                <w:color w:val="auto"/>
                <w:kern w:val="2"/>
                <w:sz w:val="21"/>
                <w:szCs w:val="21"/>
                <w:u w:val="none"/>
                <w:lang w:val="en-US" w:eastAsia="zh-CN"/>
              </w:rPr>
            </w:pPr>
            <w:r>
              <w:rPr>
                <w:rStyle w:val="51"/>
                <w:rFonts w:hint="eastAsia" w:ascii="仿宋_GB2312" w:hAnsi="仿宋_GB2312" w:eastAsia="仿宋_GB2312" w:cs="仿宋_GB2312"/>
                <w:color w:val="auto"/>
              </w:rPr>
              <w:t>花园村庄数量</w:t>
            </w:r>
          </w:p>
        </w:tc>
        <w:tc>
          <w:tcPr>
            <w:tcW w:w="711" w:type="dxa"/>
            <w:tcBorders>
              <w:top w:val="single" w:color="auto"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70EB0833">
            <w:pPr>
              <w:widowControl/>
              <w:spacing w:line="240" w:lineRule="auto"/>
              <w:jc w:val="center"/>
              <w:textAlignment w:val="center"/>
              <w:rPr>
                <w:rFonts w:hint="eastAsia" w:ascii="仿宋_GB2312" w:hAnsi="仿宋_GB2312" w:eastAsia="仿宋_GB2312" w:cs="仿宋_GB2312"/>
                <w:color w:val="auto"/>
                <w:kern w:val="2"/>
                <w:sz w:val="21"/>
                <w:szCs w:val="21"/>
                <w:u w:val="none"/>
                <w:lang w:val="en-US" w:eastAsia="zh-CN"/>
              </w:rPr>
            </w:pPr>
            <w:r>
              <w:rPr>
                <w:rStyle w:val="51"/>
                <w:rFonts w:hint="eastAsia" w:ascii="仿宋_GB2312" w:hAnsi="仿宋_GB2312" w:eastAsia="仿宋_GB2312" w:cs="仿宋_GB2312"/>
                <w:color w:val="auto"/>
              </w:rPr>
              <w:t>个</w:t>
            </w:r>
          </w:p>
        </w:tc>
        <w:tc>
          <w:tcPr>
            <w:tcW w:w="891" w:type="dxa"/>
            <w:tcBorders>
              <w:top w:val="single" w:color="auto"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2168F9DA">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2</w:t>
            </w:r>
          </w:p>
        </w:tc>
        <w:tc>
          <w:tcPr>
            <w:tcW w:w="1828" w:type="dxa"/>
            <w:tcBorders>
              <w:top w:val="single" w:color="auto"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7783EC4A">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完成市级下达任务</w:t>
            </w:r>
          </w:p>
        </w:tc>
        <w:tc>
          <w:tcPr>
            <w:tcW w:w="776" w:type="dxa"/>
            <w:tcBorders>
              <w:top w:val="single" w:color="auto"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00FD75A6">
            <w:pPr>
              <w:widowControl/>
              <w:spacing w:line="240" w:lineRule="auto"/>
              <w:jc w:val="center"/>
              <w:textAlignment w:val="center"/>
              <w:rPr>
                <w:rFonts w:hint="eastAsia" w:ascii="仿宋_GB2312" w:hAnsi="仿宋_GB2312" w:eastAsia="仿宋_GB2312" w:cs="仿宋_GB2312"/>
                <w:color w:val="auto"/>
                <w:kern w:val="2"/>
                <w:sz w:val="21"/>
                <w:szCs w:val="21"/>
                <w:u w:val="none"/>
                <w:lang w:val="en-US" w:eastAsia="zh-CN"/>
              </w:rPr>
            </w:pPr>
            <w:r>
              <w:rPr>
                <w:rStyle w:val="51"/>
                <w:rFonts w:hint="eastAsia" w:ascii="仿宋_GB2312" w:hAnsi="仿宋_GB2312" w:eastAsia="仿宋_GB2312" w:cs="仿宋_GB2312"/>
                <w:color w:val="auto"/>
              </w:rPr>
              <w:t>预期性</w:t>
            </w:r>
          </w:p>
        </w:tc>
      </w:tr>
      <w:tr w14:paraId="16179CD0">
        <w:tblPrEx>
          <w:tblCellMar>
            <w:top w:w="0" w:type="dxa"/>
            <w:left w:w="108" w:type="dxa"/>
            <w:bottom w:w="0" w:type="dxa"/>
            <w:right w:w="108" w:type="dxa"/>
          </w:tblCellMar>
        </w:tblPrEx>
        <w:trPr>
          <w:trHeight w:val="397" w:hRule="exact"/>
        </w:trPr>
        <w:tc>
          <w:tcPr>
            <w:tcW w:w="565" w:type="dxa"/>
            <w:vMerge w:val="continue"/>
            <w:tcBorders>
              <w:left w:val="single" w:color="000000" w:sz="4" w:space="0"/>
              <w:right w:val="single" w:color="000000" w:sz="4" w:space="0"/>
            </w:tcBorders>
            <w:tcMar>
              <w:top w:w="0" w:type="dxa"/>
              <w:left w:w="51" w:type="dxa"/>
              <w:bottom w:w="0" w:type="dxa"/>
              <w:right w:w="51" w:type="dxa"/>
            </w:tcMar>
            <w:vAlign w:val="center"/>
          </w:tcPr>
          <w:p w14:paraId="4E128CA3">
            <w:pPr>
              <w:widowControl/>
              <w:spacing w:line="240" w:lineRule="auto"/>
              <w:jc w:val="center"/>
              <w:textAlignment w:val="center"/>
              <w:rPr>
                <w:rStyle w:val="51"/>
                <w:rFonts w:hint="eastAsia" w:ascii="仿宋_GB2312" w:hAnsi="仿宋_GB2312" w:eastAsia="仿宋_GB2312" w:cs="仿宋_GB2312"/>
                <w:color w:val="auto"/>
              </w:rPr>
            </w:pPr>
          </w:p>
        </w:tc>
        <w:tc>
          <w:tcPr>
            <w:tcW w:w="59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3FDC826E">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w:t>
            </w:r>
            <w:r>
              <w:rPr>
                <w:rFonts w:hint="default" w:ascii="仿宋_GB2312" w:hAnsi="仿宋_GB2312" w:eastAsia="仿宋_GB2312" w:cs="仿宋_GB2312"/>
                <w:color w:val="auto"/>
                <w:kern w:val="0"/>
                <w:sz w:val="21"/>
                <w:szCs w:val="21"/>
                <w:lang w:val="en-US"/>
              </w:rPr>
              <w:t>4</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0219E82B">
            <w:pPr>
              <w:widowControl/>
              <w:spacing w:line="240" w:lineRule="auto"/>
              <w:jc w:val="both"/>
              <w:textAlignment w:val="center"/>
              <w:rPr>
                <w:rFonts w:hint="eastAsia" w:ascii="仿宋_GB2312" w:hAnsi="仿宋_GB2312" w:eastAsia="仿宋_GB2312" w:cs="仿宋_GB2312"/>
                <w:color w:val="auto"/>
                <w:kern w:val="2"/>
                <w:sz w:val="32"/>
                <w:szCs w:val="21"/>
                <w:lang w:val="en-US" w:eastAsia="zh-CN" w:bidi="ar-SA"/>
              </w:rPr>
            </w:pPr>
            <w:r>
              <w:rPr>
                <w:rStyle w:val="46"/>
                <w:rFonts w:hint="eastAsia" w:ascii="仿宋_GB2312" w:hAnsi="仿宋_GB2312" w:eastAsia="仿宋_GB2312" w:cs="仿宋_GB2312"/>
                <w:color w:val="auto"/>
              </w:rPr>
              <w:t>农村生活污水治理率</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7BFB1E5C">
            <w:pPr>
              <w:widowControl/>
              <w:spacing w:line="240" w:lineRule="auto"/>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rPr>
              <w:t>%</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44B83D74">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99.36</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43B9EC44">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达到市级要求</w:t>
            </w:r>
          </w:p>
        </w:tc>
        <w:tc>
          <w:tcPr>
            <w:tcW w:w="776"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613F64EA">
            <w:pPr>
              <w:widowControl/>
              <w:spacing w:line="240" w:lineRule="auto"/>
              <w:jc w:val="center"/>
              <w:textAlignment w:val="center"/>
              <w:rPr>
                <w:rFonts w:hint="eastAsia" w:ascii="仿宋_GB2312" w:hAnsi="仿宋_GB2312" w:eastAsia="仿宋_GB2312" w:cs="仿宋_GB2312"/>
                <w:color w:val="auto"/>
                <w:kern w:val="2"/>
                <w:sz w:val="32"/>
                <w:szCs w:val="21"/>
                <w:lang w:val="en-US" w:eastAsia="zh-CN" w:bidi="ar-SA"/>
              </w:rPr>
            </w:pPr>
            <w:r>
              <w:rPr>
                <w:rStyle w:val="51"/>
                <w:rFonts w:hint="eastAsia" w:ascii="仿宋_GB2312" w:hAnsi="仿宋_GB2312" w:eastAsia="仿宋_GB2312" w:cs="仿宋_GB2312"/>
                <w:color w:val="auto"/>
              </w:rPr>
              <w:t>预期性</w:t>
            </w:r>
          </w:p>
        </w:tc>
      </w:tr>
      <w:tr w14:paraId="248A9AB5">
        <w:tblPrEx>
          <w:tblCellMar>
            <w:top w:w="0" w:type="dxa"/>
            <w:left w:w="108" w:type="dxa"/>
            <w:bottom w:w="0" w:type="dxa"/>
            <w:right w:w="108" w:type="dxa"/>
          </w:tblCellMar>
        </w:tblPrEx>
        <w:trPr>
          <w:trHeight w:val="397" w:hRule="exact"/>
        </w:trPr>
        <w:tc>
          <w:tcPr>
            <w:tcW w:w="565" w:type="dxa"/>
            <w:vMerge w:val="continue"/>
            <w:tcBorders>
              <w:left w:val="single" w:color="000000" w:sz="4" w:space="0"/>
              <w:right w:val="single" w:color="000000" w:sz="4" w:space="0"/>
            </w:tcBorders>
            <w:tcMar>
              <w:top w:w="0" w:type="dxa"/>
              <w:left w:w="51" w:type="dxa"/>
              <w:bottom w:w="0" w:type="dxa"/>
              <w:right w:w="51" w:type="dxa"/>
            </w:tcMar>
            <w:vAlign w:val="center"/>
          </w:tcPr>
          <w:p w14:paraId="0FD7FD31">
            <w:pPr>
              <w:spacing w:line="240" w:lineRule="auto"/>
              <w:jc w:val="center"/>
              <w:rPr>
                <w:rFonts w:hint="eastAsia" w:ascii="仿宋_GB2312" w:hAnsi="仿宋_GB2312" w:eastAsia="仿宋_GB2312" w:cs="仿宋_GB2312"/>
                <w:color w:val="auto"/>
                <w:szCs w:val="21"/>
              </w:rPr>
            </w:pPr>
          </w:p>
        </w:tc>
        <w:tc>
          <w:tcPr>
            <w:tcW w:w="59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61B583B3">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w:t>
            </w:r>
            <w:r>
              <w:rPr>
                <w:rFonts w:hint="default" w:ascii="仿宋_GB2312" w:hAnsi="仿宋_GB2312" w:eastAsia="仿宋_GB2312" w:cs="仿宋_GB2312"/>
                <w:color w:val="auto"/>
                <w:kern w:val="0"/>
                <w:sz w:val="21"/>
                <w:szCs w:val="21"/>
                <w:lang w:val="en-US"/>
              </w:rPr>
              <w:t>5</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1548C348">
            <w:pPr>
              <w:widowControl/>
              <w:spacing w:line="240" w:lineRule="auto"/>
              <w:jc w:val="both"/>
              <w:textAlignment w:val="center"/>
              <w:rPr>
                <w:rFonts w:hint="eastAsia" w:ascii="仿宋_GB2312" w:hAnsi="仿宋_GB2312" w:eastAsia="仿宋_GB2312" w:cs="仿宋_GB2312"/>
                <w:color w:val="auto"/>
                <w:kern w:val="2"/>
                <w:sz w:val="21"/>
                <w:szCs w:val="21"/>
                <w:u w:val="none"/>
                <w:lang w:val="en-US" w:eastAsia="zh-CN"/>
              </w:rPr>
            </w:pPr>
            <w:r>
              <w:rPr>
                <w:rStyle w:val="46"/>
                <w:rFonts w:hint="eastAsia" w:ascii="仿宋_GB2312" w:hAnsi="仿宋_GB2312" w:eastAsia="仿宋_GB2312" w:cs="仿宋_GB2312"/>
                <w:color w:val="auto"/>
              </w:rPr>
              <w:t>规模化供水覆盖农村人口比例</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2D7827A5">
            <w:pPr>
              <w:widowControl/>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4F610EDC">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63.5</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548B9679">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70</w:t>
            </w:r>
          </w:p>
        </w:tc>
        <w:tc>
          <w:tcPr>
            <w:tcW w:w="776"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2D28146A">
            <w:pPr>
              <w:widowControl/>
              <w:spacing w:line="240" w:lineRule="auto"/>
              <w:jc w:val="center"/>
              <w:textAlignment w:val="center"/>
              <w:rPr>
                <w:rFonts w:hint="eastAsia" w:ascii="仿宋_GB2312" w:hAnsi="仿宋_GB2312" w:eastAsia="仿宋_GB2312" w:cs="仿宋_GB2312"/>
                <w:color w:val="auto"/>
                <w:kern w:val="2"/>
                <w:sz w:val="21"/>
                <w:szCs w:val="21"/>
                <w:u w:val="none"/>
                <w:lang w:val="en-US" w:eastAsia="zh-CN"/>
              </w:rPr>
            </w:pPr>
            <w:r>
              <w:rPr>
                <w:rStyle w:val="51"/>
                <w:rFonts w:hint="eastAsia" w:ascii="仿宋_GB2312" w:hAnsi="仿宋_GB2312" w:eastAsia="仿宋_GB2312" w:cs="仿宋_GB2312"/>
                <w:color w:val="auto"/>
              </w:rPr>
              <w:t>预期性</w:t>
            </w:r>
          </w:p>
        </w:tc>
      </w:tr>
      <w:tr w14:paraId="572799E8">
        <w:tblPrEx>
          <w:tblCellMar>
            <w:top w:w="0" w:type="dxa"/>
            <w:left w:w="108" w:type="dxa"/>
            <w:bottom w:w="0" w:type="dxa"/>
            <w:right w:w="108" w:type="dxa"/>
          </w:tblCellMar>
        </w:tblPrEx>
        <w:trPr>
          <w:trHeight w:val="603" w:hRule="exact"/>
        </w:trPr>
        <w:tc>
          <w:tcPr>
            <w:tcW w:w="565" w:type="dxa"/>
            <w:vMerge w:val="continue"/>
            <w:tcBorders>
              <w:left w:val="single" w:color="000000" w:sz="4" w:space="0"/>
              <w:right w:val="single" w:color="000000" w:sz="4" w:space="0"/>
            </w:tcBorders>
            <w:tcMar>
              <w:top w:w="0" w:type="dxa"/>
              <w:left w:w="51" w:type="dxa"/>
              <w:bottom w:w="0" w:type="dxa"/>
              <w:right w:w="51" w:type="dxa"/>
            </w:tcMar>
            <w:vAlign w:val="center"/>
          </w:tcPr>
          <w:p w14:paraId="47A0E1F8">
            <w:pPr>
              <w:spacing w:line="240" w:lineRule="auto"/>
              <w:jc w:val="center"/>
              <w:rPr>
                <w:rFonts w:hint="eastAsia" w:ascii="仿宋_GB2312" w:hAnsi="仿宋_GB2312" w:eastAsia="仿宋_GB2312" w:cs="仿宋_GB2312"/>
                <w:color w:val="auto"/>
                <w:szCs w:val="21"/>
              </w:rPr>
            </w:pPr>
          </w:p>
        </w:tc>
        <w:tc>
          <w:tcPr>
            <w:tcW w:w="59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1D264CAE">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w:t>
            </w:r>
            <w:r>
              <w:rPr>
                <w:rFonts w:hint="default" w:ascii="仿宋_GB2312" w:hAnsi="仿宋_GB2312" w:eastAsia="仿宋_GB2312" w:cs="仿宋_GB2312"/>
                <w:color w:val="auto"/>
                <w:kern w:val="0"/>
                <w:sz w:val="21"/>
                <w:szCs w:val="21"/>
                <w:lang w:val="en-US"/>
              </w:rPr>
              <w:t>6</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5EF8FDF5">
            <w:pPr>
              <w:widowControl/>
              <w:spacing w:line="240" w:lineRule="auto"/>
              <w:jc w:val="both"/>
              <w:textAlignment w:val="center"/>
              <w:rPr>
                <w:rStyle w:val="46"/>
                <w:rFonts w:hint="eastAsia" w:ascii="仿宋_GB2312" w:hAnsi="仿宋_GB2312" w:eastAsia="仿宋_GB2312" w:cs="仿宋_GB2312"/>
                <w:color w:val="auto"/>
              </w:rPr>
            </w:pPr>
            <w:r>
              <w:rPr>
                <w:rStyle w:val="51"/>
                <w:rFonts w:hint="eastAsia" w:ascii="仿宋_GB2312" w:hAnsi="仿宋_GB2312" w:eastAsia="仿宋_GB2312" w:cs="仿宋_GB2312"/>
                <w:color w:val="auto"/>
              </w:rPr>
              <w:t>乡村医生中具备执业（助理）医师资格的人员比例</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6DAB2264">
            <w:pPr>
              <w:widowControl/>
              <w:spacing w:line="240" w:lineRule="auto"/>
              <w:jc w:val="center"/>
              <w:textAlignment w:val="center"/>
              <w:rPr>
                <w:rFonts w:hint="eastAsia" w:ascii="仿宋_GB2312" w:hAnsi="仿宋_GB2312" w:eastAsia="仿宋_GB2312" w:cs="仿宋_GB2312"/>
                <w:color w:val="auto"/>
                <w:kern w:val="0"/>
                <w:sz w:val="21"/>
                <w:szCs w:val="21"/>
              </w:rPr>
            </w:pPr>
            <w:r>
              <w:rPr>
                <w:rStyle w:val="51"/>
                <w:rFonts w:hint="eastAsia" w:ascii="仿宋_GB2312" w:hAnsi="仿宋_GB2312" w:eastAsia="仿宋_GB2312" w:cs="仿宋_GB2312"/>
                <w:color w:val="auto"/>
              </w:rPr>
              <w:t>%</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5D7106D1">
            <w:pPr>
              <w:widowControl/>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sz w:val="21"/>
                <w:szCs w:val="21"/>
              </w:rPr>
              <w:t>55.7</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7F892114">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稳步提升</w:t>
            </w:r>
          </w:p>
        </w:tc>
        <w:tc>
          <w:tcPr>
            <w:tcW w:w="776"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1CA17793">
            <w:pPr>
              <w:widowControl/>
              <w:spacing w:line="240" w:lineRule="auto"/>
              <w:jc w:val="center"/>
              <w:textAlignment w:val="center"/>
              <w:rPr>
                <w:rStyle w:val="51"/>
                <w:rFonts w:hint="eastAsia" w:ascii="仿宋_GB2312" w:hAnsi="仿宋_GB2312" w:eastAsia="仿宋_GB2312" w:cs="仿宋_GB2312"/>
                <w:color w:val="auto"/>
              </w:rPr>
            </w:pPr>
            <w:r>
              <w:rPr>
                <w:rStyle w:val="51"/>
                <w:rFonts w:hint="eastAsia" w:ascii="仿宋_GB2312" w:hAnsi="仿宋_GB2312" w:eastAsia="仿宋_GB2312" w:cs="仿宋_GB2312"/>
                <w:color w:val="auto"/>
              </w:rPr>
              <w:t>预期性</w:t>
            </w:r>
          </w:p>
        </w:tc>
      </w:tr>
      <w:tr w14:paraId="3E9DCC18">
        <w:tblPrEx>
          <w:tblCellMar>
            <w:top w:w="0" w:type="dxa"/>
            <w:left w:w="108" w:type="dxa"/>
            <w:bottom w:w="0" w:type="dxa"/>
            <w:right w:w="108" w:type="dxa"/>
          </w:tblCellMar>
        </w:tblPrEx>
        <w:trPr>
          <w:trHeight w:val="397" w:hRule="exact"/>
        </w:trPr>
        <w:tc>
          <w:tcPr>
            <w:tcW w:w="565" w:type="dxa"/>
            <w:vMerge w:val="continue"/>
            <w:tcBorders>
              <w:left w:val="single" w:color="000000" w:sz="4" w:space="0"/>
              <w:right w:val="single" w:color="000000" w:sz="4" w:space="0"/>
            </w:tcBorders>
            <w:tcMar>
              <w:top w:w="0" w:type="dxa"/>
              <w:left w:w="51" w:type="dxa"/>
              <w:bottom w:w="0" w:type="dxa"/>
              <w:right w:w="51" w:type="dxa"/>
            </w:tcMar>
            <w:vAlign w:val="center"/>
          </w:tcPr>
          <w:p w14:paraId="665BA284">
            <w:pPr>
              <w:spacing w:line="240" w:lineRule="auto"/>
              <w:jc w:val="center"/>
              <w:rPr>
                <w:rFonts w:hint="eastAsia" w:ascii="仿宋_GB2312" w:hAnsi="仿宋_GB2312" w:eastAsia="仿宋_GB2312" w:cs="仿宋_GB2312"/>
                <w:color w:val="auto"/>
                <w:szCs w:val="21"/>
              </w:rPr>
            </w:pPr>
          </w:p>
        </w:tc>
        <w:tc>
          <w:tcPr>
            <w:tcW w:w="596" w:type="dxa"/>
            <w:tcBorders>
              <w:top w:val="single" w:color="000000" w:sz="4" w:space="0"/>
              <w:left w:val="single" w:color="000000" w:sz="4" w:space="0"/>
              <w:bottom w:val="single" w:color="000000" w:sz="4" w:space="0"/>
              <w:right w:val="single" w:color="000000" w:sz="4" w:space="0"/>
            </w:tcBorders>
            <w:tcMar>
              <w:top w:w="0" w:type="dxa"/>
              <w:left w:w="51" w:type="dxa"/>
              <w:bottom w:w="0" w:type="dxa"/>
              <w:right w:w="51" w:type="dxa"/>
            </w:tcMar>
            <w:vAlign w:val="center"/>
          </w:tcPr>
          <w:p w14:paraId="72C20F09">
            <w:pPr>
              <w:widowControl/>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1</w:t>
            </w:r>
            <w:r>
              <w:rPr>
                <w:rFonts w:hint="default" w:ascii="仿宋_GB2312" w:hAnsi="仿宋_GB2312" w:eastAsia="仿宋_GB2312" w:cs="仿宋_GB2312"/>
                <w:color w:val="auto"/>
                <w:kern w:val="0"/>
                <w:sz w:val="21"/>
                <w:szCs w:val="21"/>
                <w:lang w:val="en-US"/>
              </w:rPr>
              <w:t>7</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113C68B0">
            <w:pPr>
              <w:widowControl/>
              <w:spacing w:line="240" w:lineRule="auto"/>
              <w:jc w:val="both"/>
              <w:textAlignment w:val="center"/>
              <w:rPr>
                <w:rStyle w:val="51"/>
                <w:rFonts w:hint="eastAsia" w:ascii="仿宋_GB2312" w:hAnsi="仿宋_GB2312" w:eastAsia="仿宋_GB2312" w:cs="仿宋_GB2312"/>
                <w:color w:val="auto"/>
              </w:rPr>
            </w:pPr>
            <w:r>
              <w:rPr>
                <w:rStyle w:val="46"/>
                <w:rFonts w:hint="eastAsia" w:ascii="仿宋_GB2312" w:hAnsi="仿宋_GB2312" w:eastAsia="仿宋_GB2312" w:cs="仿宋_GB2312"/>
                <w:color w:val="auto"/>
              </w:rPr>
              <w:t>全国民主法治示范村数量</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456811E3">
            <w:pPr>
              <w:widowControl/>
              <w:spacing w:line="240" w:lineRule="auto"/>
              <w:jc w:val="center"/>
              <w:textAlignment w:val="center"/>
              <w:rPr>
                <w:rStyle w:val="51"/>
                <w:rFonts w:hint="eastAsia" w:ascii="仿宋_GB2312" w:hAnsi="仿宋_GB2312" w:eastAsia="仿宋_GB2312" w:cs="仿宋_GB2312"/>
                <w:color w:val="auto"/>
              </w:rPr>
            </w:pPr>
            <w:r>
              <w:rPr>
                <w:rStyle w:val="49"/>
                <w:rFonts w:hint="eastAsia" w:ascii="仿宋_GB2312" w:hAnsi="仿宋_GB2312" w:eastAsia="仿宋_GB2312" w:cs="仿宋_GB2312"/>
                <w:color w:val="auto"/>
              </w:rPr>
              <w:t>个</w:t>
            </w:r>
          </w:p>
        </w:tc>
        <w:tc>
          <w:tcPr>
            <w:tcW w:w="891"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6A72508E">
            <w:pPr>
              <w:widowControl/>
              <w:snapToGrid w:val="0"/>
              <w:spacing w:line="240" w:lineRule="auto"/>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7</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6BCB4BFA">
            <w:pPr>
              <w:widowControl/>
              <w:snapToGrid w:val="0"/>
              <w:spacing w:line="240" w:lineRule="auto"/>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9</w:t>
            </w:r>
          </w:p>
        </w:tc>
        <w:tc>
          <w:tcPr>
            <w:tcW w:w="776"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336FC723">
            <w:pPr>
              <w:widowControl/>
              <w:spacing w:line="240" w:lineRule="auto"/>
              <w:jc w:val="center"/>
              <w:textAlignment w:val="center"/>
              <w:rPr>
                <w:rStyle w:val="51"/>
                <w:rFonts w:hint="eastAsia" w:ascii="仿宋_GB2312" w:hAnsi="仿宋_GB2312" w:eastAsia="仿宋_GB2312" w:cs="仿宋_GB2312"/>
                <w:color w:val="auto"/>
              </w:rPr>
            </w:pPr>
            <w:r>
              <w:rPr>
                <w:rStyle w:val="46"/>
                <w:rFonts w:hint="eastAsia" w:ascii="仿宋_GB2312" w:hAnsi="仿宋_GB2312" w:eastAsia="仿宋_GB2312" w:cs="仿宋_GB2312"/>
                <w:color w:val="auto"/>
              </w:rPr>
              <w:t>预期性</w:t>
            </w:r>
          </w:p>
        </w:tc>
      </w:tr>
      <w:tr w14:paraId="7D845EEF">
        <w:tblPrEx>
          <w:tblCellMar>
            <w:top w:w="0" w:type="dxa"/>
            <w:left w:w="108" w:type="dxa"/>
            <w:bottom w:w="0" w:type="dxa"/>
            <w:right w:w="108" w:type="dxa"/>
          </w:tblCellMar>
        </w:tblPrEx>
        <w:trPr>
          <w:trHeight w:val="397" w:hRule="exact"/>
        </w:trPr>
        <w:tc>
          <w:tcPr>
            <w:tcW w:w="565" w:type="dxa"/>
            <w:vMerge w:val="restart"/>
            <w:tcBorders>
              <w:top w:val="single" w:color="000000" w:sz="4" w:space="0"/>
              <w:left w:val="single" w:color="000000" w:sz="4" w:space="0"/>
              <w:right w:val="single" w:color="000000" w:sz="4" w:space="0"/>
            </w:tcBorders>
            <w:tcMar>
              <w:top w:w="0" w:type="dxa"/>
              <w:left w:w="51" w:type="dxa"/>
              <w:bottom w:w="0" w:type="dxa"/>
              <w:right w:w="51" w:type="dxa"/>
            </w:tcMar>
            <w:vAlign w:val="center"/>
          </w:tcPr>
          <w:p w14:paraId="2AB131D4">
            <w:pPr>
              <w:widowControl/>
              <w:spacing w:line="240" w:lineRule="auto"/>
              <w:jc w:val="center"/>
              <w:textAlignment w:val="center"/>
              <w:rPr>
                <w:rStyle w:val="51"/>
                <w:rFonts w:hint="eastAsia" w:ascii="仿宋_GB2312" w:hAnsi="仿宋_GB2312" w:eastAsia="仿宋_GB2312" w:cs="仿宋_GB2312"/>
                <w:color w:val="auto"/>
              </w:rPr>
            </w:pPr>
            <w:r>
              <w:rPr>
                <w:rStyle w:val="51"/>
                <w:rFonts w:hint="eastAsia" w:ascii="仿宋_GB2312" w:hAnsi="仿宋_GB2312" w:eastAsia="仿宋_GB2312" w:cs="仿宋_GB2312"/>
                <w:color w:val="auto"/>
              </w:rPr>
              <w:t>农民富</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57E2FBF4">
            <w:pPr>
              <w:spacing w:line="240" w:lineRule="auto"/>
              <w:jc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sz w:val="21"/>
                <w:szCs w:val="21"/>
              </w:rPr>
              <w:t>1</w:t>
            </w:r>
            <w:r>
              <w:rPr>
                <w:rFonts w:hint="default" w:ascii="仿宋_GB2312" w:hAnsi="仿宋_GB2312" w:eastAsia="仿宋_GB2312" w:cs="仿宋_GB2312"/>
                <w:color w:val="auto"/>
                <w:sz w:val="21"/>
                <w:szCs w:val="21"/>
                <w:lang w:val="en-US"/>
              </w:rPr>
              <w:t>8</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75533A1D">
            <w:pPr>
              <w:widowControl/>
              <w:spacing w:line="240" w:lineRule="auto"/>
              <w:jc w:val="both"/>
              <w:textAlignment w:val="center"/>
              <w:rPr>
                <w:rFonts w:hint="eastAsia" w:ascii="仿宋_GB2312" w:hAnsi="仿宋_GB2312" w:eastAsia="仿宋_GB2312" w:cs="仿宋_GB2312"/>
                <w:color w:val="auto"/>
                <w:kern w:val="2"/>
                <w:sz w:val="32"/>
                <w:szCs w:val="21"/>
                <w:lang w:val="en-US" w:eastAsia="zh-CN" w:bidi="ar-SA"/>
              </w:rPr>
            </w:pPr>
            <w:r>
              <w:rPr>
                <w:rStyle w:val="51"/>
                <w:rFonts w:hint="eastAsia" w:ascii="仿宋_GB2312" w:hAnsi="仿宋_GB2312" w:eastAsia="仿宋_GB2312" w:cs="仿宋_GB2312"/>
                <w:color w:val="auto"/>
              </w:rPr>
              <w:t>农村居民人均教育文化娱乐支出占比</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35424C6B">
            <w:pPr>
              <w:widowControl/>
              <w:spacing w:line="240" w:lineRule="auto"/>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rPr>
              <w:t>%</w:t>
            </w:r>
          </w:p>
        </w:tc>
        <w:tc>
          <w:tcPr>
            <w:tcW w:w="891" w:type="dxa"/>
            <w:tcBorders>
              <w:top w:val="single" w:color="000000" w:sz="4" w:space="0"/>
              <w:left w:val="single" w:color="000000" w:sz="4" w:space="0"/>
              <w:right w:val="single" w:color="000000" w:sz="4" w:space="0"/>
            </w:tcBorders>
            <w:shd w:val="clear" w:color="auto" w:fill="auto"/>
            <w:tcMar>
              <w:top w:w="0" w:type="dxa"/>
              <w:left w:w="51" w:type="dxa"/>
              <w:bottom w:w="0" w:type="dxa"/>
              <w:right w:w="51" w:type="dxa"/>
            </w:tcMar>
            <w:vAlign w:val="center"/>
          </w:tcPr>
          <w:p w14:paraId="121A7C62">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5.1</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240200BA">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6.6</w:t>
            </w:r>
          </w:p>
        </w:tc>
        <w:tc>
          <w:tcPr>
            <w:tcW w:w="776"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429014E4">
            <w:pPr>
              <w:widowControl/>
              <w:spacing w:line="240" w:lineRule="auto"/>
              <w:jc w:val="center"/>
              <w:textAlignment w:val="center"/>
              <w:rPr>
                <w:rFonts w:hint="eastAsia" w:ascii="仿宋_GB2312" w:hAnsi="仿宋_GB2312" w:eastAsia="仿宋_GB2312" w:cs="仿宋_GB2312"/>
                <w:color w:val="auto"/>
                <w:kern w:val="2"/>
                <w:sz w:val="32"/>
                <w:szCs w:val="21"/>
                <w:lang w:val="en-US" w:eastAsia="zh-CN" w:bidi="ar-SA"/>
              </w:rPr>
            </w:pPr>
            <w:r>
              <w:rPr>
                <w:rStyle w:val="51"/>
                <w:rFonts w:hint="eastAsia" w:ascii="仿宋_GB2312" w:hAnsi="仿宋_GB2312" w:eastAsia="仿宋_GB2312" w:cs="仿宋_GB2312"/>
                <w:color w:val="auto"/>
              </w:rPr>
              <w:t>预期性</w:t>
            </w:r>
          </w:p>
        </w:tc>
      </w:tr>
      <w:tr w14:paraId="27D494DA">
        <w:tblPrEx>
          <w:tblCellMar>
            <w:top w:w="0" w:type="dxa"/>
            <w:left w:w="108" w:type="dxa"/>
            <w:bottom w:w="0" w:type="dxa"/>
            <w:right w:w="108" w:type="dxa"/>
          </w:tblCellMar>
        </w:tblPrEx>
        <w:trPr>
          <w:trHeight w:val="397" w:hRule="exact"/>
        </w:trPr>
        <w:tc>
          <w:tcPr>
            <w:tcW w:w="565" w:type="dxa"/>
            <w:vMerge w:val="continue"/>
            <w:tcBorders>
              <w:left w:val="single" w:color="000000" w:sz="4" w:space="0"/>
              <w:right w:val="single" w:color="000000" w:sz="4" w:space="0"/>
            </w:tcBorders>
            <w:tcMar>
              <w:top w:w="0" w:type="dxa"/>
              <w:left w:w="51" w:type="dxa"/>
              <w:bottom w:w="0" w:type="dxa"/>
              <w:right w:w="51" w:type="dxa"/>
            </w:tcMar>
            <w:vAlign w:val="center"/>
          </w:tcPr>
          <w:p w14:paraId="7AF90516">
            <w:pPr>
              <w:widowControl/>
              <w:spacing w:line="560" w:lineRule="exact"/>
              <w:jc w:val="center"/>
              <w:textAlignment w:val="center"/>
              <w:rPr>
                <w:rStyle w:val="51"/>
                <w:rFonts w:hint="eastAsia" w:ascii="仿宋_GB2312" w:hAnsi="仿宋_GB2312" w:eastAsia="仿宋_GB2312" w:cs="仿宋_GB2312"/>
                <w:color w:val="auto"/>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329846D1">
            <w:pPr>
              <w:widowControl/>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1</w:t>
            </w:r>
            <w:r>
              <w:rPr>
                <w:rFonts w:hint="default" w:ascii="仿宋_GB2312" w:hAnsi="仿宋_GB2312" w:eastAsia="仿宋_GB2312" w:cs="仿宋_GB2312"/>
                <w:color w:val="auto"/>
                <w:kern w:val="0"/>
                <w:sz w:val="21"/>
                <w:szCs w:val="21"/>
                <w:lang w:val="en-US"/>
              </w:rPr>
              <w:t>9</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7DC529A8">
            <w:pPr>
              <w:widowControl/>
              <w:spacing w:line="240" w:lineRule="auto"/>
              <w:jc w:val="both"/>
              <w:textAlignment w:val="center"/>
              <w:rPr>
                <w:rFonts w:hint="eastAsia" w:ascii="仿宋_GB2312" w:hAnsi="仿宋_GB2312" w:eastAsia="仿宋_GB2312" w:cs="仿宋_GB2312"/>
                <w:color w:val="auto"/>
                <w:kern w:val="2"/>
                <w:sz w:val="32"/>
                <w:szCs w:val="21"/>
                <w:lang w:val="en-US" w:eastAsia="zh-CN" w:bidi="ar-SA"/>
              </w:rPr>
            </w:pPr>
            <w:r>
              <w:rPr>
                <w:rStyle w:val="46"/>
                <w:rFonts w:hint="eastAsia" w:ascii="仿宋_GB2312" w:hAnsi="仿宋_GB2312" w:eastAsia="仿宋_GB2312" w:cs="仿宋_GB2312"/>
                <w:color w:val="auto"/>
              </w:rPr>
              <w:t>城乡居民基础养老金标准</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49CFB90F">
            <w:pPr>
              <w:widowControl/>
              <w:spacing w:line="240" w:lineRule="auto"/>
              <w:jc w:val="center"/>
              <w:textAlignment w:val="center"/>
              <w:rPr>
                <w:rFonts w:hint="eastAsia" w:ascii="仿宋_GB2312" w:hAnsi="仿宋_GB2312" w:eastAsia="仿宋_GB2312" w:cs="仿宋_GB2312"/>
                <w:color w:val="auto"/>
                <w:kern w:val="2"/>
                <w:sz w:val="21"/>
                <w:szCs w:val="21"/>
                <w:lang w:val="en-US" w:eastAsia="zh-CN" w:bidi="ar-SA"/>
              </w:rPr>
            </w:pPr>
            <w:r>
              <w:rPr>
                <w:rStyle w:val="46"/>
                <w:rFonts w:hint="eastAsia" w:ascii="仿宋_GB2312" w:hAnsi="仿宋_GB2312" w:eastAsia="仿宋_GB2312" w:cs="仿宋_GB2312"/>
                <w:color w:val="auto"/>
              </w:rPr>
              <w:t>元</w:t>
            </w:r>
            <w:r>
              <w:rPr>
                <w:rStyle w:val="44"/>
                <w:rFonts w:hint="eastAsia" w:ascii="仿宋_GB2312" w:hAnsi="仿宋_GB2312" w:eastAsia="仿宋_GB2312" w:cs="仿宋_GB2312"/>
                <w:color w:val="auto"/>
              </w:rPr>
              <w:t>/</w:t>
            </w:r>
            <w:r>
              <w:rPr>
                <w:rStyle w:val="46"/>
                <w:rFonts w:hint="eastAsia" w:ascii="仿宋_GB2312" w:hAnsi="仿宋_GB2312" w:eastAsia="仿宋_GB2312" w:cs="仿宋_GB2312"/>
                <w:color w:val="auto"/>
              </w:rPr>
              <w:t>月</w:t>
            </w:r>
          </w:p>
        </w:tc>
        <w:tc>
          <w:tcPr>
            <w:tcW w:w="891" w:type="dxa"/>
            <w:tcBorders>
              <w:top w:val="single" w:color="000000" w:sz="4" w:space="0"/>
              <w:left w:val="single" w:color="000000" w:sz="4" w:space="0"/>
              <w:right w:val="single" w:color="000000" w:sz="4" w:space="0"/>
            </w:tcBorders>
            <w:shd w:val="clear" w:color="auto" w:fill="auto"/>
            <w:tcMar>
              <w:top w:w="0" w:type="dxa"/>
              <w:left w:w="51" w:type="dxa"/>
              <w:bottom w:w="0" w:type="dxa"/>
              <w:right w:w="51" w:type="dxa"/>
            </w:tcMar>
            <w:vAlign w:val="center"/>
          </w:tcPr>
          <w:p w14:paraId="7BA40B89">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998</w:t>
            </w:r>
          </w:p>
        </w:tc>
        <w:tc>
          <w:tcPr>
            <w:tcW w:w="1828"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66192381">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逐步提高</w:t>
            </w:r>
          </w:p>
        </w:tc>
        <w:tc>
          <w:tcPr>
            <w:tcW w:w="776"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6D590E4A">
            <w:pPr>
              <w:widowControl/>
              <w:spacing w:line="240" w:lineRule="auto"/>
              <w:jc w:val="center"/>
              <w:textAlignment w:val="center"/>
              <w:rPr>
                <w:rFonts w:hint="eastAsia" w:ascii="仿宋_GB2312" w:hAnsi="仿宋_GB2312" w:eastAsia="仿宋_GB2312" w:cs="仿宋_GB2312"/>
                <w:color w:val="auto"/>
                <w:kern w:val="2"/>
                <w:sz w:val="32"/>
                <w:szCs w:val="21"/>
                <w:lang w:val="en-US" w:eastAsia="zh-CN" w:bidi="ar-SA"/>
              </w:rPr>
            </w:pPr>
            <w:r>
              <w:rPr>
                <w:rStyle w:val="46"/>
                <w:rFonts w:hint="eastAsia" w:ascii="仿宋_GB2312" w:hAnsi="仿宋_GB2312" w:eastAsia="仿宋_GB2312" w:cs="仿宋_GB2312"/>
                <w:color w:val="auto"/>
              </w:rPr>
              <w:t>预期性</w:t>
            </w:r>
          </w:p>
        </w:tc>
      </w:tr>
      <w:tr w14:paraId="74D1D394">
        <w:tblPrEx>
          <w:tblCellMar>
            <w:top w:w="0" w:type="dxa"/>
            <w:left w:w="108" w:type="dxa"/>
            <w:bottom w:w="0" w:type="dxa"/>
            <w:right w:w="108" w:type="dxa"/>
          </w:tblCellMar>
        </w:tblPrEx>
        <w:trPr>
          <w:trHeight w:val="397" w:hRule="exact"/>
        </w:trPr>
        <w:tc>
          <w:tcPr>
            <w:tcW w:w="565" w:type="dxa"/>
            <w:vMerge w:val="continue"/>
            <w:tcBorders>
              <w:left w:val="single" w:color="000000" w:sz="4" w:space="0"/>
              <w:right w:val="single" w:color="000000" w:sz="4" w:space="0"/>
            </w:tcBorders>
            <w:tcMar>
              <w:top w:w="0" w:type="dxa"/>
              <w:left w:w="51" w:type="dxa"/>
              <w:bottom w:w="0" w:type="dxa"/>
              <w:right w:w="51" w:type="dxa"/>
            </w:tcMar>
            <w:vAlign w:val="center"/>
          </w:tcPr>
          <w:p w14:paraId="698872F9">
            <w:pPr>
              <w:widowControl/>
              <w:spacing w:line="560" w:lineRule="exact"/>
              <w:jc w:val="center"/>
              <w:textAlignment w:val="center"/>
              <w:rPr>
                <w:rStyle w:val="51"/>
                <w:rFonts w:hint="eastAsia" w:ascii="仿宋_GB2312" w:hAnsi="仿宋_GB2312" w:eastAsia="仿宋_GB2312" w:cs="仿宋_GB2312"/>
                <w:color w:val="auto"/>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24A32E8C">
            <w:pPr>
              <w:widowControl/>
              <w:spacing w:line="240" w:lineRule="auto"/>
              <w:jc w:val="center"/>
              <w:textAlignment w:val="center"/>
              <w:rPr>
                <w:rFonts w:hint="eastAsia" w:ascii="仿宋_GB2312" w:hAnsi="仿宋_GB2312" w:eastAsia="仿宋_GB2312" w:cs="仿宋_GB2312"/>
                <w:color w:val="auto"/>
                <w:kern w:val="2"/>
                <w:sz w:val="21"/>
                <w:szCs w:val="21"/>
                <w:lang w:val="en-US" w:eastAsia="zh-CN" w:bidi="ar-SA"/>
              </w:rPr>
            </w:pPr>
            <w:r>
              <w:rPr>
                <w:rFonts w:hint="default" w:ascii="仿宋_GB2312" w:hAnsi="仿宋_GB2312" w:eastAsia="仿宋_GB2312" w:cs="仿宋_GB2312"/>
                <w:color w:val="auto"/>
                <w:kern w:val="2"/>
                <w:sz w:val="21"/>
                <w:szCs w:val="21"/>
                <w:lang w:val="en-US" w:eastAsia="zh-CN" w:bidi="ar-SA"/>
              </w:rPr>
              <w:t>20</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182E0BAA">
            <w:pPr>
              <w:widowControl/>
              <w:spacing w:line="240" w:lineRule="auto"/>
              <w:jc w:val="both"/>
              <w:textAlignment w:val="center"/>
              <w:rPr>
                <w:rFonts w:hint="eastAsia" w:ascii="仿宋_GB2312" w:hAnsi="仿宋_GB2312" w:eastAsia="仿宋_GB2312" w:cs="仿宋_GB2312"/>
                <w:color w:val="auto"/>
                <w:kern w:val="2"/>
                <w:sz w:val="21"/>
                <w:szCs w:val="21"/>
                <w:lang w:val="en-US" w:eastAsia="zh-CN"/>
              </w:rPr>
            </w:pPr>
            <w:r>
              <w:rPr>
                <w:rStyle w:val="51"/>
                <w:rFonts w:hint="eastAsia" w:ascii="仿宋_GB2312" w:hAnsi="仿宋_GB2312" w:eastAsia="仿宋_GB2312" w:cs="仿宋_GB2312"/>
                <w:color w:val="auto"/>
              </w:rPr>
              <w:t>农村居民人均可支配收入</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35D2F274">
            <w:pPr>
              <w:widowControl/>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万元</w:t>
            </w:r>
          </w:p>
        </w:tc>
        <w:tc>
          <w:tcPr>
            <w:tcW w:w="891"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3E51F196">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4.0</w:t>
            </w:r>
          </w:p>
        </w:tc>
        <w:tc>
          <w:tcPr>
            <w:tcW w:w="1828" w:type="dxa"/>
            <w:tcBorders>
              <w:top w:val="single" w:color="000000" w:sz="4" w:space="0"/>
              <w:left w:val="single" w:color="000000" w:sz="4" w:space="0"/>
              <w:bottom w:val="single" w:color="auto" w:sz="4" w:space="0"/>
              <w:right w:val="single" w:color="000000" w:sz="4" w:space="0"/>
            </w:tcBorders>
            <w:shd w:val="clear" w:color="auto" w:fill="auto"/>
            <w:tcMar>
              <w:top w:w="0" w:type="dxa"/>
              <w:left w:w="51" w:type="dxa"/>
              <w:bottom w:w="0" w:type="dxa"/>
              <w:right w:w="51" w:type="dxa"/>
            </w:tcMar>
            <w:vAlign w:val="center"/>
          </w:tcPr>
          <w:p w14:paraId="5C984800">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5.2</w:t>
            </w:r>
          </w:p>
        </w:tc>
        <w:tc>
          <w:tcPr>
            <w:tcW w:w="776"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37B22925">
            <w:pPr>
              <w:widowControl/>
              <w:spacing w:line="240" w:lineRule="auto"/>
              <w:jc w:val="center"/>
              <w:textAlignment w:val="center"/>
              <w:rPr>
                <w:rFonts w:hint="eastAsia" w:ascii="仿宋_GB2312" w:hAnsi="仿宋_GB2312" w:eastAsia="仿宋_GB2312" w:cs="仿宋_GB2312"/>
                <w:color w:val="auto"/>
                <w:kern w:val="2"/>
                <w:sz w:val="21"/>
                <w:szCs w:val="21"/>
                <w:lang w:val="en-US" w:eastAsia="zh-CN"/>
              </w:rPr>
            </w:pPr>
            <w:r>
              <w:rPr>
                <w:rStyle w:val="51"/>
                <w:rFonts w:hint="eastAsia" w:ascii="仿宋_GB2312" w:hAnsi="仿宋_GB2312" w:eastAsia="仿宋_GB2312" w:cs="仿宋_GB2312"/>
                <w:color w:val="auto"/>
              </w:rPr>
              <w:t>预期性</w:t>
            </w:r>
          </w:p>
        </w:tc>
      </w:tr>
      <w:tr w14:paraId="1D92DA9B">
        <w:tblPrEx>
          <w:tblCellMar>
            <w:top w:w="0" w:type="dxa"/>
            <w:left w:w="108" w:type="dxa"/>
            <w:bottom w:w="0" w:type="dxa"/>
            <w:right w:w="108" w:type="dxa"/>
          </w:tblCellMar>
        </w:tblPrEx>
        <w:trPr>
          <w:trHeight w:val="397" w:hRule="exact"/>
        </w:trPr>
        <w:tc>
          <w:tcPr>
            <w:tcW w:w="565" w:type="dxa"/>
            <w:vMerge w:val="continue"/>
            <w:tcBorders>
              <w:left w:val="single" w:color="000000" w:sz="4" w:space="0"/>
              <w:bottom w:val="single" w:color="000000" w:sz="4" w:space="0"/>
              <w:right w:val="single" w:color="000000" w:sz="4" w:space="0"/>
            </w:tcBorders>
            <w:tcMar>
              <w:top w:w="0" w:type="dxa"/>
              <w:left w:w="51" w:type="dxa"/>
              <w:bottom w:w="0" w:type="dxa"/>
              <w:right w:w="51" w:type="dxa"/>
            </w:tcMar>
            <w:vAlign w:val="center"/>
          </w:tcPr>
          <w:p w14:paraId="18201385">
            <w:pPr>
              <w:widowControl/>
              <w:spacing w:line="560" w:lineRule="exact"/>
              <w:jc w:val="center"/>
              <w:textAlignment w:val="center"/>
              <w:rPr>
                <w:rStyle w:val="51"/>
                <w:rFonts w:hint="eastAsia" w:ascii="仿宋_GB2312" w:hAnsi="仿宋_GB2312" w:eastAsia="仿宋_GB2312" w:cs="仿宋_GB2312"/>
                <w:color w:val="auto"/>
              </w:rPr>
            </w:pP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2DF945B4">
            <w:pPr>
              <w:widowControl/>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2</w:t>
            </w:r>
            <w:r>
              <w:rPr>
                <w:rFonts w:hint="default" w:ascii="仿宋_GB2312" w:hAnsi="仿宋_GB2312" w:eastAsia="仿宋_GB2312" w:cs="仿宋_GB2312"/>
                <w:color w:val="auto"/>
                <w:kern w:val="0"/>
                <w:sz w:val="21"/>
                <w:szCs w:val="21"/>
                <w:lang w:val="en-US"/>
              </w:rPr>
              <w:t>1</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59429A8E">
            <w:pPr>
              <w:widowControl/>
              <w:spacing w:line="240" w:lineRule="auto"/>
              <w:jc w:val="both"/>
              <w:textAlignment w:val="center"/>
              <w:rPr>
                <w:rFonts w:hint="eastAsia" w:ascii="仿宋_GB2312" w:hAnsi="仿宋_GB2312" w:eastAsia="仿宋_GB2312" w:cs="仿宋_GB2312"/>
                <w:color w:val="auto"/>
                <w:kern w:val="2"/>
                <w:sz w:val="32"/>
                <w:szCs w:val="21"/>
                <w:lang w:val="en-US" w:eastAsia="zh-CN" w:bidi="ar-SA"/>
              </w:rPr>
            </w:pPr>
            <w:r>
              <w:rPr>
                <w:rStyle w:val="51"/>
                <w:rFonts w:hint="eastAsia" w:ascii="仿宋_GB2312" w:hAnsi="仿宋_GB2312" w:eastAsia="仿宋_GB2312" w:cs="仿宋_GB2312"/>
                <w:color w:val="auto"/>
              </w:rPr>
              <w:t>城乡居民收入比</w:t>
            </w:r>
          </w:p>
        </w:tc>
        <w:tc>
          <w:tcPr>
            <w:tcW w:w="711" w:type="dxa"/>
            <w:tcBorders>
              <w:top w:val="single" w:color="000000" w:sz="4" w:space="0"/>
              <w:left w:val="single" w:color="000000" w:sz="4" w:space="0"/>
              <w:bottom w:val="single" w:color="000000" w:sz="4" w:space="0"/>
              <w:right w:val="single" w:color="auto" w:sz="4" w:space="0"/>
            </w:tcBorders>
            <w:shd w:val="clear" w:color="auto" w:fill="auto"/>
            <w:tcMar>
              <w:top w:w="0" w:type="dxa"/>
              <w:left w:w="51" w:type="dxa"/>
              <w:bottom w:w="0" w:type="dxa"/>
              <w:right w:w="51" w:type="dxa"/>
            </w:tcMar>
            <w:vAlign w:val="center"/>
          </w:tcPr>
          <w:p w14:paraId="584196BF">
            <w:pPr>
              <w:widowControl/>
              <w:spacing w:line="240" w:lineRule="auto"/>
              <w:jc w:val="center"/>
              <w:textAlignment w:val="center"/>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0"/>
                <w:sz w:val="21"/>
                <w:szCs w:val="21"/>
              </w:rPr>
              <w:t>-</w:t>
            </w:r>
          </w:p>
        </w:tc>
        <w:tc>
          <w:tcPr>
            <w:tcW w:w="891" w:type="dxa"/>
            <w:tcBorders>
              <w:top w:val="single" w:color="auto" w:sz="4" w:space="0"/>
              <w:left w:val="single" w:color="auto" w:sz="4" w:space="0"/>
              <w:bottom w:val="single" w:color="auto" w:sz="4" w:space="0"/>
              <w:right w:val="single" w:color="auto" w:sz="4" w:space="0"/>
            </w:tcBorders>
            <w:shd w:val="clear" w:color="auto" w:fill="auto"/>
            <w:tcMar>
              <w:top w:w="0" w:type="dxa"/>
              <w:left w:w="51" w:type="dxa"/>
              <w:bottom w:w="0" w:type="dxa"/>
              <w:right w:w="51" w:type="dxa"/>
            </w:tcMar>
            <w:vAlign w:val="center"/>
          </w:tcPr>
          <w:p w14:paraId="4B5460ED">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1.83</w:t>
            </w:r>
          </w:p>
        </w:tc>
        <w:tc>
          <w:tcPr>
            <w:tcW w:w="1828" w:type="dxa"/>
            <w:tcBorders>
              <w:top w:val="single" w:color="auto" w:sz="4" w:space="0"/>
              <w:left w:val="single" w:color="auto" w:sz="4" w:space="0"/>
              <w:bottom w:val="single" w:color="auto" w:sz="4" w:space="0"/>
              <w:right w:val="single" w:color="auto" w:sz="4" w:space="0"/>
            </w:tcBorders>
            <w:shd w:val="clear" w:color="auto" w:fill="auto"/>
            <w:tcMar>
              <w:top w:w="0" w:type="dxa"/>
              <w:left w:w="51" w:type="dxa"/>
              <w:bottom w:w="0" w:type="dxa"/>
              <w:right w:w="51" w:type="dxa"/>
            </w:tcMar>
            <w:vAlign w:val="center"/>
          </w:tcPr>
          <w:p w14:paraId="65A87C19">
            <w:pPr>
              <w:widowControl/>
              <w:snapToGrid w:val="0"/>
              <w:spacing w:line="240" w:lineRule="auto"/>
              <w:jc w:val="center"/>
              <w:textAlignment w:val="center"/>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≤1.8</w:t>
            </w:r>
          </w:p>
        </w:tc>
        <w:tc>
          <w:tcPr>
            <w:tcW w:w="776" w:type="dxa"/>
            <w:tcBorders>
              <w:top w:val="single" w:color="000000" w:sz="4" w:space="0"/>
              <w:left w:val="single" w:color="auto"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724C3A92">
            <w:pPr>
              <w:widowControl/>
              <w:spacing w:line="240" w:lineRule="auto"/>
              <w:jc w:val="center"/>
              <w:textAlignment w:val="center"/>
              <w:rPr>
                <w:rFonts w:hint="eastAsia" w:ascii="仿宋_GB2312" w:hAnsi="仿宋_GB2312" w:eastAsia="仿宋_GB2312" w:cs="仿宋_GB2312"/>
                <w:color w:val="auto"/>
                <w:kern w:val="2"/>
                <w:sz w:val="32"/>
                <w:szCs w:val="21"/>
                <w:lang w:val="en-US" w:eastAsia="zh-CN" w:bidi="ar-SA"/>
              </w:rPr>
            </w:pPr>
            <w:r>
              <w:rPr>
                <w:rStyle w:val="51"/>
                <w:rFonts w:hint="eastAsia" w:ascii="仿宋_GB2312" w:hAnsi="仿宋_GB2312" w:eastAsia="仿宋_GB2312" w:cs="仿宋_GB2312"/>
                <w:color w:val="auto"/>
              </w:rPr>
              <w:t>预期性</w:t>
            </w:r>
          </w:p>
        </w:tc>
      </w:tr>
    </w:tbl>
    <w:p w14:paraId="707BDB42">
      <w:pPr>
        <w:pStyle w:val="2"/>
        <w:spacing w:line="560" w:lineRule="exact"/>
        <w:ind w:firstLine="640" w:firstLineChars="200"/>
        <w:outlineLvl w:val="0"/>
        <w:rPr>
          <w:rFonts w:hint="eastAsia" w:ascii="黑体" w:hAnsi="黑体" w:eastAsia="黑体" w:cs="黑体"/>
          <w:color w:val="auto"/>
          <w:szCs w:val="32"/>
        </w:rPr>
      </w:pPr>
      <w:bookmarkStart w:id="22" w:name="_Toc1658093429"/>
      <w:bookmarkStart w:id="23" w:name="_Toc27816"/>
      <w:bookmarkStart w:id="24" w:name="_Toc9719"/>
      <w:bookmarkStart w:id="25" w:name="_Toc30750"/>
      <w:bookmarkStart w:id="26" w:name="_Toc19207"/>
      <w:bookmarkStart w:id="27" w:name="_Toc27254"/>
      <w:bookmarkStart w:id="28" w:name="_Toc6724"/>
      <w:bookmarkStart w:id="29" w:name="_Toc7851"/>
      <w:bookmarkStart w:id="30" w:name="_Toc1697347187"/>
      <w:bookmarkStart w:id="31" w:name="_Toc4764"/>
      <w:bookmarkStart w:id="32" w:name="_Toc31623"/>
      <w:bookmarkStart w:id="33" w:name="_Toc21357"/>
      <w:bookmarkStart w:id="34" w:name="_Toc62846396"/>
      <w:bookmarkStart w:id="35" w:name="_Toc227475042"/>
      <w:bookmarkStart w:id="36" w:name="_Toc155506025"/>
      <w:bookmarkStart w:id="37" w:name="_Toc15425"/>
      <w:r>
        <w:rPr>
          <w:rFonts w:hint="eastAsia" w:ascii="黑体" w:hAnsi="黑体" w:eastAsia="黑体" w:cs="黑体"/>
          <w:color w:val="auto"/>
          <w:szCs w:val="32"/>
        </w:rPr>
        <w:t>二、建设都市特色现代农业，科技赋能乡村产业振兴</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3BF32DAB">
      <w:pPr>
        <w:pStyle w:val="2"/>
        <w:spacing w:line="560" w:lineRule="exact"/>
        <w:ind w:firstLine="643" w:firstLineChars="200"/>
        <w:outlineLvl w:val="1"/>
        <w:rPr>
          <w:rFonts w:hint="eastAsia" w:ascii="仿宋_GB2312" w:hAnsi="仿宋_GB2312" w:eastAsia="仿宋_GB2312" w:cs="仿宋_GB2312"/>
          <w:b/>
          <w:color w:val="auto"/>
          <w:szCs w:val="32"/>
        </w:rPr>
      </w:pPr>
      <w:bookmarkStart w:id="38" w:name="_Toc17548"/>
      <w:bookmarkStart w:id="39" w:name="_Toc281"/>
      <w:bookmarkStart w:id="40" w:name="_Toc20269"/>
      <w:bookmarkStart w:id="41" w:name="_Toc4932"/>
      <w:bookmarkStart w:id="42" w:name="_Toc11218"/>
      <w:bookmarkStart w:id="43" w:name="_Toc6873"/>
      <w:bookmarkStart w:id="44" w:name="_Toc1317"/>
      <w:bookmarkStart w:id="45" w:name="_Toc30757"/>
      <w:bookmarkStart w:id="46" w:name="_Toc18297"/>
      <w:bookmarkStart w:id="47" w:name="_Toc1278945590"/>
      <w:bookmarkStart w:id="48" w:name="_Toc1749849588"/>
      <w:bookmarkStart w:id="49" w:name="_Toc272420034"/>
      <w:bookmarkStart w:id="50" w:name="_Toc1578329813"/>
      <w:bookmarkStart w:id="51" w:name="_Toc754803034"/>
      <w:bookmarkStart w:id="52" w:name="_Toc4665"/>
      <w:bookmarkStart w:id="53" w:name="_Toc7365"/>
      <w:r>
        <w:rPr>
          <w:rFonts w:hint="eastAsia" w:ascii="仿宋_GB2312" w:hAnsi="仿宋_GB2312" w:eastAsia="仿宋_GB2312" w:cs="仿宋_GB2312"/>
          <w:b/>
          <w:color w:val="auto"/>
          <w:szCs w:val="32"/>
        </w:rPr>
        <w:t>（一）夯实农业产业基础，提高稳产保供</w:t>
      </w:r>
      <w:bookmarkEnd w:id="38"/>
      <w:bookmarkEnd w:id="39"/>
      <w:bookmarkEnd w:id="40"/>
      <w:bookmarkEnd w:id="41"/>
      <w:bookmarkEnd w:id="42"/>
      <w:bookmarkEnd w:id="43"/>
      <w:bookmarkEnd w:id="44"/>
      <w:bookmarkEnd w:id="45"/>
      <w:bookmarkEnd w:id="46"/>
      <w:r>
        <w:rPr>
          <w:rFonts w:hint="eastAsia" w:ascii="仿宋_GB2312" w:hAnsi="仿宋_GB2312" w:eastAsia="仿宋_GB2312" w:cs="仿宋_GB2312"/>
          <w:b/>
          <w:color w:val="auto"/>
          <w:szCs w:val="32"/>
        </w:rPr>
        <w:t>能力</w:t>
      </w:r>
      <w:bookmarkEnd w:id="47"/>
      <w:bookmarkEnd w:id="48"/>
      <w:bookmarkEnd w:id="49"/>
      <w:bookmarkEnd w:id="50"/>
      <w:bookmarkEnd w:id="51"/>
      <w:bookmarkEnd w:id="52"/>
      <w:bookmarkEnd w:id="53"/>
    </w:p>
    <w:p w14:paraId="48041F21">
      <w:pPr>
        <w:pStyle w:val="2"/>
        <w:spacing w:line="560" w:lineRule="exact"/>
        <w:ind w:firstLine="643" w:firstLineChars="200"/>
        <w:rPr>
          <w:rFonts w:hint="eastAsia" w:ascii="仿宋_GB2312" w:hAnsi="仿宋_GB2312" w:eastAsia="仿宋_GB2312" w:cs="仿宋_GB2312"/>
          <w:color w:val="auto"/>
          <w:szCs w:val="36"/>
        </w:rPr>
      </w:pPr>
      <w:r>
        <w:rPr>
          <w:rFonts w:hint="eastAsia" w:ascii="仿宋_GB2312" w:hAnsi="仿宋_GB2312" w:eastAsia="仿宋_GB2312" w:cs="仿宋_GB2312"/>
          <w:b/>
          <w:bCs/>
          <w:color w:val="auto"/>
          <w:szCs w:val="32"/>
        </w:rPr>
        <w:t>1.稳定粮食生产基本盘</w:t>
      </w:r>
      <w:r>
        <w:rPr>
          <w:rFonts w:hint="eastAsia" w:ascii="仿宋_GB2312" w:hAnsi="仿宋_GB2312" w:eastAsia="仿宋_GB2312" w:cs="仿宋_GB2312"/>
          <w:color w:val="auto"/>
          <w:szCs w:val="32"/>
        </w:rPr>
        <w:t>。严格落实粮食安全党政同责，完成市级下达的粮食播种面积任务。推进良田良种良法集成增效，强化新优品种、现代栽培技术推广应用，推进粮食作物大面积单产提升，</w:t>
      </w:r>
      <w:r>
        <w:rPr>
          <w:rFonts w:hint="eastAsia" w:ascii="仿宋_GB2312" w:hAnsi="仿宋_GB2312" w:eastAsia="仿宋_GB2312" w:cs="仿宋_GB2312"/>
          <w:color w:val="auto"/>
          <w:szCs w:val="36"/>
        </w:rPr>
        <w:t>确保粮食总产稳定。</w:t>
      </w:r>
      <w:bookmarkStart w:id="54" w:name="_Toc11226"/>
      <w:bookmarkStart w:id="55" w:name="_Toc21585"/>
      <w:bookmarkStart w:id="56" w:name="_Toc828616704"/>
      <w:bookmarkStart w:id="57" w:name="_Toc1035554768"/>
      <w:bookmarkStart w:id="58" w:name="_Toc15597"/>
      <w:bookmarkStart w:id="59" w:name="_Toc885722709"/>
      <w:bookmarkStart w:id="60" w:name="_Toc1111536511"/>
      <w:bookmarkStart w:id="61" w:name="_Toc22087"/>
    </w:p>
    <w:p w14:paraId="1F65A2DB">
      <w:pPr>
        <w:pStyle w:val="2"/>
        <w:spacing w:line="560" w:lineRule="exact"/>
        <w:ind w:firstLine="643"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2.保障“安优鲜”蔬菜供给</w:t>
      </w:r>
      <w:bookmarkEnd w:id="54"/>
      <w:bookmarkEnd w:id="55"/>
      <w:bookmarkEnd w:id="56"/>
      <w:bookmarkEnd w:id="57"/>
      <w:bookmarkEnd w:id="58"/>
      <w:bookmarkEnd w:id="59"/>
      <w:bookmarkEnd w:id="60"/>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稳定蔬菜播种面积，提高设施蔬菜比重，实施蔬菜产业提质增效行动，确保完成蔬菜生产目标。大力发展特色、有机、功能型蔬菜，绿色有机农产品产量达</w:t>
      </w:r>
      <w:r>
        <w:rPr>
          <w:rFonts w:hint="eastAsia" w:ascii="仿宋_GB2312" w:hAnsi="仿宋_GB2312" w:eastAsia="仿宋_GB2312" w:cs="仿宋_GB2312"/>
          <w:color w:val="auto"/>
          <w:szCs w:val="36"/>
        </w:rPr>
        <w:t>到6万</w:t>
      </w:r>
      <w:r>
        <w:rPr>
          <w:rFonts w:hint="eastAsia" w:ascii="仿宋_GB2312" w:hAnsi="仿宋_GB2312" w:eastAsia="仿宋_GB2312" w:cs="仿宋_GB2312"/>
          <w:color w:val="auto"/>
          <w:szCs w:val="32"/>
        </w:rPr>
        <w:t>吨。</w:t>
      </w:r>
      <w:bookmarkStart w:id="62" w:name="_Toc25745"/>
      <w:bookmarkStart w:id="63" w:name="_Toc1616676613"/>
      <w:bookmarkStart w:id="64" w:name="_Toc32422"/>
      <w:bookmarkStart w:id="65" w:name="_Toc21150"/>
      <w:bookmarkStart w:id="66" w:name="_Toc886433030"/>
      <w:bookmarkStart w:id="67" w:name="_Toc1959194649"/>
      <w:bookmarkStart w:id="68" w:name="_Toc901180658"/>
    </w:p>
    <w:p w14:paraId="235E073A">
      <w:pPr>
        <w:pStyle w:val="2"/>
        <w:spacing w:line="560" w:lineRule="exact"/>
        <w:ind w:firstLine="643"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3.加强耕地保护和质量提升</w:t>
      </w:r>
      <w:bookmarkEnd w:id="62"/>
      <w:bookmarkEnd w:id="63"/>
      <w:bookmarkEnd w:id="64"/>
      <w:bookmarkEnd w:id="65"/>
      <w:bookmarkEnd w:id="66"/>
      <w:bookmarkEnd w:id="67"/>
      <w:bookmarkEnd w:id="68"/>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严守耕地保护红线和永久基本农田管控底线，坚决遏制耕地“非农化”、防止“非粮化”。深入实施全域土地综合整治，加强耕地土壤污染防治，全面提升耕地质量。统筹推进高标准农田建设与改造提升，</w:t>
      </w:r>
      <w:r>
        <w:rPr>
          <w:rFonts w:hint="eastAsia" w:ascii="仿宋_GB2312" w:hAnsi="仿宋_GB2312" w:eastAsia="仿宋_GB2312" w:cs="仿宋_GB2312"/>
          <w:color w:val="auto"/>
          <w:szCs w:val="32"/>
          <w:lang w:val="en-US" w:eastAsia="zh-CN"/>
        </w:rPr>
        <w:t>占</w:t>
      </w:r>
      <w:r>
        <w:rPr>
          <w:rFonts w:hint="eastAsia" w:ascii="仿宋_GB2312" w:hAnsi="仿宋_GB2312" w:eastAsia="仿宋_GB2312" w:cs="仿宋_GB2312"/>
          <w:color w:val="auto"/>
          <w:szCs w:val="32"/>
        </w:rPr>
        <w:t>永久基本农田</w:t>
      </w:r>
      <w:r>
        <w:rPr>
          <w:rFonts w:hint="eastAsia" w:ascii="仿宋_GB2312" w:hAnsi="仿宋_GB2312" w:eastAsia="仿宋_GB2312" w:cs="仿宋_GB2312"/>
          <w:color w:val="auto"/>
          <w:szCs w:val="32"/>
          <w:lang w:eastAsia="zh-CN"/>
        </w:rPr>
        <w:t>的</w:t>
      </w:r>
      <w:r>
        <w:rPr>
          <w:rFonts w:hint="eastAsia" w:ascii="仿宋_GB2312" w:hAnsi="仿宋_GB2312" w:eastAsia="仿宋_GB2312" w:cs="仿宋_GB2312"/>
          <w:color w:val="auto"/>
          <w:szCs w:val="32"/>
          <w:lang w:val="en-US" w:eastAsia="zh-CN"/>
        </w:rPr>
        <w:t>比重</w:t>
      </w:r>
      <w:r>
        <w:rPr>
          <w:rFonts w:hint="eastAsia" w:ascii="仿宋_GB2312" w:hAnsi="仿宋_GB2312" w:eastAsia="仿宋_GB2312" w:cs="仿宋_GB2312"/>
          <w:color w:val="auto"/>
          <w:szCs w:val="32"/>
        </w:rPr>
        <w:t>达到</w:t>
      </w:r>
      <w:r>
        <w:rPr>
          <w:rFonts w:hint="eastAsia" w:ascii="仿宋_GB2312" w:hAnsi="仿宋_GB2312" w:eastAsia="仿宋_GB2312" w:cs="仿宋_GB2312"/>
          <w:color w:val="auto"/>
        </w:rPr>
        <w:t>85%以</w:t>
      </w:r>
      <w:r>
        <w:rPr>
          <w:rFonts w:hint="eastAsia" w:ascii="仿宋_GB2312" w:hAnsi="仿宋_GB2312" w:eastAsia="仿宋_GB2312" w:cs="仿宋_GB2312"/>
          <w:color w:val="auto"/>
          <w:szCs w:val="32"/>
        </w:rPr>
        <w:t>上。</w:t>
      </w:r>
      <w:bookmarkStart w:id="69" w:name="_Toc247980400"/>
      <w:bookmarkStart w:id="70" w:name="_Toc1198391424"/>
      <w:bookmarkStart w:id="71" w:name="_Toc9139"/>
      <w:bookmarkStart w:id="72" w:name="_Toc4682"/>
      <w:bookmarkStart w:id="73" w:name="_Toc15599"/>
      <w:bookmarkStart w:id="74" w:name="_Toc1477972411"/>
      <w:bookmarkStart w:id="75" w:name="_Toc1408834970"/>
    </w:p>
    <w:p w14:paraId="448578E3">
      <w:pPr>
        <w:pStyle w:val="2"/>
        <w:spacing w:line="560" w:lineRule="exact"/>
        <w:ind w:firstLine="643" w:firstLineChars="200"/>
        <w:rPr>
          <w:rFonts w:hint="eastAsia" w:ascii="仿宋_GB2312" w:hAnsi="仿宋_GB2312" w:eastAsia="仿宋_GB2312" w:cs="仿宋_GB2312"/>
          <w:color w:val="auto"/>
          <w:szCs w:val="36"/>
        </w:rPr>
      </w:pPr>
      <w:r>
        <w:rPr>
          <w:rFonts w:hint="eastAsia" w:ascii="仿宋_GB2312" w:hAnsi="仿宋_GB2312" w:eastAsia="仿宋_GB2312" w:cs="仿宋_GB2312"/>
          <w:b/>
          <w:bCs/>
          <w:color w:val="auto"/>
          <w:szCs w:val="32"/>
        </w:rPr>
        <w:t>4.推动林果畜牧业提质增效</w:t>
      </w:r>
      <w:bookmarkEnd w:id="69"/>
      <w:bookmarkEnd w:id="70"/>
      <w:bookmarkEnd w:id="71"/>
      <w:bookmarkEnd w:id="72"/>
      <w:bookmarkEnd w:id="73"/>
      <w:bookmarkEnd w:id="74"/>
      <w:bookmarkEnd w:id="75"/>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依托林地资源，开展自然教育、森林游憩、林下种植等林下经济业态</w:t>
      </w:r>
      <w:r>
        <w:rPr>
          <w:rFonts w:hint="eastAsia" w:ascii="仿宋_GB2312" w:hAnsi="仿宋_GB2312" w:eastAsia="仿宋_GB2312" w:cs="仿宋_GB2312"/>
          <w:color w:val="auto"/>
          <w:szCs w:val="36"/>
        </w:rPr>
        <w:t>。推进老旧低效果园提质增效，累计完成</w:t>
      </w:r>
      <w:r>
        <w:rPr>
          <w:rFonts w:hint="eastAsia" w:ascii="仿宋_GB2312" w:hAnsi="仿宋_GB2312" w:eastAsia="仿宋_GB2312" w:cs="仿宋_GB2312"/>
          <w:color w:val="auto"/>
        </w:rPr>
        <w:t>3000</w:t>
      </w:r>
      <w:r>
        <w:rPr>
          <w:rFonts w:hint="eastAsia" w:ascii="仿宋_GB2312" w:hAnsi="仿宋_GB2312" w:eastAsia="仿宋_GB2312" w:cs="仿宋_GB2312"/>
          <w:color w:val="auto"/>
          <w:szCs w:val="36"/>
        </w:rPr>
        <w:t>亩。推动规模化牧场改造提升和设施设备更新升级，发展“鱼菜共生”、智慧渔业等生态绿色高效渔业。</w:t>
      </w:r>
      <w:bookmarkEnd w:id="61"/>
      <w:bookmarkStart w:id="76" w:name="_Toc657104871"/>
      <w:bookmarkStart w:id="77" w:name="_Toc890104871"/>
      <w:bookmarkStart w:id="78" w:name="_Toc27051"/>
      <w:bookmarkStart w:id="79" w:name="_Toc1637625289"/>
      <w:bookmarkStart w:id="80" w:name="_Toc1807446913"/>
      <w:bookmarkStart w:id="81" w:name="_Toc26234"/>
      <w:bookmarkStart w:id="82" w:name="_Toc31077"/>
      <w:bookmarkStart w:id="83" w:name="_Toc828"/>
      <w:bookmarkStart w:id="84" w:name="_Toc32402"/>
      <w:bookmarkStart w:id="85" w:name="_Toc762"/>
      <w:bookmarkStart w:id="86" w:name="_Toc25151"/>
      <w:bookmarkStart w:id="87" w:name="_Toc13217"/>
      <w:bookmarkStart w:id="88" w:name="_Toc6995"/>
    </w:p>
    <w:p w14:paraId="549DABE6">
      <w:pPr>
        <w:pStyle w:val="2"/>
        <w:spacing w:line="560" w:lineRule="exact"/>
        <w:ind w:firstLine="643"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5.提高农业防灾减灾救灾能力</w:t>
      </w:r>
      <w:bookmarkEnd w:id="76"/>
      <w:bookmarkEnd w:id="77"/>
      <w:bookmarkEnd w:id="78"/>
      <w:bookmarkEnd w:id="79"/>
      <w:bookmarkEnd w:id="80"/>
      <w:r>
        <w:rPr>
          <w:rFonts w:hint="eastAsia" w:ascii="仿宋_GB2312" w:hAnsi="仿宋_GB2312" w:eastAsia="仿宋_GB2312" w:cs="仿宋_GB2312"/>
          <w:b/>
          <w:bCs/>
          <w:color w:val="auto"/>
          <w:szCs w:val="32"/>
        </w:rPr>
        <w:t>。</w:t>
      </w:r>
      <w:r>
        <w:rPr>
          <w:rFonts w:hint="eastAsia" w:ascii="仿宋_GB2312" w:hAnsi="仿宋_GB2312" w:eastAsia="仿宋_GB2312" w:cs="仿宋_GB2312"/>
          <w:b w:val="0"/>
          <w:bCs w:val="0"/>
          <w:color w:val="auto"/>
          <w:szCs w:val="32"/>
          <w:lang w:eastAsia="zh-CN"/>
        </w:rPr>
        <w:t>实施</w:t>
      </w:r>
      <w:r>
        <w:rPr>
          <w:rFonts w:hint="eastAsia" w:ascii="仿宋_GB2312" w:hAnsi="仿宋_GB2312" w:eastAsia="仿宋_GB2312" w:cs="仿宋_GB2312"/>
          <w:color w:val="auto"/>
          <w:szCs w:val="32"/>
        </w:rPr>
        <w:t>农田水利设施提质升级、老旧农业设施升级改造，提升农业防汛抗旱、抗风雪、防低温等极端天气应对能力。加强农业有害生物监测预警与联防联控，健全重大动植物疫病防控处置机制。强化灾后清洗消毒和无害化处理，严防次生疫情传播。健全灾害监测预报预警和应急值守体系，完善防灾减灾救灾工作网络。</w:t>
      </w:r>
    </w:p>
    <w:p w14:paraId="1D2BE9DC">
      <w:pPr>
        <w:pStyle w:val="2"/>
        <w:spacing w:line="560" w:lineRule="exact"/>
        <w:ind w:firstLine="643" w:firstLineChars="200"/>
        <w:outlineLvl w:val="1"/>
        <w:rPr>
          <w:rFonts w:hint="eastAsia" w:ascii="仿宋_GB2312" w:hAnsi="仿宋_GB2312" w:eastAsia="仿宋_GB2312" w:cs="仿宋_GB2312"/>
          <w:b/>
          <w:color w:val="auto"/>
          <w:szCs w:val="32"/>
        </w:rPr>
      </w:pPr>
      <w:bookmarkStart w:id="89" w:name="_Toc2090414558"/>
      <w:bookmarkStart w:id="90" w:name="_Toc2973"/>
      <w:bookmarkStart w:id="91" w:name="_Toc1859535089"/>
      <w:bookmarkStart w:id="92" w:name="_Toc4123"/>
      <w:bookmarkStart w:id="93" w:name="_Toc657836172"/>
      <w:bookmarkStart w:id="94" w:name="_Toc1765644635"/>
      <w:bookmarkStart w:id="95" w:name="_Toc18192"/>
      <w:bookmarkStart w:id="96" w:name="_Toc1742676455"/>
      <w:r>
        <w:rPr>
          <w:rFonts w:hint="eastAsia" w:ascii="仿宋_GB2312" w:hAnsi="仿宋_GB2312" w:eastAsia="仿宋_GB2312" w:cs="仿宋_GB2312"/>
          <w:b/>
          <w:color w:val="auto"/>
          <w:szCs w:val="32"/>
        </w:rPr>
        <w:t>（二）推进科技创新应用，发展农业新质生产力</w:t>
      </w:r>
      <w:bookmarkEnd w:id="81"/>
      <w:bookmarkEnd w:id="82"/>
      <w:bookmarkEnd w:id="89"/>
      <w:bookmarkEnd w:id="90"/>
      <w:bookmarkEnd w:id="91"/>
      <w:bookmarkEnd w:id="92"/>
      <w:bookmarkEnd w:id="93"/>
      <w:bookmarkEnd w:id="94"/>
      <w:bookmarkEnd w:id="95"/>
      <w:bookmarkEnd w:id="96"/>
      <w:bookmarkStart w:id="97" w:name="_Toc655369456"/>
      <w:bookmarkStart w:id="98" w:name="_Toc578228665"/>
      <w:bookmarkStart w:id="99" w:name="_Toc27767"/>
      <w:bookmarkStart w:id="100" w:name="_Toc97337877"/>
      <w:bookmarkStart w:id="101" w:name="_Toc6397"/>
      <w:bookmarkStart w:id="102" w:name="_Toc10112"/>
      <w:bookmarkStart w:id="103" w:name="_Toc2124454647"/>
    </w:p>
    <w:p w14:paraId="70F24640">
      <w:pPr>
        <w:pStyle w:val="2"/>
        <w:spacing w:line="560" w:lineRule="exact"/>
        <w:ind w:firstLine="643" w:firstLineChars="200"/>
        <w:rPr>
          <w:rFonts w:hint="eastAsia" w:ascii="仿宋_GB2312" w:hAnsi="仿宋_GB2312" w:eastAsia="仿宋_GB2312" w:cs="仿宋_GB2312"/>
          <w:color w:val="auto"/>
          <w:szCs w:val="36"/>
        </w:rPr>
      </w:pPr>
      <w:r>
        <w:rPr>
          <w:rFonts w:hint="eastAsia" w:ascii="仿宋_GB2312" w:hAnsi="仿宋_GB2312" w:eastAsia="仿宋_GB2312" w:cs="仿宋_GB2312"/>
          <w:b/>
          <w:bCs/>
          <w:color w:val="auto"/>
          <w:szCs w:val="32"/>
        </w:rPr>
        <w:t>1.建设现代设施农业</w:t>
      </w:r>
      <w:bookmarkEnd w:id="97"/>
      <w:bookmarkEnd w:id="98"/>
      <w:bookmarkEnd w:id="99"/>
      <w:bookmarkEnd w:id="100"/>
      <w:bookmarkEnd w:id="101"/>
      <w:bookmarkEnd w:id="102"/>
      <w:bookmarkEnd w:id="103"/>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6"/>
        </w:rPr>
        <w:t>重点开展设施农业更新工程，推进植物工厂、连栋温室</w:t>
      </w:r>
      <w:r>
        <w:rPr>
          <w:rFonts w:hint="eastAsia" w:ascii="仿宋_GB2312" w:hAnsi="仿宋_GB2312" w:eastAsia="仿宋_GB2312" w:cs="仿宋_GB2312"/>
          <w:color w:val="auto"/>
          <w:szCs w:val="36"/>
          <w:lang w:val="en-US" w:eastAsia="zh-CN"/>
        </w:rPr>
        <w:t>等设施更新和示范园区建设</w:t>
      </w:r>
      <w:r>
        <w:rPr>
          <w:rFonts w:hint="eastAsia" w:ascii="仿宋_GB2312" w:hAnsi="仿宋_GB2312" w:eastAsia="仿宋_GB2312" w:cs="仿宋_GB2312"/>
          <w:color w:val="auto"/>
          <w:szCs w:val="36"/>
        </w:rPr>
        <w:t>。</w:t>
      </w:r>
      <w:r>
        <w:rPr>
          <w:rFonts w:hint="eastAsia" w:ascii="仿宋_GB2312" w:hAnsi="仿宋_GB2312" w:eastAsia="仿宋_GB2312" w:cs="仿宋_GB2312"/>
          <w:color w:val="auto"/>
          <w:szCs w:val="36"/>
          <w:lang w:val="en-US" w:eastAsia="zh-CN"/>
        </w:rPr>
        <w:t>推广</w:t>
      </w:r>
      <w:r>
        <w:rPr>
          <w:rFonts w:hint="eastAsia" w:ascii="仿宋_GB2312" w:hAnsi="仿宋_GB2312" w:eastAsia="仿宋_GB2312" w:cs="仿宋_GB2312"/>
          <w:color w:val="auto"/>
          <w:szCs w:val="36"/>
        </w:rPr>
        <w:t>精准环境调控、智慧植保、水肥灌溉</w:t>
      </w:r>
      <w:r>
        <w:rPr>
          <w:rFonts w:hint="eastAsia" w:ascii="仿宋_GB2312" w:hAnsi="仿宋_GB2312" w:eastAsia="仿宋_GB2312" w:cs="仿宋_GB2312"/>
          <w:color w:val="auto"/>
          <w:szCs w:val="36"/>
          <w:lang w:val="en-US" w:eastAsia="zh-CN"/>
        </w:rPr>
        <w:t>及</w:t>
      </w:r>
      <w:r>
        <w:rPr>
          <w:rFonts w:hint="eastAsia" w:ascii="仿宋_GB2312" w:hAnsi="仿宋_GB2312" w:eastAsia="仿宋_GB2312" w:cs="仿宋_GB2312"/>
          <w:color w:val="auto"/>
          <w:szCs w:val="36"/>
        </w:rPr>
        <w:t>智能采运</w:t>
      </w:r>
      <w:r>
        <w:rPr>
          <w:rFonts w:hint="eastAsia" w:ascii="仿宋_GB2312" w:hAnsi="仿宋_GB2312" w:eastAsia="仿宋_GB2312" w:cs="仿宋_GB2312"/>
          <w:color w:val="auto"/>
          <w:szCs w:val="36"/>
          <w:lang w:val="en-US" w:eastAsia="zh-CN"/>
        </w:rPr>
        <w:t>等技术和</w:t>
      </w:r>
      <w:r>
        <w:rPr>
          <w:rFonts w:hint="eastAsia" w:ascii="仿宋_GB2312" w:hAnsi="仿宋_GB2312" w:eastAsia="仿宋_GB2312" w:cs="仿宋_GB2312"/>
          <w:color w:val="auto"/>
          <w:szCs w:val="36"/>
        </w:rPr>
        <w:t>装备。支持集约化育苗、智慧畜禽和工厂化水产养殖。</w:t>
      </w:r>
      <w:bookmarkStart w:id="104" w:name="_Toc569246771"/>
      <w:bookmarkStart w:id="105" w:name="_Toc382428506"/>
      <w:bookmarkStart w:id="106" w:name="_Toc19063"/>
      <w:bookmarkStart w:id="107" w:name="_Toc32332"/>
      <w:bookmarkStart w:id="108" w:name="_Toc1570"/>
      <w:bookmarkStart w:id="109" w:name="_Toc1362263351"/>
      <w:bookmarkStart w:id="110" w:name="_Toc527606430"/>
      <w:r>
        <w:rPr>
          <w:rFonts w:hint="eastAsia" w:ascii="仿宋_GB2312" w:hAnsi="仿宋_GB2312" w:eastAsia="仿宋_GB2312" w:cs="仿宋_GB2312"/>
          <w:color w:val="auto"/>
          <w:szCs w:val="36"/>
        </w:rPr>
        <w:t>到</w:t>
      </w:r>
      <w:r>
        <w:rPr>
          <w:rFonts w:hint="eastAsia" w:ascii="仿宋_GB2312" w:hAnsi="仿宋_GB2312" w:eastAsia="仿宋_GB2312" w:cs="仿宋_GB2312"/>
          <w:color w:val="auto"/>
        </w:rPr>
        <w:t>2030</w:t>
      </w:r>
      <w:r>
        <w:rPr>
          <w:rFonts w:hint="eastAsia" w:ascii="仿宋_GB2312" w:hAnsi="仿宋_GB2312" w:eastAsia="仿宋_GB2312" w:cs="仿宋_GB2312"/>
          <w:color w:val="auto"/>
          <w:szCs w:val="36"/>
        </w:rPr>
        <w:t>年实现改造及新建农业设施5000亩。</w:t>
      </w:r>
    </w:p>
    <w:p w14:paraId="294298BB">
      <w:pPr>
        <w:pStyle w:val="2"/>
        <w:spacing w:line="560" w:lineRule="exact"/>
        <w:ind w:firstLine="643" w:firstLineChars="200"/>
        <w:rPr>
          <w:rFonts w:hint="eastAsia" w:ascii="仿宋_GB2312" w:hAnsi="仿宋_GB2312" w:eastAsia="仿宋_GB2312" w:cs="仿宋_GB2312"/>
          <w:color w:val="auto"/>
          <w:szCs w:val="36"/>
        </w:rPr>
      </w:pPr>
      <w:r>
        <w:rPr>
          <w:rFonts w:hint="eastAsia" w:ascii="仿宋_GB2312" w:hAnsi="仿宋_GB2312" w:eastAsia="仿宋_GB2312" w:cs="仿宋_GB2312"/>
          <w:b/>
          <w:bCs/>
          <w:color w:val="auto"/>
          <w:szCs w:val="32"/>
        </w:rPr>
        <w:t>2.大力发展智慧农业</w:t>
      </w:r>
      <w:bookmarkEnd w:id="104"/>
      <w:bookmarkEnd w:id="105"/>
      <w:bookmarkEnd w:id="106"/>
      <w:bookmarkEnd w:id="107"/>
      <w:bookmarkEnd w:id="108"/>
      <w:bookmarkEnd w:id="109"/>
      <w:bookmarkEnd w:id="110"/>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6"/>
        </w:rPr>
        <w:t>实施智慧农业行动计划，系统推进数字技术与平台在农业生产、经营、管理与服务全链条的融合应用。巩固“两高一智”示范区、北京“伏羲农场”等创建成果，打造一批可复制、可推广的技术集成应用场景。建设智慧农田1万亩以上，建成智慧农场不少于</w:t>
      </w:r>
      <w:r>
        <w:rPr>
          <w:rFonts w:hint="eastAsia" w:ascii="仿宋_GB2312" w:hAnsi="仿宋_GB2312" w:eastAsia="仿宋_GB2312" w:cs="仿宋_GB2312"/>
          <w:color w:val="auto"/>
        </w:rPr>
        <w:t>5</w:t>
      </w:r>
      <w:r>
        <w:rPr>
          <w:rFonts w:hint="eastAsia" w:ascii="仿宋_GB2312" w:hAnsi="仿宋_GB2312" w:eastAsia="仿宋_GB2312" w:cs="仿宋_GB2312"/>
          <w:color w:val="auto"/>
          <w:szCs w:val="36"/>
        </w:rPr>
        <w:t>家。</w:t>
      </w:r>
      <w:bookmarkStart w:id="111" w:name="_Toc21055"/>
      <w:bookmarkStart w:id="112" w:name="_Toc1675896569"/>
      <w:bookmarkStart w:id="113" w:name="_Toc1352860984"/>
      <w:bookmarkStart w:id="114" w:name="_Toc13775"/>
      <w:bookmarkStart w:id="115" w:name="_Toc1086337567"/>
      <w:bookmarkStart w:id="116" w:name="_Toc6068"/>
      <w:bookmarkStart w:id="117" w:name="_Toc909805580"/>
    </w:p>
    <w:p w14:paraId="25CD6989">
      <w:pPr>
        <w:pStyle w:val="2"/>
        <w:spacing w:line="560" w:lineRule="exact"/>
        <w:ind w:firstLine="643" w:firstLineChars="200"/>
        <w:rPr>
          <w:rFonts w:hint="eastAsia" w:ascii="仿宋_GB2312" w:hAnsi="仿宋_GB2312" w:eastAsia="仿宋_GB2312" w:cs="仿宋_GB2312"/>
          <w:color w:val="auto"/>
          <w:szCs w:val="36"/>
        </w:rPr>
      </w:pPr>
      <w:r>
        <w:rPr>
          <w:rFonts w:hint="eastAsia" w:ascii="仿宋_GB2312" w:hAnsi="仿宋_GB2312" w:eastAsia="仿宋_GB2312" w:cs="仿宋_GB2312"/>
          <w:b/>
          <w:bCs/>
          <w:color w:val="auto"/>
          <w:szCs w:val="32"/>
        </w:rPr>
        <w:t>3.全面升级农机装备</w:t>
      </w:r>
      <w:bookmarkEnd w:id="111"/>
      <w:bookmarkEnd w:id="112"/>
      <w:bookmarkEnd w:id="113"/>
      <w:bookmarkEnd w:id="114"/>
      <w:bookmarkEnd w:id="115"/>
      <w:bookmarkEnd w:id="116"/>
      <w:bookmarkEnd w:id="117"/>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6"/>
        </w:rPr>
        <w:t>加快智能农机装备在主要粮食作物、设施蔬菜、畜牧水产养殖、农产品加工等领域的推广应用。加大蔬菜机械化精量播种和收获技术装备的推广力度。鼓励新能源农机以及智能精准变量施肥机等高效设备的应用。全区农作物耕种收综合机械化水平达到85%以上。</w:t>
      </w:r>
    </w:p>
    <w:bookmarkEnd w:id="83"/>
    <w:bookmarkEnd w:id="84"/>
    <w:bookmarkEnd w:id="85"/>
    <w:bookmarkEnd w:id="86"/>
    <w:bookmarkEnd w:id="87"/>
    <w:bookmarkEnd w:id="88"/>
    <w:p w14:paraId="625ED196">
      <w:pPr>
        <w:pStyle w:val="2"/>
        <w:spacing w:line="560" w:lineRule="exact"/>
        <w:ind w:firstLine="643" w:firstLineChars="200"/>
        <w:outlineLvl w:val="1"/>
        <w:rPr>
          <w:rFonts w:hint="eastAsia" w:ascii="仿宋_GB2312" w:hAnsi="仿宋_GB2312" w:eastAsia="仿宋_GB2312" w:cs="仿宋_GB2312"/>
          <w:b/>
          <w:color w:val="auto"/>
          <w:szCs w:val="32"/>
        </w:rPr>
      </w:pPr>
      <w:bookmarkStart w:id="118" w:name="_Toc677048859"/>
      <w:bookmarkStart w:id="119" w:name="_Toc5037"/>
      <w:bookmarkStart w:id="120" w:name="_Toc10294"/>
      <w:bookmarkStart w:id="121" w:name="_Toc32638"/>
      <w:bookmarkStart w:id="122" w:name="_Toc1597030877"/>
      <w:bookmarkStart w:id="123" w:name="_Toc1499782668"/>
      <w:bookmarkStart w:id="124" w:name="_Toc17736"/>
      <w:bookmarkStart w:id="125" w:name="_Toc1530613053"/>
      <w:bookmarkStart w:id="126" w:name="_Toc1829882626"/>
      <w:bookmarkStart w:id="127" w:name="_Toc29184"/>
      <w:bookmarkStart w:id="128" w:name="_Toc8812"/>
      <w:bookmarkStart w:id="129" w:name="_Toc7419"/>
      <w:bookmarkStart w:id="130" w:name="_Toc16062"/>
      <w:bookmarkStart w:id="131" w:name="_Toc14910"/>
      <w:bookmarkStart w:id="132" w:name="_Toc31069"/>
      <w:bookmarkStart w:id="133" w:name="_Toc17790"/>
      <w:r>
        <w:rPr>
          <w:rFonts w:hint="eastAsia" w:ascii="仿宋_GB2312" w:hAnsi="仿宋_GB2312" w:eastAsia="仿宋_GB2312" w:cs="仿宋_GB2312"/>
          <w:b/>
          <w:color w:val="auto"/>
          <w:szCs w:val="32"/>
        </w:rPr>
        <w:t>（三）创新种业发展格局，助力种业之都建设</w:t>
      </w:r>
      <w:bookmarkEnd w:id="118"/>
      <w:bookmarkEnd w:id="119"/>
      <w:bookmarkEnd w:id="120"/>
      <w:bookmarkEnd w:id="121"/>
      <w:bookmarkEnd w:id="122"/>
      <w:bookmarkEnd w:id="123"/>
      <w:bookmarkEnd w:id="124"/>
      <w:bookmarkEnd w:id="125"/>
      <w:bookmarkEnd w:id="126"/>
      <w:bookmarkEnd w:id="127"/>
      <w:bookmarkStart w:id="134" w:name="_Toc6817"/>
      <w:bookmarkStart w:id="135" w:name="_Toc912177186"/>
      <w:bookmarkStart w:id="136" w:name="_Toc4597"/>
      <w:bookmarkStart w:id="137" w:name="_Toc777147465"/>
      <w:bookmarkStart w:id="138" w:name="_Toc1598915459"/>
      <w:bookmarkStart w:id="139" w:name="_Toc27690"/>
      <w:bookmarkStart w:id="140" w:name="_Toc876343367"/>
    </w:p>
    <w:p w14:paraId="3727D2AA">
      <w:pPr>
        <w:pStyle w:val="2"/>
        <w:spacing w:line="560" w:lineRule="exact"/>
        <w:ind w:firstLine="643" w:firstLineChars="200"/>
        <w:rPr>
          <w:rFonts w:hint="eastAsia" w:ascii="仿宋_GB2312" w:hAnsi="仿宋_GB2312" w:eastAsia="仿宋_GB2312" w:cs="仿宋_GB2312"/>
          <w:bCs/>
          <w:color w:val="auto"/>
          <w:szCs w:val="32"/>
        </w:rPr>
      </w:pPr>
      <w:r>
        <w:rPr>
          <w:rFonts w:hint="eastAsia" w:ascii="仿宋_GB2312" w:hAnsi="仿宋_GB2312" w:eastAsia="仿宋_GB2312" w:cs="仿宋_GB2312"/>
          <w:b/>
          <w:bCs/>
          <w:color w:val="auto"/>
          <w:szCs w:val="32"/>
        </w:rPr>
        <w:t>1.高标准谋划种业园区发展</w:t>
      </w:r>
      <w:bookmarkEnd w:id="134"/>
      <w:bookmarkEnd w:id="135"/>
      <w:bookmarkEnd w:id="136"/>
      <w:bookmarkEnd w:id="137"/>
      <w:bookmarkEnd w:id="138"/>
      <w:bookmarkEnd w:id="139"/>
      <w:bookmarkEnd w:id="140"/>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落地实施种业园区规划，</w:t>
      </w:r>
      <w:r>
        <w:rPr>
          <w:rFonts w:hint="eastAsia" w:ascii="仿宋_GB2312" w:hAnsi="仿宋_GB2312" w:eastAsia="仿宋_GB2312" w:cs="仿宋_GB2312"/>
          <w:bCs/>
          <w:color w:val="auto"/>
          <w:szCs w:val="32"/>
        </w:rPr>
        <w:t>构建“一链双核，多区万田”的种业产业空间布局，推进创新研发、试验展示、存储交易、农旅融合、综合配套等全产业链协同发展，建设国际知名种业科技园区。</w:t>
      </w:r>
      <w:bookmarkStart w:id="141" w:name="_Toc25436"/>
      <w:bookmarkStart w:id="142" w:name="_Toc1933713975"/>
      <w:bookmarkStart w:id="143" w:name="_Toc1301149569"/>
      <w:bookmarkStart w:id="144" w:name="_Toc20970"/>
      <w:bookmarkStart w:id="145" w:name="_Toc14816"/>
      <w:bookmarkStart w:id="146" w:name="_Toc50885165"/>
      <w:bookmarkStart w:id="147" w:name="_Toc85340956"/>
    </w:p>
    <w:p w14:paraId="1E556BF0">
      <w:pPr>
        <w:pStyle w:val="2"/>
        <w:spacing w:line="560" w:lineRule="exact"/>
        <w:ind w:firstLine="643" w:firstLineChars="200"/>
        <w:rPr>
          <w:rFonts w:hint="eastAsia" w:ascii="仿宋_GB2312" w:hAnsi="仿宋_GB2312" w:eastAsia="仿宋_GB2312" w:cs="仿宋_GB2312"/>
          <w:bCs/>
          <w:color w:val="auto"/>
          <w:szCs w:val="32"/>
        </w:rPr>
      </w:pPr>
      <w:r>
        <w:rPr>
          <w:rFonts w:hint="eastAsia" w:ascii="仿宋_GB2312" w:hAnsi="仿宋_GB2312" w:eastAsia="仿宋_GB2312" w:cs="仿宋_GB2312"/>
          <w:b/>
          <w:bCs/>
          <w:color w:val="auto"/>
          <w:szCs w:val="32"/>
        </w:rPr>
        <w:t>2.完善农业中关村创新生态</w:t>
      </w:r>
      <w:bookmarkEnd w:id="141"/>
      <w:bookmarkEnd w:id="142"/>
      <w:bookmarkEnd w:id="143"/>
      <w:bookmarkEnd w:id="144"/>
      <w:bookmarkEnd w:id="145"/>
      <w:bookmarkEnd w:id="146"/>
      <w:bookmarkEnd w:id="147"/>
      <w:r>
        <w:rPr>
          <w:rFonts w:hint="eastAsia" w:ascii="仿宋_GB2312" w:hAnsi="仿宋_GB2312" w:eastAsia="仿宋_GB2312" w:cs="仿宋_GB2312"/>
          <w:b/>
          <w:bCs/>
          <w:color w:val="auto"/>
          <w:szCs w:val="32"/>
        </w:rPr>
        <w:t>。</w:t>
      </w:r>
      <w:r>
        <w:rPr>
          <w:rFonts w:hint="eastAsia" w:ascii="仿宋_GB2312" w:hAnsi="仿宋_GB2312" w:eastAsia="仿宋_GB2312" w:cs="仿宋_GB2312"/>
          <w:bCs/>
          <w:color w:val="auto"/>
          <w:szCs w:val="32"/>
        </w:rPr>
        <w:t>争取国家级重点实验室</w:t>
      </w:r>
      <w:r>
        <w:rPr>
          <w:rFonts w:hint="eastAsia" w:ascii="仿宋_GB2312" w:hAnsi="仿宋_GB2312" w:eastAsia="仿宋_GB2312" w:cs="仿宋_GB2312"/>
          <w:bCs/>
          <w:color w:val="auto"/>
          <w:szCs w:val="32"/>
          <w:lang w:eastAsia="zh-CN"/>
        </w:rPr>
        <w:t>建设，</w:t>
      </w:r>
      <w:r>
        <w:rPr>
          <w:rFonts w:hint="eastAsia" w:ascii="仿宋_GB2312" w:hAnsi="仿宋_GB2312" w:eastAsia="仿宋_GB2312" w:cs="仿宋_GB2312"/>
          <w:bCs/>
          <w:color w:val="auto"/>
          <w:szCs w:val="32"/>
        </w:rPr>
        <w:t>加快推进农业种质资源区试样品库和表型组综合平台等重大科技基础设施建设，开展分子育种、基因编辑、人工智能选育等前沿技术攻关。累计培育新品种</w:t>
      </w:r>
      <w:r>
        <w:rPr>
          <w:rFonts w:hint="eastAsia" w:ascii="仿宋_GB2312" w:hAnsi="仿宋_GB2312" w:eastAsia="仿宋_GB2312" w:cs="仿宋_GB2312"/>
          <w:color w:val="auto"/>
        </w:rPr>
        <w:t>1000</w:t>
      </w:r>
      <w:r>
        <w:rPr>
          <w:rFonts w:hint="eastAsia" w:ascii="仿宋_GB2312" w:hAnsi="仿宋_GB2312" w:eastAsia="仿宋_GB2312" w:cs="仿宋_GB2312"/>
          <w:bCs/>
          <w:color w:val="auto"/>
          <w:szCs w:val="32"/>
        </w:rPr>
        <w:t>个</w:t>
      </w:r>
      <w:bookmarkStart w:id="148" w:name="_Toc185838657"/>
      <w:bookmarkStart w:id="149" w:name="_Toc704"/>
      <w:bookmarkStart w:id="150" w:name="_Toc1174008459"/>
      <w:bookmarkStart w:id="151" w:name="_Toc6713"/>
      <w:bookmarkStart w:id="152" w:name="_Toc358808353"/>
      <w:bookmarkStart w:id="153" w:name="_Toc17879"/>
      <w:bookmarkStart w:id="154" w:name="_Toc165658726"/>
      <w:r>
        <w:rPr>
          <w:rFonts w:hint="eastAsia" w:ascii="仿宋_GB2312" w:hAnsi="仿宋_GB2312" w:eastAsia="仿宋_GB2312" w:cs="仿宋_GB2312"/>
          <w:bCs/>
          <w:color w:val="auto"/>
          <w:szCs w:val="32"/>
        </w:rPr>
        <w:t>。</w:t>
      </w:r>
    </w:p>
    <w:p w14:paraId="5EE9BC20">
      <w:pPr>
        <w:pStyle w:val="2"/>
        <w:spacing w:line="560" w:lineRule="exact"/>
        <w:ind w:firstLine="643" w:firstLineChars="200"/>
        <w:rPr>
          <w:rFonts w:hint="eastAsia" w:ascii="仿宋_GB2312" w:hAnsi="仿宋_GB2312" w:eastAsia="仿宋_GB2312" w:cs="仿宋_GB2312"/>
          <w:bCs/>
          <w:color w:val="auto"/>
          <w:szCs w:val="32"/>
        </w:rPr>
      </w:pPr>
      <w:r>
        <w:rPr>
          <w:rFonts w:hint="eastAsia" w:ascii="仿宋_GB2312" w:hAnsi="仿宋_GB2312" w:eastAsia="仿宋_GB2312" w:cs="仿宋_GB2312"/>
          <w:b/>
          <w:bCs/>
          <w:color w:val="auto"/>
          <w:szCs w:val="32"/>
        </w:rPr>
        <w:t>3.促进成果转化与产业孵化</w:t>
      </w:r>
      <w:bookmarkEnd w:id="148"/>
      <w:bookmarkEnd w:id="149"/>
      <w:bookmarkEnd w:id="150"/>
      <w:bookmarkEnd w:id="151"/>
      <w:bookmarkEnd w:id="152"/>
      <w:bookmarkEnd w:id="153"/>
      <w:bookmarkEnd w:id="154"/>
      <w:r>
        <w:rPr>
          <w:rFonts w:hint="eastAsia" w:ascii="仿宋_GB2312" w:hAnsi="仿宋_GB2312" w:eastAsia="仿宋_GB2312" w:cs="仿宋_GB2312"/>
          <w:b/>
          <w:bCs/>
          <w:color w:val="auto"/>
          <w:szCs w:val="32"/>
        </w:rPr>
        <w:t>。</w:t>
      </w:r>
      <w:r>
        <w:rPr>
          <w:rFonts w:hint="eastAsia" w:ascii="仿宋_GB2312" w:hAnsi="仿宋_GB2312" w:eastAsia="仿宋_GB2312" w:cs="仿宋_GB2312"/>
          <w:b w:val="0"/>
          <w:bCs w:val="0"/>
          <w:color w:val="auto"/>
          <w:szCs w:val="32"/>
          <w:lang w:eastAsia="zh-CN"/>
        </w:rPr>
        <w:t>强化</w:t>
      </w:r>
      <w:r>
        <w:rPr>
          <w:rFonts w:hint="eastAsia" w:ascii="仿宋_GB2312" w:hAnsi="仿宋_GB2312" w:eastAsia="仿宋_GB2312" w:cs="仿宋_GB2312"/>
          <w:b w:val="0"/>
          <w:bCs w:val="0"/>
          <w:color w:val="auto"/>
          <w:szCs w:val="32"/>
          <w:lang w:eastAsia="zh-CN"/>
        </w:rPr>
        <w:t>全产业链一体化发展</w:t>
      </w:r>
      <w:r>
        <w:rPr>
          <w:rFonts w:hint="eastAsia" w:ascii="仿宋_GB2312" w:hAnsi="仿宋_GB2312" w:eastAsia="仿宋_GB2312" w:cs="仿宋_GB2312"/>
          <w:color w:val="auto"/>
          <w:szCs w:val="32"/>
          <w:shd w:val="clear" w:color="auto" w:fill="FFFFFF"/>
        </w:rPr>
        <w:t>，持续完善企业孵化空间、双创服务平台和</w:t>
      </w:r>
      <w:r>
        <w:rPr>
          <w:rFonts w:hint="eastAsia" w:ascii="仿宋_GB2312" w:hAnsi="仿宋_GB2312" w:eastAsia="仿宋_GB2312" w:cs="仿宋_GB2312"/>
          <w:bCs/>
          <w:color w:val="auto"/>
          <w:szCs w:val="32"/>
        </w:rPr>
        <w:t>品种权交易市场</w:t>
      </w:r>
      <w:r>
        <w:rPr>
          <w:rFonts w:hint="eastAsia" w:ascii="仿宋_GB2312" w:hAnsi="仿宋_GB2312" w:eastAsia="仿宋_GB2312" w:cs="仿宋_GB2312"/>
          <w:color w:val="auto"/>
          <w:szCs w:val="32"/>
          <w:shd w:val="clear" w:color="auto" w:fill="FFFFFF"/>
        </w:rPr>
        <w:t>，</w:t>
      </w:r>
      <w:r>
        <w:rPr>
          <w:rFonts w:hint="eastAsia" w:ascii="仿宋_GB2312" w:hAnsi="仿宋_GB2312" w:eastAsia="仿宋_GB2312" w:cs="仿宋_GB2312"/>
          <w:bCs/>
          <w:color w:val="auto"/>
          <w:szCs w:val="32"/>
        </w:rPr>
        <w:t>支持企业</w:t>
      </w:r>
      <w:r>
        <w:rPr>
          <w:rFonts w:hint="eastAsia" w:ascii="仿宋_GB2312" w:hAnsi="仿宋_GB2312" w:eastAsia="仿宋_GB2312" w:cs="仿宋_GB2312"/>
          <w:bCs/>
          <w:color w:val="auto"/>
          <w:szCs w:val="32"/>
          <w:lang w:eastAsia="zh-CN"/>
        </w:rPr>
        <w:t>打造</w:t>
      </w:r>
      <w:r>
        <w:rPr>
          <w:rFonts w:hint="eastAsia" w:ascii="仿宋_GB2312" w:hAnsi="仿宋_GB2312" w:eastAsia="仿宋_GB2312" w:cs="仿宋_GB2312"/>
          <w:bCs/>
          <w:color w:val="auto"/>
          <w:szCs w:val="32"/>
        </w:rPr>
        <w:t>“育繁推一体化”“产供销一体化”发展模式。种业产业集群总产值达到十亿级，种业相关企业达到80家。</w:t>
      </w:r>
      <w:bookmarkStart w:id="155" w:name="_Toc964407306"/>
      <w:bookmarkStart w:id="156" w:name="_Toc10257"/>
      <w:bookmarkStart w:id="157" w:name="_Toc1241763599"/>
      <w:bookmarkStart w:id="158" w:name="_Toc12724"/>
      <w:bookmarkStart w:id="159" w:name="_Toc2695"/>
      <w:bookmarkStart w:id="160" w:name="_Toc652690726"/>
      <w:bookmarkStart w:id="161" w:name="_Toc1278568570"/>
    </w:p>
    <w:p w14:paraId="1F871AE9">
      <w:pPr>
        <w:pStyle w:val="2"/>
        <w:spacing w:line="560" w:lineRule="exact"/>
        <w:ind w:firstLine="643" w:firstLineChars="200"/>
        <w:rPr>
          <w:rFonts w:hint="eastAsia" w:ascii="仿宋_GB2312" w:hAnsi="仿宋_GB2312" w:eastAsia="仿宋_GB2312" w:cs="仿宋_GB2312"/>
          <w:bCs/>
          <w:color w:val="auto"/>
          <w:szCs w:val="32"/>
          <w:highlight w:val="yellow"/>
        </w:rPr>
      </w:pPr>
      <w:r>
        <w:rPr>
          <w:rFonts w:hint="eastAsia" w:ascii="仿宋_GB2312" w:hAnsi="仿宋_GB2312" w:eastAsia="仿宋_GB2312" w:cs="仿宋_GB2312"/>
          <w:b/>
          <w:bCs/>
          <w:color w:val="auto"/>
          <w:szCs w:val="32"/>
        </w:rPr>
        <w:t>4.打造国际种业交流合作平台</w:t>
      </w:r>
      <w:bookmarkEnd w:id="155"/>
      <w:bookmarkEnd w:id="156"/>
      <w:bookmarkEnd w:id="157"/>
      <w:bookmarkEnd w:id="158"/>
      <w:bookmarkEnd w:id="159"/>
      <w:bookmarkEnd w:id="160"/>
      <w:bookmarkEnd w:id="161"/>
      <w:r>
        <w:rPr>
          <w:rFonts w:hint="eastAsia" w:ascii="仿宋_GB2312" w:hAnsi="仿宋_GB2312" w:eastAsia="仿宋_GB2312" w:cs="仿宋_GB2312"/>
          <w:b/>
          <w:bCs/>
          <w:color w:val="auto"/>
          <w:szCs w:val="32"/>
        </w:rPr>
        <w:t>。</w:t>
      </w:r>
      <w:r>
        <w:rPr>
          <w:rFonts w:hint="eastAsia" w:ascii="仿宋_GB2312" w:hAnsi="仿宋_GB2312" w:eastAsia="仿宋_GB2312" w:cs="仿宋_GB2312"/>
          <w:bCs/>
          <w:color w:val="auto"/>
          <w:szCs w:val="32"/>
        </w:rPr>
        <w:t>搭建具有国际影响力的种业</w:t>
      </w:r>
      <w:r>
        <w:rPr>
          <w:rFonts w:hint="eastAsia" w:ascii="仿宋_GB2312" w:hAnsi="仿宋_GB2312" w:eastAsia="仿宋_GB2312" w:cs="仿宋_GB2312"/>
          <w:bCs/>
          <w:color w:val="auto"/>
          <w:szCs w:val="32"/>
          <w:lang w:val="en-US" w:eastAsia="zh-CN"/>
        </w:rPr>
        <w:t>合作、</w:t>
      </w:r>
      <w:r>
        <w:rPr>
          <w:rFonts w:hint="eastAsia" w:ascii="仿宋_GB2312" w:hAnsi="仿宋_GB2312" w:eastAsia="仿宋_GB2312" w:cs="仿宋_GB2312"/>
          <w:bCs/>
          <w:color w:val="auto"/>
          <w:szCs w:val="32"/>
        </w:rPr>
        <w:t>交易与交流平台，</w:t>
      </w:r>
      <w:r>
        <w:rPr>
          <w:rFonts w:hint="eastAsia" w:ascii="仿宋_GB2312" w:hAnsi="仿宋_GB2312" w:eastAsia="仿宋_GB2312" w:cs="仿宋_GB2312"/>
          <w:bCs/>
          <w:color w:val="auto"/>
          <w:szCs w:val="32"/>
        </w:rPr>
        <w:t>支持企业“走出去”开展国际交流合作</w:t>
      </w:r>
      <w:r>
        <w:rPr>
          <w:rFonts w:hint="eastAsia" w:ascii="仿宋_GB2312" w:hAnsi="仿宋_GB2312" w:eastAsia="仿宋_GB2312" w:cs="仿宋_GB2312"/>
          <w:bCs/>
          <w:color w:val="auto"/>
          <w:szCs w:val="32"/>
        </w:rPr>
        <w:t>，巩固提升城市副中心在现代种业领域的创新引领地位。</w:t>
      </w:r>
    </w:p>
    <w:p w14:paraId="4986FA0E">
      <w:pPr>
        <w:pStyle w:val="2"/>
        <w:spacing w:line="560" w:lineRule="exact"/>
        <w:ind w:firstLine="643" w:firstLineChars="200"/>
        <w:outlineLvl w:val="1"/>
        <w:rPr>
          <w:rFonts w:hint="eastAsia" w:ascii="仿宋_GB2312" w:hAnsi="仿宋_GB2312" w:eastAsia="仿宋_GB2312" w:cs="仿宋_GB2312"/>
          <w:b/>
          <w:color w:val="auto"/>
          <w:szCs w:val="32"/>
        </w:rPr>
      </w:pPr>
      <w:bookmarkStart w:id="162" w:name="_Toc16189"/>
      <w:bookmarkStart w:id="163" w:name="_Toc8880"/>
      <w:bookmarkStart w:id="164" w:name="_Toc25936"/>
      <w:bookmarkStart w:id="165" w:name="_Toc29922"/>
      <w:bookmarkStart w:id="166" w:name="_Toc2014953446"/>
      <w:bookmarkStart w:id="167" w:name="_Toc4401"/>
      <w:bookmarkStart w:id="168" w:name="_Toc560269043"/>
      <w:bookmarkStart w:id="169" w:name="_Toc384820814"/>
      <w:bookmarkStart w:id="170" w:name="_Toc130853216"/>
      <w:bookmarkStart w:id="171" w:name="_Toc44773267"/>
      <w:r>
        <w:rPr>
          <w:rFonts w:hint="eastAsia" w:ascii="仿宋_GB2312" w:hAnsi="仿宋_GB2312" w:eastAsia="仿宋_GB2312" w:cs="仿宋_GB2312"/>
          <w:b/>
          <w:color w:val="auto"/>
          <w:szCs w:val="32"/>
        </w:rPr>
        <w:t>（四）深化产业融合发展，</w:t>
      </w:r>
      <w:bookmarkEnd w:id="162"/>
      <w:bookmarkEnd w:id="163"/>
      <w:bookmarkEnd w:id="164"/>
      <w:r>
        <w:rPr>
          <w:rFonts w:hint="eastAsia" w:ascii="仿宋_GB2312" w:hAnsi="仿宋_GB2312" w:eastAsia="仿宋_GB2312" w:cs="仿宋_GB2312"/>
          <w:b/>
          <w:color w:val="auto"/>
          <w:szCs w:val="32"/>
        </w:rPr>
        <w:t>释放延链增值潜力</w:t>
      </w:r>
      <w:bookmarkEnd w:id="165"/>
      <w:bookmarkEnd w:id="166"/>
      <w:bookmarkEnd w:id="167"/>
      <w:bookmarkEnd w:id="168"/>
      <w:bookmarkEnd w:id="169"/>
      <w:bookmarkEnd w:id="170"/>
      <w:bookmarkEnd w:id="171"/>
      <w:bookmarkStart w:id="172" w:name="_Toc265569073"/>
      <w:bookmarkStart w:id="173" w:name="_Toc1521863373"/>
      <w:bookmarkStart w:id="174" w:name="_Toc793887105"/>
      <w:bookmarkStart w:id="175" w:name="_Toc1961"/>
      <w:bookmarkStart w:id="176" w:name="_Toc1289201485"/>
    </w:p>
    <w:p w14:paraId="07CD449D">
      <w:pPr>
        <w:pStyle w:val="2"/>
        <w:spacing w:line="560" w:lineRule="exact"/>
        <w:ind w:firstLine="643"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1.促进</w:t>
      </w:r>
      <w:bookmarkEnd w:id="172"/>
      <w:bookmarkEnd w:id="173"/>
      <w:bookmarkEnd w:id="174"/>
      <w:bookmarkEnd w:id="175"/>
      <w:bookmarkEnd w:id="176"/>
      <w:r>
        <w:rPr>
          <w:rFonts w:hint="eastAsia" w:ascii="仿宋_GB2312" w:hAnsi="仿宋_GB2312" w:eastAsia="仿宋_GB2312" w:cs="仿宋_GB2312"/>
          <w:b/>
          <w:bCs/>
          <w:color w:val="auto"/>
          <w:szCs w:val="32"/>
          <w:lang w:eastAsia="zh-CN"/>
        </w:rPr>
        <w:t>农产品精深加工</w:t>
      </w:r>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建设蔬菜保鲜、贮藏、分级和包装等商品化处理设施及净菜加工中心，积极发展休闲食品、功能食品、方便食品、航天食品等农产品精深加工。</w:t>
      </w:r>
      <w:r>
        <w:rPr>
          <w:rFonts w:hint="eastAsia" w:ascii="仿宋_GB2312" w:hAnsi="仿宋_GB2312" w:eastAsia="仿宋_GB2312" w:cs="仿宋_GB2312"/>
          <w:color w:val="auto"/>
          <w:szCs w:val="32"/>
          <w:lang w:val="en-US" w:eastAsia="zh-CN"/>
        </w:rPr>
        <w:t>累计</w:t>
      </w:r>
      <w:r>
        <w:rPr>
          <w:rFonts w:hint="eastAsia" w:ascii="仿宋_GB2312" w:hAnsi="仿宋_GB2312" w:eastAsia="仿宋_GB2312" w:cs="仿宋_GB2312"/>
          <w:color w:val="auto"/>
          <w:szCs w:val="32"/>
        </w:rPr>
        <w:t>新增实施农产品加工项目不少于</w:t>
      </w:r>
      <w:r>
        <w:rPr>
          <w:rFonts w:hint="eastAsia" w:ascii="仿宋_GB2312" w:hAnsi="仿宋_GB2312" w:eastAsia="仿宋_GB2312" w:cs="仿宋_GB2312"/>
          <w:color w:val="auto"/>
        </w:rPr>
        <w:t>10</w:t>
      </w:r>
      <w:r>
        <w:rPr>
          <w:rFonts w:hint="eastAsia" w:ascii="仿宋_GB2312" w:hAnsi="仿宋_GB2312" w:eastAsia="仿宋_GB2312" w:cs="仿宋_GB2312"/>
          <w:color w:val="auto"/>
          <w:szCs w:val="32"/>
        </w:rPr>
        <w:t>个。</w:t>
      </w:r>
      <w:bookmarkStart w:id="177" w:name="_Toc168724971"/>
      <w:bookmarkStart w:id="178" w:name="_Toc1762677478"/>
      <w:bookmarkStart w:id="179" w:name="_Toc1509523096"/>
      <w:bookmarkStart w:id="180" w:name="_Toc957281368"/>
      <w:bookmarkStart w:id="181" w:name="_Toc23694"/>
      <w:bookmarkStart w:id="182" w:name="_Toc14483"/>
      <w:bookmarkStart w:id="183" w:name="_Toc1590"/>
    </w:p>
    <w:p w14:paraId="12D09AF6">
      <w:pPr>
        <w:pStyle w:val="2"/>
        <w:spacing w:line="560" w:lineRule="exact"/>
        <w:ind w:firstLine="643" w:firstLineChars="200"/>
        <w:rPr>
          <w:rFonts w:hint="eastAsia" w:ascii="仿宋_GB2312" w:hAnsi="仿宋_GB2312" w:eastAsia="仿宋_GB2312" w:cs="仿宋_GB2312"/>
          <w:szCs w:val="32"/>
          <w:lang w:eastAsia="zh-CN"/>
        </w:rPr>
      </w:pPr>
      <w:r>
        <w:rPr>
          <w:rFonts w:hint="eastAsia" w:ascii="仿宋_GB2312" w:hAnsi="仿宋_GB2312" w:eastAsia="仿宋_GB2312" w:cs="仿宋_GB2312"/>
          <w:b/>
          <w:bCs/>
          <w:szCs w:val="32"/>
        </w:rPr>
        <w:t>2.推进产业规模化发展</w:t>
      </w:r>
      <w:bookmarkEnd w:id="177"/>
      <w:bookmarkEnd w:id="178"/>
      <w:bookmarkEnd w:id="179"/>
      <w:bookmarkEnd w:id="180"/>
      <w:bookmarkEnd w:id="181"/>
      <w:bookmarkEnd w:id="182"/>
      <w:bookmarkEnd w:id="183"/>
      <w:r>
        <w:rPr>
          <w:rFonts w:hint="eastAsia" w:ascii="仿宋_GB2312" w:hAnsi="仿宋_GB2312" w:eastAsia="仿宋_GB2312" w:cs="仿宋_GB2312"/>
          <w:b/>
          <w:bCs/>
          <w:szCs w:val="32"/>
        </w:rPr>
        <w:t>。</w:t>
      </w:r>
      <w:r>
        <w:rPr>
          <w:rFonts w:hint="eastAsia" w:ascii="仿宋_GB2312" w:hAnsi="仿宋_GB2312" w:eastAsia="仿宋_GB2312" w:cs="仿宋_GB2312"/>
          <w:szCs w:val="32"/>
        </w:rPr>
        <w:t>做大做强蔬菜、奶牛等产业集群，因地制宜打造漷县设施蔬菜产业强镇和乡村特色产业集聚区，巩固提升“通州区国家农业产业园”等现代农业产业园建设成效，力争创建国家农业现代化示范区。</w:t>
      </w:r>
      <w:bookmarkStart w:id="184" w:name="_Toc23173"/>
      <w:bookmarkStart w:id="185" w:name="_Toc1691112083"/>
      <w:bookmarkStart w:id="186" w:name="_Toc1571101233"/>
      <w:bookmarkStart w:id="187" w:name="_Toc28127"/>
      <w:bookmarkStart w:id="188" w:name="_Toc1990521334"/>
      <w:bookmarkStart w:id="189" w:name="_Toc1086223564"/>
      <w:bookmarkStart w:id="190" w:name="_Toc12490"/>
    </w:p>
    <w:p w14:paraId="2C6A0A42">
      <w:pPr>
        <w:pStyle w:val="2"/>
        <w:spacing w:line="560" w:lineRule="exact"/>
        <w:ind w:firstLine="643" w:firstLineChars="200"/>
        <w:rPr>
          <w:rFonts w:hint="eastAsia" w:ascii="仿宋_GB2312" w:hAnsi="仿宋_GB2312" w:eastAsia="仿宋_GB2312" w:cs="仿宋_GB2312"/>
          <w:bCs/>
          <w:color w:val="auto"/>
          <w:szCs w:val="32"/>
        </w:rPr>
      </w:pPr>
      <w:r>
        <w:rPr>
          <w:rFonts w:hint="eastAsia" w:ascii="仿宋_GB2312" w:hAnsi="仿宋_GB2312" w:eastAsia="仿宋_GB2312" w:cs="仿宋_GB2312"/>
          <w:b/>
          <w:bCs/>
          <w:color w:val="auto"/>
          <w:szCs w:val="32"/>
        </w:rPr>
        <w:t>3.深化农文旅融合发展</w:t>
      </w:r>
      <w:bookmarkEnd w:id="184"/>
      <w:bookmarkEnd w:id="185"/>
      <w:bookmarkEnd w:id="186"/>
      <w:bookmarkEnd w:id="187"/>
      <w:bookmarkEnd w:id="188"/>
      <w:bookmarkEnd w:id="189"/>
      <w:bookmarkEnd w:id="190"/>
      <w:r>
        <w:rPr>
          <w:rFonts w:hint="eastAsia" w:ascii="仿宋_GB2312" w:hAnsi="仿宋_GB2312" w:eastAsia="仿宋_GB2312" w:cs="仿宋_GB2312"/>
          <w:b/>
          <w:bCs/>
          <w:color w:val="auto"/>
          <w:szCs w:val="32"/>
        </w:rPr>
        <w:t>。</w:t>
      </w:r>
      <w:r>
        <w:rPr>
          <w:rFonts w:hint="eastAsia" w:ascii="仿宋_GB2312" w:hAnsi="仿宋_GB2312" w:eastAsia="仿宋_GB2312" w:cs="仿宋_GB2312"/>
          <w:bCs/>
          <w:color w:val="auto"/>
          <w:szCs w:val="32"/>
        </w:rPr>
        <w:t>统筹推进台湖“环影宿游”、西集“樱游运河”、宋庄“艺术创意田园”等</w:t>
      </w:r>
      <w:r>
        <w:rPr>
          <w:rFonts w:hint="eastAsia" w:ascii="仿宋_GB2312" w:hAnsi="仿宋_GB2312" w:eastAsia="仿宋_GB2312" w:cs="仿宋_GB2312"/>
          <w:bCs/>
          <w:color w:val="auto"/>
          <w:szCs w:val="32"/>
          <w:lang w:val="en-US" w:eastAsia="zh-CN"/>
        </w:rPr>
        <w:t>乡村旅游</w:t>
      </w:r>
      <w:r>
        <w:rPr>
          <w:rFonts w:hint="eastAsia" w:ascii="仿宋_GB2312" w:hAnsi="仿宋_GB2312" w:eastAsia="仿宋_GB2312" w:cs="仿宋_GB2312"/>
          <w:bCs/>
          <w:color w:val="auto"/>
          <w:szCs w:val="32"/>
        </w:rPr>
        <w:t>重点片区建设。</w:t>
      </w:r>
      <w:r>
        <w:rPr>
          <w:rFonts w:hint="eastAsia" w:ascii="仿宋_GB2312" w:hAnsi="仿宋_GB2312" w:eastAsia="仿宋_GB2312" w:cs="仿宋_GB2312"/>
          <w:bCs/>
          <w:color w:val="auto"/>
          <w:szCs w:val="32"/>
          <w:lang w:val="en-US" w:eastAsia="zh-CN"/>
        </w:rPr>
        <w:t>挖掘</w:t>
      </w:r>
      <w:r>
        <w:rPr>
          <w:rFonts w:hint="eastAsia" w:ascii="仿宋_GB2312" w:hAnsi="仿宋_GB2312" w:eastAsia="仿宋_GB2312" w:cs="仿宋_GB2312"/>
          <w:bCs/>
          <w:color w:val="auto"/>
          <w:szCs w:val="32"/>
        </w:rPr>
        <w:t>潞城、张家湾、于家务、马驹桥、漷县、永乐店等</w:t>
      </w:r>
      <w:r>
        <w:rPr>
          <w:rFonts w:hint="eastAsia" w:ascii="仿宋_GB2312" w:hAnsi="仿宋_GB2312" w:eastAsia="仿宋_GB2312" w:cs="仿宋_GB2312"/>
          <w:bCs/>
          <w:color w:val="auto"/>
          <w:szCs w:val="32"/>
          <w:lang w:val="en-US" w:eastAsia="zh-CN"/>
        </w:rPr>
        <w:t>乡镇农文旅融合发展潜力。</w:t>
      </w:r>
      <w:r>
        <w:rPr>
          <w:rFonts w:hint="eastAsia" w:ascii="仿宋_GB2312" w:hAnsi="仿宋_GB2312" w:eastAsia="仿宋_GB2312" w:cs="仿宋_GB2312"/>
          <w:bCs/>
          <w:color w:val="auto"/>
          <w:szCs w:val="32"/>
        </w:rPr>
        <w:t>开展“百园百线”提升行动，</w:t>
      </w:r>
      <w:r>
        <w:rPr>
          <w:rFonts w:hint="eastAsia" w:ascii="仿宋_GB2312" w:hAnsi="仿宋_GB2312" w:eastAsia="仿宋_GB2312" w:cs="仿宋_GB2312"/>
          <w:bCs/>
          <w:color w:val="auto"/>
          <w:szCs w:val="36"/>
          <w:lang w:val="en-US" w:eastAsia="zh-CN"/>
        </w:rPr>
        <w:t>培育</w:t>
      </w:r>
      <w:r>
        <w:rPr>
          <w:rFonts w:hint="eastAsia" w:ascii="仿宋_GB2312" w:hAnsi="仿宋_GB2312" w:eastAsia="仿宋_GB2312" w:cs="仿宋_GB2312"/>
          <w:bCs/>
          <w:color w:val="auto"/>
          <w:szCs w:val="36"/>
        </w:rPr>
        <w:t>休闲农业精品园区</w:t>
      </w:r>
      <w:r>
        <w:rPr>
          <w:rFonts w:hint="eastAsia" w:ascii="仿宋_GB2312" w:hAnsi="仿宋_GB2312" w:eastAsia="仿宋_GB2312" w:cs="仿宋_GB2312"/>
          <w:bCs/>
          <w:color w:val="auto"/>
          <w:szCs w:val="36"/>
          <w:lang w:eastAsia="zh-CN"/>
        </w:rPr>
        <w:t>和</w:t>
      </w:r>
      <w:r>
        <w:rPr>
          <w:rFonts w:hint="eastAsia" w:ascii="仿宋_GB2312" w:hAnsi="仿宋_GB2312" w:eastAsia="仿宋_GB2312" w:cs="仿宋_GB2312"/>
          <w:bCs/>
          <w:color w:val="auto"/>
          <w:szCs w:val="32"/>
        </w:rPr>
        <w:t>“运河小院”民宿品牌</w:t>
      </w:r>
      <w:r>
        <w:rPr>
          <w:rFonts w:hint="eastAsia" w:ascii="仿宋_GB2312" w:hAnsi="仿宋_GB2312" w:eastAsia="仿宋_GB2312" w:cs="仿宋_GB2312"/>
          <w:bCs/>
          <w:color w:val="auto"/>
          <w:szCs w:val="36"/>
        </w:rPr>
        <w:t>，</w:t>
      </w:r>
      <w:r>
        <w:rPr>
          <w:rFonts w:hint="eastAsia" w:ascii="仿宋_GB2312" w:hAnsi="仿宋_GB2312" w:eastAsia="仿宋_GB2312" w:cs="仿宋_GB2312"/>
          <w:bCs/>
          <w:color w:val="auto"/>
          <w:szCs w:val="36"/>
          <w:lang w:val="en-US" w:eastAsia="zh-CN"/>
        </w:rPr>
        <w:t>打造</w:t>
      </w:r>
      <w:r>
        <w:rPr>
          <w:rFonts w:hint="eastAsia" w:ascii="仿宋_GB2312" w:hAnsi="仿宋_GB2312" w:eastAsia="仿宋_GB2312" w:cs="仿宋_GB2312"/>
          <w:bCs/>
          <w:color w:val="auto"/>
          <w:szCs w:val="36"/>
        </w:rPr>
        <w:t>一批</w:t>
      </w:r>
      <w:r>
        <w:rPr>
          <w:rFonts w:hint="eastAsia" w:ascii="仿宋_GB2312" w:hAnsi="仿宋_GB2312" w:eastAsia="仿宋_GB2312" w:cs="仿宋_GB2312"/>
          <w:bCs/>
          <w:color w:val="auto"/>
          <w:szCs w:val="32"/>
        </w:rPr>
        <w:t>精品乡村旅游</w:t>
      </w:r>
      <w:r>
        <w:rPr>
          <w:rFonts w:hint="eastAsia" w:ascii="仿宋_GB2312" w:hAnsi="仿宋_GB2312" w:eastAsia="仿宋_GB2312" w:cs="仿宋_GB2312"/>
          <w:bCs/>
          <w:color w:val="auto"/>
          <w:szCs w:val="32"/>
          <w:lang w:val="en-US" w:eastAsia="zh-CN"/>
        </w:rPr>
        <w:t>线</w:t>
      </w:r>
      <w:r>
        <w:rPr>
          <w:rFonts w:hint="eastAsia" w:ascii="仿宋_GB2312" w:hAnsi="仿宋_GB2312" w:eastAsia="仿宋_GB2312" w:cs="仿宋_GB2312"/>
          <w:bCs/>
          <w:color w:val="auto"/>
          <w:szCs w:val="32"/>
        </w:rPr>
        <w:t>路。</w:t>
      </w:r>
      <w:bookmarkStart w:id="191" w:name="_Toc1702600731"/>
      <w:bookmarkStart w:id="192" w:name="_Toc658677058"/>
      <w:bookmarkStart w:id="193" w:name="_Toc27340"/>
      <w:bookmarkStart w:id="194" w:name="_Toc1043002555"/>
      <w:bookmarkStart w:id="195" w:name="_Toc30620"/>
      <w:bookmarkStart w:id="196" w:name="_Toc11138"/>
      <w:bookmarkStart w:id="197" w:name="_Toc1117188563"/>
    </w:p>
    <w:p w14:paraId="10DF8C26">
      <w:pPr>
        <w:pStyle w:val="2"/>
        <w:spacing w:line="560" w:lineRule="exact"/>
        <w:ind w:firstLine="643" w:firstLineChars="200"/>
        <w:rPr>
          <w:rFonts w:hint="eastAsia" w:ascii="仿宋_GB2312" w:hAnsi="仿宋_GB2312" w:eastAsia="仿宋_GB2312" w:cs="仿宋_GB2312"/>
          <w:bCs/>
          <w:color w:val="auto"/>
          <w:szCs w:val="32"/>
        </w:rPr>
      </w:pPr>
      <w:r>
        <w:rPr>
          <w:rFonts w:hint="eastAsia" w:ascii="仿宋_GB2312" w:hAnsi="仿宋_GB2312" w:eastAsia="仿宋_GB2312" w:cs="仿宋_GB2312"/>
          <w:b/>
          <w:bCs/>
          <w:color w:val="auto"/>
          <w:szCs w:val="32"/>
          <w:lang w:val="en-US" w:eastAsia="zh-CN"/>
        </w:rPr>
        <w:t>4</w:t>
      </w:r>
      <w:r>
        <w:rPr>
          <w:rFonts w:hint="eastAsia" w:ascii="仿宋_GB2312" w:hAnsi="仿宋_GB2312" w:eastAsia="仿宋_GB2312" w:cs="仿宋_GB2312"/>
          <w:b/>
          <w:bCs/>
          <w:color w:val="auto"/>
          <w:szCs w:val="32"/>
        </w:rPr>
        <w:t>.培育乡村新产业新业态</w:t>
      </w:r>
      <w:bookmarkEnd w:id="191"/>
      <w:bookmarkEnd w:id="192"/>
      <w:bookmarkEnd w:id="193"/>
      <w:bookmarkEnd w:id="194"/>
      <w:bookmarkEnd w:id="195"/>
      <w:bookmarkEnd w:id="196"/>
      <w:bookmarkEnd w:id="197"/>
      <w:r>
        <w:rPr>
          <w:rFonts w:hint="eastAsia" w:ascii="仿宋_GB2312" w:hAnsi="仿宋_GB2312" w:eastAsia="仿宋_GB2312" w:cs="仿宋_GB2312"/>
          <w:b/>
          <w:bCs/>
          <w:color w:val="auto"/>
          <w:szCs w:val="32"/>
        </w:rPr>
        <w:t>。</w:t>
      </w:r>
      <w:r>
        <w:rPr>
          <w:rFonts w:hint="eastAsia" w:ascii="仿宋_GB2312" w:hAnsi="仿宋_GB2312" w:eastAsia="仿宋_GB2312" w:cs="仿宋_GB2312"/>
          <w:bCs/>
          <w:color w:val="auto"/>
          <w:szCs w:val="32"/>
        </w:rPr>
        <w:t>鼓励发展乡村康养产业。前瞻布局生物制造产业，培育细胞培养肉、替代蛋白等未来食品新赛道。有序发展宠物诊疗、宠物医药、宠物食品等“宠物+”新业态。鼓励发展直播、</w:t>
      </w:r>
      <w:r>
        <w:rPr>
          <w:rFonts w:hint="eastAsia" w:ascii="仿宋_GB2312" w:hAnsi="仿宋_GB2312" w:eastAsia="仿宋_GB2312" w:cs="仿宋_GB2312"/>
          <w:bCs/>
          <w:color w:val="auto"/>
          <w:szCs w:val="32"/>
          <w:lang w:val="en-US" w:eastAsia="zh-CN"/>
        </w:rPr>
        <w:t>市集</w:t>
      </w:r>
      <w:r>
        <w:rPr>
          <w:rFonts w:hint="eastAsia" w:ascii="仿宋_GB2312" w:hAnsi="仿宋_GB2312" w:eastAsia="仿宋_GB2312" w:cs="仿宋_GB2312"/>
          <w:bCs/>
          <w:color w:val="auto"/>
          <w:szCs w:val="32"/>
        </w:rPr>
        <w:t>、非遗、赛事、会展等</w:t>
      </w:r>
      <w:r>
        <w:rPr>
          <w:rFonts w:hint="eastAsia" w:ascii="仿宋_GB2312" w:hAnsi="仿宋_GB2312" w:eastAsia="仿宋_GB2312" w:cs="仿宋_GB2312"/>
          <w:bCs/>
          <w:color w:val="auto"/>
          <w:szCs w:val="32"/>
          <w:lang w:val="en-US" w:eastAsia="zh-CN"/>
        </w:rPr>
        <w:t>乡村</w:t>
      </w:r>
      <w:r>
        <w:rPr>
          <w:rFonts w:hint="eastAsia" w:ascii="仿宋_GB2312" w:hAnsi="仿宋_GB2312" w:eastAsia="仿宋_GB2312" w:cs="仿宋_GB2312"/>
          <w:bCs/>
          <w:color w:val="auto"/>
          <w:szCs w:val="32"/>
        </w:rPr>
        <w:t>新业态。</w:t>
      </w:r>
    </w:p>
    <w:bookmarkEnd w:id="128"/>
    <w:bookmarkEnd w:id="129"/>
    <w:bookmarkEnd w:id="130"/>
    <w:bookmarkEnd w:id="131"/>
    <w:bookmarkEnd w:id="132"/>
    <w:bookmarkEnd w:id="133"/>
    <w:p w14:paraId="48F62EEE">
      <w:pPr>
        <w:pStyle w:val="2"/>
        <w:spacing w:line="560" w:lineRule="exact"/>
        <w:ind w:firstLine="643" w:firstLineChars="200"/>
        <w:outlineLvl w:val="1"/>
        <w:rPr>
          <w:rFonts w:hint="eastAsia" w:ascii="仿宋_GB2312" w:hAnsi="仿宋_GB2312" w:eastAsia="仿宋_GB2312" w:cs="仿宋_GB2312"/>
          <w:b/>
          <w:color w:val="auto"/>
          <w:szCs w:val="32"/>
        </w:rPr>
      </w:pPr>
      <w:bookmarkStart w:id="198" w:name="_Toc6211"/>
      <w:bookmarkStart w:id="199" w:name="_Toc19959"/>
      <w:bookmarkStart w:id="200" w:name="_Toc1946693812"/>
      <w:bookmarkStart w:id="201" w:name="_Toc18501"/>
      <w:bookmarkStart w:id="202" w:name="_Toc11008"/>
      <w:bookmarkStart w:id="203" w:name="_Toc1956290593"/>
      <w:bookmarkStart w:id="204" w:name="_Toc17260"/>
      <w:bookmarkStart w:id="205" w:name="_Toc422383700"/>
      <w:bookmarkStart w:id="206" w:name="_Toc584127678"/>
      <w:bookmarkStart w:id="207" w:name="_Toc138274297"/>
      <w:bookmarkStart w:id="208" w:name="_Toc23360"/>
      <w:r>
        <w:rPr>
          <w:rFonts w:hint="eastAsia" w:ascii="仿宋_GB2312" w:hAnsi="仿宋_GB2312" w:eastAsia="仿宋_GB2312" w:cs="仿宋_GB2312"/>
          <w:b/>
          <w:color w:val="auto"/>
          <w:szCs w:val="32"/>
        </w:rPr>
        <w:t>（五）筑牢质量安全根基，加快品牌矩阵建设</w:t>
      </w:r>
      <w:bookmarkEnd w:id="198"/>
      <w:bookmarkEnd w:id="199"/>
      <w:bookmarkEnd w:id="200"/>
      <w:bookmarkEnd w:id="201"/>
      <w:bookmarkEnd w:id="202"/>
      <w:bookmarkEnd w:id="203"/>
      <w:bookmarkEnd w:id="204"/>
      <w:bookmarkEnd w:id="205"/>
      <w:bookmarkEnd w:id="206"/>
      <w:bookmarkEnd w:id="207"/>
      <w:bookmarkEnd w:id="208"/>
      <w:bookmarkStart w:id="209" w:name="_Toc1329138706"/>
      <w:bookmarkStart w:id="210" w:name="_Toc29457"/>
      <w:bookmarkStart w:id="211" w:name="_Toc26974"/>
      <w:bookmarkStart w:id="212" w:name="_Toc152"/>
      <w:bookmarkStart w:id="213" w:name="_Toc1985418544"/>
      <w:bookmarkStart w:id="214" w:name="_Toc1012769562"/>
      <w:bookmarkStart w:id="215" w:name="_Toc22504"/>
      <w:bookmarkStart w:id="216" w:name="_Toc467662749"/>
    </w:p>
    <w:p w14:paraId="1FDBE601">
      <w:pPr>
        <w:pStyle w:val="2"/>
        <w:spacing w:line="560" w:lineRule="exact"/>
        <w:ind w:firstLine="643" w:firstLineChars="200"/>
        <w:rPr>
          <w:rFonts w:hint="default" w:ascii="仿宋_GB2312" w:hAnsi="仿宋_GB2312" w:eastAsia="仿宋_GB2312" w:cs="仿宋_GB2312"/>
          <w:szCs w:val="40"/>
          <w:lang w:val="en-US" w:eastAsia="zh-CN"/>
        </w:rPr>
      </w:pPr>
      <w:r>
        <w:rPr>
          <w:rFonts w:hint="default" w:ascii="仿宋_GB2312" w:hAnsi="仿宋_GB2312" w:eastAsia="仿宋_GB2312" w:cs="仿宋_GB2312"/>
          <w:b/>
          <w:bCs/>
          <w:color w:val="auto"/>
          <w:szCs w:val="32"/>
          <w:lang w:val="en-US"/>
        </w:rPr>
        <w:t>1.全面推广绿色农业技术</w:t>
      </w:r>
      <w:bookmarkEnd w:id="209"/>
      <w:bookmarkEnd w:id="210"/>
      <w:bookmarkEnd w:id="211"/>
      <w:bookmarkEnd w:id="212"/>
      <w:bookmarkEnd w:id="213"/>
      <w:bookmarkEnd w:id="214"/>
      <w:bookmarkEnd w:id="215"/>
      <w:bookmarkEnd w:id="216"/>
      <w:r>
        <w:rPr>
          <w:rFonts w:hint="default" w:ascii="仿宋_GB2312" w:hAnsi="仿宋_GB2312" w:eastAsia="仿宋_GB2312" w:cs="仿宋_GB2312"/>
          <w:b/>
          <w:bCs/>
          <w:color w:val="auto"/>
          <w:szCs w:val="32"/>
          <w:lang w:val="en-US"/>
        </w:rPr>
        <w:t>。</w:t>
      </w:r>
      <w:r>
        <w:rPr>
          <w:rFonts w:hint="default" w:ascii="仿宋_GB2312" w:hAnsi="仿宋_GB2312" w:eastAsia="仿宋_GB2312" w:cs="仿宋_GB2312"/>
          <w:color w:val="auto"/>
          <w:szCs w:val="40"/>
          <w:lang w:val="en-US"/>
        </w:rPr>
        <w:t>优化</w:t>
      </w:r>
      <w:r>
        <w:rPr>
          <w:rFonts w:hint="eastAsia" w:ascii="仿宋_GB2312" w:hAnsi="仿宋_GB2312" w:eastAsia="仿宋_GB2312" w:cs="仿宋_GB2312"/>
          <w:color w:val="auto"/>
          <w:szCs w:val="40"/>
        </w:rPr>
        <w:t>肥料结构，推广应用高效施</w:t>
      </w:r>
      <w:r>
        <w:rPr>
          <w:rFonts w:hint="eastAsia" w:ascii="仿宋_GB2312" w:hAnsi="仿宋_GB2312" w:eastAsia="仿宋_GB2312" w:cs="仿宋_GB2312"/>
          <w:color w:val="auto"/>
          <w:szCs w:val="40"/>
          <w:highlight w:val="none"/>
        </w:rPr>
        <w:t>药装备与病虫害绿色防控技术，示范推广全生物降解地膜，推进农膜回收，回收率提升至</w:t>
      </w:r>
      <w:r>
        <w:rPr>
          <w:rFonts w:hint="eastAsia" w:ascii="仿宋_GB2312" w:hAnsi="仿宋_GB2312" w:eastAsia="仿宋_GB2312" w:cs="仿宋_GB2312"/>
          <w:color w:val="auto"/>
          <w:highlight w:val="none"/>
        </w:rPr>
        <w:t>95%</w:t>
      </w:r>
      <w:r>
        <w:rPr>
          <w:rFonts w:hint="eastAsia" w:ascii="仿宋_GB2312" w:hAnsi="仿宋_GB2312" w:eastAsia="仿宋_GB2312" w:cs="仿宋_GB2312"/>
          <w:color w:val="auto"/>
          <w:szCs w:val="40"/>
          <w:highlight w:val="none"/>
        </w:rPr>
        <w:t>以上。加强农药包装废弃物回收处置，确保回收率达</w:t>
      </w:r>
      <w:r>
        <w:rPr>
          <w:rFonts w:hint="eastAsia" w:ascii="仿宋_GB2312" w:hAnsi="仿宋_GB2312" w:eastAsia="仿宋_GB2312" w:cs="仿宋_GB2312"/>
          <w:color w:val="auto"/>
          <w:highlight w:val="none"/>
        </w:rPr>
        <w:t>90%</w:t>
      </w:r>
      <w:r>
        <w:rPr>
          <w:rFonts w:hint="eastAsia" w:ascii="仿宋_GB2312" w:hAnsi="仿宋_GB2312" w:eastAsia="仿宋_GB2312" w:cs="仿宋_GB2312"/>
          <w:color w:val="auto"/>
          <w:szCs w:val="40"/>
          <w:highlight w:val="none"/>
        </w:rPr>
        <w:t>以上。</w:t>
      </w:r>
      <w:bookmarkStart w:id="217" w:name="_Toc16844"/>
      <w:bookmarkStart w:id="218" w:name="_Toc11409"/>
      <w:bookmarkStart w:id="219" w:name="_Toc25245"/>
      <w:bookmarkStart w:id="220" w:name="_Toc1723516420"/>
      <w:bookmarkStart w:id="221" w:name="_Toc2112964061"/>
      <w:bookmarkStart w:id="222" w:name="_Toc1197447597"/>
      <w:bookmarkStart w:id="223" w:name="_Toc7910172"/>
    </w:p>
    <w:p w14:paraId="2E55F43E">
      <w:pPr>
        <w:pStyle w:val="2"/>
        <w:spacing w:line="560" w:lineRule="exact"/>
        <w:ind w:firstLine="643" w:firstLineChars="200"/>
        <w:rPr>
          <w:rFonts w:hint="eastAsia" w:ascii="仿宋_GB2312" w:hAnsi="仿宋_GB2312" w:eastAsia="仿宋_GB2312" w:cs="仿宋_GB2312"/>
          <w:color w:val="auto"/>
          <w:szCs w:val="32"/>
        </w:rPr>
      </w:pPr>
      <w:r>
        <w:rPr>
          <w:rFonts w:hint="default" w:ascii="仿宋_GB2312" w:hAnsi="仿宋_GB2312" w:eastAsia="仿宋_GB2312" w:cs="仿宋_GB2312"/>
          <w:b/>
          <w:bCs/>
          <w:color w:val="auto"/>
          <w:szCs w:val="32"/>
          <w:lang w:val="en-US"/>
        </w:rPr>
        <w:t>2</w:t>
      </w:r>
      <w:r>
        <w:rPr>
          <w:rFonts w:hint="eastAsia" w:ascii="仿宋_GB2312" w:hAnsi="仿宋_GB2312" w:eastAsia="仿宋_GB2312" w:cs="仿宋_GB2312"/>
          <w:b/>
          <w:bCs/>
          <w:color w:val="auto"/>
          <w:szCs w:val="32"/>
        </w:rPr>
        <w:t>.健全质量安全</w:t>
      </w:r>
      <w:bookmarkEnd w:id="217"/>
      <w:bookmarkEnd w:id="218"/>
      <w:r>
        <w:rPr>
          <w:rFonts w:hint="eastAsia" w:ascii="仿宋_GB2312" w:hAnsi="仿宋_GB2312" w:eastAsia="仿宋_GB2312" w:cs="仿宋_GB2312"/>
          <w:b/>
          <w:bCs/>
          <w:color w:val="auto"/>
          <w:szCs w:val="32"/>
        </w:rPr>
        <w:t>保障</w:t>
      </w:r>
      <w:bookmarkEnd w:id="219"/>
      <w:r>
        <w:rPr>
          <w:rFonts w:hint="eastAsia" w:ascii="仿宋_GB2312" w:hAnsi="仿宋_GB2312" w:eastAsia="仿宋_GB2312" w:cs="仿宋_GB2312"/>
          <w:b/>
          <w:bCs/>
          <w:color w:val="auto"/>
          <w:szCs w:val="32"/>
        </w:rPr>
        <w:t>体系</w:t>
      </w:r>
      <w:bookmarkEnd w:id="220"/>
      <w:bookmarkEnd w:id="221"/>
      <w:bookmarkEnd w:id="222"/>
      <w:bookmarkEnd w:id="223"/>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扩大绿色、有机、名特优新等优质农产品生产规模，深化农产品质量安全三级监测体系建设，推进农产品质量安全全链条监管和全程追溯。全区农产品质量安全监测合格率达98%以上。</w:t>
      </w:r>
      <w:bookmarkStart w:id="224" w:name="_Toc9144"/>
      <w:bookmarkStart w:id="225" w:name="_Toc713039408"/>
      <w:bookmarkStart w:id="226" w:name="_Toc209085369"/>
      <w:bookmarkStart w:id="227" w:name="_Toc6718"/>
      <w:bookmarkStart w:id="228" w:name="_Toc2890"/>
      <w:bookmarkStart w:id="229" w:name="_Toc1192510302"/>
      <w:bookmarkStart w:id="230" w:name="_Toc1710512637"/>
    </w:p>
    <w:p w14:paraId="0E580041">
      <w:pPr>
        <w:pStyle w:val="2"/>
        <w:spacing w:line="560" w:lineRule="exact"/>
        <w:ind w:firstLine="643" w:firstLineChars="200"/>
        <w:outlineLvl w:val="9"/>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3.加快农业品牌矩阵建设</w:t>
      </w:r>
      <w:bookmarkEnd w:id="224"/>
      <w:bookmarkEnd w:id="225"/>
      <w:bookmarkEnd w:id="226"/>
      <w:bookmarkEnd w:id="227"/>
      <w:bookmarkEnd w:id="228"/>
      <w:bookmarkEnd w:id="229"/>
      <w:bookmarkEnd w:id="230"/>
      <w:r>
        <w:rPr>
          <w:rFonts w:hint="eastAsia" w:ascii="仿宋_GB2312" w:hAnsi="仿宋_GB2312" w:eastAsia="仿宋_GB2312" w:cs="仿宋_GB2312"/>
          <w:b/>
          <w:bCs/>
          <w:color w:val="auto"/>
          <w:szCs w:val="32"/>
        </w:rPr>
        <w:t>。</w:t>
      </w:r>
      <w:r>
        <w:rPr>
          <w:rFonts w:hint="eastAsia" w:ascii="仿宋_GB2312" w:hAnsi="仿宋_GB2312" w:eastAsia="仿宋_GB2312" w:cs="仿宋_GB2312"/>
          <w:b w:val="0"/>
          <w:bCs w:val="0"/>
          <w:color w:val="auto"/>
          <w:szCs w:val="32"/>
          <w:lang w:val="en-US" w:eastAsia="zh-CN"/>
        </w:rPr>
        <w:t>做强</w:t>
      </w:r>
      <w:r>
        <w:rPr>
          <w:rFonts w:hint="eastAsia" w:ascii="仿宋_GB2312" w:hAnsi="仿宋_GB2312" w:eastAsia="仿宋_GB2312" w:cs="仿宋_GB2312"/>
          <w:color w:val="auto"/>
          <w:szCs w:val="32"/>
        </w:rPr>
        <w:t>“京农・运河人家”区域公用品牌，加强通州大樱桃、张家湾葡萄等地理标志产品保护</w:t>
      </w:r>
      <w:r>
        <w:rPr>
          <w:rFonts w:hint="eastAsia" w:ascii="仿宋_GB2312" w:hAnsi="仿宋_GB2312" w:eastAsia="仿宋_GB2312" w:cs="仿宋_GB2312"/>
          <w:color w:val="auto"/>
          <w:szCs w:val="32"/>
          <w:lang w:val="en-US" w:eastAsia="zh-CN"/>
        </w:rPr>
        <w:t>推广</w:t>
      </w:r>
      <w:r>
        <w:rPr>
          <w:rFonts w:hint="eastAsia" w:ascii="仿宋_GB2312" w:hAnsi="仿宋_GB2312" w:eastAsia="仿宋_GB2312" w:cs="仿宋_GB2312"/>
          <w:color w:val="auto"/>
          <w:szCs w:val="32"/>
        </w:rPr>
        <w:t>，</w:t>
      </w:r>
      <w:r>
        <w:rPr>
          <w:rFonts w:hint="eastAsia" w:ascii="仿宋_GB2312" w:hAnsi="仿宋_GB2312" w:eastAsia="仿宋_GB2312" w:cs="仿宋_GB2312"/>
          <w:color w:val="auto"/>
          <w:szCs w:val="32"/>
          <w:lang w:val="en-US" w:eastAsia="zh-CN"/>
        </w:rPr>
        <w:t>培育</w:t>
      </w:r>
      <w:r>
        <w:rPr>
          <w:rFonts w:hint="eastAsia" w:ascii="仿宋_GB2312" w:hAnsi="仿宋_GB2312" w:eastAsia="仿宋_GB2312" w:cs="仿宋_GB2312"/>
          <w:color w:val="auto"/>
          <w:szCs w:val="32"/>
        </w:rPr>
        <w:t>企业主体品牌</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打造</w:t>
      </w:r>
      <w:r>
        <w:rPr>
          <w:rFonts w:hint="eastAsia" w:ascii="仿宋_GB2312" w:hAnsi="仿宋_GB2312" w:eastAsia="仿宋_GB2312" w:cs="仿宋_GB2312"/>
          <w:color w:val="auto"/>
          <w:szCs w:val="32"/>
        </w:rPr>
        <w:t>供港菜心、口感番茄等特色单品品牌</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 w:val="32"/>
          <w:szCs w:val="32"/>
        </w:rPr>
        <w:t>形成具有副中心辨识度的农业品牌方阵</w:t>
      </w:r>
      <w:r>
        <w:rPr>
          <w:rFonts w:hint="eastAsia" w:ascii="仿宋_GB2312" w:hAnsi="仿宋_GB2312" w:eastAsia="仿宋_GB2312" w:cs="仿宋_GB2312"/>
          <w:color w:val="auto"/>
          <w:szCs w:val="32"/>
        </w:rPr>
        <w:t>。</w:t>
      </w:r>
      <w:bookmarkStart w:id="231" w:name="_Toc577546245"/>
      <w:bookmarkStart w:id="232" w:name="_Toc1431093273"/>
      <w:bookmarkStart w:id="233" w:name="_Toc863781864"/>
      <w:bookmarkStart w:id="234" w:name="_Toc5917"/>
      <w:bookmarkStart w:id="235" w:name="_Toc579120215"/>
      <w:bookmarkStart w:id="236" w:name="_Toc10439"/>
      <w:bookmarkStart w:id="237" w:name="_Toc3597"/>
      <w:bookmarkStart w:id="238" w:name="_Toc499540318"/>
      <w:bookmarkStart w:id="239" w:name="_Toc2089"/>
      <w:bookmarkStart w:id="240" w:name="_Toc4472"/>
      <w:bookmarkStart w:id="241" w:name="_Toc7281"/>
      <w:bookmarkStart w:id="242" w:name="_Toc23849"/>
      <w:bookmarkStart w:id="243" w:name="_Toc4589"/>
      <w:bookmarkStart w:id="244" w:name="_Toc26179"/>
      <w:bookmarkStart w:id="245" w:name="_Toc4620"/>
      <w:bookmarkStart w:id="246" w:name="_Toc13272"/>
    </w:p>
    <w:p w14:paraId="1F5020CA">
      <w:pPr>
        <w:pStyle w:val="2"/>
        <w:spacing w:line="560" w:lineRule="exact"/>
        <w:ind w:firstLine="640" w:firstLineChars="200"/>
        <w:outlineLvl w:val="9"/>
        <w:rPr>
          <w:rFonts w:hint="eastAsia" w:ascii="黑体" w:hAnsi="黑体" w:eastAsia="黑体" w:cs="黑体"/>
          <w:color w:val="auto"/>
          <w:szCs w:val="32"/>
        </w:rPr>
      </w:pPr>
      <w:r>
        <w:rPr>
          <w:rFonts w:hint="eastAsia" w:ascii="黑体" w:hAnsi="黑体" w:eastAsia="黑体" w:cs="黑体"/>
          <w:color w:val="auto"/>
          <w:szCs w:val="32"/>
        </w:rPr>
        <w:t>三、持续优化乡村人居环境，建设宜居宜业和美乡村</w:t>
      </w:r>
      <w:bookmarkEnd w:id="231"/>
      <w:bookmarkEnd w:id="232"/>
      <w:bookmarkEnd w:id="233"/>
      <w:bookmarkEnd w:id="234"/>
      <w:bookmarkEnd w:id="235"/>
      <w:bookmarkEnd w:id="236"/>
      <w:bookmarkEnd w:id="237"/>
      <w:bookmarkEnd w:id="238"/>
    </w:p>
    <w:bookmarkEnd w:id="239"/>
    <w:bookmarkEnd w:id="240"/>
    <w:bookmarkEnd w:id="241"/>
    <w:bookmarkEnd w:id="242"/>
    <w:bookmarkEnd w:id="243"/>
    <w:bookmarkEnd w:id="244"/>
    <w:bookmarkEnd w:id="245"/>
    <w:bookmarkEnd w:id="246"/>
    <w:p w14:paraId="14BAFDCB">
      <w:pPr>
        <w:pStyle w:val="2"/>
        <w:spacing w:line="560" w:lineRule="exact"/>
        <w:ind w:firstLine="643" w:firstLineChars="200"/>
        <w:outlineLvl w:val="1"/>
        <w:rPr>
          <w:rFonts w:hint="eastAsia" w:ascii="仿宋_GB2312" w:hAnsi="仿宋_GB2312" w:eastAsia="仿宋_GB2312" w:cs="仿宋_GB2312"/>
          <w:b/>
          <w:color w:val="auto"/>
          <w:szCs w:val="32"/>
        </w:rPr>
      </w:pPr>
      <w:bookmarkStart w:id="247" w:name="_Toc18795"/>
      <w:bookmarkStart w:id="248" w:name="_Toc1583455685"/>
      <w:bookmarkStart w:id="249" w:name="_Toc631414255"/>
      <w:bookmarkStart w:id="250" w:name="_Toc2756"/>
      <w:bookmarkStart w:id="251" w:name="_Toc1932782103"/>
      <w:bookmarkStart w:id="252" w:name="_Toc407010019"/>
      <w:bookmarkStart w:id="253" w:name="_Toc23998"/>
      <w:bookmarkStart w:id="254" w:name="_Toc1874556956"/>
      <w:bookmarkStart w:id="255" w:name="_Toc23182"/>
      <w:bookmarkStart w:id="256" w:name="_Toc5738"/>
      <w:bookmarkStart w:id="257" w:name="_Toc29023"/>
      <w:bookmarkStart w:id="258" w:name="_Toc19995"/>
      <w:bookmarkStart w:id="259" w:name="_Toc11736"/>
      <w:bookmarkStart w:id="260" w:name="_Toc30853"/>
      <w:bookmarkStart w:id="261" w:name="_Toc23719"/>
      <w:bookmarkStart w:id="262" w:name="_Toc11526"/>
      <w:r>
        <w:rPr>
          <w:rFonts w:hint="eastAsia" w:ascii="仿宋_GB2312" w:hAnsi="仿宋_GB2312" w:eastAsia="仿宋_GB2312" w:cs="仿宋_GB2312"/>
          <w:b/>
          <w:color w:val="auto"/>
          <w:szCs w:val="32"/>
        </w:rPr>
        <w:t>（一）</w:t>
      </w:r>
      <w:r>
        <w:rPr>
          <w:rFonts w:hint="eastAsia" w:ascii="仿宋_GB2312" w:hAnsi="仿宋_GB2312" w:eastAsia="仿宋_GB2312" w:cs="仿宋_GB2312"/>
          <w:b/>
          <w:bCs/>
          <w:color w:val="auto"/>
          <w:szCs w:val="32"/>
        </w:rPr>
        <w:t>持续加强基础设施建设，夯实城乡融合根基</w:t>
      </w:r>
      <w:bookmarkEnd w:id="247"/>
      <w:bookmarkEnd w:id="248"/>
      <w:bookmarkEnd w:id="249"/>
      <w:bookmarkEnd w:id="250"/>
      <w:bookmarkEnd w:id="251"/>
      <w:bookmarkEnd w:id="252"/>
      <w:bookmarkEnd w:id="253"/>
      <w:bookmarkEnd w:id="254"/>
    </w:p>
    <w:p w14:paraId="3DBF64D4">
      <w:pPr>
        <w:pStyle w:val="2"/>
        <w:spacing w:line="560" w:lineRule="exact"/>
        <w:ind w:firstLine="643" w:firstLineChars="200"/>
        <w:rPr>
          <w:rFonts w:hint="eastAsia" w:ascii="仿宋_GB2312" w:hAnsi="仿宋_GB2312" w:eastAsia="仿宋_GB2312" w:cs="仿宋_GB2312"/>
          <w:color w:val="auto"/>
          <w:szCs w:val="32"/>
        </w:rPr>
      </w:pPr>
      <w:bookmarkStart w:id="263" w:name="_Toc11534"/>
      <w:bookmarkStart w:id="264" w:name="_Toc23504040"/>
      <w:bookmarkStart w:id="265" w:name="_Toc1629415598"/>
      <w:bookmarkStart w:id="266" w:name="_Toc610446485"/>
      <w:bookmarkStart w:id="267" w:name="_Toc1151641623"/>
      <w:r>
        <w:rPr>
          <w:rFonts w:hint="eastAsia" w:ascii="仿宋_GB2312" w:hAnsi="仿宋_GB2312" w:eastAsia="仿宋_GB2312" w:cs="仿宋_GB2312"/>
          <w:b/>
          <w:bCs/>
          <w:color w:val="auto"/>
          <w:szCs w:val="32"/>
        </w:rPr>
        <w:t>1.提升农村道路畅通能力</w:t>
      </w:r>
      <w:bookmarkEnd w:id="263"/>
      <w:bookmarkEnd w:id="264"/>
      <w:bookmarkEnd w:id="265"/>
      <w:bookmarkEnd w:id="266"/>
      <w:bookmarkEnd w:id="267"/>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启动新一轮村庄基础设施和公共服务设施建设提升行动计划，高标准推进“四好农村路”建设，美丽乡村路</w:t>
      </w:r>
      <w:r>
        <w:rPr>
          <w:rFonts w:hint="eastAsia" w:ascii="仿宋_GB2312" w:hAnsi="仿宋_GB2312" w:eastAsia="仿宋_GB2312" w:cs="仿宋_GB2312"/>
          <w:color w:val="auto"/>
          <w:szCs w:val="32"/>
          <w:lang w:eastAsia="zh-CN"/>
        </w:rPr>
        <w:t>里程</w:t>
      </w:r>
      <w:r>
        <w:rPr>
          <w:rFonts w:hint="eastAsia" w:ascii="仿宋_GB2312" w:hAnsi="仿宋_GB2312" w:eastAsia="仿宋_GB2312" w:cs="仿宋_GB2312"/>
          <w:color w:val="auto"/>
          <w:szCs w:val="32"/>
        </w:rPr>
        <w:t>达到452公里。因地制宜建设公交专用道、大容量快速公交走廊，进一步提升农村客运服务水平。</w:t>
      </w:r>
    </w:p>
    <w:p w14:paraId="6EE95C79">
      <w:pPr>
        <w:pStyle w:val="2"/>
        <w:spacing w:line="560" w:lineRule="exact"/>
        <w:ind w:firstLine="643" w:firstLineChars="200"/>
        <w:rPr>
          <w:rFonts w:hint="eastAsia" w:ascii="仿宋_GB2312" w:hAnsi="仿宋_GB2312" w:eastAsia="仿宋_GB2312" w:cs="仿宋_GB2312"/>
          <w:color w:val="auto"/>
          <w:szCs w:val="32"/>
        </w:rPr>
      </w:pPr>
      <w:bookmarkStart w:id="268" w:name="_Toc152592066"/>
      <w:bookmarkStart w:id="269" w:name="_Toc2092045771"/>
      <w:bookmarkStart w:id="270" w:name="_Toc1777448249"/>
      <w:bookmarkStart w:id="271" w:name="_Toc15759"/>
      <w:bookmarkStart w:id="272" w:name="_Toc1713857675"/>
      <w:r>
        <w:rPr>
          <w:rFonts w:hint="eastAsia" w:ascii="仿宋_GB2312" w:hAnsi="仿宋_GB2312" w:eastAsia="仿宋_GB2312" w:cs="仿宋_GB2312"/>
          <w:b/>
          <w:bCs/>
          <w:color w:val="auto"/>
          <w:szCs w:val="32"/>
        </w:rPr>
        <w:t>2.提高农村用水安全标准</w:t>
      </w:r>
      <w:bookmarkEnd w:id="268"/>
      <w:bookmarkEnd w:id="269"/>
      <w:bookmarkEnd w:id="270"/>
      <w:bookmarkEnd w:id="271"/>
      <w:bookmarkEnd w:id="272"/>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推动城乡供水一体化，新建永乐店镇第二供水厂，推进供水管网的更新改造</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规模化供水覆盖农村人口比例达到70%以上。推进“一户一表”安装工作，实现用水计量化，完善用水计量收费制度。</w:t>
      </w:r>
    </w:p>
    <w:p w14:paraId="31E061D3">
      <w:pPr>
        <w:pStyle w:val="2"/>
        <w:spacing w:line="560" w:lineRule="exact"/>
        <w:ind w:firstLine="643" w:firstLineChars="200"/>
        <w:rPr>
          <w:rFonts w:hint="eastAsia" w:ascii="仿宋_GB2312" w:hAnsi="仿宋_GB2312" w:eastAsia="仿宋_GB2312" w:cs="仿宋_GB2312"/>
          <w:color w:val="auto"/>
          <w:szCs w:val="32"/>
        </w:rPr>
      </w:pPr>
      <w:bookmarkStart w:id="273" w:name="_Toc1185821625"/>
      <w:bookmarkStart w:id="274" w:name="_Toc540101489"/>
      <w:bookmarkStart w:id="275" w:name="_Toc2108987475"/>
      <w:bookmarkStart w:id="276" w:name="_Toc244345387"/>
      <w:bookmarkStart w:id="277" w:name="_Toc22697"/>
      <w:r>
        <w:rPr>
          <w:rFonts w:hint="eastAsia" w:ascii="仿宋_GB2312" w:hAnsi="仿宋_GB2312" w:eastAsia="仿宋_GB2312" w:cs="仿宋_GB2312"/>
          <w:b/>
          <w:bCs/>
          <w:color w:val="auto"/>
          <w:szCs w:val="32"/>
        </w:rPr>
        <w:t>3.优化农村清洁能源供给</w:t>
      </w:r>
      <w:bookmarkEnd w:id="273"/>
      <w:bookmarkEnd w:id="274"/>
      <w:bookmarkEnd w:id="275"/>
      <w:bookmarkEnd w:id="276"/>
      <w:bookmarkEnd w:id="277"/>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建设一批绿色能源示范村，在具备条件的村镇推广应用光伏发电、太阳能热水系统。布局建设一批公共充电（桩）设施，保障新能源车出行便利性。持续推进“煤改清洁能源”设备更新改造，完善长效管护机制。</w:t>
      </w:r>
      <w:bookmarkEnd w:id="255"/>
      <w:bookmarkEnd w:id="256"/>
      <w:bookmarkEnd w:id="257"/>
      <w:bookmarkEnd w:id="258"/>
      <w:bookmarkEnd w:id="259"/>
      <w:bookmarkEnd w:id="260"/>
      <w:bookmarkEnd w:id="261"/>
      <w:bookmarkEnd w:id="262"/>
    </w:p>
    <w:p w14:paraId="365BF600">
      <w:pPr>
        <w:pStyle w:val="2"/>
        <w:spacing w:line="560" w:lineRule="exact"/>
        <w:ind w:firstLine="643" w:firstLineChars="200"/>
        <w:rPr>
          <w:rFonts w:hint="eastAsia" w:ascii="仿宋_GB2312" w:hAnsi="仿宋_GB2312" w:eastAsia="仿宋_GB2312" w:cs="仿宋_GB2312"/>
          <w:color w:val="auto"/>
          <w:szCs w:val="32"/>
        </w:rPr>
      </w:pPr>
      <w:bookmarkStart w:id="278" w:name="_Toc251562724"/>
      <w:bookmarkStart w:id="279" w:name="_Toc888686482"/>
      <w:bookmarkStart w:id="280" w:name="_Toc1136952521"/>
      <w:bookmarkStart w:id="281" w:name="_Toc2488"/>
      <w:bookmarkStart w:id="282" w:name="_Toc516313755"/>
      <w:bookmarkStart w:id="283" w:name="_Toc27101"/>
      <w:bookmarkStart w:id="284" w:name="_Toc31082"/>
      <w:bookmarkStart w:id="285" w:name="_Toc25431"/>
      <w:bookmarkStart w:id="286" w:name="_Toc22303"/>
      <w:bookmarkStart w:id="287" w:name="_Toc28402"/>
      <w:bookmarkStart w:id="288" w:name="_Toc29851"/>
      <w:bookmarkStart w:id="289" w:name="_Toc19222"/>
      <w:bookmarkStart w:id="290" w:name="_Toc16838"/>
      <w:r>
        <w:rPr>
          <w:rFonts w:hint="eastAsia" w:ascii="仿宋_GB2312" w:hAnsi="仿宋_GB2312" w:eastAsia="仿宋_GB2312" w:cs="仿宋_GB2312"/>
          <w:b/>
          <w:bCs/>
          <w:color w:val="auto"/>
          <w:szCs w:val="32"/>
        </w:rPr>
        <w:t>4.深入推进数字乡村建设</w:t>
      </w:r>
      <w:bookmarkEnd w:id="278"/>
      <w:bookmarkEnd w:id="279"/>
      <w:bookmarkEnd w:id="280"/>
      <w:bookmarkEnd w:id="281"/>
      <w:bookmarkEnd w:id="282"/>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推进农村千兆光网升级及干线光缆资源建设，提升IPv6应用水平</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积极</w:t>
      </w:r>
      <w:r>
        <w:rPr>
          <w:rFonts w:hint="eastAsia" w:ascii="仿宋_GB2312" w:hAnsi="仿宋_GB2312" w:eastAsia="仿宋_GB2312" w:cs="仿宋_GB2312"/>
          <w:color w:val="auto"/>
          <w:szCs w:val="32"/>
          <w:lang w:val="en-US" w:eastAsia="zh-CN"/>
        </w:rPr>
        <w:t>争创</w:t>
      </w:r>
      <w:r>
        <w:rPr>
          <w:rFonts w:hint="eastAsia" w:ascii="仿宋_GB2312" w:hAnsi="仿宋_GB2312" w:eastAsia="仿宋_GB2312" w:cs="仿宋_GB2312"/>
          <w:color w:val="auto"/>
          <w:szCs w:val="32"/>
        </w:rPr>
        <w:t>“数字京村”试点，推动大数据</w:t>
      </w:r>
      <w:r>
        <w:rPr>
          <w:rFonts w:hint="eastAsia" w:ascii="仿宋_GB2312" w:hAnsi="仿宋_GB2312" w:eastAsia="仿宋_GB2312" w:cs="仿宋_GB2312"/>
          <w:color w:val="auto"/>
          <w:szCs w:val="32"/>
          <w:lang w:val="en-US" w:eastAsia="zh-CN"/>
        </w:rPr>
        <w:t>与农业生产</w:t>
      </w:r>
      <w:r>
        <w:rPr>
          <w:rFonts w:hint="eastAsia" w:ascii="仿宋_GB2312" w:hAnsi="仿宋_GB2312" w:eastAsia="仿宋_GB2312" w:cs="仿宋_GB2312"/>
          <w:color w:val="auto"/>
          <w:szCs w:val="32"/>
        </w:rPr>
        <w:t>、行业监管、乡村治理、公众服务</w:t>
      </w:r>
      <w:r>
        <w:rPr>
          <w:rFonts w:hint="eastAsia" w:ascii="仿宋_GB2312" w:hAnsi="仿宋_GB2312" w:eastAsia="仿宋_GB2312" w:cs="仿宋_GB2312"/>
          <w:color w:val="auto"/>
          <w:szCs w:val="32"/>
          <w:lang w:val="en-US" w:eastAsia="zh-CN"/>
        </w:rPr>
        <w:t>和</w:t>
      </w:r>
      <w:r>
        <w:rPr>
          <w:rFonts w:hint="eastAsia" w:ascii="仿宋_GB2312" w:hAnsi="仿宋_GB2312" w:eastAsia="仿宋_GB2312" w:cs="仿宋_GB2312"/>
          <w:color w:val="auto"/>
          <w:szCs w:val="32"/>
          <w:lang w:eastAsia="zh-CN"/>
        </w:rPr>
        <w:t>设施管理</w:t>
      </w:r>
      <w:r>
        <w:rPr>
          <w:rFonts w:hint="eastAsia" w:ascii="仿宋_GB2312" w:hAnsi="仿宋_GB2312" w:eastAsia="仿宋_GB2312" w:cs="仿宋_GB2312"/>
          <w:color w:val="auto"/>
          <w:szCs w:val="32"/>
        </w:rPr>
        <w:t>的深度融合</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打造通州特色数字乡村。</w:t>
      </w:r>
    </w:p>
    <w:p w14:paraId="17C80746">
      <w:pPr>
        <w:pStyle w:val="2"/>
        <w:spacing w:line="560" w:lineRule="exact"/>
        <w:ind w:firstLine="643" w:firstLineChars="200"/>
        <w:rPr>
          <w:rFonts w:hint="eastAsia" w:ascii="仿宋_GB2312" w:hAnsi="仿宋_GB2312" w:eastAsia="仿宋_GB2312" w:cs="仿宋_GB2312"/>
          <w:color w:val="auto"/>
          <w:highlight w:val="yellow"/>
        </w:rPr>
      </w:pPr>
      <w:bookmarkStart w:id="291" w:name="_Toc7408519"/>
      <w:bookmarkStart w:id="292" w:name="_Toc677910538"/>
      <w:bookmarkStart w:id="293" w:name="_Toc1038314775"/>
      <w:bookmarkStart w:id="294" w:name="_Toc30441"/>
      <w:bookmarkStart w:id="295" w:name="_Toc2004923291"/>
      <w:r>
        <w:rPr>
          <w:rFonts w:hint="eastAsia" w:ascii="仿宋_GB2312" w:hAnsi="仿宋_GB2312" w:eastAsia="仿宋_GB2312" w:cs="仿宋_GB2312"/>
          <w:b/>
          <w:bCs/>
          <w:color w:val="auto"/>
          <w:szCs w:val="32"/>
        </w:rPr>
        <w:t>5.开展安全韧性乡村建设</w:t>
      </w:r>
      <w:bookmarkEnd w:id="291"/>
      <w:bookmarkEnd w:id="292"/>
      <w:bookmarkEnd w:id="293"/>
      <w:bookmarkEnd w:id="294"/>
      <w:bookmarkEnd w:id="295"/>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强化农业生产设施</w:t>
      </w:r>
      <w:r>
        <w:rPr>
          <w:rFonts w:hint="eastAsia" w:ascii="仿宋_GB2312" w:hAnsi="仿宋_GB2312" w:eastAsia="仿宋_GB2312" w:cs="仿宋_GB2312"/>
          <w:color w:val="auto"/>
          <w:szCs w:val="32"/>
          <w:lang w:eastAsia="zh-CN"/>
        </w:rPr>
        <w:t>和</w:t>
      </w:r>
      <w:r>
        <w:rPr>
          <w:rFonts w:hint="eastAsia" w:ascii="仿宋_GB2312" w:hAnsi="仿宋_GB2312" w:eastAsia="仿宋_GB2312" w:cs="仿宋_GB2312"/>
          <w:color w:val="auto"/>
          <w:szCs w:val="32"/>
        </w:rPr>
        <w:t>农村燃气、电力、消防等安全风险源头管控，持续</w:t>
      </w:r>
      <w:r>
        <w:rPr>
          <w:rFonts w:hint="eastAsia" w:ascii="仿宋_GB2312" w:hAnsi="仿宋_GB2312" w:eastAsia="仿宋_GB2312" w:cs="仿宋_GB2312"/>
          <w:color w:val="auto"/>
          <w:szCs w:val="32"/>
          <w:lang w:val="en-US" w:eastAsia="zh-CN"/>
        </w:rPr>
        <w:t>排查整治</w:t>
      </w:r>
      <w:r>
        <w:rPr>
          <w:rFonts w:hint="eastAsia" w:ascii="仿宋_GB2312" w:hAnsi="仿宋_GB2312" w:eastAsia="仿宋_GB2312" w:cs="仿宋_GB2312"/>
          <w:color w:val="auto"/>
          <w:szCs w:val="32"/>
        </w:rPr>
        <w:t>自建房安全隐患。完善“平急两用”公共基础设施</w:t>
      </w:r>
      <w:r>
        <w:rPr>
          <w:rFonts w:hint="eastAsia" w:ascii="仿宋_GB2312" w:hAnsi="仿宋_GB2312" w:eastAsia="仿宋_GB2312" w:cs="仿宋_GB2312"/>
          <w:color w:val="auto"/>
          <w:szCs w:val="32"/>
          <w:lang w:val="en-US" w:eastAsia="zh-CN"/>
        </w:rPr>
        <w:t>和应急响应机制</w:t>
      </w:r>
      <w:r>
        <w:rPr>
          <w:rFonts w:hint="eastAsia" w:ascii="仿宋_GB2312" w:hAnsi="仿宋_GB2312" w:eastAsia="仿宋_GB2312" w:cs="仿宋_GB2312"/>
          <w:color w:val="auto"/>
          <w:szCs w:val="32"/>
        </w:rPr>
        <w:t>。</w:t>
      </w:r>
      <w:bookmarkEnd w:id="283"/>
      <w:bookmarkEnd w:id="284"/>
      <w:bookmarkStart w:id="296" w:name="_Toc8479"/>
      <w:bookmarkStart w:id="297" w:name="_Toc8874"/>
      <w:r>
        <w:rPr>
          <w:rFonts w:hint="eastAsia" w:ascii="仿宋_GB2312" w:hAnsi="仿宋_GB2312" w:eastAsia="仿宋_GB2312" w:cs="仿宋_GB2312"/>
          <w:color w:val="auto"/>
          <w:szCs w:val="32"/>
        </w:rPr>
        <w:t>加强</w:t>
      </w:r>
      <w:r>
        <w:rPr>
          <w:rFonts w:hint="eastAsia" w:ascii="仿宋_GB2312" w:hAnsi="仿宋_GB2312" w:eastAsia="仿宋_GB2312" w:cs="仿宋_GB2312"/>
          <w:color w:val="auto"/>
          <w:szCs w:val="32"/>
          <w:lang w:val="en-US" w:eastAsia="zh-CN"/>
        </w:rPr>
        <w:t>防灾减灾宣传</w:t>
      </w:r>
      <w:r>
        <w:rPr>
          <w:rFonts w:hint="eastAsia" w:ascii="仿宋_GB2312" w:hAnsi="仿宋_GB2312" w:eastAsia="仿宋_GB2312" w:cs="仿宋_GB2312"/>
          <w:color w:val="auto"/>
          <w:szCs w:val="32"/>
        </w:rPr>
        <w:t>教育，提升农村基层干部群众防灾避险和自救互救能力。</w:t>
      </w:r>
    </w:p>
    <w:p w14:paraId="10ECDACE">
      <w:pPr>
        <w:pStyle w:val="2"/>
        <w:spacing w:line="560" w:lineRule="exact"/>
        <w:ind w:firstLine="643" w:firstLineChars="200"/>
        <w:outlineLvl w:val="1"/>
        <w:rPr>
          <w:rFonts w:hint="eastAsia" w:ascii="仿宋_GB2312" w:hAnsi="仿宋_GB2312" w:eastAsia="仿宋_GB2312" w:cs="仿宋_GB2312"/>
          <w:b/>
          <w:color w:val="auto"/>
          <w:szCs w:val="32"/>
        </w:rPr>
      </w:pPr>
      <w:bookmarkStart w:id="298" w:name="_Toc10359"/>
      <w:bookmarkStart w:id="299" w:name="_Toc1822675200"/>
      <w:bookmarkStart w:id="300" w:name="_Toc22507"/>
      <w:bookmarkStart w:id="301" w:name="_Toc1835193008"/>
      <w:bookmarkStart w:id="302" w:name="_Toc23575"/>
      <w:bookmarkStart w:id="303" w:name="_Toc1240449417"/>
      <w:bookmarkStart w:id="304" w:name="_Toc1426534520"/>
      <w:bookmarkStart w:id="305" w:name="_Toc997532626"/>
      <w:r>
        <w:rPr>
          <w:rFonts w:hint="eastAsia" w:ascii="仿宋_GB2312" w:hAnsi="仿宋_GB2312" w:eastAsia="仿宋_GB2312" w:cs="仿宋_GB2312"/>
          <w:b/>
          <w:color w:val="auto"/>
          <w:szCs w:val="32"/>
        </w:rPr>
        <w:t>（二）全面优化乡村人居环境，打造宜居宜业家园</w:t>
      </w:r>
      <w:bookmarkEnd w:id="298"/>
      <w:bookmarkEnd w:id="299"/>
      <w:bookmarkEnd w:id="300"/>
      <w:bookmarkEnd w:id="301"/>
      <w:bookmarkEnd w:id="302"/>
      <w:bookmarkEnd w:id="303"/>
      <w:bookmarkEnd w:id="304"/>
      <w:bookmarkEnd w:id="305"/>
      <w:r>
        <w:rPr>
          <w:rFonts w:hint="eastAsia" w:ascii="仿宋_GB2312" w:hAnsi="仿宋_GB2312" w:eastAsia="仿宋_GB2312" w:cs="仿宋_GB2312"/>
          <w:b/>
          <w:color w:val="auto"/>
          <w:szCs w:val="32"/>
        </w:rPr>
        <w:tab/>
      </w:r>
    </w:p>
    <w:p w14:paraId="761A3281">
      <w:pPr>
        <w:pStyle w:val="2"/>
        <w:spacing w:line="560" w:lineRule="exact"/>
        <w:ind w:firstLine="643" w:firstLineChars="200"/>
        <w:rPr>
          <w:rFonts w:hint="eastAsia" w:ascii="仿宋_GB2312" w:hAnsi="仿宋_GB2312" w:eastAsia="仿宋_GB2312" w:cs="仿宋_GB2312"/>
          <w:strike/>
          <w:color w:val="auto"/>
          <w:szCs w:val="32"/>
        </w:rPr>
      </w:pPr>
      <w:bookmarkStart w:id="306" w:name="_Toc836025224"/>
      <w:bookmarkStart w:id="307" w:name="_Toc892994411"/>
      <w:r>
        <w:rPr>
          <w:rFonts w:hint="eastAsia" w:ascii="仿宋_GB2312" w:hAnsi="仿宋_GB2312" w:eastAsia="仿宋_GB2312" w:cs="仿宋_GB2312"/>
          <w:b/>
          <w:bCs/>
          <w:color w:val="auto"/>
          <w:szCs w:val="32"/>
          <w:lang w:val="en-US" w:eastAsia="zh-CN"/>
        </w:rPr>
        <w:t>1</w:t>
      </w:r>
      <w:r>
        <w:rPr>
          <w:rFonts w:hint="eastAsia" w:ascii="仿宋_GB2312" w:hAnsi="仿宋_GB2312" w:eastAsia="仿宋_GB2312" w:cs="仿宋_GB2312"/>
          <w:b/>
          <w:bCs/>
          <w:color w:val="auto"/>
          <w:szCs w:val="32"/>
        </w:rPr>
        <w:t>.提高农村污水治理水平</w:t>
      </w:r>
      <w:bookmarkEnd w:id="306"/>
      <w:bookmarkEnd w:id="307"/>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推进农村地区污水处理厂（站）改造及污水管网建设。</w:t>
      </w:r>
      <w:r>
        <w:rPr>
          <w:rFonts w:hint="eastAsia" w:ascii="仿宋_GB2312" w:hAnsi="仿宋_GB2312" w:eastAsia="仿宋_GB2312" w:cs="仿宋_GB2312"/>
          <w:color w:val="auto"/>
          <w:szCs w:val="32"/>
          <w:lang w:val="en-US" w:eastAsia="zh-CN"/>
        </w:rPr>
        <w:t>加强</w:t>
      </w:r>
      <w:r>
        <w:rPr>
          <w:rFonts w:hint="eastAsia" w:ascii="仿宋_GB2312" w:hAnsi="仿宋_GB2312" w:eastAsia="仿宋_GB2312" w:cs="仿宋_GB2312"/>
          <w:color w:val="auto"/>
          <w:szCs w:val="32"/>
          <w:lang w:eastAsia="zh-CN"/>
        </w:rPr>
        <w:t>厕污协同</w:t>
      </w:r>
      <w:r>
        <w:rPr>
          <w:rFonts w:hint="eastAsia" w:ascii="仿宋_GB2312" w:hAnsi="仿宋_GB2312" w:eastAsia="仿宋_GB2312" w:cs="仿宋_GB2312"/>
          <w:color w:val="auto"/>
          <w:szCs w:val="32"/>
          <w:lang w:val="en-US" w:eastAsia="zh-CN"/>
        </w:rPr>
        <w:t>治理</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snapToGrid w:val="0"/>
          <w:color w:val="auto"/>
          <w:szCs w:val="32"/>
        </w:rPr>
        <w:t>健全户厕清掏和公厕管护机制。</w:t>
      </w:r>
      <w:r>
        <w:rPr>
          <w:rFonts w:hint="eastAsia" w:ascii="方正仿宋_GB2312" w:hAnsi="方正仿宋_GB2312" w:eastAsia="方正仿宋_GB2312" w:cs="方正仿宋_GB2312"/>
          <w:szCs w:val="32"/>
        </w:rPr>
        <w:t>“查、治、管”</w:t>
      </w:r>
      <w:r>
        <w:rPr>
          <w:rFonts w:hint="eastAsia" w:ascii="仿宋_GB2312" w:hAnsi="仿宋_GB2312" w:eastAsia="仿宋_GB2312" w:cs="仿宋_GB2312"/>
          <w:color w:val="auto"/>
          <w:szCs w:val="32"/>
        </w:rPr>
        <w:t>一体推进农村黑臭水体</w:t>
      </w:r>
      <w:r>
        <w:rPr>
          <w:rFonts w:hint="eastAsia" w:ascii="方正仿宋_GB2312" w:hAnsi="方正仿宋_GB2312" w:eastAsia="方正仿宋_GB2312" w:cs="方正仿宋_GB2312"/>
          <w:szCs w:val="32"/>
        </w:rPr>
        <w:t>治理工作</w:t>
      </w:r>
      <w:r>
        <w:rPr>
          <w:rFonts w:hint="eastAsia" w:ascii="仿宋_GB2312" w:hAnsi="仿宋_GB2312" w:eastAsia="仿宋_GB2312" w:cs="仿宋_GB2312"/>
          <w:color w:val="auto"/>
          <w:szCs w:val="32"/>
        </w:rPr>
        <w:t>，保持动态清零。地表水劣Ⅴ类水体基本消除。</w:t>
      </w:r>
    </w:p>
    <w:p w14:paraId="1B2E51DC">
      <w:pPr>
        <w:pStyle w:val="2"/>
        <w:spacing w:line="560" w:lineRule="exact"/>
        <w:ind w:firstLine="643" w:firstLineChars="200"/>
        <w:rPr>
          <w:rFonts w:hint="eastAsia" w:ascii="仿宋_GB2312" w:hAnsi="仿宋_GB2312" w:eastAsia="仿宋_GB2312" w:cs="仿宋_GB2312"/>
          <w:color w:val="auto"/>
          <w:szCs w:val="32"/>
        </w:rPr>
      </w:pPr>
      <w:bookmarkStart w:id="308" w:name="_Toc2141630075"/>
      <w:bookmarkStart w:id="309" w:name="_Toc10017"/>
      <w:bookmarkStart w:id="310" w:name="_Toc1291868165"/>
      <w:bookmarkStart w:id="311" w:name="_Toc1928419646"/>
      <w:bookmarkStart w:id="312" w:name="_Toc1335015409"/>
      <w:r>
        <w:rPr>
          <w:rFonts w:hint="eastAsia" w:ascii="仿宋_GB2312" w:hAnsi="仿宋_GB2312" w:eastAsia="仿宋_GB2312" w:cs="仿宋_GB2312"/>
          <w:b/>
          <w:bCs/>
          <w:color w:val="auto"/>
          <w:szCs w:val="32"/>
          <w:lang w:val="en-US" w:eastAsia="zh-CN"/>
        </w:rPr>
        <w:t>2</w:t>
      </w:r>
      <w:r>
        <w:rPr>
          <w:rFonts w:hint="eastAsia" w:ascii="仿宋_GB2312" w:hAnsi="仿宋_GB2312" w:eastAsia="仿宋_GB2312" w:cs="仿宋_GB2312"/>
          <w:b/>
          <w:bCs/>
          <w:color w:val="auto"/>
          <w:szCs w:val="32"/>
        </w:rPr>
        <w:t>.提升农村垃圾处理能力</w:t>
      </w:r>
      <w:bookmarkEnd w:id="308"/>
      <w:bookmarkEnd w:id="309"/>
      <w:bookmarkEnd w:id="310"/>
      <w:bookmarkEnd w:id="311"/>
      <w:bookmarkEnd w:id="312"/>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推进生活垃圾分类，升级垃圾收集、转运、处理等设施设备</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生活垃圾处理实现行政村基本全覆盖。推动农村地区建筑垃圾“产运消”全链条</w:t>
      </w:r>
      <w:r>
        <w:rPr>
          <w:rFonts w:hint="eastAsia" w:ascii="仿宋_GB2312" w:hAnsi="仿宋_GB2312" w:eastAsia="仿宋_GB2312" w:cs="仿宋_GB2312"/>
          <w:color w:val="auto"/>
          <w:szCs w:val="32"/>
          <w:lang w:val="en-US" w:eastAsia="zh-CN"/>
        </w:rPr>
        <w:t>闭环管理</w:t>
      </w:r>
      <w:r>
        <w:rPr>
          <w:rFonts w:hint="eastAsia" w:ascii="仿宋_GB2312" w:hAnsi="仿宋_GB2312" w:eastAsia="仿宋_GB2312" w:cs="仿宋_GB2312"/>
          <w:color w:val="auto"/>
          <w:szCs w:val="32"/>
        </w:rPr>
        <w:t>，规范、有效处理建筑垃圾。</w:t>
      </w:r>
      <w:bookmarkStart w:id="313" w:name="_Toc13246"/>
      <w:bookmarkStart w:id="314" w:name="_Toc1369465430"/>
      <w:bookmarkStart w:id="315" w:name="_Toc1794990223"/>
      <w:bookmarkStart w:id="316" w:name="_Toc1655368798"/>
      <w:bookmarkStart w:id="317" w:name="_Toc1341249038"/>
    </w:p>
    <w:p w14:paraId="0AE6F5AA">
      <w:pPr>
        <w:pStyle w:val="2"/>
        <w:spacing w:line="560" w:lineRule="exact"/>
        <w:ind w:firstLine="643" w:firstLineChars="200"/>
        <w:rPr>
          <w:rFonts w:hint="eastAsia" w:ascii="仿宋_GB2312" w:hAnsi="仿宋_GB2312" w:eastAsia="仿宋_GB2312" w:cs="仿宋_GB2312"/>
          <w:color w:val="auto"/>
        </w:rPr>
      </w:pPr>
      <w:r>
        <w:rPr>
          <w:rFonts w:hint="eastAsia" w:ascii="仿宋_GB2312" w:hAnsi="仿宋_GB2312" w:eastAsia="仿宋_GB2312" w:cs="仿宋_GB2312"/>
          <w:b/>
          <w:bCs/>
          <w:color w:val="auto"/>
          <w:szCs w:val="32"/>
          <w:lang w:val="en-US" w:eastAsia="zh-CN"/>
        </w:rPr>
        <w:t>3</w:t>
      </w:r>
      <w:r>
        <w:rPr>
          <w:rFonts w:hint="eastAsia" w:ascii="仿宋_GB2312" w:hAnsi="仿宋_GB2312" w:eastAsia="仿宋_GB2312" w:cs="仿宋_GB2312"/>
          <w:b/>
          <w:bCs/>
          <w:color w:val="auto"/>
          <w:szCs w:val="32"/>
        </w:rPr>
        <w:t>.强化乡村风貌品质提升</w:t>
      </w:r>
      <w:bookmarkEnd w:id="313"/>
      <w:bookmarkEnd w:id="314"/>
      <w:bookmarkEnd w:id="315"/>
      <w:bookmarkEnd w:id="316"/>
      <w:bookmarkEnd w:id="317"/>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开展村庄清洁行动，</w:t>
      </w:r>
      <w:r>
        <w:rPr>
          <w:rFonts w:hint="eastAsia" w:ascii="仿宋_GB2312" w:hAnsi="仿宋_GB2312" w:eastAsia="仿宋_GB2312" w:cs="仿宋_GB2312"/>
          <w:color w:val="auto"/>
          <w:szCs w:val="32"/>
          <w:lang w:val="en-US" w:eastAsia="zh-CN"/>
        </w:rPr>
        <w:t>加强人居环境整治</w:t>
      </w:r>
      <w:r>
        <w:rPr>
          <w:rFonts w:hint="eastAsia" w:ascii="仿宋_GB2312" w:hAnsi="仿宋_GB2312" w:eastAsia="仿宋_GB2312" w:cs="仿宋_GB2312"/>
          <w:color w:val="auto"/>
          <w:szCs w:val="32"/>
          <w:lang w:eastAsia="zh-CN"/>
        </w:rPr>
        <w:t>，整区推进美丽乡村建设</w:t>
      </w:r>
      <w:r>
        <w:rPr>
          <w:rFonts w:hint="eastAsia" w:ascii="仿宋_GB2312" w:hAnsi="仿宋_GB2312" w:eastAsia="仿宋_GB2312" w:cs="仿宋_GB2312"/>
          <w:color w:val="auto"/>
          <w:szCs w:val="32"/>
          <w:lang w:val="en-US" w:eastAsia="zh-CN"/>
        </w:rPr>
        <w:t>。</w:t>
      </w:r>
      <w:r>
        <w:rPr>
          <w:rFonts w:hint="eastAsia" w:ascii="仿宋_GB2312" w:hAnsi="仿宋_GB2312" w:eastAsia="仿宋_GB2312" w:cs="仿宋_GB2312"/>
          <w:color w:val="auto"/>
          <w:szCs w:val="32"/>
        </w:rPr>
        <w:t>全面推进村庄公共活动场所绿化美化，建设</w:t>
      </w:r>
      <w:r>
        <w:rPr>
          <w:rFonts w:hint="eastAsia" w:ascii="仿宋_GB2312" w:hAnsi="仿宋_GB2312" w:eastAsia="仿宋_GB2312" w:cs="仿宋_GB2312"/>
          <w:color w:val="auto"/>
        </w:rPr>
        <w:t>现代</w:t>
      </w:r>
      <w:r>
        <w:rPr>
          <w:rFonts w:hint="eastAsia" w:ascii="仿宋_GB2312" w:hAnsi="仿宋_GB2312" w:eastAsia="仿宋_GB2312" w:cs="仿宋_GB2312"/>
          <w:color w:val="auto"/>
          <w:szCs w:val="32"/>
        </w:rPr>
        <w:t>宜居农房和美丽庭院，继续开展花园村庄建设。村庄绿化覆盖率达到32%。</w:t>
      </w:r>
    </w:p>
    <w:bookmarkEnd w:id="285"/>
    <w:bookmarkEnd w:id="286"/>
    <w:bookmarkEnd w:id="287"/>
    <w:bookmarkEnd w:id="288"/>
    <w:bookmarkEnd w:id="289"/>
    <w:bookmarkEnd w:id="290"/>
    <w:bookmarkEnd w:id="296"/>
    <w:bookmarkEnd w:id="297"/>
    <w:p w14:paraId="77ECF947">
      <w:pPr>
        <w:pStyle w:val="2"/>
        <w:spacing w:line="560" w:lineRule="exact"/>
        <w:ind w:firstLine="643" w:firstLineChars="200"/>
        <w:outlineLvl w:val="1"/>
        <w:rPr>
          <w:rFonts w:hint="eastAsia" w:ascii="仿宋_GB2312" w:hAnsi="仿宋_GB2312" w:eastAsia="仿宋_GB2312" w:cs="仿宋_GB2312"/>
          <w:b/>
          <w:color w:val="auto"/>
          <w:szCs w:val="32"/>
        </w:rPr>
      </w:pPr>
      <w:bookmarkStart w:id="318" w:name="_Toc495988489"/>
      <w:bookmarkStart w:id="319" w:name="_Toc10105"/>
      <w:bookmarkStart w:id="320" w:name="_Toc1181357438"/>
      <w:bookmarkStart w:id="321" w:name="_Toc383136053"/>
      <w:bookmarkStart w:id="322" w:name="_Toc1045669950"/>
      <w:bookmarkStart w:id="323" w:name="_Toc3041"/>
      <w:bookmarkStart w:id="324" w:name="_Toc222590987"/>
      <w:bookmarkStart w:id="325" w:name="_Toc14831"/>
      <w:bookmarkStart w:id="326" w:name="_Toc13876"/>
      <w:bookmarkStart w:id="327" w:name="_Toc6496"/>
      <w:bookmarkStart w:id="328" w:name="_Toc13385"/>
      <w:bookmarkStart w:id="329" w:name="_Toc7645"/>
      <w:bookmarkStart w:id="330" w:name="_Toc15927"/>
      <w:bookmarkStart w:id="331" w:name="_Toc8655"/>
      <w:bookmarkStart w:id="332" w:name="_Toc29485"/>
      <w:bookmarkStart w:id="333" w:name="_Toc29104"/>
      <w:r>
        <w:rPr>
          <w:rFonts w:hint="eastAsia" w:ascii="仿宋_GB2312" w:hAnsi="仿宋_GB2312" w:eastAsia="仿宋_GB2312" w:cs="仿宋_GB2312"/>
          <w:b/>
          <w:color w:val="auto"/>
          <w:szCs w:val="32"/>
        </w:rPr>
        <w:t>（三）提高基本公共服务水平，增进民生福祉保障</w:t>
      </w:r>
      <w:bookmarkEnd w:id="318"/>
      <w:bookmarkEnd w:id="319"/>
      <w:bookmarkEnd w:id="320"/>
      <w:bookmarkEnd w:id="321"/>
      <w:bookmarkEnd w:id="322"/>
      <w:bookmarkEnd w:id="323"/>
      <w:bookmarkEnd w:id="324"/>
      <w:bookmarkEnd w:id="325"/>
    </w:p>
    <w:p w14:paraId="6EC544D8">
      <w:pPr>
        <w:pStyle w:val="2"/>
        <w:spacing w:line="560" w:lineRule="exact"/>
        <w:ind w:firstLine="643" w:firstLineChars="200"/>
        <w:rPr>
          <w:rFonts w:hint="eastAsia" w:ascii="仿宋_GB2312" w:hAnsi="仿宋_GB2312" w:eastAsia="仿宋_GB2312" w:cs="仿宋_GB2312"/>
          <w:color w:val="auto"/>
          <w:szCs w:val="32"/>
        </w:rPr>
      </w:pPr>
      <w:bookmarkStart w:id="334" w:name="_Toc549795112"/>
      <w:bookmarkStart w:id="335" w:name="_Toc163364504"/>
      <w:bookmarkStart w:id="336" w:name="_Toc1736822883"/>
      <w:bookmarkStart w:id="337" w:name="_Toc910029153"/>
      <w:bookmarkStart w:id="338" w:name="_Toc11649"/>
      <w:r>
        <w:rPr>
          <w:rFonts w:hint="eastAsia" w:ascii="仿宋_GB2312" w:hAnsi="仿宋_GB2312" w:eastAsia="仿宋_GB2312" w:cs="仿宋_GB2312"/>
          <w:b/>
          <w:bCs/>
          <w:color w:val="auto"/>
          <w:szCs w:val="32"/>
        </w:rPr>
        <w:t>1.提高农村教育质量效能</w:t>
      </w:r>
      <w:bookmarkEnd w:id="334"/>
      <w:bookmarkEnd w:id="335"/>
      <w:bookmarkEnd w:id="336"/>
      <w:bookmarkEnd w:id="337"/>
      <w:bookmarkEnd w:id="338"/>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探索多元化托育服务模式，支持公办幼儿园提供托育服务，实现“小小孩”幼有所托，普惠托位占比达到75%。推进校园硬件设施提升与环境改造，推广智慧教室应用。推进校长（园长）、教师交流轮岗制度。</w:t>
      </w:r>
    </w:p>
    <w:p w14:paraId="2EDE9E9F">
      <w:pPr>
        <w:pStyle w:val="2"/>
        <w:spacing w:line="560" w:lineRule="exact"/>
        <w:ind w:firstLine="643" w:firstLineChars="200"/>
        <w:rPr>
          <w:rFonts w:hint="eastAsia" w:ascii="仿宋_GB2312" w:hAnsi="仿宋_GB2312" w:eastAsia="仿宋_GB2312" w:cs="仿宋_GB2312"/>
          <w:strike/>
          <w:color w:val="auto"/>
          <w:szCs w:val="32"/>
        </w:rPr>
      </w:pPr>
      <w:bookmarkStart w:id="339" w:name="_Toc1318220037"/>
      <w:bookmarkStart w:id="340" w:name="_Toc11761"/>
      <w:bookmarkStart w:id="341" w:name="_Toc417690730"/>
      <w:bookmarkStart w:id="342" w:name="_Toc897878352"/>
      <w:bookmarkStart w:id="343" w:name="_Toc1892328100"/>
      <w:r>
        <w:rPr>
          <w:rFonts w:hint="eastAsia" w:ascii="仿宋_GB2312" w:hAnsi="仿宋_GB2312" w:eastAsia="仿宋_GB2312" w:cs="仿宋_GB2312"/>
          <w:b/>
          <w:bCs/>
          <w:color w:val="auto"/>
          <w:szCs w:val="32"/>
        </w:rPr>
        <w:t>2.提升农村医疗卫生水平</w:t>
      </w:r>
      <w:bookmarkEnd w:id="339"/>
      <w:bookmarkEnd w:id="340"/>
      <w:bookmarkEnd w:id="341"/>
      <w:bookmarkEnd w:id="342"/>
      <w:bookmarkEnd w:id="343"/>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推动镇村医疗卫生机构一体化管理，逐步实现村卫生室提供中医药服务和医保定点管理全覆盖。开展乡村医生岗位订单定向免费培养，提高具备执业（助理）医师资格的乡村医生人员比例。加强农村传染病防控和应急处置能力建设。</w:t>
      </w:r>
    </w:p>
    <w:p w14:paraId="2D0292AF">
      <w:pPr>
        <w:pStyle w:val="2"/>
        <w:spacing w:line="560" w:lineRule="exact"/>
        <w:ind w:firstLine="643" w:firstLineChars="200"/>
        <w:rPr>
          <w:rFonts w:hint="eastAsia" w:ascii="仿宋_GB2312" w:hAnsi="仿宋_GB2312" w:eastAsia="仿宋_GB2312" w:cs="仿宋_GB2312"/>
          <w:color w:val="auto"/>
          <w:szCs w:val="32"/>
        </w:rPr>
      </w:pPr>
      <w:bookmarkStart w:id="344" w:name="_Toc1819621865"/>
      <w:bookmarkStart w:id="345" w:name="_Toc1023594919"/>
      <w:bookmarkStart w:id="346" w:name="_Toc952382824"/>
      <w:bookmarkStart w:id="347" w:name="_Toc397968971"/>
      <w:bookmarkStart w:id="348" w:name="_Toc4729"/>
      <w:r>
        <w:rPr>
          <w:rFonts w:hint="eastAsia" w:ascii="仿宋_GB2312" w:hAnsi="仿宋_GB2312" w:eastAsia="仿宋_GB2312" w:cs="仿宋_GB2312"/>
          <w:b/>
          <w:bCs/>
          <w:color w:val="auto"/>
          <w:szCs w:val="32"/>
        </w:rPr>
        <w:t>3.完善养老服务资源配置</w:t>
      </w:r>
      <w:bookmarkEnd w:id="344"/>
      <w:bookmarkEnd w:id="345"/>
      <w:bookmarkEnd w:id="346"/>
      <w:bookmarkEnd w:id="347"/>
      <w:bookmarkEnd w:id="348"/>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扩大</w:t>
      </w:r>
      <w:r>
        <w:rPr>
          <w:rFonts w:hint="eastAsia" w:ascii="仿宋_GB2312" w:hAnsi="仿宋_GB2312" w:eastAsia="仿宋_GB2312" w:cs="仿宋_GB2312"/>
          <w:color w:val="auto"/>
          <w:szCs w:val="32"/>
          <w:lang w:val="en-US" w:eastAsia="zh-CN"/>
        </w:rPr>
        <w:t>居家</w:t>
      </w:r>
      <w:r>
        <w:rPr>
          <w:rFonts w:hint="eastAsia" w:ascii="仿宋_GB2312" w:hAnsi="仿宋_GB2312" w:eastAsia="仿宋_GB2312" w:cs="仿宋_GB2312"/>
          <w:color w:val="auto"/>
          <w:szCs w:val="32"/>
        </w:rPr>
        <w:t>照护覆盖范围和医养联合体试点范围，健全</w:t>
      </w:r>
      <w:r>
        <w:rPr>
          <w:rFonts w:hint="eastAsia" w:ascii="仿宋_GB2312" w:hAnsi="仿宋_GB2312" w:eastAsia="仿宋_GB2312" w:cs="仿宋_GB2312"/>
          <w:color w:val="auto"/>
          <w:szCs w:val="32"/>
          <w:lang w:val="en-US" w:eastAsia="zh-CN"/>
        </w:rPr>
        <w:t>区、镇（街道）、村（社区）</w:t>
      </w:r>
      <w:r>
        <w:rPr>
          <w:rFonts w:hint="eastAsia" w:ascii="仿宋_GB2312" w:hAnsi="仿宋_GB2312" w:eastAsia="仿宋_GB2312" w:cs="仿宋_GB2312"/>
          <w:color w:val="auto"/>
          <w:szCs w:val="32"/>
        </w:rPr>
        <w:t>三级养老服务网络。完善</w:t>
      </w:r>
      <w:r>
        <w:rPr>
          <w:rFonts w:hint="eastAsia" w:ascii="仿宋_GB2312" w:hAnsi="仿宋_GB2312" w:eastAsia="仿宋_GB2312" w:cs="仿宋_GB2312"/>
          <w:color w:val="auto"/>
          <w:szCs w:val="32"/>
          <w:lang w:val="en-US" w:eastAsia="zh-CN"/>
        </w:rPr>
        <w:t>居家、机构、互助养老及助餐服务体系</w:t>
      </w:r>
      <w:r>
        <w:rPr>
          <w:rFonts w:hint="eastAsia" w:ascii="仿宋_GB2312" w:hAnsi="仿宋_GB2312" w:eastAsia="仿宋_GB2312" w:cs="仿宋_GB2312"/>
          <w:color w:val="auto"/>
          <w:szCs w:val="32"/>
        </w:rPr>
        <w:t>，每千人拥有养老床位数8.25张</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逐步实现农村“老老人”</w:t>
      </w:r>
      <w:r>
        <w:rPr>
          <w:rFonts w:hint="eastAsia" w:ascii="仿宋_GB2312" w:hAnsi="仿宋_GB2312" w:eastAsia="仿宋_GB2312" w:cs="仿宋_GB2312"/>
          <w:color w:val="auto"/>
          <w:szCs w:val="32"/>
          <w:lang w:val="en-US" w:eastAsia="zh-CN"/>
        </w:rPr>
        <w:t>养老服务</w:t>
      </w:r>
      <w:r>
        <w:rPr>
          <w:rFonts w:hint="eastAsia" w:ascii="仿宋_GB2312" w:hAnsi="仿宋_GB2312" w:eastAsia="仿宋_GB2312" w:cs="仿宋_GB2312"/>
          <w:color w:val="auto"/>
          <w:szCs w:val="32"/>
        </w:rPr>
        <w:t>全覆盖</w:t>
      </w:r>
      <w:bookmarkStart w:id="349" w:name="_Toc6925"/>
      <w:bookmarkStart w:id="350" w:name="_Toc1426138479"/>
      <w:bookmarkStart w:id="351" w:name="_Toc940511969"/>
      <w:bookmarkStart w:id="352" w:name="_Toc675676802"/>
      <w:bookmarkStart w:id="353" w:name="_Toc115406489"/>
      <w:r>
        <w:rPr>
          <w:rFonts w:hint="eastAsia" w:ascii="仿宋_GB2312" w:hAnsi="仿宋_GB2312" w:eastAsia="仿宋_GB2312" w:cs="仿宋_GB2312"/>
          <w:color w:val="auto"/>
          <w:szCs w:val="32"/>
        </w:rPr>
        <w:t>。</w:t>
      </w:r>
    </w:p>
    <w:p w14:paraId="6612237F">
      <w:pPr>
        <w:pStyle w:val="2"/>
        <w:spacing w:line="560" w:lineRule="exact"/>
        <w:ind w:firstLine="643"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4.提质乡村便民消费服务</w:t>
      </w:r>
      <w:bookmarkEnd w:id="349"/>
      <w:bookmarkEnd w:id="350"/>
      <w:bookmarkEnd w:id="351"/>
      <w:bookmarkEnd w:id="352"/>
      <w:bookmarkEnd w:id="353"/>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进一步完善乡镇商业服务网点布局，推动大型商业连锁企业下沉农村市场。推进农村电商高质量发展。强化区镇村三级物流配送体系服务，发展中转集运、共同配送、供销集配、</w:t>
      </w:r>
      <w:r>
        <w:rPr>
          <w:rFonts w:hint="eastAsia" w:ascii="仿宋_GB2312" w:hAnsi="仿宋_GB2312" w:eastAsia="仿宋_GB2312" w:cs="仿宋_GB2312"/>
          <w:color w:val="auto"/>
          <w:szCs w:val="32"/>
          <w:shd w:val="clear" w:color="auto" w:fill="FFFFFF"/>
        </w:rPr>
        <w:t>即时零售等模式，</w:t>
      </w:r>
      <w:r>
        <w:rPr>
          <w:rFonts w:hint="eastAsia" w:ascii="仿宋_GB2312" w:hAnsi="仿宋_GB2312" w:eastAsia="仿宋_GB2312" w:cs="仿宋_GB2312"/>
          <w:color w:val="auto"/>
          <w:szCs w:val="32"/>
        </w:rPr>
        <w:t>支持物流设施共建共享。</w:t>
      </w:r>
    </w:p>
    <w:p w14:paraId="08EB475E">
      <w:pPr>
        <w:pStyle w:val="2"/>
        <w:spacing w:line="560" w:lineRule="exact"/>
        <w:ind w:firstLine="643" w:firstLineChars="200"/>
        <w:rPr>
          <w:rFonts w:hint="eastAsia" w:ascii="仿宋_GB2312" w:hAnsi="仿宋_GB2312" w:eastAsia="仿宋_GB2312" w:cs="仿宋_GB2312"/>
          <w:color w:val="auto"/>
        </w:rPr>
      </w:pPr>
      <w:bookmarkStart w:id="354" w:name="_Toc1718840300"/>
      <w:bookmarkStart w:id="355" w:name="_Toc26551"/>
      <w:bookmarkStart w:id="356" w:name="_Toc1275457506"/>
      <w:bookmarkStart w:id="357" w:name="_Toc1000619015"/>
      <w:bookmarkStart w:id="358" w:name="_Toc948763517"/>
      <w:r>
        <w:rPr>
          <w:rFonts w:hint="eastAsia" w:ascii="仿宋_GB2312" w:hAnsi="仿宋_GB2312" w:eastAsia="仿宋_GB2312" w:cs="仿宋_GB2312"/>
          <w:b/>
          <w:bCs/>
          <w:color w:val="auto"/>
          <w:szCs w:val="32"/>
        </w:rPr>
        <w:t>5.增强体育公共服务能力</w:t>
      </w:r>
      <w:bookmarkEnd w:id="354"/>
      <w:bookmarkEnd w:id="355"/>
      <w:bookmarkEnd w:id="356"/>
      <w:bookmarkEnd w:id="357"/>
      <w:bookmarkEnd w:id="358"/>
      <w:r>
        <w:rPr>
          <w:rFonts w:hint="eastAsia" w:ascii="仿宋_GB2312" w:hAnsi="仿宋_GB2312" w:eastAsia="仿宋_GB2312" w:cs="仿宋_GB2312"/>
          <w:b/>
          <w:bCs/>
          <w:color w:val="auto"/>
          <w:szCs w:val="32"/>
        </w:rPr>
        <w:t>。</w:t>
      </w:r>
      <w:bookmarkStart w:id="359" w:name="_Toc29619"/>
      <w:r>
        <w:rPr>
          <w:rFonts w:hint="eastAsia" w:ascii="仿宋_GB2312" w:hAnsi="仿宋_GB2312" w:eastAsia="仿宋_GB2312" w:cs="仿宋_GB2312"/>
          <w:color w:val="auto"/>
        </w:rPr>
        <w:t>持续实施全民健身场地设施提升行动，增设健身设施、球类场地等健身活动场所；</w:t>
      </w:r>
      <w:r>
        <w:rPr>
          <w:rFonts w:hint="eastAsia" w:ascii="仿宋_GB2312" w:hAnsi="仿宋_GB2312" w:eastAsia="仿宋_GB2312" w:cs="仿宋_GB2312"/>
          <w:color w:val="auto"/>
          <w:szCs w:val="32"/>
        </w:rPr>
        <w:t>推动校园和公共体育设施</w:t>
      </w:r>
      <w:r>
        <w:rPr>
          <w:rFonts w:hint="eastAsia" w:ascii="仿宋_GB2312" w:hAnsi="仿宋_GB2312" w:eastAsia="仿宋_GB2312" w:cs="仿宋_GB2312"/>
          <w:color w:val="auto"/>
          <w:szCs w:val="32"/>
          <w:lang w:eastAsia="zh-CN"/>
        </w:rPr>
        <w:t>有序</w:t>
      </w:r>
      <w:r>
        <w:rPr>
          <w:rFonts w:hint="eastAsia" w:ascii="仿宋_GB2312" w:hAnsi="仿宋_GB2312" w:eastAsia="仿宋_GB2312" w:cs="仿宋_GB2312"/>
          <w:color w:val="auto"/>
          <w:szCs w:val="32"/>
        </w:rPr>
        <w:t>开放。</w:t>
      </w:r>
      <w:r>
        <w:rPr>
          <w:rFonts w:hint="eastAsia" w:ascii="Times New Roman" w:hAnsi="Times New Roman" w:eastAsia="方正仿宋_GB2312"/>
        </w:rPr>
        <w:t>组织</w:t>
      </w:r>
      <w:r>
        <w:rPr>
          <w:rFonts w:hint="eastAsia" w:ascii="仿宋_GB2312" w:hAnsi="仿宋_GB2312" w:eastAsia="仿宋_GB2312" w:cs="仿宋_GB2312"/>
          <w:color w:val="auto"/>
        </w:rPr>
        <w:t>趣味运动会、传统民俗体育活动</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通过</w:t>
      </w:r>
      <w:r>
        <w:rPr>
          <w:rFonts w:hint="eastAsia" w:ascii="仿宋_GB2312" w:hAnsi="仿宋_GB2312" w:eastAsia="仿宋_GB2312" w:cs="仿宋_GB2312"/>
          <w:color w:val="auto"/>
        </w:rPr>
        <w:t>“村超”、“村BA”</w:t>
      </w:r>
      <w:r>
        <w:rPr>
          <w:rFonts w:hint="eastAsia" w:ascii="仿宋_GB2312" w:hAnsi="仿宋_GB2312" w:eastAsia="仿宋_GB2312" w:cs="仿宋_GB2312"/>
          <w:color w:val="auto"/>
          <w:lang w:val="en-US" w:eastAsia="zh-CN"/>
        </w:rPr>
        <w:t>等群众性</w:t>
      </w:r>
      <w:r>
        <w:rPr>
          <w:rFonts w:hint="eastAsia" w:ascii="仿宋_GB2312" w:hAnsi="仿宋_GB2312" w:eastAsia="仿宋_GB2312" w:cs="仿宋_GB2312"/>
          <w:color w:val="auto"/>
        </w:rPr>
        <w:t>赛事，</w:t>
      </w:r>
      <w:r>
        <w:rPr>
          <w:rFonts w:hint="eastAsia" w:ascii="仿宋_GB2312" w:hAnsi="仿宋_GB2312" w:eastAsia="仿宋_GB2312" w:cs="仿宋_GB2312"/>
          <w:color w:val="auto"/>
          <w:lang w:val="en-US" w:eastAsia="zh-CN"/>
        </w:rPr>
        <w:t>培育乡村</w:t>
      </w:r>
      <w:r>
        <w:rPr>
          <w:rFonts w:hint="eastAsia" w:ascii="仿宋_GB2312" w:hAnsi="仿宋_GB2312" w:eastAsia="仿宋_GB2312" w:cs="仿宋_GB2312"/>
          <w:color w:val="auto"/>
        </w:rPr>
        <w:t>品牌赛事。</w:t>
      </w:r>
      <w:bookmarkEnd w:id="326"/>
      <w:bookmarkEnd w:id="327"/>
      <w:bookmarkEnd w:id="328"/>
      <w:bookmarkEnd w:id="329"/>
      <w:bookmarkEnd w:id="330"/>
      <w:bookmarkEnd w:id="331"/>
      <w:bookmarkEnd w:id="332"/>
      <w:bookmarkEnd w:id="333"/>
      <w:bookmarkEnd w:id="359"/>
      <w:bookmarkStart w:id="360" w:name="_Toc24537"/>
      <w:bookmarkStart w:id="361" w:name="_Toc30516"/>
      <w:bookmarkStart w:id="362" w:name="_Toc29629"/>
      <w:bookmarkStart w:id="363" w:name="_Toc19013"/>
      <w:bookmarkStart w:id="364" w:name="_Toc16938"/>
      <w:bookmarkStart w:id="365" w:name="_Toc2580"/>
      <w:bookmarkStart w:id="366" w:name="_Toc6696"/>
    </w:p>
    <w:bookmarkEnd w:id="360"/>
    <w:bookmarkEnd w:id="361"/>
    <w:bookmarkEnd w:id="362"/>
    <w:bookmarkEnd w:id="363"/>
    <w:bookmarkEnd w:id="364"/>
    <w:bookmarkEnd w:id="365"/>
    <w:bookmarkEnd w:id="366"/>
    <w:p w14:paraId="59B1628C">
      <w:pPr>
        <w:pStyle w:val="2"/>
        <w:spacing w:line="560" w:lineRule="exact"/>
        <w:ind w:firstLine="643" w:firstLineChars="200"/>
        <w:outlineLvl w:val="1"/>
        <w:rPr>
          <w:rFonts w:hint="eastAsia" w:ascii="仿宋_GB2312" w:hAnsi="仿宋_GB2312" w:eastAsia="仿宋_GB2312" w:cs="仿宋_GB2312"/>
          <w:b/>
          <w:color w:val="auto"/>
          <w:szCs w:val="32"/>
        </w:rPr>
      </w:pPr>
      <w:bookmarkStart w:id="367" w:name="_Toc1864560010"/>
      <w:bookmarkStart w:id="368" w:name="_Toc475026730"/>
      <w:bookmarkStart w:id="369" w:name="_Toc2005460522"/>
      <w:bookmarkStart w:id="370" w:name="_Toc9649"/>
      <w:bookmarkStart w:id="371" w:name="_Toc563627697"/>
      <w:bookmarkStart w:id="372" w:name="_Toc30887"/>
      <w:bookmarkStart w:id="373" w:name="_Toc171270183"/>
      <w:bookmarkStart w:id="374" w:name="_Toc17377"/>
      <w:bookmarkStart w:id="375" w:name="_Toc19851"/>
      <w:bookmarkStart w:id="376" w:name="_Toc30591"/>
      <w:bookmarkStart w:id="377" w:name="_Toc13044"/>
      <w:bookmarkStart w:id="378" w:name="_Toc21426"/>
      <w:bookmarkStart w:id="379" w:name="_Toc6065"/>
      <w:bookmarkStart w:id="380" w:name="_Toc9309"/>
      <w:bookmarkStart w:id="381" w:name="_Toc28461"/>
      <w:bookmarkStart w:id="382" w:name="_Toc11145"/>
      <w:r>
        <w:rPr>
          <w:rFonts w:hint="eastAsia" w:ascii="仿宋_GB2312" w:hAnsi="仿宋_GB2312" w:eastAsia="仿宋_GB2312" w:cs="仿宋_GB2312"/>
          <w:b/>
          <w:color w:val="auto"/>
          <w:szCs w:val="32"/>
        </w:rPr>
        <w:t>（四）持续提升党建引领水平，促进</w:t>
      </w:r>
      <w:bookmarkEnd w:id="367"/>
      <w:bookmarkEnd w:id="368"/>
      <w:bookmarkEnd w:id="369"/>
      <w:bookmarkEnd w:id="370"/>
      <w:bookmarkEnd w:id="371"/>
      <w:r>
        <w:rPr>
          <w:rFonts w:hint="eastAsia" w:ascii="仿宋_GB2312" w:hAnsi="仿宋_GB2312" w:eastAsia="仿宋_GB2312" w:cs="仿宋_GB2312"/>
          <w:b/>
          <w:color w:val="auto"/>
          <w:szCs w:val="32"/>
        </w:rPr>
        <w:t>乡村有效治理</w:t>
      </w:r>
      <w:bookmarkEnd w:id="372"/>
      <w:bookmarkEnd w:id="373"/>
      <w:bookmarkEnd w:id="374"/>
    </w:p>
    <w:p w14:paraId="04638F59">
      <w:pPr>
        <w:pStyle w:val="2"/>
        <w:spacing w:line="560" w:lineRule="exact"/>
        <w:ind w:firstLine="643" w:firstLineChars="200"/>
        <w:rPr>
          <w:rFonts w:hint="eastAsia" w:ascii="仿宋_GB2312" w:hAnsi="仿宋_GB2312" w:eastAsia="仿宋_GB2312" w:cs="仿宋_GB2312"/>
          <w:color w:val="auto"/>
        </w:rPr>
      </w:pPr>
      <w:bookmarkStart w:id="383" w:name="_Toc18928"/>
      <w:bookmarkStart w:id="384" w:name="_Toc243062138"/>
      <w:bookmarkStart w:id="385" w:name="_Toc34791920"/>
      <w:bookmarkStart w:id="386" w:name="_Toc2049120464"/>
      <w:bookmarkStart w:id="387" w:name="_Toc761017759"/>
      <w:r>
        <w:rPr>
          <w:rFonts w:hint="eastAsia" w:ascii="仿宋_GB2312" w:hAnsi="仿宋_GB2312" w:eastAsia="仿宋_GB2312" w:cs="仿宋_GB2312"/>
          <w:b/>
          <w:bCs/>
          <w:color w:val="auto"/>
          <w:szCs w:val="32"/>
        </w:rPr>
        <w:t>1.健全农村基层治理体系</w:t>
      </w:r>
      <w:bookmarkEnd w:id="383"/>
      <w:bookmarkEnd w:id="384"/>
      <w:bookmarkEnd w:id="385"/>
      <w:bookmarkEnd w:id="386"/>
      <w:bookmarkEnd w:id="387"/>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rPr>
        <w:t>推动“两委”班子规范化建设，从严加强干部监督管理，规范权力运行。持续推进党群服务中心等阵地建设，提升服务效能。深入实施乡镇党政机关人员驻村工作制，扎实开展第一书记优选优派。持续开展村级党组织分类提升，整顿软弱涣散村党组织，以党建引领乡村治理提效。</w:t>
      </w:r>
    </w:p>
    <w:p w14:paraId="3601EECF">
      <w:pPr>
        <w:pStyle w:val="2"/>
        <w:spacing w:line="560" w:lineRule="exact"/>
        <w:ind w:firstLine="643" w:firstLineChars="200"/>
        <w:rPr>
          <w:rFonts w:hint="eastAsia" w:ascii="仿宋_GB2312" w:hAnsi="仿宋_GB2312" w:eastAsia="仿宋_GB2312" w:cs="仿宋_GB2312"/>
          <w:color w:val="auto"/>
        </w:rPr>
      </w:pPr>
      <w:bookmarkStart w:id="388" w:name="_Toc1849693516"/>
      <w:bookmarkStart w:id="389" w:name="_Toc993536785"/>
      <w:bookmarkStart w:id="390" w:name="_Toc1634265859"/>
      <w:bookmarkStart w:id="391" w:name="_Toc32219"/>
      <w:bookmarkStart w:id="392" w:name="_Toc27143826"/>
      <w:r>
        <w:rPr>
          <w:rFonts w:hint="eastAsia" w:ascii="仿宋_GB2312" w:hAnsi="仿宋_GB2312" w:eastAsia="仿宋_GB2312" w:cs="仿宋_GB2312"/>
          <w:b/>
          <w:bCs/>
          <w:color w:val="auto"/>
          <w:szCs w:val="32"/>
        </w:rPr>
        <w:t>2.深化“三治融合”实践</w:t>
      </w:r>
      <w:bookmarkEnd w:id="388"/>
      <w:bookmarkEnd w:id="389"/>
      <w:bookmarkEnd w:id="390"/>
      <w:bookmarkEnd w:id="391"/>
      <w:bookmarkEnd w:id="392"/>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rPr>
        <w:t>持续做优“一核多元共治”等基层自治模式，不断探索多方协同自治路径。以新“村规民约”为抓手，引导村民自觉遵守道德规范。</w:t>
      </w:r>
      <w:r>
        <w:rPr>
          <w:rFonts w:hint="eastAsia" w:ascii="仿宋_GB2312" w:hAnsi="仿宋_GB2312" w:eastAsia="仿宋_GB2312" w:cs="仿宋_GB2312"/>
          <w:color w:val="auto"/>
          <w:highlight w:val="none"/>
          <w:lang w:val="en-US" w:eastAsia="zh-CN"/>
        </w:rPr>
        <w:t>以“12345”市民服务热线为抓手，坚持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接诉即办</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完善</w:t>
      </w:r>
      <w:r>
        <w:rPr>
          <w:rFonts w:hint="eastAsia" w:ascii="仿宋_GB2312" w:hAnsi="仿宋_GB2312" w:eastAsia="仿宋_GB2312" w:cs="仿宋_GB2312"/>
          <w:color w:val="auto"/>
          <w:highlight w:val="none"/>
        </w:rPr>
        <w:t>乡村社会矛盾多元调处化解机制</w:t>
      </w:r>
      <w:r>
        <w:rPr>
          <w:rFonts w:hint="eastAsia" w:ascii="仿宋_GB2312" w:hAnsi="仿宋_GB2312" w:eastAsia="仿宋_GB2312" w:cs="仿宋_GB2312"/>
          <w:color w:val="auto"/>
          <w:highlight w:val="none"/>
          <w:lang w:val="en-US" w:eastAsia="zh-CN"/>
        </w:rPr>
        <w:t>，推进源头治理，实现</w:t>
      </w:r>
      <w:r>
        <w:rPr>
          <w:rFonts w:hint="eastAsia" w:ascii="仿宋_GB2312" w:hAnsi="仿宋_GB2312" w:eastAsia="仿宋_GB2312" w:cs="仿宋_GB2312"/>
          <w:color w:val="auto"/>
          <w:highlight w:val="none"/>
        </w:rPr>
        <w:t>“未诉先办”。</w:t>
      </w:r>
      <w:r>
        <w:rPr>
          <w:rFonts w:hint="eastAsia" w:ascii="仿宋_GB2312" w:hAnsi="仿宋_GB2312" w:eastAsia="仿宋_GB2312" w:cs="仿宋_GB2312"/>
          <w:color w:val="auto"/>
          <w:highlight w:val="none"/>
          <w:lang w:val="en-US" w:eastAsia="zh-CN"/>
        </w:rPr>
        <w:t>全力抓实农村地区平安建设，常态化开展</w:t>
      </w:r>
      <w:r>
        <w:rPr>
          <w:rFonts w:hint="eastAsia" w:ascii="仿宋_GB2312" w:hAnsi="仿宋_GB2312" w:eastAsia="仿宋_GB2312" w:cs="仿宋_GB2312"/>
          <w:color w:val="auto"/>
          <w:szCs w:val="32"/>
          <w:highlight w:val="none"/>
        </w:rPr>
        <w:t>扫黑除恶，</w:t>
      </w:r>
      <w:r>
        <w:rPr>
          <w:rFonts w:hint="eastAsia" w:ascii="仿宋_GB2312" w:hAnsi="仿宋_GB2312" w:eastAsia="仿宋_GB2312" w:cs="仿宋_GB2312"/>
          <w:color w:val="auto"/>
          <w:highlight w:val="none"/>
        </w:rPr>
        <w:t>筑牢法治防线。</w:t>
      </w:r>
    </w:p>
    <w:p w14:paraId="38C2C6E4">
      <w:pPr>
        <w:pStyle w:val="2"/>
        <w:spacing w:line="560" w:lineRule="exact"/>
        <w:ind w:firstLine="643" w:firstLineChars="200"/>
        <w:rPr>
          <w:rFonts w:hint="eastAsia" w:ascii="仿宋_GB2312" w:hAnsi="仿宋_GB2312" w:eastAsia="仿宋_GB2312" w:cs="仿宋_GB2312"/>
          <w:color w:val="auto"/>
          <w:szCs w:val="32"/>
          <w:lang w:eastAsia="zh-CN"/>
        </w:rPr>
      </w:pPr>
      <w:bookmarkStart w:id="393" w:name="_Toc29591"/>
      <w:bookmarkStart w:id="394" w:name="_Toc995644933"/>
      <w:bookmarkStart w:id="395" w:name="_Toc651863979"/>
      <w:bookmarkStart w:id="396" w:name="_Toc1127717456"/>
      <w:bookmarkStart w:id="397" w:name="_Toc1852829183"/>
      <w:r>
        <w:rPr>
          <w:rFonts w:hint="eastAsia" w:ascii="仿宋_GB2312" w:hAnsi="仿宋_GB2312" w:eastAsia="仿宋_GB2312" w:cs="仿宋_GB2312"/>
          <w:b/>
          <w:bCs/>
          <w:color w:val="auto"/>
          <w:szCs w:val="32"/>
        </w:rPr>
        <w:t>3.培育新时代文明新风</w:t>
      </w:r>
      <w:bookmarkEnd w:id="393"/>
      <w:r>
        <w:rPr>
          <w:rFonts w:hint="eastAsia" w:ascii="仿宋_GB2312" w:hAnsi="仿宋_GB2312" w:eastAsia="仿宋_GB2312" w:cs="仿宋_GB2312"/>
          <w:b/>
          <w:bCs/>
          <w:color w:val="auto"/>
          <w:szCs w:val="32"/>
        </w:rPr>
        <w:t>尚</w:t>
      </w:r>
      <w:bookmarkEnd w:id="394"/>
      <w:bookmarkEnd w:id="395"/>
      <w:bookmarkEnd w:id="396"/>
      <w:bookmarkEnd w:id="397"/>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推进</w:t>
      </w:r>
      <w:r>
        <w:rPr>
          <w:rFonts w:hint="eastAsia" w:ascii="仿宋_GB2312" w:hAnsi="仿宋_GB2312" w:eastAsia="仿宋_GB2312" w:cs="仿宋_GB2312"/>
          <w:color w:val="auto"/>
        </w:rPr>
        <w:t>村庄文化墙、乡村大舞台、农家书屋等乡村宣传教育阵地提质升级</w:t>
      </w:r>
      <w:r>
        <w:rPr>
          <w:rFonts w:hint="eastAsia" w:ascii="仿宋_GB2312" w:hAnsi="仿宋_GB2312" w:eastAsia="仿宋_GB2312" w:cs="仿宋_GB2312"/>
          <w:color w:val="auto"/>
          <w:szCs w:val="32"/>
        </w:rPr>
        <w:t>。持续深化文明乡风建设，推进移风易俗</w:t>
      </w:r>
      <w:r>
        <w:rPr>
          <w:rFonts w:hint="eastAsia" w:ascii="仿宋_GB2312" w:hAnsi="仿宋_GB2312" w:eastAsia="仿宋_GB2312" w:cs="仿宋_GB2312"/>
          <w:color w:val="auto"/>
        </w:rPr>
        <w:t>。</w:t>
      </w:r>
      <w:r>
        <w:rPr>
          <w:rFonts w:hint="eastAsia" w:ascii="仿宋_GB2312" w:hAnsi="仿宋_GB2312" w:eastAsia="仿宋_GB2312" w:cs="仿宋_GB2312"/>
          <w:color w:val="auto"/>
          <w:szCs w:val="32"/>
        </w:rPr>
        <w:t>推动廉洁文化进乡村。</w:t>
      </w:r>
      <w:bookmarkStart w:id="398" w:name="_Toc411787109"/>
      <w:bookmarkStart w:id="399" w:name="_Toc17305"/>
      <w:bookmarkStart w:id="400" w:name="_Toc1797469399"/>
      <w:r>
        <w:rPr>
          <w:rFonts w:hint="eastAsia" w:ascii="仿宋_GB2312" w:hAnsi="仿宋_GB2312" w:eastAsia="仿宋_GB2312" w:cs="仿宋_GB2312"/>
          <w:color w:val="auto"/>
          <w:szCs w:val="32"/>
        </w:rPr>
        <w:t>广泛举荐宣传通州榜样、副中心好市民，大力弘扬崇德向善、邻里和睦的时代文明新风。</w:t>
      </w:r>
    </w:p>
    <w:p w14:paraId="7D7AE361">
      <w:pPr>
        <w:pStyle w:val="2"/>
        <w:spacing w:line="560" w:lineRule="exact"/>
        <w:ind w:firstLine="643" w:firstLineChars="200"/>
        <w:rPr>
          <w:rFonts w:hint="eastAsia" w:ascii="仿宋_GB2312" w:hAnsi="仿宋_GB2312" w:eastAsia="仿宋_GB2312" w:cs="仿宋_GB2312"/>
          <w:color w:val="auto"/>
          <w:szCs w:val="32"/>
        </w:rPr>
      </w:pPr>
      <w:r>
        <w:rPr>
          <w:rFonts w:hint="default" w:ascii="仿宋_GB2312" w:hAnsi="仿宋_GB2312" w:eastAsia="仿宋_GB2312" w:cs="仿宋_GB2312"/>
          <w:b/>
          <w:bCs/>
          <w:color w:val="auto"/>
          <w:szCs w:val="32"/>
          <w:lang w:val="en-US"/>
        </w:rPr>
        <w:t>4</w:t>
      </w:r>
      <w:r>
        <w:rPr>
          <w:rFonts w:hint="eastAsia" w:ascii="仿宋_GB2312" w:hAnsi="仿宋_GB2312" w:eastAsia="仿宋_GB2312" w:cs="仿宋_GB2312"/>
          <w:b/>
          <w:bCs/>
          <w:color w:val="auto"/>
          <w:szCs w:val="32"/>
        </w:rPr>
        <w:t>.厚植乡村文化</w:t>
      </w:r>
      <w:bookmarkEnd w:id="398"/>
      <w:bookmarkEnd w:id="399"/>
      <w:bookmarkEnd w:id="400"/>
      <w:r>
        <w:rPr>
          <w:rFonts w:hint="eastAsia" w:ascii="仿宋_GB2312" w:hAnsi="仿宋_GB2312" w:eastAsia="仿宋_GB2312" w:cs="仿宋_GB2312"/>
          <w:b/>
          <w:bCs/>
          <w:color w:val="auto"/>
          <w:szCs w:val="32"/>
        </w:rPr>
        <w:t>发展底蕴。</w:t>
      </w:r>
      <w:r>
        <w:rPr>
          <w:rFonts w:hint="eastAsia" w:ascii="仿宋_GB2312" w:hAnsi="仿宋_GB2312" w:eastAsia="仿宋_GB2312" w:cs="仿宋_GB2312"/>
          <w:color w:val="auto"/>
          <w:szCs w:val="32"/>
        </w:rPr>
        <w:t>健全区、镇、村三级博物馆体系，新建和改造一批乡情村史陈列室、农耕民俗博物馆、红色文化基地。策划举办运河文化旅游节，办好中国农民丰收节、北京农民艺术节。实施文化惠民工程，打造“运河有戏”“百姓周末大舞台”及“村晚”、“村戏”等乡土文化品牌。加强优秀传统文化、乡村非遗的活化与创新利用，推进传统村落保护。</w:t>
      </w:r>
    </w:p>
    <w:bookmarkEnd w:id="375"/>
    <w:bookmarkEnd w:id="376"/>
    <w:bookmarkEnd w:id="377"/>
    <w:bookmarkEnd w:id="378"/>
    <w:bookmarkEnd w:id="379"/>
    <w:bookmarkEnd w:id="380"/>
    <w:bookmarkEnd w:id="381"/>
    <w:bookmarkEnd w:id="382"/>
    <w:p w14:paraId="07262A89">
      <w:pPr>
        <w:pStyle w:val="2"/>
        <w:spacing w:line="560" w:lineRule="exact"/>
        <w:ind w:firstLine="643" w:firstLineChars="200"/>
        <w:outlineLvl w:val="1"/>
        <w:rPr>
          <w:rFonts w:hint="eastAsia" w:ascii="仿宋_GB2312" w:hAnsi="仿宋_GB2312" w:eastAsia="仿宋_GB2312" w:cs="仿宋_GB2312"/>
          <w:b/>
          <w:color w:val="auto"/>
          <w:szCs w:val="32"/>
        </w:rPr>
      </w:pPr>
      <w:bookmarkStart w:id="401" w:name="_Toc286457631"/>
      <w:bookmarkStart w:id="402" w:name="_Toc1321286802"/>
      <w:bookmarkStart w:id="403" w:name="_Toc10823"/>
      <w:bookmarkStart w:id="404" w:name="_Toc1819816703"/>
      <w:bookmarkStart w:id="405" w:name="_Toc25398"/>
      <w:bookmarkStart w:id="406" w:name="_Toc20192"/>
      <w:bookmarkStart w:id="407" w:name="_Toc1692731202"/>
      <w:bookmarkStart w:id="408" w:name="_Toc417154370"/>
      <w:bookmarkStart w:id="409" w:name="_Toc27823"/>
      <w:bookmarkStart w:id="410" w:name="_Toc3353"/>
      <w:bookmarkStart w:id="411" w:name="_Toc5493"/>
      <w:bookmarkStart w:id="412" w:name="_Toc12732"/>
      <w:bookmarkStart w:id="413" w:name="_Toc11525"/>
      <w:bookmarkStart w:id="414" w:name="_Toc18808"/>
      <w:bookmarkStart w:id="415" w:name="_Toc14054"/>
      <w:bookmarkStart w:id="416" w:name="_Toc25024"/>
      <w:r>
        <w:rPr>
          <w:rFonts w:hint="eastAsia" w:ascii="仿宋_GB2312" w:hAnsi="仿宋_GB2312" w:eastAsia="仿宋_GB2312" w:cs="仿宋_GB2312"/>
          <w:b/>
          <w:color w:val="auto"/>
          <w:szCs w:val="32"/>
        </w:rPr>
        <w:t>（五）深入推进乡村生态治理，提升生态文明水平</w:t>
      </w:r>
      <w:bookmarkEnd w:id="401"/>
      <w:bookmarkEnd w:id="402"/>
      <w:bookmarkEnd w:id="403"/>
      <w:bookmarkEnd w:id="404"/>
      <w:bookmarkEnd w:id="405"/>
      <w:bookmarkEnd w:id="406"/>
      <w:bookmarkEnd w:id="407"/>
      <w:bookmarkEnd w:id="408"/>
    </w:p>
    <w:p w14:paraId="6A97E9DE">
      <w:pPr>
        <w:pStyle w:val="2"/>
        <w:spacing w:line="560" w:lineRule="exact"/>
        <w:ind w:firstLine="643" w:firstLineChars="200"/>
        <w:rPr>
          <w:rFonts w:hint="eastAsia" w:ascii="仿宋_GB2312" w:hAnsi="仿宋_GB2312" w:eastAsia="仿宋_GB2312" w:cs="仿宋_GB2312"/>
          <w:color w:val="auto"/>
        </w:rPr>
      </w:pPr>
      <w:bookmarkStart w:id="417" w:name="_Toc1008645584"/>
      <w:bookmarkStart w:id="418" w:name="_Toc20058"/>
      <w:bookmarkStart w:id="419" w:name="_Toc1694866534"/>
      <w:bookmarkStart w:id="420" w:name="_Toc364022593"/>
      <w:bookmarkStart w:id="421" w:name="_Toc292712899"/>
      <w:r>
        <w:rPr>
          <w:rFonts w:hint="eastAsia" w:ascii="仿宋_GB2312" w:hAnsi="仿宋_GB2312" w:eastAsia="仿宋_GB2312" w:cs="仿宋_GB2312"/>
          <w:b/>
          <w:bCs/>
          <w:color w:val="auto"/>
          <w:szCs w:val="32"/>
        </w:rPr>
        <w:t>1.加强河湖生态综合治理</w:t>
      </w:r>
      <w:bookmarkEnd w:id="417"/>
      <w:bookmarkEnd w:id="418"/>
      <w:bookmarkEnd w:id="419"/>
      <w:bookmarkEnd w:id="420"/>
      <w:bookmarkEnd w:id="421"/>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rPr>
        <w:t>以大运河文化带建设为契机，开展河湖治理、修复和保护工作，对漕运古迹、古闸古桥等运河历史遗存周边环境开展综合治理，增植乡土花草林木，贯通打造滨水绿廊与生态绿色屏障。</w:t>
      </w:r>
    </w:p>
    <w:p w14:paraId="13F6A587">
      <w:pPr>
        <w:pStyle w:val="2"/>
        <w:spacing w:line="560" w:lineRule="exact"/>
        <w:ind w:firstLine="643" w:firstLineChars="200"/>
        <w:rPr>
          <w:rFonts w:hint="eastAsia"/>
        </w:rPr>
      </w:pPr>
      <w:bookmarkStart w:id="422" w:name="_Toc357684381"/>
      <w:bookmarkStart w:id="423" w:name="_Toc1606276344"/>
      <w:bookmarkStart w:id="424" w:name="_Toc2084998824"/>
      <w:bookmarkStart w:id="425" w:name="_Toc834170810"/>
      <w:bookmarkStart w:id="426" w:name="_Toc29295"/>
      <w:r>
        <w:rPr>
          <w:rFonts w:hint="eastAsia" w:ascii="仿宋_GB2312" w:hAnsi="仿宋_GB2312" w:eastAsia="仿宋_GB2312" w:cs="仿宋_GB2312"/>
          <w:b/>
          <w:bCs/>
          <w:color w:val="auto"/>
          <w:szCs w:val="32"/>
        </w:rPr>
        <w:t>2.强化生物多样性保护</w:t>
      </w:r>
      <w:bookmarkEnd w:id="422"/>
      <w:bookmarkEnd w:id="423"/>
      <w:bookmarkEnd w:id="424"/>
      <w:bookmarkEnd w:id="425"/>
      <w:bookmarkEnd w:id="426"/>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rPr>
        <w:t>高标准推进潮白河国家森林公园（通州片区）规划建设。修建生态廊道，保护珍稀物种生境。防控外来入侵物种。加大</w:t>
      </w:r>
      <w:r>
        <w:rPr>
          <w:rFonts w:hint="eastAsia" w:ascii="仿宋_GB2312" w:hAnsi="仿宋_GB2312" w:eastAsia="仿宋_GB2312" w:cs="仿宋_GB2312"/>
          <w:color w:val="auto"/>
          <w:lang w:eastAsia="zh-CN"/>
        </w:rPr>
        <w:t>执法</w:t>
      </w:r>
      <w:r>
        <w:rPr>
          <w:rFonts w:hint="eastAsia" w:ascii="仿宋_GB2312" w:hAnsi="仿宋_GB2312" w:eastAsia="仿宋_GB2312" w:cs="仿宋_GB2312"/>
          <w:color w:val="auto"/>
        </w:rPr>
        <w:t>力度，严厉打击非法捕猎、损毁栖息地、破坏野生动植物资源等违法行为。</w:t>
      </w:r>
    </w:p>
    <w:p w14:paraId="65F73077">
      <w:pPr>
        <w:pStyle w:val="2"/>
        <w:spacing w:line="560" w:lineRule="exact"/>
        <w:ind w:firstLine="643" w:firstLineChars="200"/>
        <w:rPr>
          <w:rFonts w:hint="eastAsia" w:ascii="仿宋_GB2312" w:hAnsi="仿宋_GB2312" w:eastAsia="仿宋_GB2312" w:cs="仿宋_GB2312"/>
          <w:color w:val="auto"/>
          <w:szCs w:val="32"/>
        </w:rPr>
      </w:pPr>
      <w:bookmarkStart w:id="427" w:name="_Toc1372681195"/>
      <w:bookmarkStart w:id="428" w:name="_Toc874386260"/>
      <w:bookmarkStart w:id="429" w:name="_Toc19285"/>
      <w:bookmarkStart w:id="430" w:name="_Toc864915237"/>
      <w:bookmarkStart w:id="431" w:name="_Toc884817119"/>
      <w:r>
        <w:rPr>
          <w:rFonts w:hint="eastAsia" w:ascii="仿宋_GB2312" w:hAnsi="仿宋_GB2312" w:eastAsia="仿宋_GB2312" w:cs="仿宋_GB2312"/>
          <w:b/>
          <w:bCs/>
          <w:color w:val="auto"/>
          <w:szCs w:val="32"/>
        </w:rPr>
        <w:t>3.推进生态碳汇价值转化</w:t>
      </w:r>
      <w:bookmarkEnd w:id="427"/>
      <w:bookmarkEnd w:id="428"/>
      <w:bookmarkEnd w:id="429"/>
      <w:bookmarkEnd w:id="430"/>
      <w:bookmarkEnd w:id="431"/>
      <w:r>
        <w:rPr>
          <w:rFonts w:hint="eastAsia" w:ascii="仿宋_GB2312" w:hAnsi="仿宋_GB2312" w:eastAsia="仿宋_GB2312" w:cs="仿宋_GB2312"/>
          <w:b/>
          <w:bCs/>
          <w:color w:val="auto"/>
          <w:szCs w:val="32"/>
        </w:rPr>
        <w:t>。</w:t>
      </w:r>
      <w:bookmarkStart w:id="432" w:name="_Toc11042"/>
      <w:r>
        <w:rPr>
          <w:rFonts w:hint="eastAsia" w:ascii="仿宋_GB2312" w:hAnsi="仿宋_GB2312" w:eastAsia="仿宋_GB2312" w:cs="仿宋_GB2312"/>
          <w:color w:val="auto"/>
          <w:szCs w:val="32"/>
        </w:rPr>
        <w:t>依托碳汇试点建设，有序开发林业、生态农业等碳汇项目。打造绿色金融和可持续金融中心，</w:t>
      </w:r>
      <w:bookmarkEnd w:id="409"/>
      <w:bookmarkEnd w:id="410"/>
      <w:bookmarkEnd w:id="411"/>
      <w:bookmarkEnd w:id="412"/>
      <w:bookmarkEnd w:id="413"/>
      <w:bookmarkEnd w:id="414"/>
      <w:bookmarkEnd w:id="415"/>
      <w:bookmarkEnd w:id="416"/>
      <w:bookmarkEnd w:id="432"/>
      <w:r>
        <w:rPr>
          <w:rFonts w:hint="eastAsia" w:ascii="仿宋_GB2312" w:hAnsi="仿宋_GB2312" w:eastAsia="仿宋_GB2312" w:cs="仿宋_GB2312"/>
          <w:color w:val="auto"/>
          <w:szCs w:val="32"/>
        </w:rPr>
        <w:t>探索绿色金融创新，推动生态价值、碳汇价值与经济社会价值多元融合、协同转化。</w:t>
      </w:r>
    </w:p>
    <w:p w14:paraId="36FBB32D">
      <w:pPr>
        <w:pStyle w:val="2"/>
        <w:spacing w:line="560" w:lineRule="exact"/>
        <w:ind w:firstLine="640" w:firstLineChars="200"/>
        <w:outlineLvl w:val="0"/>
        <w:rPr>
          <w:rFonts w:hint="eastAsia" w:ascii="黑体" w:hAnsi="黑体" w:eastAsia="黑体" w:cs="黑体"/>
          <w:color w:val="auto"/>
          <w:szCs w:val="32"/>
        </w:rPr>
      </w:pPr>
      <w:bookmarkStart w:id="433" w:name="_Toc24176"/>
      <w:bookmarkStart w:id="434" w:name="_Toc2087539013"/>
      <w:bookmarkStart w:id="435" w:name="_Toc7128"/>
      <w:bookmarkStart w:id="436" w:name="_Toc28436"/>
      <w:bookmarkStart w:id="437" w:name="_Toc469733289"/>
      <w:bookmarkStart w:id="438" w:name="_Toc1702776706"/>
      <w:bookmarkStart w:id="439" w:name="_Toc1409901463"/>
      <w:bookmarkStart w:id="440" w:name="_Toc563762668"/>
      <w:bookmarkStart w:id="441" w:name="_Toc2398"/>
      <w:bookmarkStart w:id="442" w:name="_Toc11792"/>
      <w:bookmarkStart w:id="443" w:name="_Toc15218"/>
      <w:bookmarkStart w:id="444" w:name="_Toc11183"/>
      <w:bookmarkStart w:id="445" w:name="_Toc12849"/>
      <w:bookmarkStart w:id="446" w:name="_Toc15488"/>
      <w:bookmarkStart w:id="447" w:name="_Toc18444"/>
      <w:bookmarkStart w:id="448" w:name="_Toc25904"/>
      <w:bookmarkStart w:id="449" w:name="_Toc5570"/>
      <w:r>
        <w:rPr>
          <w:rFonts w:hint="eastAsia" w:ascii="黑体" w:hAnsi="黑体" w:eastAsia="黑体" w:cs="黑体"/>
          <w:color w:val="auto"/>
          <w:szCs w:val="32"/>
        </w:rPr>
        <w:t>四、全面深化农业农村改革，扎实推进共同富裕</w:t>
      </w:r>
      <w:bookmarkEnd w:id="433"/>
      <w:r>
        <w:rPr>
          <w:rFonts w:hint="eastAsia" w:ascii="黑体" w:hAnsi="黑体" w:eastAsia="黑体" w:cs="黑体"/>
          <w:color w:val="auto"/>
          <w:szCs w:val="32"/>
        </w:rPr>
        <w:t>事业</w:t>
      </w:r>
      <w:bookmarkEnd w:id="434"/>
      <w:bookmarkEnd w:id="435"/>
      <w:bookmarkEnd w:id="436"/>
      <w:bookmarkEnd w:id="437"/>
      <w:bookmarkEnd w:id="438"/>
      <w:bookmarkEnd w:id="439"/>
      <w:bookmarkEnd w:id="440"/>
    </w:p>
    <w:p w14:paraId="3A677053">
      <w:pPr>
        <w:pStyle w:val="2"/>
        <w:spacing w:line="560" w:lineRule="exact"/>
        <w:ind w:firstLine="643" w:firstLineChars="200"/>
        <w:outlineLvl w:val="1"/>
        <w:rPr>
          <w:rFonts w:hint="eastAsia" w:ascii="仿宋_GB2312" w:hAnsi="仿宋_GB2312" w:eastAsia="仿宋_GB2312" w:cs="仿宋_GB2312"/>
          <w:b/>
          <w:color w:val="auto"/>
          <w:szCs w:val="32"/>
        </w:rPr>
      </w:pPr>
      <w:bookmarkStart w:id="450" w:name="_Toc156894545"/>
      <w:bookmarkStart w:id="451" w:name="_Toc75789474"/>
      <w:bookmarkStart w:id="452" w:name="_Toc4348"/>
      <w:bookmarkStart w:id="453" w:name="_Toc3658"/>
      <w:bookmarkStart w:id="454" w:name="_Toc865759529"/>
      <w:bookmarkStart w:id="455" w:name="_Toc21979"/>
      <w:bookmarkStart w:id="456" w:name="_Toc1547210218"/>
      <w:bookmarkStart w:id="457" w:name="_Toc651302999"/>
      <w:r>
        <w:rPr>
          <w:rFonts w:hint="eastAsia" w:ascii="仿宋_GB2312" w:hAnsi="仿宋_GB2312" w:eastAsia="仿宋_GB2312" w:cs="仿宋_GB2312"/>
          <w:b/>
          <w:color w:val="auto"/>
          <w:szCs w:val="32"/>
        </w:rPr>
        <w:t>（一）深化农村土地制度改革，筑牢农业农村发展根基</w:t>
      </w:r>
      <w:bookmarkEnd w:id="450"/>
      <w:bookmarkEnd w:id="451"/>
      <w:bookmarkEnd w:id="452"/>
      <w:bookmarkEnd w:id="453"/>
      <w:bookmarkEnd w:id="454"/>
      <w:bookmarkEnd w:id="455"/>
      <w:bookmarkEnd w:id="456"/>
      <w:bookmarkEnd w:id="457"/>
    </w:p>
    <w:p w14:paraId="737EFA9B">
      <w:pPr>
        <w:pStyle w:val="2"/>
        <w:spacing w:line="560" w:lineRule="exact"/>
        <w:ind w:firstLine="643" w:firstLineChars="200"/>
        <w:rPr>
          <w:rFonts w:hint="eastAsia" w:ascii="仿宋_GB2312" w:hAnsi="仿宋_GB2312" w:eastAsia="仿宋_GB2312" w:cs="仿宋_GB2312"/>
          <w:color w:val="auto"/>
          <w:szCs w:val="32"/>
        </w:rPr>
      </w:pPr>
      <w:bookmarkStart w:id="458" w:name="_Toc1738168124"/>
      <w:bookmarkStart w:id="459" w:name="_Toc24394"/>
      <w:bookmarkStart w:id="460" w:name="_Toc1463937334"/>
      <w:bookmarkStart w:id="461" w:name="_Toc702850134"/>
      <w:bookmarkStart w:id="462" w:name="_Toc237967109"/>
      <w:r>
        <w:rPr>
          <w:rFonts w:hint="eastAsia" w:ascii="仿宋_GB2312" w:hAnsi="仿宋_GB2312" w:eastAsia="仿宋_GB2312" w:cs="仿宋_GB2312"/>
          <w:b/>
          <w:bCs/>
          <w:color w:val="auto"/>
          <w:szCs w:val="32"/>
        </w:rPr>
        <w:t>1.</w:t>
      </w:r>
      <w:bookmarkEnd w:id="458"/>
      <w:bookmarkEnd w:id="459"/>
      <w:bookmarkEnd w:id="460"/>
      <w:bookmarkEnd w:id="461"/>
      <w:bookmarkEnd w:id="462"/>
      <w:r>
        <w:rPr>
          <w:rFonts w:hint="eastAsia" w:ascii="仿宋_GB2312" w:hAnsi="仿宋_GB2312" w:eastAsia="仿宋_GB2312" w:cs="仿宋_GB2312"/>
          <w:b/>
          <w:bCs/>
          <w:color w:val="auto"/>
          <w:szCs w:val="32"/>
        </w:rPr>
        <w:t>稳慎推进</w:t>
      </w:r>
      <w:r>
        <w:rPr>
          <w:rFonts w:hint="eastAsia" w:ascii="仿宋_GB2312" w:hAnsi="仿宋_GB2312" w:eastAsia="仿宋_GB2312" w:cs="仿宋_GB2312"/>
          <w:b/>
          <w:bCs/>
          <w:color w:val="auto"/>
          <w:szCs w:val="32"/>
          <w:lang w:val="en-US" w:eastAsia="zh-CN"/>
        </w:rPr>
        <w:t>第二轮</w:t>
      </w:r>
      <w:r>
        <w:rPr>
          <w:rFonts w:hint="eastAsia" w:ascii="仿宋_GB2312" w:hAnsi="仿宋_GB2312" w:eastAsia="仿宋_GB2312" w:cs="仿宋_GB2312"/>
          <w:b/>
          <w:bCs/>
          <w:color w:val="auto"/>
          <w:szCs w:val="32"/>
        </w:rPr>
        <w:t>土地延包。</w:t>
      </w:r>
      <w:r>
        <w:rPr>
          <w:rFonts w:hint="eastAsia" w:ascii="仿宋_GB2312" w:hAnsi="仿宋_GB2312" w:eastAsia="仿宋_GB2312" w:cs="仿宋_GB2312"/>
          <w:color w:val="auto"/>
          <w:szCs w:val="32"/>
          <w:lang w:val="en-US" w:eastAsia="zh-CN"/>
        </w:rPr>
        <w:t>坚持“大稳定、小调整”，有序</w:t>
      </w:r>
      <w:r>
        <w:rPr>
          <w:rFonts w:hint="eastAsia" w:ascii="仿宋_GB2312" w:hAnsi="仿宋_GB2312" w:eastAsia="仿宋_GB2312" w:cs="仿宋_GB2312"/>
          <w:color w:val="auto"/>
          <w:szCs w:val="32"/>
        </w:rPr>
        <w:t>推进第二轮土地承包到期后再延长三十年工作。规范</w:t>
      </w:r>
      <w:r>
        <w:rPr>
          <w:rFonts w:hint="eastAsia" w:ascii="仿宋_GB2312" w:hAnsi="仿宋_GB2312" w:eastAsia="仿宋_GB2312" w:cs="仿宋_GB2312"/>
          <w:color w:val="auto"/>
          <w:szCs w:val="32"/>
          <w:lang w:val="en-US" w:eastAsia="zh-CN"/>
        </w:rPr>
        <w:t>确权确地、</w:t>
      </w:r>
      <w:r>
        <w:rPr>
          <w:rFonts w:hint="eastAsia" w:ascii="仿宋_GB2312" w:hAnsi="仿宋_GB2312" w:eastAsia="仿宋_GB2312" w:cs="仿宋_GB2312"/>
          <w:color w:val="auto"/>
          <w:szCs w:val="32"/>
        </w:rPr>
        <w:t>确权确利的承包方式，依法维护进城落户农民土地承包权。规范承包地经营权流转</w:t>
      </w:r>
      <w:r>
        <w:rPr>
          <w:rFonts w:hint="eastAsia" w:ascii="仿宋_GB2312" w:hAnsi="仿宋_GB2312" w:eastAsia="仿宋_GB2312" w:cs="仿宋_GB2312"/>
          <w:color w:val="auto"/>
          <w:szCs w:val="32"/>
          <w:lang w:val="en-US" w:eastAsia="zh-CN"/>
        </w:rPr>
        <w:t>程序</w:t>
      </w:r>
      <w:r>
        <w:rPr>
          <w:rFonts w:hint="eastAsia" w:ascii="仿宋_GB2312" w:hAnsi="仿宋_GB2312" w:eastAsia="仿宋_GB2312" w:cs="仿宋_GB2312"/>
          <w:color w:val="auto"/>
          <w:szCs w:val="32"/>
        </w:rPr>
        <w:t>，强化监管。</w:t>
      </w:r>
    </w:p>
    <w:p w14:paraId="06C84BBB">
      <w:pPr>
        <w:pStyle w:val="2"/>
        <w:spacing w:line="560" w:lineRule="exact"/>
        <w:ind w:firstLine="643" w:firstLineChars="200"/>
        <w:rPr>
          <w:rFonts w:hint="eastAsia" w:ascii="仿宋_GB2312" w:hAnsi="仿宋_GB2312" w:eastAsia="仿宋_GB2312" w:cs="仿宋_GB2312"/>
          <w:color w:val="auto"/>
        </w:rPr>
      </w:pPr>
      <w:bookmarkStart w:id="463" w:name="_Toc459865412"/>
      <w:bookmarkStart w:id="464" w:name="_Toc835277704"/>
      <w:bookmarkStart w:id="465" w:name="_Toc1047178967"/>
      <w:bookmarkStart w:id="466" w:name="_Toc18649"/>
      <w:bookmarkStart w:id="467" w:name="_Toc529243081"/>
      <w:r>
        <w:rPr>
          <w:rFonts w:hint="eastAsia" w:ascii="仿宋_GB2312" w:hAnsi="仿宋_GB2312" w:eastAsia="仿宋_GB2312" w:cs="仿宋_GB2312"/>
          <w:b/>
          <w:bCs/>
          <w:color w:val="auto"/>
          <w:szCs w:val="32"/>
        </w:rPr>
        <w:t>2.严格规范农村宅基地管理</w:t>
      </w:r>
      <w:bookmarkEnd w:id="463"/>
      <w:bookmarkEnd w:id="464"/>
      <w:bookmarkEnd w:id="465"/>
      <w:bookmarkEnd w:id="466"/>
      <w:bookmarkEnd w:id="467"/>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扎实推进农房宅基地确权登记工作，做到应登尽登、权属明晰。全面推行宅基地及农房建设“带图审批”制度，严格落实农房建设负面清单。稳慎探索宅基地使用权有序流转、自愿有偿退出</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完善农房租赁备案管理制度，坚决禁止城镇居民违规购置农村宅基地与农房。</w:t>
      </w:r>
    </w:p>
    <w:p w14:paraId="304CCFC5">
      <w:pPr>
        <w:pStyle w:val="2"/>
        <w:spacing w:line="560" w:lineRule="exact"/>
        <w:ind w:firstLine="643" w:firstLineChars="200"/>
        <w:rPr>
          <w:rFonts w:hint="eastAsia" w:ascii="仿宋_GB2312" w:hAnsi="仿宋_GB2312" w:eastAsia="仿宋_GB2312" w:cs="仿宋_GB2312"/>
          <w:color w:val="auto"/>
          <w:szCs w:val="32"/>
        </w:rPr>
      </w:pPr>
      <w:bookmarkStart w:id="468" w:name="_Toc284874843"/>
      <w:bookmarkStart w:id="469" w:name="_Toc1349159327"/>
      <w:bookmarkStart w:id="470" w:name="_Toc1256966354"/>
      <w:bookmarkStart w:id="471" w:name="_Toc15297"/>
      <w:bookmarkStart w:id="472" w:name="_Toc1867407182"/>
      <w:r>
        <w:rPr>
          <w:rFonts w:hint="eastAsia" w:ascii="仿宋_GB2312" w:hAnsi="仿宋_GB2312" w:eastAsia="仿宋_GB2312" w:cs="仿宋_GB2312"/>
          <w:b/>
          <w:bCs/>
          <w:color w:val="auto"/>
          <w:szCs w:val="32"/>
        </w:rPr>
        <w:t>3.盘活集体经营性建设用地</w:t>
      </w:r>
      <w:bookmarkEnd w:id="468"/>
      <w:bookmarkEnd w:id="469"/>
      <w:bookmarkEnd w:id="470"/>
      <w:bookmarkEnd w:id="471"/>
      <w:bookmarkEnd w:id="472"/>
      <w:r>
        <w:rPr>
          <w:rFonts w:hint="eastAsia" w:ascii="仿宋_GB2312" w:hAnsi="仿宋_GB2312" w:eastAsia="仿宋_GB2312" w:cs="仿宋_GB2312"/>
          <w:b/>
          <w:bCs/>
          <w:color w:val="auto"/>
          <w:szCs w:val="32"/>
        </w:rPr>
        <w:t>。</w:t>
      </w:r>
      <w:bookmarkEnd w:id="441"/>
      <w:bookmarkEnd w:id="442"/>
      <w:bookmarkEnd w:id="443"/>
      <w:bookmarkEnd w:id="444"/>
      <w:bookmarkEnd w:id="445"/>
      <w:bookmarkEnd w:id="446"/>
      <w:bookmarkEnd w:id="447"/>
      <w:bookmarkEnd w:id="448"/>
      <w:bookmarkStart w:id="473" w:name="_Toc4963"/>
      <w:bookmarkStart w:id="474" w:name="_Toc14055"/>
      <w:bookmarkStart w:id="475" w:name="_Toc5273"/>
      <w:bookmarkStart w:id="476" w:name="_Toc6166"/>
      <w:bookmarkStart w:id="477" w:name="_Toc25901"/>
      <w:bookmarkStart w:id="478" w:name="_Toc15670"/>
      <w:bookmarkStart w:id="479" w:name="_Toc30314"/>
      <w:bookmarkStart w:id="480" w:name="_Toc2593"/>
      <w:bookmarkStart w:id="481" w:name="_Toc16161"/>
      <w:r>
        <w:rPr>
          <w:rFonts w:hint="eastAsia" w:ascii="仿宋_GB2312" w:hAnsi="仿宋_GB2312" w:eastAsia="仿宋_GB2312" w:cs="仿宋_GB2312"/>
          <w:color w:val="auto"/>
          <w:szCs w:val="32"/>
        </w:rPr>
        <w:t>依据通州区集体产业用地统筹利用“拆五还一”方案，有序推进零散用地、低效建设用地整治提升，统筹盘活存量资源。落实市级点状配套设施用地相关政策，完善运营管理与收益分配机制</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按需分批开展试点，及时总结经验，形成典型案例。</w:t>
      </w:r>
    </w:p>
    <w:p w14:paraId="23F06760">
      <w:pPr>
        <w:pStyle w:val="2"/>
        <w:spacing w:line="560" w:lineRule="exact"/>
        <w:ind w:firstLine="643" w:firstLineChars="200"/>
        <w:outlineLvl w:val="1"/>
        <w:rPr>
          <w:rFonts w:hint="eastAsia" w:ascii="仿宋_GB2312" w:hAnsi="仿宋_GB2312" w:eastAsia="仿宋_GB2312" w:cs="仿宋_GB2312"/>
          <w:b/>
          <w:color w:val="auto"/>
          <w:szCs w:val="32"/>
        </w:rPr>
      </w:pPr>
      <w:bookmarkStart w:id="482" w:name="_Toc1149036126"/>
      <w:bookmarkStart w:id="483" w:name="_Toc26682"/>
      <w:bookmarkStart w:id="484" w:name="_Toc1751291158"/>
      <w:bookmarkStart w:id="485" w:name="_Toc737507427"/>
      <w:bookmarkStart w:id="486" w:name="_Toc1280396379"/>
      <w:bookmarkStart w:id="487" w:name="_Toc2066665861"/>
      <w:bookmarkStart w:id="488" w:name="_Toc14313"/>
      <w:r>
        <w:rPr>
          <w:rFonts w:hint="eastAsia" w:ascii="仿宋_GB2312" w:hAnsi="仿宋_GB2312" w:eastAsia="仿宋_GB2312" w:cs="仿宋_GB2312"/>
          <w:b/>
          <w:color w:val="auto"/>
          <w:szCs w:val="32"/>
        </w:rPr>
        <w:t>（二）建强集体经济运行机制，激活共同富裕内生动力</w:t>
      </w:r>
      <w:bookmarkEnd w:id="473"/>
      <w:bookmarkEnd w:id="482"/>
      <w:bookmarkEnd w:id="483"/>
      <w:bookmarkEnd w:id="484"/>
      <w:bookmarkEnd w:id="485"/>
      <w:bookmarkEnd w:id="486"/>
      <w:bookmarkEnd w:id="487"/>
      <w:bookmarkEnd w:id="488"/>
    </w:p>
    <w:p w14:paraId="692308EC">
      <w:pPr>
        <w:pStyle w:val="2"/>
        <w:spacing w:line="560" w:lineRule="exact"/>
        <w:ind w:firstLine="643" w:firstLineChars="200"/>
        <w:rPr>
          <w:rFonts w:hint="eastAsia" w:ascii="仿宋_GB2312" w:hAnsi="仿宋_GB2312" w:eastAsia="仿宋_GB2312" w:cs="仿宋_GB2312"/>
          <w:color w:val="auto"/>
          <w:szCs w:val="32"/>
        </w:rPr>
      </w:pPr>
      <w:bookmarkStart w:id="489" w:name="_Toc832477422"/>
      <w:bookmarkStart w:id="490" w:name="_Toc256316390"/>
      <w:bookmarkStart w:id="491" w:name="_Toc9880"/>
      <w:bookmarkStart w:id="492" w:name="_Toc866875431"/>
      <w:bookmarkStart w:id="493" w:name="_Toc271249742"/>
      <w:r>
        <w:rPr>
          <w:rFonts w:hint="eastAsia" w:ascii="仿宋_GB2312" w:hAnsi="仿宋_GB2312" w:eastAsia="仿宋_GB2312" w:cs="仿宋_GB2312"/>
          <w:b/>
          <w:bCs/>
          <w:color w:val="auto"/>
          <w:szCs w:val="32"/>
        </w:rPr>
        <w:t>1.规范提升农村集体经济组织建设</w:t>
      </w:r>
      <w:bookmarkEnd w:id="489"/>
      <w:bookmarkEnd w:id="490"/>
      <w:bookmarkEnd w:id="491"/>
      <w:bookmarkEnd w:id="492"/>
      <w:bookmarkEnd w:id="493"/>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深入贯彻落实</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农村集体经济组织法</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，依法落实农村集体经济组织特别法人地位，健全完善党组织领导下的法人治理体系。推进村集体经济组织章程修订与规范运行，指导开展成员身份确认，明晰组织成员权利、义务及收益分配机制。</w:t>
      </w:r>
    </w:p>
    <w:p w14:paraId="0D8FC2EA">
      <w:pPr>
        <w:pStyle w:val="2"/>
        <w:spacing w:line="560" w:lineRule="exact"/>
        <w:ind w:firstLine="643" w:firstLineChars="200"/>
        <w:rPr>
          <w:rFonts w:hint="eastAsia" w:ascii="仿宋_GB2312" w:hAnsi="仿宋_GB2312" w:eastAsia="仿宋_GB2312" w:cs="仿宋_GB2312"/>
          <w:color w:val="auto"/>
          <w:szCs w:val="32"/>
        </w:rPr>
      </w:pPr>
      <w:bookmarkStart w:id="494" w:name="_Toc1436516467"/>
      <w:bookmarkStart w:id="495" w:name="_Toc1867412839"/>
      <w:bookmarkStart w:id="496" w:name="_Toc831091277"/>
      <w:bookmarkStart w:id="497" w:name="_Toc31660"/>
      <w:bookmarkStart w:id="498" w:name="_Toc1890911222"/>
      <w:r>
        <w:rPr>
          <w:rFonts w:hint="eastAsia" w:ascii="仿宋_GB2312" w:hAnsi="仿宋_GB2312" w:eastAsia="仿宋_GB2312" w:cs="仿宋_GB2312"/>
          <w:b/>
          <w:bCs/>
          <w:color w:val="auto"/>
          <w:szCs w:val="32"/>
        </w:rPr>
        <w:t>2.从严抓实农村集体“三资”管理</w:t>
      </w:r>
      <w:bookmarkEnd w:id="494"/>
      <w:bookmarkEnd w:id="495"/>
      <w:bookmarkEnd w:id="496"/>
      <w:bookmarkEnd w:id="497"/>
      <w:bookmarkEnd w:id="498"/>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highlight w:val="none"/>
        </w:rPr>
        <w:t>全面</w:t>
      </w:r>
      <w:r>
        <w:rPr>
          <w:rFonts w:hint="eastAsia" w:ascii="仿宋_GB2312" w:hAnsi="仿宋_GB2312" w:eastAsia="仿宋_GB2312" w:cs="仿宋_GB2312"/>
          <w:color w:val="auto"/>
          <w:szCs w:val="32"/>
          <w:highlight w:val="none"/>
          <w:lang w:val="en-US" w:eastAsia="zh-CN"/>
        </w:rPr>
        <w:t>清查农村</w:t>
      </w:r>
      <w:r>
        <w:rPr>
          <w:rFonts w:hint="eastAsia" w:ascii="仿宋_GB2312" w:hAnsi="仿宋_GB2312" w:eastAsia="仿宋_GB2312" w:cs="仿宋_GB2312"/>
          <w:color w:val="auto"/>
          <w:szCs w:val="32"/>
          <w:highlight w:val="none"/>
        </w:rPr>
        <w:t>集体</w:t>
      </w:r>
      <w:r>
        <w:rPr>
          <w:rFonts w:hint="eastAsia" w:ascii="仿宋_GB2312" w:hAnsi="仿宋_GB2312" w:eastAsia="仿宋_GB2312" w:cs="仿宋_GB2312"/>
          <w:color w:val="auto"/>
          <w:szCs w:val="32"/>
          <w:highlight w:val="none"/>
          <w:lang w:val="en-US" w:eastAsia="zh-CN"/>
        </w:rPr>
        <w:t>资金、资产、资源，形成区、镇、村三级清产核资报告、资产分布底图和资源空间台账</w:t>
      </w:r>
      <w:r>
        <w:rPr>
          <w:rFonts w:hint="eastAsia" w:ascii="仿宋_GB2312" w:hAnsi="仿宋_GB2312" w:eastAsia="仿宋_GB2312" w:cs="仿宋_GB2312"/>
          <w:color w:val="auto"/>
          <w:szCs w:val="32"/>
          <w:highlight w:val="none"/>
        </w:rPr>
        <w:t>。推广市级农经综合管理平台，</w:t>
      </w:r>
      <w:r>
        <w:rPr>
          <w:rFonts w:hint="eastAsia" w:ascii="仿宋_GB2312" w:hAnsi="仿宋_GB2312" w:eastAsia="仿宋_GB2312" w:cs="仿宋_GB2312"/>
          <w:color w:val="auto"/>
          <w:szCs w:val="32"/>
          <w:highlight w:val="none"/>
          <w:lang w:val="en-US" w:eastAsia="zh-CN"/>
        </w:rPr>
        <w:t>推进</w:t>
      </w:r>
      <w:r>
        <w:rPr>
          <w:rFonts w:hint="eastAsia" w:ascii="仿宋_GB2312" w:hAnsi="仿宋_GB2312" w:eastAsia="仿宋_GB2312" w:cs="仿宋_GB2312"/>
          <w:color w:val="auto"/>
          <w:szCs w:val="32"/>
          <w:highlight w:val="none"/>
        </w:rPr>
        <w:t>集体经济组织与村委会</w:t>
      </w:r>
      <w:r>
        <w:rPr>
          <w:rFonts w:hint="eastAsia" w:ascii="仿宋_GB2312" w:hAnsi="仿宋_GB2312" w:eastAsia="仿宋_GB2312" w:cs="仿宋_GB2312"/>
          <w:color w:val="auto"/>
          <w:szCs w:val="32"/>
          <w:highlight w:val="none"/>
          <w:lang w:val="en-US" w:eastAsia="zh-CN"/>
        </w:rPr>
        <w:t>分账管理</w:t>
      </w:r>
      <w:r>
        <w:rPr>
          <w:rFonts w:hint="eastAsia" w:ascii="仿宋_GB2312" w:hAnsi="仿宋_GB2312" w:eastAsia="仿宋_GB2312" w:cs="仿宋_GB2312"/>
          <w:color w:val="auto"/>
          <w:szCs w:val="32"/>
          <w:highlight w:val="none"/>
        </w:rPr>
        <w:t>，规范</w:t>
      </w:r>
      <w:r>
        <w:rPr>
          <w:rFonts w:hint="eastAsia" w:ascii="仿宋_GB2312" w:hAnsi="仿宋_GB2312" w:eastAsia="仿宋_GB2312" w:cs="仿宋_GB2312"/>
          <w:color w:val="auto"/>
          <w:szCs w:val="32"/>
          <w:highlight w:val="none"/>
          <w:lang w:val="en-US" w:eastAsia="zh-CN"/>
        </w:rPr>
        <w:t>信息公开和产权交易</w:t>
      </w:r>
      <w:r>
        <w:rPr>
          <w:rFonts w:hint="eastAsia" w:ascii="仿宋_GB2312" w:hAnsi="仿宋_GB2312" w:eastAsia="仿宋_GB2312" w:cs="仿宋_GB2312"/>
          <w:color w:val="auto"/>
          <w:szCs w:val="32"/>
          <w:highlight w:val="none"/>
        </w:rPr>
        <w:t>。深化“村地区管”，全面梳理存量涉地合同，逐步</w:t>
      </w:r>
      <w:r>
        <w:rPr>
          <w:rFonts w:hint="eastAsia" w:ascii="仿宋_GB2312" w:hAnsi="仿宋_GB2312" w:eastAsia="仿宋_GB2312" w:cs="仿宋_GB2312"/>
          <w:color w:val="auto"/>
          <w:szCs w:val="32"/>
          <w:highlight w:val="none"/>
          <w:lang w:val="en-US" w:eastAsia="zh-CN"/>
        </w:rPr>
        <w:t>实现区级联审全覆盖和全链条线上审核，促进集体资产保值增值。</w:t>
      </w:r>
      <w:bookmarkStart w:id="499" w:name="_Toc910360980"/>
      <w:bookmarkStart w:id="500" w:name="_Toc715410153"/>
      <w:bookmarkStart w:id="501" w:name="_Toc71774280"/>
      <w:bookmarkStart w:id="502" w:name="_Toc682069550"/>
      <w:bookmarkStart w:id="503" w:name="_Toc12236"/>
    </w:p>
    <w:p w14:paraId="3935AC6D">
      <w:pPr>
        <w:pStyle w:val="2"/>
        <w:spacing w:line="560" w:lineRule="exact"/>
        <w:ind w:firstLine="643"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3.持续做强农村集体经济实力</w:t>
      </w:r>
      <w:bookmarkEnd w:id="499"/>
      <w:bookmarkEnd w:id="500"/>
      <w:bookmarkEnd w:id="501"/>
      <w:bookmarkEnd w:id="502"/>
      <w:bookmarkEnd w:id="503"/>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深化农村集体产权制度改革，推动农村集体经济组织实体化运行。指导村集体优化资金使用结构，持续壮大农村集体经济。利用中央财政</w:t>
      </w:r>
      <w:r>
        <w:rPr>
          <w:rFonts w:hint="eastAsia" w:ascii="仿宋_GB2312" w:hAnsi="仿宋_GB2312" w:eastAsia="仿宋_GB2312" w:cs="仿宋_GB2312"/>
          <w:color w:val="auto"/>
          <w:szCs w:val="32"/>
          <w:lang w:val="en-US" w:eastAsia="zh-CN"/>
        </w:rPr>
        <w:t>常态化帮扶资金</w:t>
      </w:r>
      <w:r>
        <w:rPr>
          <w:rFonts w:hint="eastAsia" w:ascii="仿宋_GB2312" w:hAnsi="仿宋_GB2312" w:eastAsia="仿宋_GB2312" w:cs="仿宋_GB2312"/>
          <w:color w:val="auto"/>
          <w:szCs w:val="32"/>
        </w:rPr>
        <w:t>扶持集体经营性收入低于50万</w:t>
      </w:r>
      <w:r>
        <w:rPr>
          <w:rFonts w:hint="eastAsia" w:ascii="仿宋_GB2312" w:hAnsi="仿宋_GB2312" w:eastAsia="仿宋_GB2312" w:cs="仿宋_GB2312"/>
          <w:color w:val="auto"/>
          <w:szCs w:val="32"/>
          <w:lang w:val="en-US" w:eastAsia="zh-CN"/>
        </w:rPr>
        <w:t>元</w:t>
      </w:r>
      <w:r>
        <w:rPr>
          <w:rFonts w:hint="eastAsia" w:ascii="仿宋_GB2312" w:hAnsi="仿宋_GB2312" w:eastAsia="仿宋_GB2312" w:cs="仿宋_GB2312"/>
          <w:color w:val="auto"/>
          <w:szCs w:val="32"/>
        </w:rPr>
        <w:t>（不含）的村发展，逐步消除收不抵支村。</w:t>
      </w:r>
    </w:p>
    <w:bookmarkEnd w:id="474"/>
    <w:bookmarkEnd w:id="475"/>
    <w:bookmarkEnd w:id="476"/>
    <w:bookmarkEnd w:id="477"/>
    <w:bookmarkEnd w:id="478"/>
    <w:bookmarkEnd w:id="479"/>
    <w:bookmarkEnd w:id="480"/>
    <w:bookmarkEnd w:id="481"/>
    <w:p w14:paraId="2EDDE9AD">
      <w:pPr>
        <w:pStyle w:val="2"/>
        <w:spacing w:line="560" w:lineRule="exact"/>
        <w:ind w:firstLine="643" w:firstLineChars="200"/>
        <w:outlineLvl w:val="1"/>
        <w:rPr>
          <w:rFonts w:hint="eastAsia" w:ascii="仿宋_GB2312" w:hAnsi="仿宋_GB2312" w:eastAsia="仿宋_GB2312" w:cs="仿宋_GB2312"/>
          <w:b/>
          <w:color w:val="auto"/>
          <w:szCs w:val="32"/>
        </w:rPr>
      </w:pPr>
      <w:bookmarkStart w:id="504" w:name="_Toc16882"/>
      <w:bookmarkStart w:id="505" w:name="_Toc828379258"/>
      <w:bookmarkStart w:id="506" w:name="_Toc1457071367"/>
      <w:bookmarkStart w:id="507" w:name="_Toc6916"/>
      <w:bookmarkStart w:id="508" w:name="_Toc1372578912"/>
      <w:bookmarkStart w:id="509" w:name="_Toc500661777"/>
      <w:bookmarkStart w:id="510" w:name="_Toc30269"/>
      <w:bookmarkStart w:id="511" w:name="_Toc543823779"/>
      <w:bookmarkStart w:id="512" w:name="_Toc305"/>
      <w:bookmarkStart w:id="513" w:name="_Toc20188"/>
      <w:bookmarkStart w:id="514" w:name="_Toc2280"/>
      <w:bookmarkStart w:id="515" w:name="_Toc23521"/>
      <w:bookmarkStart w:id="516" w:name="_Toc26724"/>
      <w:bookmarkStart w:id="517" w:name="_Toc15232"/>
      <w:bookmarkStart w:id="518" w:name="_Toc9546"/>
      <w:bookmarkStart w:id="519" w:name="_Toc4786"/>
      <w:r>
        <w:rPr>
          <w:rFonts w:hint="eastAsia" w:ascii="仿宋_GB2312" w:hAnsi="仿宋_GB2312" w:eastAsia="仿宋_GB2312" w:cs="仿宋_GB2312"/>
          <w:b/>
          <w:color w:val="auto"/>
          <w:szCs w:val="32"/>
        </w:rPr>
        <w:t>（三）健全多元支农政策体系，强化乡村振兴投入保障</w:t>
      </w:r>
      <w:bookmarkEnd w:id="504"/>
      <w:bookmarkEnd w:id="505"/>
      <w:bookmarkEnd w:id="506"/>
      <w:bookmarkEnd w:id="507"/>
      <w:bookmarkEnd w:id="508"/>
      <w:bookmarkEnd w:id="509"/>
      <w:bookmarkEnd w:id="510"/>
      <w:bookmarkEnd w:id="511"/>
    </w:p>
    <w:p w14:paraId="2EBCB23F">
      <w:pPr>
        <w:pStyle w:val="2"/>
        <w:spacing w:line="560" w:lineRule="exact"/>
        <w:ind w:firstLine="643" w:firstLineChars="200"/>
        <w:rPr>
          <w:rFonts w:hint="eastAsia" w:ascii="仿宋_GB2312" w:hAnsi="仿宋_GB2312" w:eastAsia="仿宋_GB2312" w:cs="仿宋_GB2312"/>
          <w:color w:val="auto"/>
          <w:szCs w:val="32"/>
        </w:rPr>
      </w:pPr>
      <w:bookmarkStart w:id="520" w:name="_Toc1688079191"/>
      <w:bookmarkStart w:id="521" w:name="_Toc632114056"/>
      <w:bookmarkStart w:id="522" w:name="_Toc7551"/>
      <w:bookmarkStart w:id="523" w:name="_Toc1968043798"/>
      <w:bookmarkStart w:id="524" w:name="_Toc236242947"/>
      <w:r>
        <w:rPr>
          <w:rFonts w:hint="eastAsia" w:ascii="仿宋_GB2312" w:hAnsi="仿宋_GB2312" w:eastAsia="仿宋_GB2312" w:cs="仿宋_GB2312"/>
          <w:b/>
          <w:bCs/>
          <w:color w:val="auto"/>
          <w:szCs w:val="32"/>
        </w:rPr>
        <w:t>1.健全财政优先保障投入机制</w:t>
      </w:r>
      <w:bookmarkEnd w:id="520"/>
      <w:bookmarkEnd w:id="521"/>
      <w:bookmarkEnd w:id="522"/>
      <w:bookmarkEnd w:id="523"/>
      <w:bookmarkEnd w:id="524"/>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坚持把农业农村领域作为一般公共预算优先保障领域，推进固定资产投资优先用于农村基础设施建设，不断拓宽投入范围、提高投入标准，持续提升财政资金使用效能。</w:t>
      </w:r>
      <w:bookmarkStart w:id="525" w:name="_Toc1393320691"/>
      <w:bookmarkStart w:id="526" w:name="_Toc689478070"/>
      <w:bookmarkStart w:id="527" w:name="_Toc1110089055"/>
      <w:bookmarkStart w:id="528" w:name="_Toc767800624"/>
      <w:bookmarkStart w:id="529" w:name="_Toc30936"/>
    </w:p>
    <w:p w14:paraId="06847239">
      <w:pPr>
        <w:pStyle w:val="2"/>
        <w:spacing w:line="560" w:lineRule="exact"/>
        <w:ind w:firstLine="643"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2.完善普惠金融支农服务体系</w:t>
      </w:r>
      <w:bookmarkEnd w:id="525"/>
      <w:bookmarkEnd w:id="526"/>
      <w:bookmarkEnd w:id="527"/>
      <w:bookmarkEnd w:id="528"/>
      <w:bookmarkEnd w:id="529"/>
      <w:r>
        <w:rPr>
          <w:rFonts w:hint="eastAsia" w:ascii="仿宋_GB2312" w:hAnsi="仿宋_GB2312" w:eastAsia="仿宋_GB2312" w:cs="仿宋_GB2312"/>
          <w:b/>
          <w:bCs/>
          <w:color w:val="auto"/>
          <w:szCs w:val="32"/>
        </w:rPr>
        <w:t>。</w:t>
      </w:r>
      <w:r>
        <w:rPr>
          <w:rFonts w:hint="eastAsia" w:ascii="仿宋_GB2312" w:hAnsi="仿宋_GB2312" w:eastAsia="仿宋_GB2312" w:cs="仿宋_GB2312"/>
          <w:b w:val="0"/>
          <w:bCs w:val="0"/>
          <w:color w:val="auto"/>
          <w:szCs w:val="32"/>
          <w:lang w:val="en-US" w:eastAsia="zh-CN"/>
        </w:rPr>
        <w:t>健全</w:t>
      </w:r>
      <w:r>
        <w:rPr>
          <w:rFonts w:hint="eastAsia" w:ascii="仿宋_GB2312" w:hAnsi="仿宋_GB2312" w:eastAsia="仿宋_GB2312" w:cs="仿宋_GB2312"/>
          <w:color w:val="auto"/>
          <w:szCs w:val="32"/>
        </w:rPr>
        <w:t>项目储备、信贷、贷款贴息</w:t>
      </w:r>
      <w:r>
        <w:rPr>
          <w:rFonts w:hint="eastAsia" w:ascii="仿宋_GB2312" w:hAnsi="仿宋_GB2312" w:eastAsia="仿宋_GB2312" w:cs="仿宋_GB2312"/>
          <w:color w:val="auto"/>
          <w:szCs w:val="32"/>
          <w:lang w:val="en-US" w:eastAsia="zh-CN"/>
        </w:rPr>
        <w:t>等</w:t>
      </w:r>
      <w:r>
        <w:rPr>
          <w:rFonts w:hint="eastAsia" w:ascii="仿宋_GB2312" w:hAnsi="仿宋_GB2312" w:eastAsia="仿宋_GB2312" w:cs="仿宋_GB2312"/>
          <w:color w:val="auto"/>
          <w:szCs w:val="32"/>
        </w:rPr>
        <w:t>全链条融资服务，开展农业设施和畜禽活体抵押融资试点，探索农业农村资产证券化，拓宽融资渠道。</w:t>
      </w:r>
      <w:r>
        <w:rPr>
          <w:rFonts w:hint="eastAsia" w:ascii="仿宋_GB2312" w:hAnsi="仿宋_GB2312" w:eastAsia="仿宋_GB2312" w:cs="仿宋_GB2312"/>
          <w:color w:val="auto"/>
          <w:szCs w:val="32"/>
          <w:highlight w:val="none"/>
        </w:rPr>
        <w:t>推</w:t>
      </w:r>
      <w:r>
        <w:rPr>
          <w:rFonts w:hint="eastAsia" w:ascii="仿宋_GB2312" w:hAnsi="仿宋_GB2312" w:eastAsia="仿宋_GB2312" w:cs="仿宋_GB2312"/>
          <w:color w:val="auto"/>
          <w:szCs w:val="32"/>
          <w:highlight w:val="none"/>
          <w:lang w:val="en-US" w:eastAsia="zh-CN"/>
        </w:rPr>
        <w:t>动</w:t>
      </w:r>
      <w:r>
        <w:rPr>
          <w:rFonts w:hint="eastAsia" w:ascii="仿宋_GB2312" w:hAnsi="仿宋_GB2312" w:eastAsia="仿宋_GB2312" w:cs="仿宋_GB2312"/>
          <w:color w:val="auto"/>
          <w:szCs w:val="32"/>
          <w:highlight w:val="none"/>
        </w:rPr>
        <w:t>农业保险扩面、提标、增品，创新发展区域优势特色农产品保险</w:t>
      </w:r>
      <w:r>
        <w:rPr>
          <w:rFonts w:hint="eastAsia" w:ascii="仿宋_GB2312" w:hAnsi="仿宋_GB2312" w:eastAsia="仿宋_GB2312" w:cs="仿宋_GB2312"/>
          <w:color w:val="auto"/>
          <w:szCs w:val="32"/>
        </w:rPr>
        <w:t>。</w:t>
      </w:r>
    </w:p>
    <w:p w14:paraId="362E1A39">
      <w:pPr>
        <w:pStyle w:val="2"/>
        <w:spacing w:line="560" w:lineRule="exact"/>
        <w:ind w:firstLine="643" w:firstLineChars="200"/>
        <w:rPr>
          <w:rFonts w:hint="eastAsia" w:eastAsia="仿宋_GB2312"/>
          <w:color w:val="auto"/>
          <w:lang w:val="en-US" w:eastAsia="zh-CN"/>
        </w:rPr>
      </w:pPr>
      <w:bookmarkStart w:id="530" w:name="_Toc307120346"/>
      <w:bookmarkStart w:id="531" w:name="_Toc28896"/>
      <w:bookmarkStart w:id="532" w:name="_Toc651629784"/>
      <w:bookmarkStart w:id="533" w:name="_Toc175853329"/>
      <w:bookmarkStart w:id="534" w:name="_Toc2068828675"/>
      <w:r>
        <w:rPr>
          <w:rFonts w:hint="eastAsia" w:ascii="仿宋_GB2312" w:hAnsi="仿宋_GB2312" w:eastAsia="仿宋_GB2312" w:cs="仿宋_GB2312"/>
          <w:b/>
          <w:bCs/>
          <w:color w:val="auto"/>
          <w:szCs w:val="32"/>
        </w:rPr>
        <w:t>3.吸引社会投资参与乡村建设</w:t>
      </w:r>
      <w:bookmarkEnd w:id="530"/>
      <w:bookmarkEnd w:id="531"/>
      <w:bookmarkEnd w:id="532"/>
      <w:bookmarkEnd w:id="533"/>
      <w:bookmarkEnd w:id="534"/>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通过强化政策激励、项目精准推介、要素保障倾斜等举措，广泛吸引外资、民资等各类社会力量参与乡村建设，探索多元化结对振兴模式，推动企业与集体建立紧密型利益连接机制。</w:t>
      </w:r>
    </w:p>
    <w:bookmarkEnd w:id="512"/>
    <w:bookmarkEnd w:id="513"/>
    <w:bookmarkEnd w:id="514"/>
    <w:bookmarkEnd w:id="515"/>
    <w:bookmarkEnd w:id="516"/>
    <w:bookmarkEnd w:id="517"/>
    <w:bookmarkEnd w:id="518"/>
    <w:bookmarkEnd w:id="519"/>
    <w:p w14:paraId="51DA22DC">
      <w:pPr>
        <w:pStyle w:val="2"/>
        <w:spacing w:line="560" w:lineRule="exact"/>
        <w:ind w:firstLine="643" w:firstLineChars="200"/>
        <w:outlineLvl w:val="1"/>
        <w:rPr>
          <w:rFonts w:hint="eastAsia" w:ascii="仿宋_GB2312" w:hAnsi="仿宋_GB2312" w:eastAsia="仿宋_GB2312" w:cs="仿宋_GB2312"/>
          <w:b/>
          <w:color w:val="auto"/>
          <w:szCs w:val="32"/>
        </w:rPr>
      </w:pPr>
      <w:bookmarkStart w:id="535" w:name="_Toc1725382695"/>
      <w:bookmarkStart w:id="536" w:name="_Toc288001435"/>
      <w:bookmarkStart w:id="537" w:name="_Toc2074234443"/>
      <w:bookmarkStart w:id="538" w:name="_Toc1331110168"/>
      <w:bookmarkStart w:id="539" w:name="_Toc4928"/>
      <w:bookmarkStart w:id="540" w:name="_Toc19493"/>
      <w:bookmarkStart w:id="541" w:name="_Toc22236"/>
      <w:bookmarkStart w:id="542" w:name="_Toc1950948126"/>
      <w:bookmarkStart w:id="543" w:name="_Toc16535"/>
      <w:bookmarkStart w:id="544" w:name="_Toc2266"/>
      <w:bookmarkStart w:id="545" w:name="_Toc9196"/>
      <w:bookmarkStart w:id="546" w:name="_Toc8003"/>
      <w:bookmarkStart w:id="547" w:name="_Toc30127"/>
      <w:bookmarkStart w:id="548" w:name="_Toc5558"/>
      <w:bookmarkStart w:id="549" w:name="_Toc6339"/>
      <w:bookmarkStart w:id="550" w:name="_Toc9090"/>
      <w:r>
        <w:rPr>
          <w:rFonts w:hint="eastAsia" w:ascii="仿宋_GB2312" w:hAnsi="仿宋_GB2312" w:eastAsia="仿宋_GB2312" w:cs="仿宋_GB2312"/>
          <w:b/>
          <w:color w:val="auto"/>
          <w:szCs w:val="32"/>
        </w:rPr>
        <w:t>（四）建强乡村人才骨干队伍，强化乡村振兴人才支撑</w:t>
      </w:r>
      <w:bookmarkEnd w:id="535"/>
      <w:bookmarkEnd w:id="536"/>
      <w:bookmarkEnd w:id="537"/>
      <w:bookmarkEnd w:id="538"/>
      <w:bookmarkEnd w:id="539"/>
      <w:bookmarkEnd w:id="540"/>
      <w:bookmarkEnd w:id="541"/>
      <w:bookmarkEnd w:id="542"/>
      <w:bookmarkStart w:id="551" w:name="_Toc21159"/>
      <w:bookmarkStart w:id="552" w:name="_Toc1660795035"/>
      <w:bookmarkStart w:id="553" w:name="_Toc891025054"/>
      <w:bookmarkStart w:id="554" w:name="_Toc580852453"/>
      <w:bookmarkStart w:id="555" w:name="_Toc1525503294"/>
    </w:p>
    <w:p w14:paraId="7FA5691D">
      <w:pPr>
        <w:pStyle w:val="2"/>
        <w:spacing w:line="560" w:lineRule="exact"/>
        <w:ind w:firstLine="643"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highlight w:val="none"/>
        </w:rPr>
        <w:t>1.精准引育壮大乡村人才队伍</w:t>
      </w:r>
      <w:bookmarkEnd w:id="551"/>
      <w:bookmarkEnd w:id="552"/>
      <w:bookmarkEnd w:id="553"/>
      <w:bookmarkEnd w:id="554"/>
      <w:bookmarkEnd w:id="555"/>
      <w:r>
        <w:rPr>
          <w:rFonts w:hint="eastAsia" w:ascii="仿宋_GB2312" w:hAnsi="仿宋_GB2312" w:eastAsia="仿宋_GB2312" w:cs="仿宋_GB2312"/>
          <w:b/>
          <w:bCs/>
          <w:color w:val="auto"/>
          <w:szCs w:val="32"/>
          <w:highlight w:val="none"/>
        </w:rPr>
        <w:t>。</w:t>
      </w:r>
      <w:r>
        <w:rPr>
          <w:rFonts w:hint="eastAsia" w:ascii="仿宋_GB2312" w:hAnsi="仿宋_GB2312" w:eastAsia="仿宋_GB2312" w:cs="仿宋_GB2312"/>
          <w:color w:val="auto"/>
          <w:szCs w:val="32"/>
          <w:highlight w:val="none"/>
        </w:rPr>
        <w:t>实施乡村人才“百千万”培育工程，抓好“头雁”</w:t>
      </w:r>
      <w:r>
        <w:rPr>
          <w:rFonts w:hint="eastAsia" w:ascii="仿宋_GB2312" w:hAnsi="仿宋_GB2312" w:eastAsia="仿宋_GB2312" w:cs="仿宋_GB2312"/>
          <w:color w:val="auto"/>
          <w:szCs w:val="32"/>
          <w:highlight w:val="none"/>
          <w:lang w:val="en-US" w:eastAsia="zh-CN"/>
        </w:rPr>
        <w:t>和</w:t>
      </w:r>
      <w:r>
        <w:rPr>
          <w:rFonts w:hint="eastAsia" w:ascii="仿宋_GB2312" w:hAnsi="仿宋_GB2312" w:eastAsia="仿宋_GB2312" w:cs="仿宋_GB2312"/>
          <w:color w:val="auto"/>
          <w:szCs w:val="32"/>
          <w:highlight w:val="none"/>
        </w:rPr>
        <w:t>乡村CEO培养</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rPr>
        <w:t>推进乡村产业振兴带头人队伍建设</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开展</w:t>
      </w:r>
      <w:r>
        <w:rPr>
          <w:rFonts w:hint="eastAsia" w:ascii="仿宋_GB2312" w:hAnsi="仿宋_GB2312" w:eastAsia="仿宋_GB2312" w:cs="仿宋_GB2312"/>
          <w:color w:val="auto"/>
          <w:szCs w:val="32"/>
          <w:highlight w:val="none"/>
        </w:rPr>
        <w:t>农创客培育行动</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鼓励</w:t>
      </w:r>
      <w:r>
        <w:rPr>
          <w:rFonts w:hint="eastAsia" w:ascii="仿宋_GB2312" w:hAnsi="仿宋_GB2312" w:eastAsia="仿宋_GB2312" w:cs="仿宋_GB2312"/>
          <w:color w:val="auto"/>
          <w:szCs w:val="32"/>
          <w:highlight w:val="none"/>
        </w:rPr>
        <w:t>返乡入乡创新创业</w:t>
      </w:r>
      <w:r>
        <w:rPr>
          <w:rFonts w:hint="eastAsia" w:ascii="仿宋_GB2312" w:hAnsi="仿宋_GB2312" w:eastAsia="仿宋_GB2312" w:cs="仿宋_GB2312"/>
          <w:color w:val="auto"/>
          <w:szCs w:val="32"/>
          <w:lang w:eastAsia="zh-CN"/>
        </w:rPr>
        <w:t>。</w:t>
      </w:r>
      <w:bookmarkStart w:id="556" w:name="_Toc2062975102"/>
      <w:bookmarkStart w:id="557" w:name="_Toc1467721494"/>
      <w:bookmarkStart w:id="558" w:name="_Toc1962489144"/>
      <w:bookmarkStart w:id="559" w:name="_Toc3855"/>
      <w:bookmarkStart w:id="560" w:name="_Toc2021095214"/>
    </w:p>
    <w:p w14:paraId="1A5C372C">
      <w:pPr>
        <w:pStyle w:val="2"/>
        <w:spacing w:line="560" w:lineRule="exact"/>
        <w:ind w:firstLine="643"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b/>
          <w:bCs/>
          <w:color w:val="auto"/>
          <w:szCs w:val="32"/>
        </w:rPr>
        <w:t>2.持续优化乡村人才发展环境</w:t>
      </w:r>
      <w:bookmarkEnd w:id="556"/>
      <w:bookmarkEnd w:id="557"/>
      <w:bookmarkEnd w:id="558"/>
      <w:bookmarkEnd w:id="559"/>
      <w:bookmarkEnd w:id="560"/>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构建多元化、专业化乡村本土人才培育服务体系，强化人才入乡“引用留”政策供给和长效服务机制，加大资金扶持、项目支撑、人才激励等政策保障。搭建高质量乡村振兴人才培训平台，</w:t>
      </w:r>
      <w:r>
        <w:rPr>
          <w:rFonts w:hint="eastAsia" w:ascii="仿宋_GB2312" w:hAnsi="仿宋_GB2312" w:eastAsia="仿宋_GB2312" w:cs="仿宋_GB2312"/>
          <w:color w:val="auto"/>
          <w:szCs w:val="32"/>
          <w:lang w:val="en-US" w:eastAsia="zh-CN"/>
        </w:rPr>
        <w:t>累计</w:t>
      </w:r>
      <w:r>
        <w:rPr>
          <w:rFonts w:hint="eastAsia" w:ascii="仿宋_GB2312" w:hAnsi="仿宋_GB2312" w:eastAsia="仿宋_GB2312" w:cs="仿宋_GB2312"/>
          <w:color w:val="auto"/>
          <w:szCs w:val="32"/>
        </w:rPr>
        <w:t>培训本土人才不低于250人</w:t>
      </w:r>
      <w:r>
        <w:rPr>
          <w:rFonts w:hint="eastAsia" w:ascii="仿宋_GB2312" w:hAnsi="仿宋_GB2312" w:eastAsia="仿宋_GB2312" w:cs="仿宋_GB2312"/>
          <w:color w:val="auto"/>
          <w:szCs w:val="32"/>
          <w:lang w:eastAsia="zh-CN"/>
        </w:rPr>
        <w:t>，培训</w:t>
      </w:r>
      <w:r>
        <w:rPr>
          <w:rFonts w:hint="eastAsia" w:ascii="仿宋_GB2312" w:hAnsi="仿宋_GB2312" w:eastAsia="仿宋_GB2312" w:cs="仿宋_GB2312"/>
          <w:color w:val="auto"/>
          <w:szCs w:val="32"/>
        </w:rPr>
        <w:t>高素质农民5000人次。</w:t>
      </w:r>
    </w:p>
    <w:p w14:paraId="1267C849">
      <w:pPr>
        <w:pStyle w:val="2"/>
        <w:spacing w:line="560" w:lineRule="exact"/>
        <w:ind w:firstLine="643" w:firstLineChars="200"/>
        <w:outlineLvl w:val="1"/>
        <w:rPr>
          <w:rFonts w:hint="eastAsia" w:ascii="仿宋_GB2312" w:hAnsi="仿宋_GB2312" w:eastAsia="仿宋_GB2312" w:cs="仿宋_GB2312"/>
          <w:b/>
          <w:color w:val="auto"/>
          <w:szCs w:val="32"/>
        </w:rPr>
      </w:pPr>
      <w:bookmarkStart w:id="561" w:name="_Toc26055466"/>
      <w:bookmarkStart w:id="562" w:name="_Toc24427"/>
      <w:bookmarkStart w:id="563" w:name="_Toc853977020"/>
      <w:bookmarkStart w:id="564" w:name="_Toc1721741018"/>
      <w:bookmarkStart w:id="565" w:name="_Toc15005"/>
      <w:bookmarkStart w:id="566" w:name="_Toc1641"/>
      <w:bookmarkStart w:id="567" w:name="_Toc919148085"/>
      <w:bookmarkStart w:id="568" w:name="_Toc1333671386"/>
      <w:r>
        <w:rPr>
          <w:rFonts w:hint="eastAsia" w:ascii="仿宋_GB2312" w:hAnsi="仿宋_GB2312" w:eastAsia="仿宋_GB2312" w:cs="仿宋_GB2312"/>
          <w:b/>
          <w:color w:val="auto"/>
          <w:szCs w:val="32"/>
        </w:rPr>
        <w:t>（五）多维拓宽农民增收渠道，稳步提升共同富裕水平</w:t>
      </w:r>
      <w:bookmarkEnd w:id="561"/>
      <w:bookmarkEnd w:id="562"/>
      <w:bookmarkEnd w:id="563"/>
      <w:bookmarkEnd w:id="564"/>
      <w:bookmarkEnd w:id="565"/>
      <w:bookmarkEnd w:id="566"/>
      <w:bookmarkEnd w:id="567"/>
      <w:bookmarkEnd w:id="568"/>
    </w:p>
    <w:p w14:paraId="29EC31DF">
      <w:pPr>
        <w:pStyle w:val="2"/>
        <w:spacing w:line="560" w:lineRule="exact"/>
        <w:ind w:firstLine="643" w:firstLineChars="200"/>
        <w:rPr>
          <w:rFonts w:hint="eastAsia" w:ascii="仿宋_GB2312" w:hAnsi="仿宋_GB2312" w:eastAsia="仿宋_GB2312" w:cs="仿宋_GB2312"/>
          <w:color w:val="auto"/>
          <w:szCs w:val="32"/>
        </w:rPr>
      </w:pPr>
      <w:bookmarkStart w:id="569" w:name="_Toc2043931088"/>
      <w:r>
        <w:rPr>
          <w:rFonts w:hint="eastAsia" w:ascii="仿宋_GB2312" w:hAnsi="仿宋_GB2312" w:eastAsia="仿宋_GB2312" w:cs="仿宋_GB2312"/>
          <w:b/>
          <w:bCs/>
          <w:color w:val="auto"/>
          <w:szCs w:val="32"/>
        </w:rPr>
        <w:t>1.拓宽经营性收入渠道</w:t>
      </w:r>
      <w:bookmarkEnd w:id="569"/>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推进高端设施农业、精品林果业、生态休闲农业等特色产业提质增效，壮大农产品精深加工企业、乡村民宿、研学基地等新型农业经营主体，大力发展电商</w:t>
      </w:r>
      <w:r>
        <w:rPr>
          <w:rFonts w:hint="eastAsia" w:ascii="仿宋_GB2312" w:hAnsi="仿宋_GB2312" w:eastAsia="仿宋_GB2312" w:cs="仿宋_GB2312"/>
          <w:color w:val="auto"/>
          <w:szCs w:val="32"/>
          <w:lang w:val="en-US" w:eastAsia="zh-CN"/>
        </w:rPr>
        <w:t>直播等</w:t>
      </w:r>
      <w:r>
        <w:rPr>
          <w:rFonts w:hint="eastAsia" w:ascii="仿宋_GB2312" w:hAnsi="仿宋_GB2312" w:eastAsia="仿宋_GB2312" w:cs="仿宋_GB2312"/>
          <w:color w:val="auto"/>
          <w:szCs w:val="32"/>
        </w:rPr>
        <w:t>农业新业态，</w:t>
      </w:r>
      <w:r>
        <w:rPr>
          <w:rFonts w:hint="eastAsia" w:ascii="仿宋_GB2312" w:hAnsi="仿宋_GB2312" w:eastAsia="仿宋_GB2312" w:cs="仿宋_GB2312"/>
          <w:color w:val="auto"/>
          <w:szCs w:val="32"/>
          <w:lang w:val="en-US" w:eastAsia="zh-CN"/>
        </w:rPr>
        <w:t>以产业迭代升级</w:t>
      </w:r>
      <w:r>
        <w:rPr>
          <w:rFonts w:hint="eastAsia" w:ascii="仿宋_GB2312" w:hAnsi="仿宋_GB2312" w:eastAsia="仿宋_GB2312" w:cs="仿宋_GB2312"/>
          <w:color w:val="auto"/>
          <w:szCs w:val="32"/>
        </w:rPr>
        <w:t>带动农民经营性收入稳步增长。</w:t>
      </w:r>
    </w:p>
    <w:p w14:paraId="137CE770">
      <w:pPr>
        <w:pStyle w:val="2"/>
        <w:spacing w:line="560" w:lineRule="exact"/>
        <w:ind w:firstLine="643" w:firstLineChars="200"/>
        <w:rPr>
          <w:rFonts w:hint="eastAsia" w:ascii="仿宋_GB2312" w:hAnsi="仿宋_GB2312" w:eastAsia="仿宋_GB2312" w:cs="仿宋_GB2312"/>
          <w:color w:val="auto"/>
          <w:szCs w:val="32"/>
          <w:highlight w:val="yellow"/>
          <w:lang w:eastAsia="zh-CN"/>
        </w:rPr>
      </w:pPr>
      <w:bookmarkStart w:id="570" w:name="_Toc22465"/>
      <w:bookmarkStart w:id="571" w:name="_Toc232696227"/>
      <w:bookmarkStart w:id="572" w:name="_Toc771489918"/>
      <w:bookmarkStart w:id="573" w:name="_Toc1652314337"/>
      <w:bookmarkStart w:id="574" w:name="_Toc230266999"/>
      <w:r>
        <w:rPr>
          <w:rFonts w:hint="eastAsia" w:ascii="仿宋_GB2312" w:hAnsi="仿宋_GB2312" w:eastAsia="仿宋_GB2312" w:cs="仿宋_GB2312"/>
          <w:b/>
          <w:bCs/>
          <w:color w:val="auto"/>
          <w:szCs w:val="32"/>
        </w:rPr>
        <w:t>2</w:t>
      </w:r>
      <w:r>
        <w:rPr>
          <w:rFonts w:hint="eastAsia" w:ascii="仿宋_GB2312" w:hAnsi="仿宋_GB2312" w:eastAsia="仿宋_GB2312" w:cs="仿宋_GB2312"/>
          <w:b/>
          <w:bCs/>
          <w:color w:val="auto"/>
          <w:szCs w:val="32"/>
          <w:highlight w:val="none"/>
        </w:rPr>
        <w:t>.提高工资性收入水平</w:t>
      </w:r>
      <w:bookmarkEnd w:id="570"/>
      <w:bookmarkEnd w:id="571"/>
      <w:bookmarkEnd w:id="572"/>
      <w:bookmarkEnd w:id="573"/>
      <w:bookmarkEnd w:id="574"/>
      <w:r>
        <w:rPr>
          <w:rFonts w:hint="eastAsia" w:ascii="仿宋_GB2312" w:hAnsi="仿宋_GB2312" w:eastAsia="仿宋_GB2312" w:cs="仿宋_GB2312"/>
          <w:b/>
          <w:bCs/>
          <w:color w:val="auto"/>
          <w:szCs w:val="32"/>
          <w:highlight w:val="none"/>
        </w:rPr>
        <w:t>。</w:t>
      </w:r>
      <w:r>
        <w:rPr>
          <w:rFonts w:hint="eastAsia" w:ascii="仿宋_GB2312" w:hAnsi="仿宋_GB2312" w:eastAsia="仿宋_GB2312" w:cs="仿宋_GB2312"/>
          <w:color w:val="auto"/>
          <w:szCs w:val="32"/>
          <w:highlight w:val="none"/>
        </w:rPr>
        <w:t>因地制宜推进“以工代赈”</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发展乡村电商、乡村旅游等就业载体，开发公益性岗位，优先吸纳就业困难人员就近就业。强化技能培训，拓宽就业渠道。</w:t>
      </w:r>
    </w:p>
    <w:p w14:paraId="61188081">
      <w:pPr>
        <w:pStyle w:val="2"/>
        <w:spacing w:line="560" w:lineRule="exact"/>
        <w:ind w:firstLine="643" w:firstLineChars="200"/>
        <w:rPr>
          <w:rFonts w:hint="eastAsia" w:ascii="仿宋_GB2312" w:hAnsi="仿宋_GB2312" w:eastAsia="仿宋_GB2312" w:cs="仿宋_GB2312"/>
          <w:color w:val="auto"/>
          <w:szCs w:val="32"/>
        </w:rPr>
      </w:pPr>
      <w:bookmarkStart w:id="575" w:name="_Toc1845677331"/>
      <w:bookmarkStart w:id="576" w:name="_Toc18768"/>
      <w:bookmarkStart w:id="577" w:name="_Toc1731640357"/>
      <w:bookmarkStart w:id="578" w:name="_Toc89884475"/>
      <w:bookmarkStart w:id="579" w:name="_Toc1466585471"/>
      <w:r>
        <w:rPr>
          <w:rFonts w:hint="eastAsia" w:ascii="仿宋_GB2312" w:hAnsi="仿宋_GB2312" w:eastAsia="仿宋_GB2312" w:cs="仿宋_GB2312"/>
          <w:b/>
          <w:bCs/>
          <w:color w:val="auto"/>
          <w:szCs w:val="32"/>
        </w:rPr>
        <w:t>3.</w:t>
      </w:r>
      <w:bookmarkEnd w:id="575"/>
      <w:bookmarkEnd w:id="576"/>
      <w:bookmarkEnd w:id="577"/>
      <w:r>
        <w:rPr>
          <w:rFonts w:hint="eastAsia" w:ascii="仿宋_GB2312" w:hAnsi="仿宋_GB2312" w:eastAsia="仿宋_GB2312" w:cs="仿宋_GB2312"/>
          <w:b/>
          <w:bCs/>
          <w:color w:val="auto"/>
          <w:szCs w:val="32"/>
        </w:rPr>
        <w:t>确保财产性收入增长</w:t>
      </w:r>
      <w:bookmarkEnd w:id="578"/>
      <w:bookmarkEnd w:id="579"/>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highlight w:val="none"/>
          <w:lang w:val="en-US" w:eastAsia="zh-CN"/>
        </w:rPr>
        <w:t>鼓励盘活闲置农房，发展</w:t>
      </w:r>
      <w:r>
        <w:rPr>
          <w:rFonts w:hint="eastAsia" w:ascii="仿宋_GB2312" w:hAnsi="仿宋_GB2312" w:eastAsia="仿宋_GB2312" w:cs="仿宋_GB2312"/>
          <w:color w:val="auto"/>
          <w:szCs w:val="32"/>
          <w:highlight w:val="none"/>
        </w:rPr>
        <w:t>乡村旅游、休闲康养、餐饮民宿、文化创意等</w:t>
      </w:r>
      <w:r>
        <w:rPr>
          <w:rFonts w:hint="eastAsia" w:ascii="仿宋_GB2312" w:hAnsi="仿宋_GB2312" w:eastAsia="仿宋_GB2312" w:cs="仿宋_GB2312"/>
          <w:color w:val="auto"/>
          <w:szCs w:val="32"/>
          <w:highlight w:val="none"/>
          <w:lang w:val="en-US" w:eastAsia="zh-CN"/>
        </w:rPr>
        <w:t>特色产业</w:t>
      </w:r>
      <w:r>
        <w:rPr>
          <w:rFonts w:hint="eastAsia" w:ascii="仿宋_GB2312" w:hAnsi="仿宋_GB2312" w:eastAsia="仿宋_GB2312" w:cs="仿宋_GB2312"/>
          <w:color w:val="auto"/>
          <w:szCs w:val="32"/>
          <w:highlight w:val="none"/>
        </w:rPr>
        <w:t>，拓宽</w:t>
      </w:r>
      <w:r>
        <w:rPr>
          <w:rFonts w:hint="eastAsia" w:ascii="仿宋_GB2312" w:hAnsi="仿宋_GB2312" w:eastAsia="仿宋_GB2312" w:cs="仿宋_GB2312"/>
          <w:color w:val="auto"/>
          <w:szCs w:val="32"/>
          <w:highlight w:val="none"/>
          <w:lang w:val="en-US" w:eastAsia="zh-CN"/>
        </w:rPr>
        <w:t>资产</w:t>
      </w:r>
      <w:r>
        <w:rPr>
          <w:rFonts w:hint="eastAsia" w:ascii="仿宋_GB2312" w:hAnsi="仿宋_GB2312" w:eastAsia="仿宋_GB2312" w:cs="仿宋_GB2312"/>
          <w:color w:val="auto"/>
          <w:szCs w:val="32"/>
          <w:highlight w:val="none"/>
        </w:rPr>
        <w:t>增值</w:t>
      </w:r>
      <w:r>
        <w:rPr>
          <w:rFonts w:hint="eastAsia" w:ascii="仿宋_GB2312" w:hAnsi="仿宋_GB2312" w:eastAsia="仿宋_GB2312" w:cs="仿宋_GB2312"/>
          <w:color w:val="auto"/>
          <w:szCs w:val="32"/>
          <w:highlight w:val="none"/>
          <w:lang w:val="en-US" w:eastAsia="zh-CN"/>
        </w:rPr>
        <w:t>渠道</w:t>
      </w:r>
      <w:r>
        <w:rPr>
          <w:rFonts w:hint="eastAsia" w:ascii="仿宋_GB2312" w:hAnsi="仿宋_GB2312" w:eastAsia="仿宋_GB2312" w:cs="仿宋_GB2312"/>
          <w:color w:val="auto"/>
          <w:szCs w:val="32"/>
          <w:highlight w:val="none"/>
        </w:rPr>
        <w:t>。完善集体资产增值收益分配</w:t>
      </w:r>
      <w:r>
        <w:rPr>
          <w:rFonts w:hint="eastAsia" w:ascii="仿宋_GB2312" w:hAnsi="仿宋_GB2312" w:eastAsia="仿宋_GB2312" w:cs="仿宋_GB2312"/>
          <w:color w:val="auto"/>
          <w:szCs w:val="32"/>
          <w:highlight w:val="none"/>
          <w:lang w:val="en-US" w:eastAsia="zh-CN"/>
        </w:rPr>
        <w:t>机制</w:t>
      </w:r>
      <w:r>
        <w:rPr>
          <w:rFonts w:hint="eastAsia" w:ascii="仿宋_GB2312" w:hAnsi="仿宋_GB2312" w:eastAsia="仿宋_GB2312" w:cs="仿宋_GB2312"/>
          <w:color w:val="auto"/>
          <w:szCs w:val="32"/>
          <w:highlight w:val="none"/>
        </w:rPr>
        <w:t>，确保农民</w:t>
      </w:r>
      <w:r>
        <w:rPr>
          <w:rFonts w:hint="eastAsia" w:ascii="仿宋_GB2312" w:hAnsi="仿宋_GB2312" w:eastAsia="仿宋_GB2312" w:cs="仿宋_GB2312"/>
          <w:color w:val="auto"/>
          <w:szCs w:val="32"/>
          <w:highlight w:val="none"/>
          <w:lang w:val="en-US" w:eastAsia="zh-CN"/>
        </w:rPr>
        <w:t>共享</w:t>
      </w:r>
      <w:r>
        <w:rPr>
          <w:rFonts w:hint="eastAsia" w:ascii="仿宋_GB2312" w:hAnsi="仿宋_GB2312" w:eastAsia="仿宋_GB2312" w:cs="仿宋_GB2312"/>
          <w:color w:val="auto"/>
          <w:szCs w:val="32"/>
          <w:highlight w:val="none"/>
        </w:rPr>
        <w:t>资源增值收益。</w:t>
      </w:r>
    </w:p>
    <w:p w14:paraId="0251E661">
      <w:pPr>
        <w:pStyle w:val="2"/>
        <w:spacing w:line="560" w:lineRule="exact"/>
        <w:ind w:firstLine="643" w:firstLineChars="200"/>
        <w:rPr>
          <w:rFonts w:hint="eastAsia" w:ascii="仿宋_GB2312" w:hAnsi="仿宋_GB2312" w:eastAsia="仿宋_GB2312" w:cs="仿宋_GB2312"/>
          <w:color w:val="auto"/>
          <w:lang w:eastAsia="zh-CN"/>
        </w:rPr>
      </w:pPr>
      <w:bookmarkStart w:id="580" w:name="_Toc23108"/>
      <w:bookmarkStart w:id="581" w:name="_Toc897603054"/>
      <w:bookmarkStart w:id="582" w:name="_Toc848830264"/>
      <w:bookmarkStart w:id="583" w:name="_Toc1994901528"/>
      <w:bookmarkStart w:id="584" w:name="_Toc409302397"/>
      <w:r>
        <w:rPr>
          <w:rFonts w:hint="eastAsia" w:ascii="仿宋_GB2312" w:hAnsi="仿宋_GB2312" w:eastAsia="仿宋_GB2312" w:cs="仿宋_GB2312"/>
          <w:b/>
          <w:bCs/>
          <w:color w:val="auto"/>
          <w:szCs w:val="32"/>
        </w:rPr>
        <w:t>4.</w:t>
      </w:r>
      <w:r>
        <w:rPr>
          <w:rFonts w:hint="eastAsia" w:ascii="仿宋_GB2312" w:hAnsi="仿宋_GB2312" w:eastAsia="仿宋_GB2312" w:cs="仿宋_GB2312"/>
          <w:b/>
          <w:bCs/>
          <w:color w:val="auto"/>
          <w:szCs w:val="32"/>
          <w:highlight w:val="none"/>
        </w:rPr>
        <w:t>强化转移性支付保障</w:t>
      </w:r>
      <w:bookmarkEnd w:id="580"/>
      <w:bookmarkEnd w:id="581"/>
      <w:bookmarkEnd w:id="582"/>
      <w:bookmarkEnd w:id="583"/>
      <w:bookmarkEnd w:id="584"/>
      <w:r>
        <w:rPr>
          <w:rFonts w:hint="eastAsia" w:ascii="仿宋_GB2312" w:hAnsi="仿宋_GB2312" w:eastAsia="仿宋_GB2312" w:cs="仿宋_GB2312"/>
          <w:b/>
          <w:bCs/>
          <w:color w:val="auto"/>
          <w:szCs w:val="32"/>
          <w:highlight w:val="none"/>
        </w:rPr>
        <w:t>。</w:t>
      </w:r>
      <w:bookmarkStart w:id="585" w:name="_Toc15666"/>
      <w:r>
        <w:rPr>
          <w:rFonts w:hint="eastAsia" w:ascii="仿宋_GB2312" w:hAnsi="仿宋_GB2312" w:eastAsia="仿宋_GB2312" w:cs="仿宋_GB2312"/>
          <w:color w:val="auto"/>
          <w:szCs w:val="32"/>
          <w:highlight w:val="none"/>
        </w:rPr>
        <w:t>严格落实养老、医疗、失业保险</w:t>
      </w:r>
      <w:r>
        <w:rPr>
          <w:rFonts w:hint="eastAsia" w:ascii="仿宋_GB2312" w:hAnsi="仿宋_GB2312" w:eastAsia="仿宋_GB2312" w:cs="仿宋_GB2312"/>
          <w:color w:val="auto"/>
          <w:szCs w:val="32"/>
          <w:highlight w:val="none"/>
          <w:lang w:val="en-US" w:eastAsia="zh-CN"/>
        </w:rPr>
        <w:t>和</w:t>
      </w:r>
      <w:r>
        <w:rPr>
          <w:rFonts w:hint="eastAsia" w:ascii="仿宋_GB2312" w:hAnsi="仿宋_GB2312" w:eastAsia="仿宋_GB2312" w:cs="仿宋_GB2312"/>
          <w:color w:val="auto"/>
          <w:szCs w:val="32"/>
          <w:highlight w:val="none"/>
        </w:rPr>
        <w:t>最低生活保障制度，确保“应保尽保、应享尽享”。</w:t>
      </w:r>
      <w:r>
        <w:rPr>
          <w:rFonts w:hint="eastAsia" w:ascii="仿宋_GB2312" w:hAnsi="仿宋_GB2312" w:eastAsia="仿宋_GB2312" w:cs="仿宋_GB2312"/>
          <w:color w:val="auto"/>
          <w:szCs w:val="32"/>
          <w:highlight w:val="none"/>
          <w:lang w:val="en-US" w:eastAsia="zh-CN"/>
        </w:rPr>
        <w:t>落实</w:t>
      </w:r>
      <w:r>
        <w:rPr>
          <w:rFonts w:hint="eastAsia" w:ascii="仿宋_GB2312" w:hAnsi="仿宋_GB2312" w:eastAsia="仿宋_GB2312" w:cs="仿宋_GB2312"/>
          <w:color w:val="auto"/>
          <w:szCs w:val="32"/>
          <w:highlight w:val="none"/>
        </w:rPr>
        <w:t>农业、清洁取暖、</w:t>
      </w:r>
      <w:r>
        <w:rPr>
          <w:rFonts w:hint="eastAsia" w:ascii="仿宋_GB2312" w:hAnsi="仿宋_GB2312" w:eastAsia="仿宋_GB2312" w:cs="仿宋_GB2312"/>
          <w:color w:val="auto"/>
          <w:szCs w:val="32"/>
          <w:highlight w:val="none"/>
          <w:lang w:val="en-US" w:eastAsia="zh-CN"/>
        </w:rPr>
        <w:t>养老等</w:t>
      </w:r>
      <w:r>
        <w:rPr>
          <w:rFonts w:hint="eastAsia" w:ascii="仿宋_GB2312" w:hAnsi="仿宋_GB2312" w:eastAsia="仿宋_GB2312" w:cs="仿宋_GB2312"/>
          <w:color w:val="auto"/>
          <w:szCs w:val="32"/>
          <w:highlight w:val="none"/>
        </w:rPr>
        <w:t>补贴政策。</w:t>
      </w:r>
      <w:bookmarkEnd w:id="449"/>
      <w:bookmarkEnd w:id="543"/>
      <w:bookmarkEnd w:id="544"/>
      <w:bookmarkEnd w:id="545"/>
      <w:bookmarkEnd w:id="546"/>
      <w:bookmarkEnd w:id="547"/>
      <w:bookmarkEnd w:id="548"/>
      <w:bookmarkEnd w:id="549"/>
      <w:bookmarkEnd w:id="550"/>
      <w:bookmarkEnd w:id="585"/>
      <w:r>
        <w:rPr>
          <w:rFonts w:hint="eastAsia" w:ascii="仿宋_GB2312" w:hAnsi="仿宋_GB2312" w:eastAsia="仿宋_GB2312" w:cs="仿宋_GB2312"/>
          <w:color w:val="auto"/>
          <w:szCs w:val="32"/>
          <w:highlight w:val="none"/>
          <w:lang w:val="en-US" w:eastAsia="zh-CN"/>
        </w:rPr>
        <w:t>扩大</w:t>
      </w:r>
      <w:r>
        <w:rPr>
          <w:rFonts w:hint="eastAsia" w:ascii="仿宋_GB2312" w:hAnsi="仿宋_GB2312" w:eastAsia="仿宋_GB2312" w:cs="仿宋_GB2312"/>
          <w:color w:val="auto"/>
          <w:szCs w:val="32"/>
          <w:highlight w:val="none"/>
        </w:rPr>
        <w:t>政策性农业保险覆盖面，优化保险产品供给，</w:t>
      </w:r>
      <w:r>
        <w:rPr>
          <w:rFonts w:hint="eastAsia" w:ascii="仿宋_GB2312" w:hAnsi="仿宋_GB2312" w:eastAsia="仿宋_GB2312" w:cs="仿宋_GB2312"/>
          <w:color w:val="auto"/>
          <w:szCs w:val="32"/>
          <w:highlight w:val="none"/>
          <w:lang w:val="en-US" w:eastAsia="zh-CN"/>
        </w:rPr>
        <w:t>降低</w:t>
      </w:r>
      <w:r>
        <w:rPr>
          <w:rFonts w:hint="eastAsia" w:ascii="仿宋_GB2312" w:hAnsi="仿宋_GB2312" w:eastAsia="仿宋_GB2312" w:cs="仿宋_GB2312"/>
          <w:color w:val="auto"/>
          <w:szCs w:val="32"/>
          <w:highlight w:val="none"/>
        </w:rPr>
        <w:t>农户风险损失。</w:t>
      </w:r>
    </w:p>
    <w:p w14:paraId="4D3D5960">
      <w:pPr>
        <w:pStyle w:val="2"/>
        <w:spacing w:line="560" w:lineRule="exact"/>
        <w:ind w:firstLine="640" w:firstLineChars="200"/>
        <w:outlineLvl w:val="0"/>
        <w:rPr>
          <w:rFonts w:hint="eastAsia" w:ascii="黑体" w:hAnsi="黑体" w:eastAsia="黑体" w:cs="黑体"/>
          <w:color w:val="auto"/>
          <w:szCs w:val="32"/>
        </w:rPr>
      </w:pPr>
      <w:bookmarkStart w:id="586" w:name="_Toc31583"/>
      <w:bookmarkStart w:id="587" w:name="_Toc29810"/>
      <w:bookmarkStart w:id="588" w:name="_Toc7195"/>
      <w:bookmarkStart w:id="589" w:name="_Toc16121"/>
      <w:bookmarkStart w:id="590" w:name="_Toc17057"/>
      <w:bookmarkStart w:id="591" w:name="_Toc10705"/>
      <w:bookmarkStart w:id="592" w:name="_Toc345673488"/>
      <w:bookmarkStart w:id="593" w:name="_Toc5737629"/>
      <w:bookmarkStart w:id="594" w:name="_Toc23018"/>
      <w:bookmarkStart w:id="595" w:name="_Toc1951536527"/>
      <w:bookmarkStart w:id="596" w:name="_Toc27611"/>
      <w:bookmarkStart w:id="597" w:name="_Toc32643"/>
      <w:bookmarkStart w:id="598" w:name="_Toc12336"/>
      <w:bookmarkStart w:id="599" w:name="_Toc180507492"/>
      <w:bookmarkStart w:id="600" w:name="_Toc1720253436"/>
      <w:bookmarkStart w:id="601" w:name="_Toc13617"/>
      <w:r>
        <w:rPr>
          <w:rFonts w:hint="eastAsia" w:ascii="黑体" w:hAnsi="黑体" w:eastAsia="黑体" w:cs="黑体"/>
          <w:color w:val="auto"/>
          <w:szCs w:val="32"/>
        </w:rPr>
        <w:t>五、推动全域城乡融合发展，促进区域联动协同共进</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511A27FC">
      <w:pPr>
        <w:pStyle w:val="2"/>
        <w:spacing w:line="560" w:lineRule="exact"/>
        <w:ind w:firstLine="643" w:firstLineChars="200"/>
        <w:outlineLvl w:val="1"/>
        <w:rPr>
          <w:rFonts w:hint="eastAsia" w:ascii="仿宋_GB2312" w:hAnsi="仿宋_GB2312" w:eastAsia="仿宋_GB2312" w:cs="仿宋_GB2312"/>
          <w:b/>
          <w:color w:val="auto"/>
          <w:szCs w:val="32"/>
        </w:rPr>
      </w:pPr>
      <w:bookmarkStart w:id="602" w:name="_Toc1703654205"/>
      <w:bookmarkStart w:id="603" w:name="_Toc29604"/>
      <w:bookmarkStart w:id="604" w:name="_Toc28641"/>
      <w:bookmarkStart w:id="605" w:name="_Toc147784406"/>
      <w:bookmarkStart w:id="606" w:name="_Toc7752"/>
      <w:bookmarkStart w:id="607" w:name="_Toc13855"/>
      <w:bookmarkStart w:id="608" w:name="_Toc32601"/>
      <w:bookmarkStart w:id="609" w:name="_Toc10704"/>
      <w:bookmarkStart w:id="610" w:name="_Toc1090503490"/>
      <w:bookmarkStart w:id="611" w:name="_Toc11276"/>
      <w:bookmarkStart w:id="612" w:name="_Toc22890"/>
      <w:bookmarkStart w:id="613" w:name="_Toc594559329"/>
      <w:bookmarkStart w:id="614" w:name="_Toc18616"/>
      <w:bookmarkStart w:id="615" w:name="_Toc16275"/>
      <w:bookmarkStart w:id="616" w:name="_Toc5299"/>
      <w:bookmarkStart w:id="617" w:name="_Toc2026079623"/>
      <w:r>
        <w:rPr>
          <w:rFonts w:hint="eastAsia" w:ascii="仿宋_GB2312" w:hAnsi="仿宋_GB2312" w:eastAsia="仿宋_GB2312" w:cs="仿宋_GB2312"/>
          <w:b/>
          <w:color w:val="auto"/>
          <w:szCs w:val="32"/>
        </w:rPr>
        <w:t>（一）推动城乡融合发展，形成域内均衡发展新格局</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Start w:id="618" w:name="_Toc26920"/>
      <w:bookmarkStart w:id="619" w:name="_Toc565906627"/>
      <w:bookmarkStart w:id="620" w:name="_Toc9897"/>
      <w:bookmarkStart w:id="621" w:name="_Toc8276"/>
      <w:bookmarkStart w:id="622" w:name="_Toc10743"/>
      <w:bookmarkStart w:id="623" w:name="_Toc2029693448"/>
      <w:bookmarkStart w:id="624" w:name="_Toc652364535"/>
      <w:bookmarkStart w:id="625" w:name="_Toc1372629784"/>
    </w:p>
    <w:p w14:paraId="603C07D4">
      <w:pPr>
        <w:pStyle w:val="2"/>
        <w:spacing w:line="560" w:lineRule="exact"/>
        <w:ind w:firstLine="643"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1.推进产城融合</w:t>
      </w:r>
      <w:bookmarkEnd w:id="618"/>
      <w:r>
        <w:rPr>
          <w:rFonts w:hint="eastAsia" w:ascii="仿宋_GB2312" w:hAnsi="仿宋_GB2312" w:eastAsia="仿宋_GB2312" w:cs="仿宋_GB2312"/>
          <w:b/>
          <w:bCs/>
          <w:color w:val="auto"/>
          <w:szCs w:val="32"/>
        </w:rPr>
        <w:t>发展</w:t>
      </w:r>
      <w:bookmarkEnd w:id="619"/>
      <w:bookmarkEnd w:id="620"/>
      <w:bookmarkEnd w:id="621"/>
      <w:bookmarkEnd w:id="622"/>
      <w:bookmarkEnd w:id="623"/>
      <w:bookmarkEnd w:id="624"/>
      <w:bookmarkEnd w:id="625"/>
      <w:r>
        <w:rPr>
          <w:rFonts w:hint="eastAsia" w:ascii="仿宋_GB2312" w:hAnsi="仿宋_GB2312" w:eastAsia="仿宋_GB2312" w:cs="仿宋_GB2312"/>
          <w:b/>
          <w:bCs/>
          <w:color w:val="auto"/>
          <w:szCs w:val="32"/>
        </w:rPr>
        <w:t>。</w:t>
      </w:r>
      <w:r>
        <w:rPr>
          <w:rFonts w:hint="eastAsia" w:ascii="仿宋_GB2312" w:hAnsi="仿宋_GB2312" w:eastAsia="仿宋_GB2312" w:cs="仿宋_GB2312"/>
          <w:color w:val="auto"/>
          <w:szCs w:val="32"/>
        </w:rPr>
        <w:t>加快化解征地农转非相关历史遗留问题，实现应转尽转、逐步消化。按照“撤村不撤社”的原则加快推进撤村建居，实现农民带资产进城，推进镇村基础设施一体化。推动副中心教育、医疗、养老、文化、科技等优质资源向</w:t>
      </w:r>
      <w:r>
        <w:rPr>
          <w:rFonts w:hint="eastAsia" w:ascii="仿宋_GB2312" w:hAnsi="仿宋_GB2312" w:eastAsia="仿宋_GB2312" w:cs="仿宋_GB2312"/>
          <w:color w:val="auto"/>
          <w:szCs w:val="32"/>
          <w:lang w:val="en-US" w:eastAsia="zh-CN"/>
        </w:rPr>
        <w:t>拓展区</w:t>
      </w:r>
      <w:r>
        <w:rPr>
          <w:rFonts w:hint="eastAsia" w:ascii="仿宋_GB2312" w:hAnsi="仿宋_GB2312" w:eastAsia="仿宋_GB2312" w:cs="仿宋_GB2312"/>
          <w:color w:val="auto"/>
          <w:szCs w:val="32"/>
        </w:rPr>
        <w:t>流动，打造台湖演艺小镇、宋庄艺术创意小镇、张家湾设计小镇、潞城生态智慧小城镇、马驹桥科创服务小城镇，建设和美共荣的产城融合发展典范。</w:t>
      </w:r>
      <w:bookmarkStart w:id="626" w:name="_Toc566306573"/>
      <w:bookmarkStart w:id="627" w:name="_Toc247310305"/>
      <w:bookmarkStart w:id="628" w:name="_Toc12489"/>
      <w:bookmarkStart w:id="629" w:name="_Toc1653746395"/>
      <w:bookmarkStart w:id="630" w:name="_Toc29277"/>
      <w:bookmarkStart w:id="631" w:name="_Toc941525251"/>
      <w:bookmarkStart w:id="632" w:name="_Toc2989"/>
      <w:bookmarkStart w:id="633" w:name="_Toc14601"/>
      <w:bookmarkStart w:id="634" w:name="_Toc29097"/>
    </w:p>
    <w:p w14:paraId="5D2EDC37">
      <w:pPr>
        <w:pStyle w:val="2"/>
        <w:spacing w:line="560" w:lineRule="exact"/>
        <w:ind w:firstLine="643" w:firstLineChars="200"/>
        <w:rPr>
          <w:rFonts w:hint="eastAsia" w:ascii="仿宋_GB2312" w:hAnsi="仿宋_GB2312" w:eastAsia="仿宋_GB2312" w:cs="仿宋_GB2312"/>
          <w:b/>
          <w:bCs/>
          <w:color w:val="auto"/>
          <w:szCs w:val="32"/>
        </w:rPr>
      </w:pPr>
      <w:r>
        <w:rPr>
          <w:rFonts w:hint="eastAsia" w:ascii="仿宋_GB2312" w:hAnsi="仿宋_GB2312" w:eastAsia="仿宋_GB2312" w:cs="仿宋_GB2312"/>
          <w:b/>
          <w:bCs/>
          <w:color w:val="auto"/>
          <w:szCs w:val="32"/>
        </w:rPr>
        <w:t>2.推进</w:t>
      </w:r>
      <w:r>
        <w:rPr>
          <w:rFonts w:hint="default" w:ascii="仿宋_GB2312" w:hAnsi="仿宋_GB2312" w:eastAsia="仿宋_GB2312" w:cs="仿宋_GB2312"/>
          <w:b/>
          <w:bCs/>
          <w:color w:val="auto"/>
          <w:szCs w:val="32"/>
          <w:lang w:val="en-US" w:eastAsia="zh-CN"/>
        </w:rPr>
        <w:t>农业大</w:t>
      </w:r>
      <w:r>
        <w:rPr>
          <w:rFonts w:hint="eastAsia" w:ascii="仿宋_GB2312" w:hAnsi="仿宋_GB2312" w:eastAsia="仿宋_GB2312" w:cs="仿宋_GB2312"/>
          <w:b/>
          <w:bCs/>
          <w:color w:val="auto"/>
          <w:szCs w:val="32"/>
          <w:lang w:val="en-US" w:eastAsia="zh-CN"/>
        </w:rPr>
        <w:t>镇</w:t>
      </w:r>
      <w:r>
        <w:rPr>
          <w:rFonts w:hint="eastAsia" w:ascii="仿宋_GB2312" w:hAnsi="仿宋_GB2312" w:eastAsia="仿宋_GB2312" w:cs="仿宋_GB2312"/>
          <w:b/>
          <w:bCs/>
          <w:color w:val="auto"/>
          <w:szCs w:val="32"/>
        </w:rPr>
        <w:t>特色化发展。</w:t>
      </w:r>
      <w:r>
        <w:rPr>
          <w:rFonts w:hint="eastAsia" w:ascii="仿宋_GB2312" w:hAnsi="仿宋_GB2312" w:eastAsia="仿宋_GB2312" w:cs="仿宋_GB2312"/>
          <w:color w:val="auto"/>
          <w:szCs w:val="32"/>
        </w:rPr>
        <w:t>依托优质农业资源与田园生态基底，以优势产业为基础</w:t>
      </w:r>
      <w:bookmarkEnd w:id="626"/>
      <w:bookmarkEnd w:id="627"/>
      <w:bookmarkEnd w:id="628"/>
      <w:bookmarkEnd w:id="629"/>
      <w:bookmarkEnd w:id="630"/>
      <w:bookmarkEnd w:id="631"/>
      <w:bookmarkEnd w:id="632"/>
      <w:bookmarkEnd w:id="633"/>
      <w:bookmarkEnd w:id="634"/>
      <w:r>
        <w:rPr>
          <w:rFonts w:hint="eastAsia" w:ascii="仿宋_GB2312" w:hAnsi="仿宋_GB2312" w:eastAsia="仿宋_GB2312" w:cs="仿宋_GB2312"/>
          <w:color w:val="auto"/>
          <w:szCs w:val="32"/>
        </w:rPr>
        <w:t>，因地制宜推进特色小城镇建设，打造西集生态休闲科创小城镇、漷县文化健康小城镇、于家务科技农业小城镇、永乐店新市镇。强化镇域联动、资源整合与优势互补，共同打造特色鲜明、业态多元、宜农宜居宜业的和美乡村。</w:t>
      </w:r>
    </w:p>
    <w:p w14:paraId="693DACF9">
      <w:pPr>
        <w:pStyle w:val="2"/>
        <w:spacing w:line="560" w:lineRule="exact"/>
        <w:ind w:firstLine="643" w:firstLineChars="200"/>
        <w:outlineLvl w:val="1"/>
        <w:rPr>
          <w:rFonts w:hint="eastAsia" w:ascii="仿宋_GB2312" w:hAnsi="仿宋_GB2312" w:eastAsia="仿宋_GB2312" w:cs="仿宋_GB2312"/>
          <w:b/>
          <w:color w:val="auto"/>
          <w:szCs w:val="32"/>
        </w:rPr>
      </w:pPr>
      <w:bookmarkStart w:id="635" w:name="_Toc27354"/>
      <w:bookmarkStart w:id="636" w:name="_Toc208034537"/>
      <w:bookmarkStart w:id="637" w:name="_Toc1117647317"/>
      <w:bookmarkStart w:id="638" w:name="_Toc25529"/>
      <w:bookmarkStart w:id="639" w:name="_Toc81341540"/>
      <w:bookmarkStart w:id="640" w:name="_Toc5330"/>
      <w:bookmarkStart w:id="641" w:name="_Toc17704"/>
      <w:bookmarkStart w:id="642" w:name="_Toc1930"/>
      <w:bookmarkStart w:id="643" w:name="_Toc2000613589"/>
      <w:bookmarkStart w:id="644" w:name="_Toc19694"/>
      <w:bookmarkStart w:id="645" w:name="_Toc24387"/>
      <w:bookmarkStart w:id="646" w:name="_Toc9761"/>
      <w:bookmarkStart w:id="647" w:name="_Toc381843028"/>
      <w:bookmarkStart w:id="648" w:name="_Toc23749"/>
      <w:bookmarkStart w:id="649" w:name="_Toc11448"/>
      <w:bookmarkStart w:id="650" w:name="_Toc26614"/>
      <w:r>
        <w:rPr>
          <w:rFonts w:hint="eastAsia" w:ascii="仿宋_GB2312" w:hAnsi="仿宋_GB2312" w:eastAsia="仿宋_GB2312" w:cs="仿宋_GB2312"/>
          <w:b/>
          <w:color w:val="auto"/>
          <w:szCs w:val="32"/>
        </w:rPr>
        <w:t>（二）推进区域协同发展，形成区域联动发展新局面</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Start w:id="651" w:name="_Toc352863592"/>
      <w:bookmarkStart w:id="652" w:name="_Toc1679679199"/>
      <w:bookmarkStart w:id="653" w:name="_Toc24058"/>
      <w:bookmarkStart w:id="654" w:name="_Toc23733"/>
      <w:bookmarkStart w:id="655" w:name="_Toc22048"/>
      <w:bookmarkStart w:id="656" w:name="_Toc1064151644"/>
      <w:bookmarkStart w:id="657" w:name="_Toc1561551560"/>
      <w:bookmarkStart w:id="658" w:name="_Toc15449"/>
      <w:bookmarkStart w:id="659" w:name="_Toc15732"/>
    </w:p>
    <w:p w14:paraId="45CDBF0E">
      <w:pPr>
        <w:pStyle w:val="2"/>
        <w:spacing w:line="560" w:lineRule="exact"/>
        <w:ind w:firstLine="643" w:firstLineChars="200"/>
        <w:rPr>
          <w:rFonts w:hint="eastAsia" w:ascii="仿宋_GB2312" w:hAnsi="仿宋_GB2312" w:eastAsia="仿宋_GB2312" w:cs="仿宋_GB2312"/>
          <w:b/>
          <w:bCs/>
          <w:color w:val="auto"/>
          <w:szCs w:val="32"/>
        </w:rPr>
      </w:pPr>
      <w:r>
        <w:rPr>
          <w:rFonts w:hint="eastAsia" w:ascii="仿宋_GB2312" w:hAnsi="仿宋_GB2312" w:eastAsia="仿宋_GB2312" w:cs="仿宋_GB2312"/>
          <w:b/>
          <w:bCs/>
          <w:color w:val="auto"/>
          <w:szCs w:val="32"/>
        </w:rPr>
        <w:t>1.加快推进京津冀农业协同发展。</w:t>
      </w:r>
      <w:r>
        <w:rPr>
          <w:rFonts w:hint="eastAsia" w:ascii="仿宋_GB2312" w:hAnsi="仿宋_GB2312" w:eastAsia="仿宋_GB2312" w:cs="仿宋_GB2312"/>
          <w:color w:val="auto"/>
          <w:szCs w:val="32"/>
        </w:rPr>
        <w:t>以京津冀区域协同发展示范区建设为契机，以科技协同、产业融合、市场共建、生态协作为路径，</w:t>
      </w:r>
      <w:bookmarkEnd w:id="651"/>
      <w:bookmarkEnd w:id="652"/>
      <w:bookmarkEnd w:id="653"/>
      <w:bookmarkEnd w:id="654"/>
      <w:bookmarkEnd w:id="655"/>
      <w:bookmarkEnd w:id="656"/>
      <w:bookmarkEnd w:id="657"/>
      <w:bookmarkEnd w:id="658"/>
      <w:bookmarkEnd w:id="659"/>
      <w:r>
        <w:rPr>
          <w:rFonts w:hint="eastAsia" w:ascii="仿宋_GB2312" w:hAnsi="仿宋_GB2312" w:eastAsia="仿宋_GB2312" w:cs="仿宋_GB2312"/>
          <w:color w:val="auto"/>
          <w:szCs w:val="32"/>
        </w:rPr>
        <w:t>加快推进“通武廊”现代农业协同先行区建设</w:t>
      </w:r>
      <w:bookmarkStart w:id="660" w:name="_Toc6457"/>
      <w:bookmarkStart w:id="661" w:name="_Toc29827"/>
      <w:bookmarkStart w:id="662" w:name="_Toc28701"/>
      <w:bookmarkStart w:id="663" w:name="_Toc983460943"/>
      <w:bookmarkStart w:id="664" w:name="_Toc22658"/>
      <w:bookmarkStart w:id="665" w:name="_Toc115328405"/>
      <w:bookmarkStart w:id="666" w:name="_Toc1198993949"/>
      <w:bookmarkStart w:id="667" w:name="_Toc533767936"/>
      <w:r>
        <w:rPr>
          <w:rFonts w:hint="eastAsia" w:ascii="仿宋_GB2312" w:hAnsi="仿宋_GB2312" w:eastAsia="仿宋_GB2312" w:cs="仿宋_GB2312"/>
          <w:color w:val="auto"/>
          <w:szCs w:val="32"/>
        </w:rPr>
        <w:t>。深入推进通州区与北三县一体化高质量发展示范区建设，在基础设施互联互通、产业创新协同协作、生态环境联控联治、公共服务共建共享等方面取得实质性突破。</w:t>
      </w:r>
    </w:p>
    <w:p w14:paraId="0AE695DF">
      <w:pPr>
        <w:pStyle w:val="2"/>
        <w:spacing w:line="560" w:lineRule="exact"/>
        <w:ind w:firstLine="643"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bCs/>
          <w:color w:val="auto"/>
          <w:szCs w:val="32"/>
        </w:rPr>
        <w:t>2.持续深入推进京蒙协作发展。</w:t>
      </w:r>
      <w:r>
        <w:rPr>
          <w:rFonts w:hint="eastAsia" w:ascii="仿宋_GB2312" w:hAnsi="仿宋_GB2312" w:eastAsia="仿宋_GB2312" w:cs="仿宋_GB2312"/>
          <w:color w:val="auto"/>
          <w:szCs w:val="32"/>
        </w:rPr>
        <w:t>实施特色产业提升、产业集群打造、消费帮扶增效、劳务协作提质“四项行动”</w:t>
      </w:r>
      <w:bookmarkEnd w:id="660"/>
      <w:bookmarkEnd w:id="661"/>
      <w:bookmarkEnd w:id="662"/>
      <w:bookmarkEnd w:id="663"/>
      <w:bookmarkEnd w:id="664"/>
      <w:bookmarkEnd w:id="665"/>
      <w:bookmarkEnd w:id="666"/>
      <w:bookmarkEnd w:id="667"/>
      <w:r>
        <w:rPr>
          <w:rFonts w:hint="eastAsia" w:ascii="仿宋_GB2312" w:hAnsi="仿宋_GB2312" w:eastAsia="仿宋_GB2312" w:cs="仿宋_GB2312"/>
          <w:color w:val="auto"/>
          <w:szCs w:val="32"/>
        </w:rPr>
        <w:t>。深入推动文旅融合、科技赋能、生态保护等领域合作。组织开展“和美乡村——协作帮扶助力行动”，协作共建宜居宜业和美乡村。优化资金配置方式，集中财力支持一批带动性强的产业集群项目。巩固深化对接机制，凝聚更大协作合力，推进京蒙协作走深走实。</w:t>
      </w:r>
    </w:p>
    <w:p w14:paraId="58028564">
      <w:pPr>
        <w:pStyle w:val="2"/>
        <w:spacing w:line="560" w:lineRule="exact"/>
        <w:ind w:firstLine="640" w:firstLineChars="200"/>
        <w:outlineLvl w:val="0"/>
        <w:rPr>
          <w:rFonts w:hint="eastAsia" w:ascii="黑体" w:hAnsi="黑体" w:eastAsia="黑体" w:cs="黑体"/>
          <w:color w:val="auto"/>
          <w:szCs w:val="32"/>
          <w:lang w:eastAsia="zh-CN"/>
        </w:rPr>
      </w:pPr>
      <w:bookmarkStart w:id="668" w:name="_Toc1410360216"/>
      <w:bookmarkStart w:id="669" w:name="_Toc19443"/>
      <w:bookmarkStart w:id="670" w:name="_Toc16549"/>
      <w:bookmarkStart w:id="671" w:name="_Toc13029"/>
      <w:bookmarkStart w:id="672" w:name="_Toc18686"/>
      <w:bookmarkStart w:id="673" w:name="_Toc217152534"/>
      <w:bookmarkStart w:id="674" w:name="_Toc1902901071"/>
      <w:bookmarkStart w:id="675" w:name="_Toc12552"/>
      <w:bookmarkStart w:id="676" w:name="_Toc18170"/>
      <w:bookmarkStart w:id="677" w:name="_Toc28944"/>
      <w:bookmarkStart w:id="678" w:name="_Toc303266540"/>
      <w:bookmarkStart w:id="679" w:name="_Toc26424"/>
      <w:bookmarkStart w:id="680" w:name="_Toc1089987125"/>
      <w:bookmarkStart w:id="681" w:name="_Toc30871"/>
      <w:bookmarkStart w:id="682" w:name="_Toc10988"/>
      <w:bookmarkStart w:id="683" w:name="_Toc13599"/>
      <w:r>
        <w:rPr>
          <w:rFonts w:hint="eastAsia" w:ascii="黑体" w:hAnsi="黑体" w:eastAsia="黑体" w:cs="黑体"/>
          <w:color w:val="auto"/>
          <w:szCs w:val="32"/>
        </w:rPr>
        <w:t>六、</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rPr>
          <w:rFonts w:hint="eastAsia" w:ascii="黑体" w:hAnsi="黑体" w:eastAsia="黑体" w:cs="黑体"/>
          <w:color w:val="auto"/>
          <w:szCs w:val="32"/>
          <w:lang w:val="en-US" w:eastAsia="zh-CN"/>
        </w:rPr>
        <w:t>保障措施</w:t>
      </w:r>
      <w:bookmarkEnd w:id="683"/>
    </w:p>
    <w:p w14:paraId="48683D4A">
      <w:pPr>
        <w:pStyle w:val="2"/>
        <w:spacing w:line="560" w:lineRule="exact"/>
        <w:ind w:firstLine="640" w:firstLineChars="200"/>
        <w:rPr>
          <w:rFonts w:hint="eastAsia"/>
        </w:rPr>
      </w:pPr>
      <w:bookmarkStart w:id="684" w:name="_Toc24964"/>
      <w:bookmarkStart w:id="685" w:name="_Toc1319"/>
      <w:bookmarkStart w:id="686" w:name="_Toc1919235941"/>
      <w:bookmarkStart w:id="687" w:name="_Toc290378768"/>
      <w:bookmarkStart w:id="688" w:name="_Toc13024"/>
      <w:bookmarkStart w:id="689" w:name="_Toc32011"/>
      <w:bookmarkStart w:id="690" w:name="_Toc2942"/>
      <w:bookmarkStart w:id="691" w:name="_Toc31186"/>
      <w:bookmarkStart w:id="692" w:name="_Toc19039"/>
      <w:bookmarkStart w:id="693" w:name="_Toc2407"/>
      <w:bookmarkStart w:id="694" w:name="_Toc1138471896"/>
      <w:bookmarkStart w:id="695" w:name="_Toc26597"/>
      <w:bookmarkStart w:id="696" w:name="_Toc9255"/>
      <w:bookmarkStart w:id="697" w:name="_Toc1898322454"/>
      <w:r>
        <w:rPr>
          <w:rFonts w:hint="eastAsia" w:ascii="仿宋_GB2312" w:hAnsi="仿宋_GB2312" w:eastAsia="仿宋_GB2312" w:cs="仿宋_GB2312"/>
          <w:color w:val="auto"/>
          <w:szCs w:val="32"/>
        </w:rPr>
        <w:t>加强规划实施的组织领导，建立责任清单和重点任务台账，落实各方责任</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加大政策集成力度，构建政府引导、市场运作、社会协同的多元参与机制</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定期开展规划实施效果评估，动态调整推进措施，确保规划落</w:t>
      </w:r>
      <w:bookmarkStart w:id="698" w:name="_GoBack"/>
      <w:bookmarkEnd w:id="698"/>
      <w:r>
        <w:rPr>
          <w:rFonts w:hint="eastAsia" w:ascii="仿宋_GB2312" w:hAnsi="仿宋_GB2312" w:eastAsia="仿宋_GB2312" w:cs="仿宋_GB2312"/>
          <w:color w:val="auto"/>
          <w:szCs w:val="32"/>
        </w:rPr>
        <w:t>地。</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sectPr>
      <w:footerReference r:id="rId5" w:type="default"/>
      <w:footnotePr>
        <w:numFmt w:val="decimalEnclosedCircleChinese"/>
      </w:footnotePr>
      <w:pgSz w:w="11906" w:h="16838"/>
      <w:pgMar w:top="2098" w:right="1474" w:bottom="1984" w:left="1587" w:header="1701" w:footer="1701"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楷体_GB2312">
    <w:altName w:val="宋体"/>
    <w:panose1 w:val="02000000000000000000"/>
    <w:charset w:val="86"/>
    <w:family w:val="auto"/>
    <w:pitch w:val="default"/>
    <w:sig w:usb0="00000000" w:usb1="00000000" w:usb2="00000012" w:usb3="00000000" w:csb0="00040001" w:csb1="00000000"/>
  </w:font>
  <w:font w:name="等线">
    <w:altName w:val="Arial Unicode MS"/>
    <w:panose1 w:val="020106000300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Calibri Light">
    <w:altName w:val="Arial Rounded MT Bold"/>
    <w:panose1 w:val="020F0302020002030204"/>
    <w:charset w:val="00"/>
    <w:family w:val="swiss"/>
    <w:pitch w:val="default"/>
    <w:sig w:usb0="00000000" w:usb1="00000000" w:usb2="00000009" w:usb3="00000000" w:csb0="200001FF" w:csb1="00000000"/>
  </w:font>
  <w:font w:name="Arial Rounded MT Bold">
    <w:panose1 w:val="020F0704030504030204"/>
    <w:charset w:val="00"/>
    <w:family w:val="auto"/>
    <w:pitch w:val="default"/>
    <w:sig w:usb0="00000003" w:usb1="00000000" w:usb2="00000000" w:usb3="00000000" w:csb0="2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宋体S-超大字符集">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CCB82">
    <w:pPr>
      <w:pStyle w:val="17"/>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02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92E42E4">
                          <w:pPr>
                            <w:pStyle w:val="17"/>
                            <w:rPr>
                              <w:sz w:val="24"/>
                            </w:rPr>
                          </w:pPr>
                          <w:r>
                            <w:rPr>
                              <w:sz w:val="24"/>
                            </w:rPr>
                            <w:t xml:space="preserve">— </w:t>
                          </w:r>
                          <w:r>
                            <w:rPr>
                              <w:sz w:val="24"/>
                            </w:rPr>
                            <w:fldChar w:fldCharType="begin"/>
                          </w:r>
                          <w:r>
                            <w:rPr>
                              <w:sz w:val="24"/>
                            </w:rPr>
                            <w:instrText xml:space="preserve"> PAGE  \* MERGEFORMAT </w:instrText>
                          </w:r>
                          <w:r>
                            <w:rPr>
                              <w:sz w:val="24"/>
                            </w:rPr>
                            <w:fldChar w:fldCharType="separate"/>
                          </w:r>
                          <w:r>
                            <w:rPr>
                              <w:sz w:val="24"/>
                            </w:rPr>
                            <w:t>6</w:t>
                          </w:r>
                          <w:r>
                            <w:rPr>
                              <w:sz w:val="24"/>
                            </w:rPr>
                            <w:fldChar w:fldCharType="end"/>
                          </w:r>
                          <w:r>
                            <w:rPr>
                              <w:sz w:val="24"/>
                            </w:rPr>
                            <w:t xml:space="preserve"> —</w:t>
                          </w:r>
                        </w:p>
                      </w:txbxContent>
                    </wps:txbx>
                    <wps:bodyPr wrap="none" lIns="0" tIns="0" rIns="0" bIns="0">
                      <a:spAutoFit/>
                    </wps:bodyPr>
                  </wps:wsp>
                </a:graphicData>
              </a:graphic>
            </wp:anchor>
          </w:drawing>
        </mc:Choice>
        <mc:Fallback>
          <w:pict>
            <v:rect id="文本框 102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AoiRkSvwEAAH4DAAAOAAAAAAAAAAEAIAAAAB8BAABkcnMvZTJvRG9jLnhtbFBLBQYA&#10;AAAABgAGAFkBAABQBQAAAAA=&#10;">
              <v:fill on="f" focussize="0,0"/>
              <v:stroke on="f"/>
              <v:imagedata o:title=""/>
              <o:lock v:ext="edit" aspectratio="f"/>
              <v:textbox inset="0mm,0mm,0mm,0mm" style="mso-fit-shape-to-text:t;">
                <w:txbxContent>
                  <w:p w14:paraId="292E42E4">
                    <w:pPr>
                      <w:pStyle w:val="17"/>
                      <w:rPr>
                        <w:sz w:val="24"/>
                      </w:rPr>
                    </w:pPr>
                    <w:r>
                      <w:rPr>
                        <w:sz w:val="24"/>
                      </w:rPr>
                      <w:t xml:space="preserve">— </w:t>
                    </w:r>
                    <w:r>
                      <w:rPr>
                        <w:sz w:val="24"/>
                      </w:rPr>
                      <w:fldChar w:fldCharType="begin"/>
                    </w:r>
                    <w:r>
                      <w:rPr>
                        <w:sz w:val="24"/>
                      </w:rPr>
                      <w:instrText xml:space="preserve"> PAGE  \* MERGEFORMAT </w:instrText>
                    </w:r>
                    <w:r>
                      <w:rPr>
                        <w:sz w:val="24"/>
                      </w:rPr>
                      <w:fldChar w:fldCharType="separate"/>
                    </w:r>
                    <w:r>
                      <w:rPr>
                        <w:sz w:val="24"/>
                      </w:rPr>
                      <w:t>6</w:t>
                    </w:r>
                    <w:r>
                      <w:rPr>
                        <w:sz w:val="24"/>
                      </w:rPr>
                      <w:fldChar w:fldCharType="end"/>
                    </w:r>
                    <w:r>
                      <w:rPr>
                        <w:sz w:val="24"/>
                      </w:rP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TrueTypeFonts/>
  <w:saveSubsetFonts/>
  <w:trackRevisions w:val="1"/>
  <w:documentProtection w:enforcement="0"/>
  <w:defaultTabStop w:val="0"/>
  <w:drawingGridVerticalSpacing w:val="156"/>
  <w:displayHorizontalDrawingGridEvery w:val="1"/>
  <w:displayVerticalDrawingGridEvery w:val="1"/>
  <w:noPunctuationKerning w:val="1"/>
  <w:characterSpacingControl w:val="compressPunctuation"/>
  <w:footnotePr>
    <w:numFmt w:val="decimalEnclosedCircleChinese"/>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8EE098"/>
    <w:rsid w:val="D76EB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Calibri" w:hAnsi="Calibri" w:eastAsia="宋体" w:cs="Times New Roman"/>
      <w:kern w:val="2"/>
      <w:sz w:val="32"/>
      <w:szCs w:val="24"/>
      <w:lang w:val="en-US" w:eastAsia="zh-CN" w:bidi="ar-SA"/>
    </w:rPr>
  </w:style>
  <w:style w:type="paragraph" w:styleId="3">
    <w:name w:val="heading 1"/>
    <w:basedOn w:val="1"/>
    <w:next w:val="1"/>
    <w:link w:val="39"/>
    <w:qFormat/>
    <w:uiPriority w:val="9"/>
    <w:pPr>
      <w:keepNext/>
      <w:keepLines/>
      <w:spacing w:before="340" w:after="330" w:line="576" w:lineRule="auto"/>
      <w:outlineLvl w:val="0"/>
    </w:pPr>
    <w:rPr>
      <w:b/>
      <w:kern w:val="44"/>
      <w:sz w:val="44"/>
    </w:rPr>
  </w:style>
  <w:style w:type="paragraph" w:styleId="4">
    <w:name w:val="heading 2"/>
    <w:basedOn w:val="1"/>
    <w:next w:val="1"/>
    <w:qFormat/>
    <w:uiPriority w:val="9"/>
    <w:pPr>
      <w:keepNext/>
      <w:keepLines/>
      <w:spacing w:before="157" w:after="157" w:line="416" w:lineRule="auto"/>
      <w:outlineLvl w:val="1"/>
    </w:pPr>
    <w:rPr>
      <w:rFonts w:ascii="方正楷体_GB2312" w:hAnsi="方正楷体_GB2312" w:eastAsia="方正楷体_GB2312" w:cs="方正楷体_GB2312"/>
      <w:b/>
      <w:bCs/>
      <w:color w:val="000000"/>
      <w:szCs w:val="32"/>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32">
    <w:name w:val="Default Paragraph Font"/>
    <w:qFormat/>
    <w:uiPriority w:val="1"/>
  </w:style>
  <w:style w:type="table" w:default="1" w:styleId="30">
    <w:name w:val="Normal Table"/>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pPr>
  </w:style>
  <w:style w:type="paragraph" w:styleId="6">
    <w:name w:val="toc 7"/>
    <w:basedOn w:val="1"/>
    <w:next w:val="1"/>
    <w:qFormat/>
    <w:uiPriority w:val="39"/>
    <w:pPr>
      <w:spacing w:after="160" w:line="278" w:lineRule="auto"/>
      <w:ind w:left="2520" w:leftChars="1200"/>
      <w:jc w:val="left"/>
    </w:pPr>
    <w:rPr>
      <w:rFonts w:ascii="等线" w:hAnsi="等线" w:eastAsia="等线"/>
      <w:sz w:val="22"/>
    </w:rPr>
  </w:style>
  <w:style w:type="paragraph" w:styleId="7">
    <w:name w:val="caption"/>
    <w:basedOn w:val="1"/>
    <w:next w:val="1"/>
    <w:qFormat/>
    <w:uiPriority w:val="0"/>
    <w:rPr>
      <w:rFonts w:ascii="Arial" w:hAnsi="Arial" w:eastAsia="黑体"/>
      <w:sz w:val="20"/>
    </w:rPr>
  </w:style>
  <w:style w:type="paragraph" w:styleId="8">
    <w:name w:val="annotation text"/>
    <w:basedOn w:val="1"/>
    <w:link w:val="40"/>
    <w:qFormat/>
    <w:uiPriority w:val="0"/>
    <w:rPr>
      <w:rFonts w:ascii="Times New Roman" w:hAnsi="Times New Roman"/>
      <w:sz w:val="21"/>
    </w:rPr>
  </w:style>
  <w:style w:type="paragraph" w:styleId="9">
    <w:name w:val="Body Text"/>
    <w:basedOn w:val="1"/>
    <w:next w:val="1"/>
    <w:qFormat/>
    <w:uiPriority w:val="0"/>
    <w:pPr>
      <w:spacing w:after="140" w:line="276" w:lineRule="auto"/>
    </w:pPr>
  </w:style>
  <w:style w:type="paragraph" w:styleId="10">
    <w:name w:val="Block Text"/>
    <w:basedOn w:val="1"/>
    <w:next w:val="1"/>
    <w:qFormat/>
    <w:uiPriority w:val="0"/>
    <w:pPr>
      <w:spacing w:after="120"/>
      <w:ind w:left="1440" w:leftChars="700" w:right="1440" w:rightChars="700"/>
    </w:pPr>
  </w:style>
  <w:style w:type="paragraph" w:styleId="11">
    <w:name w:val="toc 5"/>
    <w:basedOn w:val="1"/>
    <w:next w:val="1"/>
    <w:qFormat/>
    <w:uiPriority w:val="39"/>
    <w:pPr>
      <w:spacing w:after="160" w:line="278" w:lineRule="auto"/>
      <w:ind w:left="1680" w:leftChars="800"/>
      <w:jc w:val="left"/>
    </w:pPr>
    <w:rPr>
      <w:rFonts w:ascii="等线" w:hAnsi="等线" w:eastAsia="等线"/>
      <w:sz w:val="22"/>
    </w:rPr>
  </w:style>
  <w:style w:type="paragraph" w:styleId="12">
    <w:name w:val="toc 3"/>
    <w:basedOn w:val="1"/>
    <w:next w:val="1"/>
    <w:qFormat/>
    <w:uiPriority w:val="39"/>
    <w:pPr>
      <w:ind w:left="840" w:leftChars="400"/>
    </w:pPr>
  </w:style>
  <w:style w:type="paragraph" w:styleId="13">
    <w:name w:val="Plain Text"/>
    <w:basedOn w:val="1"/>
    <w:qFormat/>
    <w:uiPriority w:val="99"/>
    <w:pPr>
      <w:tabs>
        <w:tab w:val="left" w:pos="720"/>
      </w:tabs>
      <w:ind w:firstLine="602" w:firstLineChars="200"/>
    </w:pPr>
    <w:rPr>
      <w:rFonts w:ascii="宋体" w:hAnsi="Courier New" w:cs="Courier New"/>
      <w:sz w:val="28"/>
      <w:szCs w:val="30"/>
    </w:rPr>
  </w:style>
  <w:style w:type="paragraph" w:styleId="14">
    <w:name w:val="toc 8"/>
    <w:basedOn w:val="1"/>
    <w:next w:val="1"/>
    <w:qFormat/>
    <w:uiPriority w:val="39"/>
    <w:pPr>
      <w:spacing w:after="160" w:line="278" w:lineRule="auto"/>
      <w:ind w:left="2940" w:leftChars="1400"/>
      <w:jc w:val="left"/>
    </w:pPr>
    <w:rPr>
      <w:rFonts w:ascii="等线" w:hAnsi="等线" w:eastAsia="等线"/>
      <w:sz w:val="22"/>
    </w:rPr>
  </w:style>
  <w:style w:type="paragraph" w:styleId="15">
    <w:name w:val="Body Text Indent 2"/>
    <w:basedOn w:val="1"/>
    <w:qFormat/>
    <w:uiPriority w:val="99"/>
    <w:pPr>
      <w:spacing w:after="120" w:line="480" w:lineRule="auto"/>
      <w:ind w:left="420" w:leftChars="200"/>
    </w:pPr>
  </w:style>
  <w:style w:type="paragraph" w:styleId="16">
    <w:name w:val="Balloon Text"/>
    <w:basedOn w:val="1"/>
    <w:link w:val="41"/>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9">
    <w:name w:val="toc 1"/>
    <w:basedOn w:val="1"/>
    <w:next w:val="1"/>
    <w:qFormat/>
    <w:uiPriority w:val="39"/>
  </w:style>
  <w:style w:type="paragraph" w:styleId="20">
    <w:name w:val="toc 4"/>
    <w:basedOn w:val="1"/>
    <w:next w:val="1"/>
    <w:qFormat/>
    <w:uiPriority w:val="39"/>
    <w:pPr>
      <w:spacing w:after="160" w:line="278" w:lineRule="auto"/>
      <w:ind w:left="1260" w:leftChars="600"/>
      <w:jc w:val="left"/>
    </w:pPr>
    <w:rPr>
      <w:rFonts w:ascii="等线" w:hAnsi="等线" w:eastAsia="等线"/>
      <w:sz w:val="22"/>
    </w:rPr>
  </w:style>
  <w:style w:type="paragraph" w:styleId="21">
    <w:name w:val="footnote text"/>
    <w:basedOn w:val="1"/>
    <w:link w:val="42"/>
    <w:qFormat/>
    <w:uiPriority w:val="0"/>
    <w:pPr>
      <w:snapToGrid w:val="0"/>
      <w:jc w:val="left"/>
    </w:pPr>
    <w:rPr>
      <w:sz w:val="18"/>
      <w:szCs w:val="18"/>
    </w:rPr>
  </w:style>
  <w:style w:type="paragraph" w:styleId="22">
    <w:name w:val="toc 6"/>
    <w:basedOn w:val="1"/>
    <w:next w:val="1"/>
    <w:qFormat/>
    <w:uiPriority w:val="39"/>
    <w:pPr>
      <w:spacing w:after="160" w:line="278" w:lineRule="auto"/>
      <w:ind w:left="2100" w:leftChars="1000"/>
      <w:jc w:val="left"/>
    </w:pPr>
    <w:rPr>
      <w:rFonts w:ascii="等线" w:hAnsi="等线" w:eastAsia="等线"/>
      <w:sz w:val="22"/>
    </w:rPr>
  </w:style>
  <w:style w:type="paragraph" w:styleId="23">
    <w:name w:val="index 9"/>
    <w:basedOn w:val="1"/>
    <w:next w:val="1"/>
    <w:qFormat/>
    <w:uiPriority w:val="99"/>
    <w:pPr>
      <w:ind w:firstLine="640" w:firstLineChars="200"/>
    </w:pPr>
    <w:rPr>
      <w:rFonts w:ascii="方正仿宋_GB2312" w:hAnsi="方正仿宋_GB2312" w:eastAsia="方正仿宋_GB2312" w:cs="方正仿宋_GB2312"/>
      <w:szCs w:val="32"/>
    </w:rPr>
  </w:style>
  <w:style w:type="paragraph" w:styleId="24">
    <w:name w:val="toc 2"/>
    <w:basedOn w:val="1"/>
    <w:next w:val="1"/>
    <w:qFormat/>
    <w:uiPriority w:val="39"/>
    <w:pPr>
      <w:ind w:left="420" w:leftChars="200"/>
    </w:pPr>
  </w:style>
  <w:style w:type="paragraph" w:styleId="25">
    <w:name w:val="toc 9"/>
    <w:basedOn w:val="1"/>
    <w:next w:val="1"/>
    <w:qFormat/>
    <w:uiPriority w:val="39"/>
    <w:pPr>
      <w:spacing w:after="160" w:line="278" w:lineRule="auto"/>
      <w:ind w:left="3360" w:leftChars="1600"/>
      <w:jc w:val="left"/>
    </w:pPr>
    <w:rPr>
      <w:rFonts w:ascii="等线" w:hAnsi="等线" w:eastAsia="等线"/>
      <w:sz w:val="22"/>
    </w:rPr>
  </w:style>
  <w:style w:type="paragraph" w:styleId="26">
    <w:name w:val="Body Text 2"/>
    <w:basedOn w:val="1"/>
    <w:qFormat/>
    <w:uiPriority w:val="0"/>
    <w:pPr>
      <w:spacing w:after="120" w:line="480" w:lineRule="auto"/>
    </w:pPr>
    <w:rPr>
      <w:sz w:val="21"/>
    </w:rPr>
  </w:style>
  <w:style w:type="paragraph" w:styleId="27">
    <w:name w:val="Normal (Web)"/>
    <w:basedOn w:val="1"/>
    <w:qFormat/>
    <w:uiPriority w:val="0"/>
    <w:pPr>
      <w:spacing w:before="100" w:beforeAutospacing="1" w:after="100" w:afterAutospacing="1"/>
      <w:jc w:val="left"/>
    </w:pPr>
    <w:rPr>
      <w:kern w:val="0"/>
      <w:sz w:val="24"/>
    </w:rPr>
  </w:style>
  <w:style w:type="paragraph" w:styleId="28">
    <w:name w:val="annotation subject"/>
    <w:basedOn w:val="8"/>
    <w:next w:val="8"/>
    <w:link w:val="43"/>
    <w:qFormat/>
    <w:uiPriority w:val="0"/>
    <w:pPr>
      <w:jc w:val="left"/>
    </w:pPr>
    <w:rPr>
      <w:rFonts w:ascii="Calibri" w:hAnsi="Calibri"/>
      <w:b/>
      <w:bCs/>
    </w:rPr>
  </w:style>
  <w:style w:type="paragraph" w:styleId="29">
    <w:name w:val="Body Text First Indent"/>
    <w:basedOn w:val="9"/>
    <w:next w:val="1"/>
    <w:qFormat/>
    <w:uiPriority w:val="0"/>
    <w:pPr>
      <w:ind w:firstLine="420"/>
    </w:pPr>
    <w:rPr>
      <w:rFonts w:eastAsia="方正楷体_GB2312"/>
      <w:szCs w:val="22"/>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uiPriority w:val="0"/>
    <w:rPr>
      <w:b/>
    </w:rPr>
  </w:style>
  <w:style w:type="character" w:styleId="34">
    <w:name w:val="Emphasis"/>
    <w:qFormat/>
    <w:uiPriority w:val="0"/>
    <w:rPr>
      <w:i/>
    </w:rPr>
  </w:style>
  <w:style w:type="character" w:styleId="35">
    <w:name w:val="Hyperlink"/>
    <w:qFormat/>
    <w:uiPriority w:val="99"/>
    <w:rPr>
      <w:color w:val="0563C1"/>
      <w:u w:val="single"/>
    </w:rPr>
  </w:style>
  <w:style w:type="character" w:styleId="36">
    <w:name w:val="annotation reference"/>
    <w:qFormat/>
    <w:uiPriority w:val="0"/>
    <w:rPr>
      <w:sz w:val="21"/>
      <w:szCs w:val="21"/>
    </w:rPr>
  </w:style>
  <w:style w:type="character" w:styleId="37">
    <w:name w:val="footnote reference"/>
    <w:qFormat/>
    <w:uiPriority w:val="0"/>
    <w:rPr>
      <w:vertAlign w:val="superscript"/>
    </w:rPr>
  </w:style>
  <w:style w:type="paragraph" w:styleId="38">
    <w:name w:val="List Paragraph"/>
    <w:basedOn w:val="1"/>
    <w:qFormat/>
    <w:uiPriority w:val="34"/>
    <w:pPr>
      <w:spacing w:after="160" w:line="278" w:lineRule="auto"/>
      <w:ind w:left="720"/>
      <w:contextualSpacing/>
      <w:jc w:val="left"/>
    </w:pPr>
    <w:rPr>
      <w:rFonts w:ascii="等线" w:hAnsi="等线" w:eastAsia="等线"/>
      <w:sz w:val="22"/>
    </w:rPr>
  </w:style>
  <w:style w:type="character" w:customStyle="1" w:styleId="39">
    <w:name w:val="标题 1 Char"/>
    <w:link w:val="3"/>
    <w:qFormat/>
    <w:uiPriority w:val="9"/>
    <w:rPr>
      <w:b/>
      <w:kern w:val="44"/>
      <w:sz w:val="44"/>
    </w:rPr>
  </w:style>
  <w:style w:type="character" w:customStyle="1" w:styleId="40">
    <w:name w:val="批注文字 Char"/>
    <w:link w:val="8"/>
    <w:qFormat/>
    <w:uiPriority w:val="0"/>
    <w:rPr>
      <w:kern w:val="2"/>
      <w:sz w:val="21"/>
      <w:szCs w:val="24"/>
    </w:rPr>
  </w:style>
  <w:style w:type="character" w:customStyle="1" w:styleId="41">
    <w:name w:val="批注框文本 Char"/>
    <w:link w:val="16"/>
    <w:qFormat/>
    <w:uiPriority w:val="0"/>
    <w:rPr>
      <w:rFonts w:ascii="Calibri" w:hAnsi="Calibri"/>
      <w:kern w:val="2"/>
      <w:sz w:val="18"/>
      <w:szCs w:val="18"/>
    </w:rPr>
  </w:style>
  <w:style w:type="character" w:customStyle="1" w:styleId="42">
    <w:name w:val="脚注文本 Char"/>
    <w:link w:val="21"/>
    <w:qFormat/>
    <w:uiPriority w:val="0"/>
    <w:rPr>
      <w:rFonts w:ascii="Calibri" w:hAnsi="Calibri"/>
      <w:kern w:val="2"/>
      <w:sz w:val="18"/>
      <w:szCs w:val="18"/>
    </w:rPr>
  </w:style>
  <w:style w:type="character" w:customStyle="1" w:styleId="43">
    <w:name w:val="批注主题 Char"/>
    <w:link w:val="28"/>
    <w:qFormat/>
    <w:uiPriority w:val="0"/>
    <w:rPr>
      <w:rFonts w:ascii="Calibri" w:hAnsi="Calibri"/>
      <w:b/>
      <w:bCs/>
      <w:kern w:val="2"/>
      <w:sz w:val="21"/>
      <w:szCs w:val="24"/>
    </w:rPr>
  </w:style>
  <w:style w:type="character" w:customStyle="1" w:styleId="44">
    <w:name w:val="font31"/>
    <w:qFormat/>
    <w:uiPriority w:val="0"/>
    <w:rPr>
      <w:rFonts w:hint="default" w:ascii="Times New Roman" w:hAnsi="Times New Roman" w:cs="Times New Roman"/>
      <w:color w:val="FF0000"/>
      <w:sz w:val="21"/>
      <w:szCs w:val="21"/>
      <w:u w:val="none"/>
    </w:rPr>
  </w:style>
  <w:style w:type="character" w:customStyle="1" w:styleId="45">
    <w:name w:val="fontstyle01"/>
    <w:qFormat/>
    <w:uiPriority w:val="0"/>
    <w:rPr>
      <w:rFonts w:ascii="方正仿宋_GB2312" w:hAnsi="方正仿宋_GB2312" w:eastAsia="方正仿宋_GB2312" w:cs="方正仿宋_GB2312"/>
      <w:color w:val="000000"/>
      <w:sz w:val="32"/>
      <w:szCs w:val="32"/>
    </w:rPr>
  </w:style>
  <w:style w:type="character" w:customStyle="1" w:styleId="46">
    <w:name w:val="font101"/>
    <w:qFormat/>
    <w:uiPriority w:val="0"/>
    <w:rPr>
      <w:rFonts w:hint="eastAsia" w:ascii="方正仿宋_GB2312" w:eastAsia="方正仿宋_GB2312" w:cs="方正仿宋_GB2312"/>
      <w:color w:val="FF0000"/>
      <w:sz w:val="21"/>
      <w:szCs w:val="21"/>
      <w:u w:val="none"/>
    </w:rPr>
  </w:style>
  <w:style w:type="character" w:customStyle="1" w:styleId="47">
    <w:name w:val="font71"/>
    <w:qFormat/>
    <w:uiPriority w:val="0"/>
    <w:rPr>
      <w:rFonts w:ascii="方正仿宋_GB2312" w:eastAsia="方正仿宋_GB2312" w:cs="方正仿宋_GB2312"/>
      <w:b/>
      <w:bCs/>
      <w:color w:val="000000"/>
      <w:sz w:val="21"/>
      <w:szCs w:val="21"/>
      <w:u w:val="none"/>
    </w:rPr>
  </w:style>
  <w:style w:type="character" w:customStyle="1" w:styleId="48">
    <w:name w:val="_Style 46"/>
    <w:qFormat/>
    <w:uiPriority w:val="99"/>
    <w:rPr>
      <w:color w:val="605E5C"/>
      <w:shd w:val="clear" w:color="auto" w:fill="E1DFDD"/>
    </w:rPr>
  </w:style>
  <w:style w:type="character" w:customStyle="1" w:styleId="49">
    <w:name w:val="font112"/>
    <w:qFormat/>
    <w:uiPriority w:val="0"/>
    <w:rPr>
      <w:rFonts w:hint="eastAsia" w:ascii="宋体" w:hAnsi="宋体" w:eastAsia="宋体" w:cs="宋体"/>
      <w:color w:val="000000"/>
      <w:sz w:val="21"/>
      <w:szCs w:val="21"/>
      <w:u w:val="none"/>
    </w:rPr>
  </w:style>
  <w:style w:type="character" w:customStyle="1" w:styleId="50">
    <w:name w:val="font131"/>
    <w:qFormat/>
    <w:uiPriority w:val="0"/>
    <w:rPr>
      <w:rFonts w:hint="eastAsia" w:ascii="方正仿宋_GB2312" w:eastAsia="方正仿宋_GB2312" w:cs="方正仿宋_GB2312"/>
      <w:color w:val="000000"/>
      <w:sz w:val="21"/>
      <w:szCs w:val="21"/>
      <w:u w:val="none"/>
    </w:rPr>
  </w:style>
  <w:style w:type="character" w:customStyle="1" w:styleId="51">
    <w:name w:val="font91"/>
    <w:qFormat/>
    <w:uiPriority w:val="0"/>
    <w:rPr>
      <w:rFonts w:hint="eastAsia" w:ascii="方正仿宋_GB2312" w:eastAsia="方正仿宋_GB2312" w:cs="方正仿宋_GB2312"/>
      <w:color w:val="000000"/>
      <w:sz w:val="21"/>
      <w:szCs w:val="21"/>
      <w:u w:val="none"/>
    </w:rPr>
  </w:style>
  <w:style w:type="character" w:customStyle="1" w:styleId="52">
    <w:name w:val="font11"/>
    <w:qFormat/>
    <w:uiPriority w:val="0"/>
    <w:rPr>
      <w:rFonts w:hint="default" w:ascii="Times New Roman" w:hAnsi="Times New Roman" w:cs="Times New Roman"/>
      <w:b/>
      <w:bCs/>
      <w:color w:val="000000"/>
      <w:sz w:val="21"/>
      <w:szCs w:val="21"/>
      <w:u w:val="none"/>
    </w:rPr>
  </w:style>
  <w:style w:type="character" w:customStyle="1" w:styleId="53">
    <w:name w:val="font21"/>
    <w:qFormat/>
    <w:uiPriority w:val="0"/>
    <w:rPr>
      <w:rFonts w:hint="default" w:ascii="Times New Roman" w:hAnsi="Times New Roman" w:cs="Times New Roman"/>
      <w:color w:val="000000"/>
      <w:sz w:val="21"/>
      <w:szCs w:val="21"/>
      <w:u w:val="none"/>
    </w:rPr>
  </w:style>
  <w:style w:type="character" w:customStyle="1" w:styleId="54">
    <w:name w:val="font121"/>
    <w:qFormat/>
    <w:uiPriority w:val="0"/>
    <w:rPr>
      <w:rFonts w:hint="eastAsia" w:ascii="方正仿宋_GB2312" w:eastAsia="方正仿宋_GB2312" w:cs="方正仿宋_GB2312"/>
      <w:color w:val="FF0000"/>
      <w:sz w:val="21"/>
      <w:szCs w:val="21"/>
      <w:u w:val="single"/>
    </w:rPr>
  </w:style>
  <w:style w:type="character" w:customStyle="1" w:styleId="55">
    <w:name w:val="font81"/>
    <w:qFormat/>
    <w:uiPriority w:val="0"/>
    <w:rPr>
      <w:rFonts w:hint="eastAsia" w:ascii="宋体" w:hAnsi="宋体" w:eastAsia="宋体" w:cs="宋体"/>
      <w:b/>
      <w:bCs/>
      <w:color w:val="000000"/>
      <w:sz w:val="21"/>
      <w:szCs w:val="21"/>
      <w:u w:val="none"/>
    </w:rPr>
  </w:style>
  <w:style w:type="paragraph" w:customStyle="1" w:styleId="56">
    <w:name w:val="_Style 54"/>
    <w:qFormat/>
    <w:uiPriority w:val="99"/>
    <w:rPr>
      <w:rFonts w:ascii="Calibri" w:hAnsi="Calibri" w:eastAsia="宋体" w:cs="Times New Roman"/>
      <w:kern w:val="2"/>
      <w:sz w:val="21"/>
      <w:szCs w:val="24"/>
      <w:lang w:val="en-US" w:eastAsia="zh-CN" w:bidi="ar-SA"/>
    </w:rPr>
  </w:style>
  <w:style w:type="paragraph" w:customStyle="1" w:styleId="57">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58">
    <w:name w:val="我的正文"/>
    <w:qFormat/>
    <w:uiPriority w:val="0"/>
    <w:pPr>
      <w:widowControl w:val="0"/>
      <w:spacing w:before="80" w:after="160" w:line="360" w:lineRule="auto"/>
      <w:ind w:firstLine="200" w:firstLineChars="200"/>
    </w:pPr>
    <w:rPr>
      <w:rFonts w:ascii="Calibri Light" w:hAnsi="Calibri Light" w:eastAsia="方正仿宋_GB2312" w:cs="Times New Roman"/>
      <w:color w:val="000000"/>
      <w:sz w:val="32"/>
      <w:szCs w:val="56"/>
      <w:lang w:val="en-US" w:eastAsia="zh-CN" w:bidi="ar-SA"/>
    </w:rPr>
  </w:style>
  <w:style w:type="paragraph" w:customStyle="1" w:styleId="59">
    <w:name w:val="BodyText2"/>
    <w:qFormat/>
    <w:uiPriority w:val="0"/>
    <w:pPr>
      <w:widowControl w:val="0"/>
      <w:spacing w:after="120" w:line="480" w:lineRule="auto"/>
      <w:jc w:val="both"/>
      <w:textAlignment w:val="baseline"/>
    </w:pPr>
    <w:rPr>
      <w:rFonts w:ascii="Calibri" w:hAnsi="Calibri" w:eastAsia="宋体" w:cs="Times New Roman"/>
      <w:kern w:val="2"/>
      <w:sz w:val="21"/>
      <w:szCs w:val="24"/>
      <w:lang w:val="en-US" w:eastAsia="zh-CN" w:bidi="ar-SA"/>
    </w:rPr>
  </w:style>
  <w:style w:type="table" w:customStyle="1" w:styleId="60">
    <w:name w:val="网格型4"/>
    <w:basedOn w:val="3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1">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8625</Words>
  <Characters>8842</Characters>
  <Paragraphs>319</Paragraphs>
  <TotalTime>24</TotalTime>
  <ScaleCrop>false</ScaleCrop>
  <LinksUpToDate>false</LinksUpToDate>
  <CharactersWithSpaces>8870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2026-08-20T19:12:00Z</dcterms:created>
  <dc:creator>Administrator</dc:creator>
  <cp:lastModifiedBy>小冰棍</cp:lastModifiedBy>
  <cp:lastPrinted>2026-08-07T00:32:00Z</cp:lastPrinted>
  <dcterms:modified xsi:type="dcterms:W3CDTF">2026-08-28T17:27:07Z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KSOTemplateDocerSaveRecord">
    <vt:lpwstr>eyJoZGlkIjoiYWM4NGFlZWM2Mzc1MjZjMmNmYzFhMDRhNjgxNzQxMTUiLCJ1c2VySWQiOiI1ODE2Njk0MzUifQ==</vt:lpwstr>
  </property>
  <property fmtid="{D5CDD505-2E9C-101B-9397-08002B2CF9AE}" pid="4" name="ICV">
    <vt:lpwstr>FE394BE6D95F1F32B244916A0EB710E5_43</vt:lpwstr>
  </property>
</Properties>
</file>