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napToGrid/>
        <w:spacing w:line="560" w:lineRule="exact"/>
        <w:ind w:left="0"/>
        <w:jc w:val="center"/>
        <w:textAlignment w:val="auto"/>
        <w:rPr>
          <w:rFonts w:hint="eastAsia"/>
          <w:sz w:val="32"/>
          <w:szCs w:val="32"/>
          <w:lang w:bidi="ar"/>
        </w:rPr>
      </w:pPr>
      <w:r>
        <w:rPr>
          <w:rFonts w:hint="eastAsia" w:ascii="方正小标宋简体" w:hAnsi="方正小标宋简体" w:eastAsia="方正小标宋简体" w:cs="方正小标宋简体"/>
          <w:sz w:val="44"/>
          <w:szCs w:val="44"/>
          <w:lang w:val="en-US" w:eastAsia="zh-CN" w:bidi="ar"/>
        </w:rPr>
        <w:t>丰台区促进旅游住宿品牌高质量发展若干措施（征求意见稿）</w:t>
      </w:r>
      <w:r>
        <w:rPr>
          <w:rFonts w:hint="eastAsia"/>
          <w:sz w:val="32"/>
          <w:szCs w:val="32"/>
          <w:lang w:bidi="ar"/>
        </w:rPr>
        <w:t>（</w:t>
      </w:r>
      <w:r>
        <w:rPr>
          <w:rFonts w:hint="eastAsia"/>
          <w:sz w:val="32"/>
          <w:szCs w:val="32"/>
          <w:lang w:val="en-US" w:eastAsia="zh-CN" w:bidi="ar"/>
        </w:rPr>
        <w:t>试行</w:t>
      </w:r>
      <w:r>
        <w:rPr>
          <w:rFonts w:hint="eastAsia"/>
          <w:sz w:val="32"/>
          <w:szCs w:val="32"/>
          <w:lang w:bidi="ar"/>
        </w:rPr>
        <w:t>）</w:t>
      </w:r>
    </w:p>
    <w:p>
      <w:pPr>
        <w:pStyle w:val="2"/>
        <w:keepNext w:val="0"/>
        <w:keepLines w:val="0"/>
        <w:pageBreakBefore w:val="0"/>
        <w:kinsoku/>
        <w:wordWrap/>
        <w:overflowPunct/>
        <w:topLinePunct w:val="0"/>
        <w:autoSpaceDE/>
        <w:bidi w:val="0"/>
        <w:adjustRightInd/>
        <w:snapToGrid/>
        <w:spacing w:line="560" w:lineRule="exact"/>
        <w:ind w:left="0"/>
        <w:textAlignment w:val="auto"/>
        <w:rPr>
          <w:rFonts w:hint="eastAsia"/>
        </w:rPr>
      </w:pPr>
    </w:p>
    <w:p>
      <w:pPr>
        <w:keepNext w:val="0"/>
        <w:keepLines w:val="0"/>
        <w:pageBreakBefore w:val="0"/>
        <w:numPr>
          <w:ilvl w:val="0"/>
          <w:numId w:val="0"/>
        </w:numPr>
        <w:kinsoku/>
        <w:wordWrap/>
        <w:overflowPunct/>
        <w:topLinePunct w:val="0"/>
        <w:autoSpaceDE/>
        <w:autoSpaceDN w:val="0"/>
        <w:bidi w:val="0"/>
        <w:adjustRightInd/>
        <w:snapToGrid/>
        <w:spacing w:line="560" w:lineRule="exact"/>
        <w:jc w:val="center"/>
        <w:textAlignment w:val="auto"/>
        <w:rPr>
          <w:rFonts w:hint="default" w:ascii="仿宋_GB2312" w:hAnsi="仿宋_GB2312" w:eastAsia="仿宋_GB2312" w:cs="仿宋_GB2312"/>
          <w:b/>
          <w:bCs/>
          <w:sz w:val="32"/>
          <w:szCs w:val="32"/>
          <w:lang w:val="en-US" w:eastAsia="zh-CN" w:bidi="ar"/>
        </w:rPr>
      </w:pPr>
      <w:r>
        <w:rPr>
          <w:rFonts w:hint="eastAsia" w:ascii="仿宋_GB2312" w:hAnsi="仿宋_GB2312" w:eastAsia="仿宋_GB2312" w:cs="仿宋_GB2312"/>
          <w:b/>
          <w:bCs/>
          <w:sz w:val="32"/>
          <w:szCs w:val="32"/>
          <w:lang w:val="en-US" w:eastAsia="zh-CN" w:bidi="ar"/>
        </w:rPr>
        <w:t>第一章 总则</w:t>
      </w:r>
    </w:p>
    <w:p>
      <w:pPr>
        <w:keepNext w:val="0"/>
        <w:keepLines w:val="0"/>
        <w:pageBreakBefore w:val="0"/>
        <w:numPr>
          <w:ilvl w:val="0"/>
          <w:numId w:val="0"/>
        </w:numPr>
        <w:kinsoku/>
        <w:wordWrap/>
        <w:overflowPunct/>
        <w:topLinePunct w:val="0"/>
        <w:autoSpaceDE/>
        <w:autoSpaceDN w:val="0"/>
        <w:bidi w:val="0"/>
        <w:adjustRightInd/>
        <w:snapToGrid/>
        <w:spacing w:line="560" w:lineRule="exact"/>
        <w:ind w:left="0" w:firstLine="643" w:firstLineChars="200"/>
        <w:textAlignment w:val="auto"/>
        <w:rPr>
          <w:rFonts w:hint="eastAsia"/>
        </w:rPr>
      </w:pPr>
      <w:r>
        <w:rPr>
          <w:rFonts w:hint="eastAsia" w:ascii="仿宋_GB2312" w:hAnsi="仿宋_GB2312" w:eastAsia="仿宋_GB2312" w:cs="仿宋_GB2312"/>
          <w:b/>
          <w:bCs/>
          <w:sz w:val="32"/>
          <w:szCs w:val="32"/>
          <w:lang w:eastAsia="zh-CN" w:bidi="ar"/>
        </w:rPr>
        <w:t>第一条</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为进一步促进</w:t>
      </w:r>
      <w:r>
        <w:rPr>
          <w:rFonts w:hint="eastAsia" w:ascii="仿宋_GB2312" w:hAnsi="仿宋_GB2312" w:eastAsia="仿宋_GB2312" w:cs="仿宋_GB2312"/>
          <w:sz w:val="32"/>
          <w:szCs w:val="32"/>
          <w:lang w:val="en-US" w:eastAsia="zh-CN" w:bidi="ar"/>
        </w:rPr>
        <w:t>丰台</w:t>
      </w:r>
      <w:r>
        <w:rPr>
          <w:rFonts w:hint="eastAsia" w:ascii="仿宋_GB2312" w:hAnsi="仿宋_GB2312" w:eastAsia="仿宋_GB2312" w:cs="仿宋_GB2312"/>
          <w:sz w:val="32"/>
          <w:szCs w:val="32"/>
          <w:lang w:bidi="ar"/>
        </w:rPr>
        <w:t>区住宿业创新发展、转型升级，</w:t>
      </w:r>
      <w:r>
        <w:rPr>
          <w:rFonts w:hint="eastAsia" w:ascii="仿宋_GB2312" w:hAnsi="仿宋_GB2312" w:eastAsia="仿宋_GB2312" w:cs="仿宋_GB2312"/>
          <w:sz w:val="32"/>
          <w:szCs w:val="32"/>
          <w:lang w:val="en-US" w:eastAsia="zh-CN" w:bidi="ar"/>
        </w:rPr>
        <w:t>推动</w:t>
      </w:r>
      <w:r>
        <w:rPr>
          <w:rFonts w:hint="eastAsia" w:ascii="仿宋_GB2312" w:hAnsi="仿宋_GB2312" w:eastAsia="仿宋_GB2312" w:cs="仿宋_GB2312"/>
          <w:sz w:val="32"/>
          <w:szCs w:val="32"/>
          <w:lang w:bidi="ar"/>
        </w:rPr>
        <w:t>住宿业规模化、品质化、规范化发展，依据《北京市文化和旅游局关于实施旅游住宿品牌重点项目支持政策的通知》等政策，结合</w:t>
      </w:r>
      <w:r>
        <w:rPr>
          <w:rFonts w:hint="eastAsia" w:ascii="仿宋_GB2312" w:hAnsi="仿宋_GB2312" w:eastAsia="仿宋_GB2312" w:cs="仿宋_GB2312"/>
          <w:sz w:val="32"/>
          <w:szCs w:val="32"/>
          <w:lang w:val="en-US" w:eastAsia="zh-CN" w:bidi="ar"/>
        </w:rPr>
        <w:t>丰台</w:t>
      </w:r>
      <w:r>
        <w:rPr>
          <w:rFonts w:hint="eastAsia" w:ascii="仿宋_GB2312" w:hAnsi="仿宋_GB2312" w:eastAsia="仿宋_GB2312" w:cs="仿宋_GB2312"/>
          <w:sz w:val="32"/>
          <w:szCs w:val="32"/>
          <w:lang w:bidi="ar"/>
        </w:rPr>
        <w:t>区实际，制定</w:t>
      </w:r>
      <w:r>
        <w:rPr>
          <w:rFonts w:hint="eastAsia" w:ascii="仿宋_GB2312" w:hAnsi="仿宋_GB2312" w:eastAsia="仿宋_GB2312" w:cs="仿宋_GB2312"/>
          <w:sz w:val="32"/>
          <w:szCs w:val="32"/>
          <w:lang w:eastAsia="zh-CN" w:bidi="ar"/>
        </w:rPr>
        <w:t>本措施</w:t>
      </w:r>
      <w:r>
        <w:rPr>
          <w:rFonts w:hint="eastAsia" w:ascii="仿宋_GB2312" w:hAnsi="仿宋_GB2312" w:eastAsia="仿宋_GB2312" w:cs="仿宋_GB2312"/>
          <w:sz w:val="32"/>
          <w:szCs w:val="32"/>
          <w:lang w:bidi="ar"/>
        </w:rPr>
        <w:t>。</w:t>
      </w:r>
    </w:p>
    <w:p>
      <w:pPr>
        <w:keepNext w:val="0"/>
        <w:keepLines w:val="0"/>
        <w:pageBreakBefore w:val="0"/>
        <w:numPr>
          <w:ilvl w:val="0"/>
          <w:numId w:val="0"/>
        </w:numPr>
        <w:kinsoku/>
        <w:wordWrap/>
        <w:overflowPunct/>
        <w:topLinePunct w:val="0"/>
        <w:autoSpaceDE/>
        <w:autoSpaceDN w:val="0"/>
        <w:bidi w:val="0"/>
        <w:adjustRightInd/>
        <w:snapToGrid/>
        <w:spacing w:line="560" w:lineRule="exact"/>
        <w:ind w:left="0" w:leftChars="0" w:firstLine="643" w:firstLineChars="200"/>
        <w:textAlignment w:val="auto"/>
        <w:rPr>
          <w:rFonts w:hint="default" w:ascii="仿宋_GB2312" w:hAnsi="仿宋_GB2312" w:eastAsia="仿宋_GB2312" w:cs="仿宋_GB2312"/>
          <w:sz w:val="32"/>
          <w:szCs w:val="32"/>
          <w:lang w:val="en-US" w:bidi="ar"/>
        </w:rPr>
      </w:pPr>
      <w:r>
        <w:rPr>
          <w:rFonts w:hint="eastAsia" w:ascii="仿宋_GB2312" w:hAnsi="仿宋_GB2312" w:eastAsia="仿宋_GB2312" w:cs="仿宋_GB2312"/>
          <w:b/>
          <w:bCs/>
          <w:sz w:val="32"/>
          <w:szCs w:val="32"/>
          <w:lang w:eastAsia="zh-CN" w:bidi="ar"/>
        </w:rPr>
        <w:t>第二条</w:t>
      </w:r>
      <w:r>
        <w:rPr>
          <w:rFonts w:hint="eastAsia" w:ascii="仿宋_GB2312" w:hAnsi="仿宋_GB2312" w:eastAsia="仿宋_GB2312" w:cs="仿宋_GB2312"/>
          <w:b/>
          <w:bCs/>
          <w:sz w:val="32"/>
          <w:szCs w:val="32"/>
          <w:lang w:val="en-US" w:eastAsia="zh-CN" w:bidi="ar"/>
        </w:rPr>
        <w:t xml:space="preserve">  </w:t>
      </w:r>
      <w:r>
        <w:rPr>
          <w:rFonts w:hint="eastAsia" w:ascii="仿宋_GB2312" w:hAnsi="仿宋_GB2312" w:eastAsia="仿宋_GB2312" w:cs="仿宋_GB2312"/>
          <w:sz w:val="32"/>
          <w:szCs w:val="32"/>
          <w:lang w:val="en-US" w:eastAsia="zh-CN" w:bidi="ar"/>
        </w:rPr>
        <w:t>本措施适用于符合丰台区依法依规开展经营活动，从事住宿业相关领域经营</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val="en-US" w:eastAsia="zh-CN" w:bidi="ar"/>
        </w:rPr>
        <w:t>服务</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val="en-US" w:eastAsia="zh-CN" w:bidi="ar"/>
        </w:rPr>
        <w:t>管理的各类市场主体及社会组织。</w:t>
      </w:r>
    </w:p>
    <w:p>
      <w:pPr>
        <w:keepNext w:val="0"/>
        <w:keepLines w:val="0"/>
        <w:pageBreakBefore w:val="0"/>
        <w:numPr>
          <w:ilvl w:val="0"/>
          <w:numId w:val="0"/>
        </w:numPr>
        <w:kinsoku/>
        <w:wordWrap/>
        <w:overflowPunct/>
        <w:topLinePunct w:val="0"/>
        <w:autoSpaceDE/>
        <w:autoSpaceDN w:val="0"/>
        <w:bidi w:val="0"/>
        <w:adjustRightInd/>
        <w:snapToGrid/>
        <w:spacing w:line="560" w:lineRule="exact"/>
        <w:jc w:val="center"/>
        <w:textAlignment w:val="auto"/>
        <w:rPr>
          <w:rFonts w:hint="default" w:ascii="仿宋_GB2312" w:hAnsi="仿宋_GB2312" w:eastAsia="仿宋_GB2312" w:cs="仿宋_GB2312"/>
          <w:b/>
          <w:bCs/>
          <w:sz w:val="32"/>
          <w:szCs w:val="32"/>
          <w:lang w:val="en-US" w:eastAsia="zh-CN" w:bidi="ar"/>
        </w:rPr>
      </w:pPr>
      <w:r>
        <w:rPr>
          <w:rFonts w:hint="eastAsia" w:ascii="仿宋_GB2312" w:hAnsi="仿宋_GB2312" w:eastAsia="仿宋_GB2312" w:cs="仿宋_GB2312"/>
          <w:b/>
          <w:bCs/>
          <w:sz w:val="32"/>
          <w:szCs w:val="32"/>
          <w:lang w:val="en-US" w:eastAsia="zh-CN" w:bidi="ar"/>
        </w:rPr>
        <w:t>第二章 支持方向与内容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第三条  支持项目赋能产业发展。</w:t>
      </w:r>
      <w:r>
        <w:rPr>
          <w:rFonts w:hint="eastAsia" w:ascii="仿宋_GB2312" w:hAnsi="仿宋_GB2312" w:eastAsia="仿宋_GB2312" w:cs="仿宋_GB2312"/>
          <w:b w:val="0"/>
          <w:kern w:val="2"/>
          <w:sz w:val="32"/>
          <w:szCs w:val="32"/>
          <w:lang w:val="en-US" w:eastAsia="zh-CN" w:bidi="ar"/>
        </w:rPr>
        <w:t>支持市场主体新建标准化住宿载体项目，加快项目建成投用、配备完整运营体系、配套完整服务体系，单项目每年支持额度最高不超过100万元。</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第四条  支持实施存量空间盘活。</w:t>
      </w:r>
      <w:r>
        <w:rPr>
          <w:rFonts w:hint="eastAsia" w:ascii="仿宋_GB2312" w:hAnsi="仿宋_GB2312" w:eastAsia="仿宋_GB2312" w:cs="仿宋_GB2312"/>
          <w:b w:val="0"/>
          <w:kern w:val="2"/>
          <w:sz w:val="32"/>
          <w:szCs w:val="32"/>
          <w:lang w:val="en-US" w:eastAsia="zh-CN" w:bidi="ar"/>
        </w:rPr>
        <w:t>支持</w:t>
      </w:r>
      <w:r>
        <w:rPr>
          <w:rFonts w:hint="eastAsia" w:ascii="仿宋_GB2312" w:hAnsi="仿宋_GB2312" w:eastAsia="仿宋_GB2312" w:cs="仿宋_GB2312"/>
          <w:b w:val="0"/>
          <w:kern w:val="2"/>
          <w:sz w:val="32"/>
          <w:szCs w:val="32"/>
          <w:highlight w:val="none"/>
          <w:lang w:val="en-US" w:eastAsia="zh-CN" w:bidi="ar"/>
        </w:rPr>
        <w:t>运营主体盘活存量物业实施整体空间改造，鼓励建设运营标准高、运营服务体系成熟、区域示范效应显著的酒店项目，单项目每年支持额度最高</w:t>
      </w:r>
      <w:r>
        <w:rPr>
          <w:rFonts w:hint="eastAsia" w:ascii="仿宋_GB2312" w:hAnsi="仿宋_GB2312" w:eastAsia="仿宋_GB2312" w:cs="仿宋_GB2312"/>
          <w:b w:val="0"/>
          <w:kern w:val="2"/>
          <w:sz w:val="32"/>
          <w:szCs w:val="32"/>
          <w:lang w:val="en-US" w:eastAsia="zh-CN" w:bidi="ar"/>
        </w:rPr>
        <w:t>不超过100万元。</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第五条  支持海外企业赋能产业发展。</w:t>
      </w:r>
      <w:r>
        <w:rPr>
          <w:rFonts w:hint="eastAsia" w:ascii="仿宋_GB2312" w:hAnsi="仿宋_GB2312" w:eastAsia="仿宋_GB2312" w:cs="仿宋_GB2312"/>
          <w:b w:val="0"/>
          <w:kern w:val="2"/>
          <w:sz w:val="32"/>
          <w:szCs w:val="32"/>
          <w:lang w:val="en-US" w:eastAsia="zh-CN" w:bidi="ar"/>
        </w:rPr>
        <w:t>支持境外市场主体通过各种形式开展实施住宿</w:t>
      </w:r>
      <w:r>
        <w:rPr>
          <w:rFonts w:hint="eastAsia" w:ascii="仿宋_GB2312" w:hAnsi="仿宋_GB2312" w:eastAsia="仿宋_GB2312" w:cs="仿宋_GB2312"/>
          <w:b w:val="0"/>
          <w:kern w:val="2"/>
          <w:sz w:val="32"/>
          <w:szCs w:val="32"/>
          <w:highlight w:val="none"/>
          <w:lang w:val="en-US" w:eastAsia="zh-CN" w:bidi="ar"/>
        </w:rPr>
        <w:t>类优质产业项目，鼓励外资项目落地、发挥产业带动作用，单项</w:t>
      </w:r>
      <w:r>
        <w:rPr>
          <w:rFonts w:hint="eastAsia" w:ascii="仿宋_GB2312" w:hAnsi="仿宋_GB2312" w:eastAsia="仿宋_GB2312" w:cs="仿宋_GB2312"/>
          <w:b w:val="0"/>
          <w:kern w:val="2"/>
          <w:sz w:val="32"/>
          <w:szCs w:val="32"/>
          <w:lang w:val="en-US" w:eastAsia="zh-CN" w:bidi="ar"/>
        </w:rPr>
        <w:t>目每年支持额度最高不超过100万元。</w:t>
      </w:r>
    </w:p>
    <w:p>
      <w:pPr>
        <w:keepNext w:val="0"/>
        <w:keepLines w:val="0"/>
        <w:pageBreakBefore w:val="0"/>
        <w:kinsoku/>
        <w:wordWrap/>
        <w:overflowPunct/>
        <w:topLinePunct w:val="0"/>
        <w:autoSpaceDE/>
        <w:bidi w:val="0"/>
        <w:adjustRightInd/>
        <w:snapToGrid/>
        <w:spacing w:line="560" w:lineRule="exact"/>
        <w:ind w:left="0"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第六条  支持企业提质增效。</w:t>
      </w:r>
      <w:r>
        <w:rPr>
          <w:rFonts w:hint="eastAsia" w:ascii="仿宋_GB2312" w:hAnsi="仿宋_GB2312" w:eastAsia="仿宋_GB2312" w:cs="仿宋_GB2312"/>
          <w:b w:val="0"/>
          <w:kern w:val="2"/>
          <w:sz w:val="32"/>
          <w:szCs w:val="32"/>
          <w:lang w:val="en-US" w:eastAsia="zh-CN" w:bidi="ar"/>
        </w:rPr>
        <w:t>引导住宿经营主体围绕品质化、便利化、绿色化、融合化、国际化、平急两用发展导向实施空间改造、设备迭代与服务升级。支持全维度改造、加快转型升级、打造可复制推广的示范项目，单项目每年扶持资金最高不超过50万元。</w:t>
      </w:r>
    </w:p>
    <w:p>
      <w:pPr>
        <w:keepNext w:val="0"/>
        <w:keepLines w:val="0"/>
        <w:pageBreakBefore w:val="0"/>
        <w:widowControl w:val="0"/>
        <w:numPr>
          <w:ilvl w:val="0"/>
          <w:numId w:val="0"/>
        </w:numPr>
        <w:kinsoku/>
        <w:wordWrap/>
        <w:overflowPunct/>
        <w:topLinePunct w:val="0"/>
        <w:autoSpaceDE/>
        <w:autoSpaceDN w:val="0"/>
        <w:bidi w:val="0"/>
        <w:adjustRightInd/>
        <w:snapToGrid/>
        <w:spacing w:line="560" w:lineRule="exact"/>
        <w:ind w:firstLine="643" w:firstLineChars="200"/>
        <w:textAlignment w:val="auto"/>
        <w:outlineLvl w:val="1"/>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第七条  支持标准化示范创建。</w:t>
      </w:r>
      <w:r>
        <w:rPr>
          <w:rFonts w:hint="eastAsia" w:ascii="仿宋_GB2312" w:hAnsi="仿宋_GB2312" w:eastAsia="仿宋_GB2312" w:cs="仿宋_GB2312"/>
          <w:b w:val="0"/>
          <w:kern w:val="2"/>
          <w:sz w:val="32"/>
          <w:szCs w:val="32"/>
          <w:lang w:val="en-US" w:eastAsia="zh-CN" w:bidi="ar"/>
        </w:rPr>
        <w:t>鼓励住宿经营主体参与行业标准化体系创建培育，单主体每年给予最高不超过20万元标准化创建扶持。</w:t>
      </w:r>
    </w:p>
    <w:p>
      <w:pPr>
        <w:pStyle w:val="2"/>
        <w:keepNext w:val="0"/>
        <w:keepLines w:val="0"/>
        <w:pageBreakBefore w:val="0"/>
        <w:numPr>
          <w:ilvl w:val="0"/>
          <w:numId w:val="0"/>
        </w:numPr>
        <w:kinsoku/>
        <w:wordWrap/>
        <w:overflowPunct/>
        <w:topLinePunct w:val="0"/>
        <w:autoSpaceDE/>
        <w:bidi w:val="0"/>
        <w:adjustRightInd/>
        <w:snapToGrid/>
        <w:spacing w:line="560" w:lineRule="exact"/>
        <w:ind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第八条  鼓励业态融合创新。</w:t>
      </w:r>
      <w:r>
        <w:rPr>
          <w:rFonts w:hint="eastAsia" w:ascii="仿宋_GB2312" w:hAnsi="仿宋_GB2312" w:eastAsia="仿宋_GB2312" w:cs="仿宋_GB2312"/>
          <w:b w:val="0"/>
          <w:kern w:val="2"/>
          <w:sz w:val="32"/>
          <w:szCs w:val="32"/>
          <w:lang w:val="en-US" w:eastAsia="zh-CN" w:bidi="ar"/>
        </w:rPr>
        <w:t>推动住宿经营主体与文化、购物、餐饮、景区、体育赛事等场景深度联动，打造 “酒店 +” 系列特色消费场景。支持经营主体联动文化机构、文旅企业打造国学、微演艺、文创、在地文化、机票等差异化主题住宿产品，形成特色示范消费场景。给予产业融合发展扶持，单个创新产品每年扶持资金最高不超过10万元，单主体每年融合类扶持总额最高不超过50万元。</w:t>
      </w:r>
    </w:p>
    <w:p>
      <w:pPr>
        <w:pStyle w:val="2"/>
        <w:keepNext w:val="0"/>
        <w:keepLines w:val="0"/>
        <w:pageBreakBefore w:val="0"/>
        <w:numPr>
          <w:ilvl w:val="0"/>
          <w:numId w:val="0"/>
        </w:numPr>
        <w:kinsoku/>
        <w:wordWrap/>
        <w:overflowPunct/>
        <w:topLinePunct w:val="0"/>
        <w:autoSpaceDE/>
        <w:bidi w:val="0"/>
        <w:adjustRightInd/>
        <w:snapToGrid/>
        <w:spacing w:line="560" w:lineRule="exact"/>
        <w:ind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第九条  鼓励品牌创新推广运营。</w:t>
      </w:r>
      <w:r>
        <w:rPr>
          <w:rFonts w:hint="eastAsia" w:ascii="仿宋_GB2312" w:hAnsi="仿宋_GB2312" w:eastAsia="仿宋_GB2312" w:cs="仿宋_GB2312"/>
          <w:b w:val="0"/>
          <w:kern w:val="2"/>
          <w:sz w:val="32"/>
          <w:szCs w:val="32"/>
          <w:lang w:val="en-US" w:eastAsia="zh-CN" w:bidi="ar"/>
        </w:rPr>
        <w:t>支持规模住宿经营主体依托新媒体、专业旅游 OTA 等平台开展品牌传播、客源培育等市场化推广运营活动，提升区域住宿品牌辨识度与市场影响力。鼓励打造品牌推广体系完善、区域引流带动效果显著的经营主体，单主体每年推广扶持资金最高不超过10万元。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val="0"/>
          <w:kern w:val="2"/>
          <w:sz w:val="32"/>
          <w:szCs w:val="32"/>
          <w:highlight w:val="none"/>
          <w:lang w:val="en-US" w:eastAsia="zh-CN" w:bidi="ar"/>
        </w:rPr>
      </w:pPr>
      <w:r>
        <w:rPr>
          <w:rFonts w:hint="eastAsia" w:ascii="仿宋_GB2312" w:hAnsi="仿宋_GB2312" w:eastAsia="仿宋_GB2312" w:cs="仿宋_GB2312"/>
          <w:b/>
          <w:bCs/>
          <w:sz w:val="32"/>
          <w:szCs w:val="32"/>
          <w:highlight w:val="none"/>
          <w:lang w:eastAsia="zh-CN" w:bidi="ar"/>
        </w:rPr>
        <w:t>第十条</w:t>
      </w:r>
      <w:r>
        <w:rPr>
          <w:rFonts w:hint="eastAsia" w:ascii="仿宋_GB2312" w:hAnsi="仿宋_GB2312" w:eastAsia="仿宋_GB2312" w:cs="仿宋_GB2312"/>
          <w:b/>
          <w:bCs/>
          <w:sz w:val="32"/>
          <w:szCs w:val="32"/>
          <w:highlight w:val="none"/>
          <w:lang w:val="en-US" w:eastAsia="zh-CN" w:bidi="ar"/>
        </w:rPr>
        <w:t xml:space="preserve">  支持餐饮服务品牌培育。</w:t>
      </w:r>
      <w:r>
        <w:rPr>
          <w:rFonts w:hint="eastAsia" w:ascii="仿宋_GB2312" w:hAnsi="仿宋_GB2312" w:eastAsia="仿宋_GB2312" w:cs="仿宋_GB2312"/>
          <w:b w:val="0"/>
          <w:kern w:val="2"/>
          <w:sz w:val="32"/>
          <w:szCs w:val="32"/>
          <w:highlight w:val="none"/>
          <w:lang w:val="en-US" w:eastAsia="zh-CN" w:bidi="ar"/>
        </w:rPr>
        <w:t>支持</w:t>
      </w:r>
      <w:r>
        <w:rPr>
          <w:rFonts w:hint="eastAsia" w:ascii="仿宋_GB2312" w:hAnsi="仿宋_GB2312" w:eastAsia="仿宋_GB2312" w:cs="仿宋_GB2312"/>
          <w:b w:val="0"/>
          <w:kern w:val="2"/>
          <w:sz w:val="32"/>
          <w:szCs w:val="32"/>
          <w:lang w:val="en-US" w:eastAsia="zh-CN" w:bidi="ar"/>
        </w:rPr>
        <w:t>住宿经营主体</w:t>
      </w:r>
      <w:r>
        <w:rPr>
          <w:rFonts w:hint="eastAsia" w:ascii="仿宋_GB2312" w:hAnsi="仿宋_GB2312" w:eastAsia="仿宋_GB2312" w:cs="仿宋_GB2312"/>
          <w:b w:val="0"/>
          <w:kern w:val="2"/>
          <w:sz w:val="32"/>
          <w:szCs w:val="32"/>
          <w:highlight w:val="none"/>
          <w:lang w:val="en-US" w:eastAsia="zh-CN" w:bidi="ar"/>
        </w:rPr>
        <w:t>深耕餐饮服务品质建设，打造特色餐饮品牌，给予每年一次性餐饮品牌培育扶持5万元；持续深耕餐饮品质、实现品质提升的，</w:t>
      </w:r>
      <w:r>
        <w:rPr>
          <w:rFonts w:hint="eastAsia" w:ascii="仿宋_GB2312" w:hAnsi="仿宋_GB2312" w:eastAsia="仿宋_GB2312" w:cs="仿宋_GB2312"/>
          <w:b w:val="0"/>
          <w:kern w:val="2"/>
          <w:sz w:val="32"/>
          <w:szCs w:val="32"/>
          <w:lang w:val="en-US" w:eastAsia="zh-CN" w:bidi="ar"/>
        </w:rPr>
        <w:t>单主体每年扶持资金最高不超过6万元</w:t>
      </w:r>
      <w:r>
        <w:rPr>
          <w:rFonts w:hint="eastAsia" w:ascii="仿宋_GB2312" w:hAnsi="仿宋_GB2312" w:eastAsia="仿宋_GB2312" w:cs="仿宋_GB2312"/>
          <w:b w:val="0"/>
          <w:kern w:val="2"/>
          <w:sz w:val="32"/>
          <w:szCs w:val="32"/>
          <w:highlight w:val="none"/>
          <w:lang w:val="en-US" w:eastAsia="zh-CN" w:bidi="ar"/>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sz w:val="32"/>
          <w:szCs w:val="32"/>
          <w:lang w:eastAsia="zh-CN" w:bidi="ar"/>
        </w:rPr>
        <w:t>第十一条</w:t>
      </w:r>
      <w:r>
        <w:rPr>
          <w:rFonts w:hint="eastAsia" w:ascii="仿宋_GB2312" w:hAnsi="仿宋_GB2312" w:eastAsia="仿宋_GB2312" w:cs="仿宋_GB2312"/>
          <w:b/>
          <w:bCs/>
          <w:sz w:val="32"/>
          <w:szCs w:val="32"/>
          <w:lang w:val="en-US" w:eastAsia="zh-CN" w:bidi="ar"/>
        </w:rPr>
        <w:t xml:space="preserve">  </w:t>
      </w:r>
      <w:r>
        <w:rPr>
          <w:rStyle w:val="7"/>
          <w:rFonts w:hint="eastAsia" w:ascii="仿宋_GB2312" w:hAnsi="仿宋_GB2312" w:eastAsia="仿宋_GB2312" w:cs="仿宋_GB2312"/>
          <w:b/>
          <w:bCs/>
          <w:kern w:val="2"/>
          <w:lang w:val="en-US" w:eastAsia="zh-CN" w:bidi="ar-SA"/>
        </w:rPr>
        <w:t>支持住宿数字化场景升级</w:t>
      </w:r>
      <w:r>
        <w:rPr>
          <w:rStyle w:val="7"/>
          <w:rFonts w:hint="eastAsia" w:ascii="楷体_GB2312" w:hAnsi="楷体_GB2312" w:eastAsia="楷体_GB2312" w:cs="楷体_GB2312"/>
          <w:b/>
          <w:bCs/>
          <w:kern w:val="2"/>
          <w:lang w:val="en-US" w:eastAsia="zh-CN" w:bidi="ar-SA"/>
        </w:rPr>
        <w:t>。</w:t>
      </w:r>
      <w:r>
        <w:rPr>
          <w:rFonts w:hint="eastAsia" w:ascii="仿宋_GB2312" w:hAnsi="仿宋_GB2312" w:eastAsia="仿宋_GB2312" w:cs="仿宋_GB2312"/>
          <w:b w:val="0"/>
          <w:kern w:val="2"/>
          <w:sz w:val="32"/>
          <w:szCs w:val="32"/>
          <w:lang w:val="en-US" w:eastAsia="zh-CN" w:bidi="ar"/>
        </w:rPr>
        <w:t>鼓励住宿经营主体数字化、智慧化场景建设，运用人工智能、物联网、大数据、VR 等新技术打造无接触、轻量化智慧服务酒店，优化管理服务流程、提升宾客科技体验。鼓励打造完成智慧化系统搭建、数字化服务场景构建、示范作用突出的酒店，单主体每年数字化扶持资金最高不超过30万元。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sz w:val="32"/>
          <w:szCs w:val="32"/>
          <w:lang w:eastAsia="zh-CN" w:bidi="ar"/>
        </w:rPr>
        <w:t>第十二条</w:t>
      </w:r>
      <w:r>
        <w:rPr>
          <w:rFonts w:hint="eastAsia" w:ascii="仿宋_GB2312" w:hAnsi="仿宋_GB2312" w:eastAsia="仿宋_GB2312" w:cs="仿宋_GB2312"/>
          <w:b/>
          <w:bCs/>
          <w:sz w:val="32"/>
          <w:szCs w:val="32"/>
          <w:lang w:val="en-US" w:eastAsia="zh-CN" w:bidi="ar"/>
        </w:rPr>
        <w:t xml:space="preserve">  </w:t>
      </w:r>
      <w:r>
        <w:rPr>
          <w:rStyle w:val="7"/>
          <w:rFonts w:hint="eastAsia" w:ascii="仿宋_GB2312" w:hAnsi="仿宋_GB2312" w:eastAsia="仿宋_GB2312" w:cs="仿宋_GB2312"/>
          <w:b/>
          <w:bCs/>
          <w:kern w:val="2"/>
          <w:lang w:val="en-US" w:eastAsia="zh-CN" w:bidi="ar-SA"/>
        </w:rPr>
        <w:t>支持高端会展场景落地运营</w:t>
      </w:r>
      <w:r>
        <w:rPr>
          <w:rStyle w:val="7"/>
          <w:rFonts w:hint="eastAsia" w:ascii="楷体_GB2312" w:hAnsi="楷体_GB2312" w:eastAsia="楷体_GB2312" w:cs="楷体_GB2312"/>
          <w:b/>
          <w:bCs/>
          <w:kern w:val="2"/>
          <w:lang w:val="en-US" w:eastAsia="zh-CN" w:bidi="ar-SA"/>
        </w:rPr>
        <w:t>。</w:t>
      </w:r>
      <w:r>
        <w:rPr>
          <w:rFonts w:hint="eastAsia" w:ascii="仿宋_GB2312" w:hAnsi="仿宋_GB2312" w:eastAsia="仿宋_GB2312" w:cs="仿宋_GB2312"/>
          <w:b w:val="0"/>
          <w:kern w:val="2"/>
          <w:sz w:val="32"/>
          <w:szCs w:val="32"/>
          <w:lang w:val="en-US" w:eastAsia="zh-CN" w:bidi="ar"/>
        </w:rPr>
        <w:t>鼓励住宿经营主体承接经济、科技、教育、社科、国际交流等领域市场化专业会议、品牌展览活动。支持打造全年承接规模化专业会展、会展服务配套完善、对外交流带动作用突出的住宿主体，单主体每年扶持资金最高不超过20万元；打造持续承接行业龙头峰会、具备国家级国际影响力品牌展会，构建长效会展运营品牌的项目主体，额外每年给予20万元会展品牌专项扶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sz w:val="32"/>
          <w:szCs w:val="32"/>
          <w:lang w:eastAsia="zh-CN" w:bidi="ar"/>
        </w:rPr>
        <w:t>第十三条</w:t>
      </w:r>
      <w:r>
        <w:rPr>
          <w:rFonts w:hint="eastAsia" w:ascii="仿宋_GB2312" w:hAnsi="仿宋_GB2312" w:eastAsia="仿宋_GB2312" w:cs="仿宋_GB2312"/>
          <w:b/>
          <w:bCs/>
          <w:sz w:val="32"/>
          <w:szCs w:val="32"/>
          <w:lang w:val="en-US" w:eastAsia="zh-CN" w:bidi="ar"/>
        </w:rPr>
        <w:t xml:space="preserve">  </w:t>
      </w:r>
      <w:r>
        <w:rPr>
          <w:rStyle w:val="7"/>
          <w:rFonts w:hint="eastAsia" w:ascii="仿宋_GB2312" w:hAnsi="仿宋_GB2312" w:eastAsia="仿宋_GB2312" w:cs="仿宋_GB2312"/>
          <w:b/>
          <w:bCs w:val="0"/>
          <w:kern w:val="2"/>
          <w:lang w:val="en-US" w:eastAsia="zh-CN" w:bidi="ar-SA"/>
        </w:rPr>
        <w:t>支持入境客源服务体系建设</w:t>
      </w:r>
      <w:r>
        <w:rPr>
          <w:rStyle w:val="7"/>
          <w:rFonts w:hint="eastAsia" w:ascii="楷体_GB2312" w:hAnsi="楷体_GB2312" w:eastAsia="楷体_GB2312" w:cs="楷体_GB2312"/>
          <w:b/>
          <w:bCs w:val="0"/>
          <w:kern w:val="2"/>
          <w:lang w:val="en-US" w:eastAsia="zh-CN" w:bidi="ar-SA"/>
        </w:rPr>
        <w:t>。</w:t>
      </w:r>
      <w:r>
        <w:rPr>
          <w:rFonts w:hint="eastAsia" w:ascii="仿宋_GB2312" w:hAnsi="仿宋_GB2312" w:eastAsia="仿宋_GB2312" w:cs="仿宋_GB2312"/>
          <w:b w:val="0"/>
          <w:kern w:val="2"/>
          <w:sz w:val="32"/>
          <w:szCs w:val="32"/>
          <w:lang w:val="en-US" w:eastAsia="zh-CN" w:bidi="ar"/>
        </w:rPr>
        <w:t>支持打造年度入境接待服务体系完善、境外客源服务示范成效良好、入境接待服务能力提升幅度的住宿主体，单主体每年最高不超过20万元。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sz w:val="32"/>
          <w:szCs w:val="32"/>
          <w:lang w:eastAsia="zh-CN" w:bidi="ar"/>
        </w:rPr>
        <w:t>第十四条</w:t>
      </w:r>
      <w:r>
        <w:rPr>
          <w:rFonts w:hint="eastAsia" w:ascii="仿宋_GB2312" w:hAnsi="仿宋_GB2312" w:eastAsia="仿宋_GB2312" w:cs="仿宋_GB2312"/>
          <w:b/>
          <w:bCs/>
          <w:sz w:val="32"/>
          <w:szCs w:val="32"/>
          <w:lang w:val="en-US" w:eastAsia="zh-CN" w:bidi="ar"/>
        </w:rPr>
        <w:t xml:space="preserve">  </w:t>
      </w:r>
      <w:r>
        <w:rPr>
          <w:rStyle w:val="7"/>
          <w:rFonts w:hint="eastAsia" w:ascii="仿宋_GB2312" w:hAnsi="仿宋_GB2312" w:eastAsia="仿宋_GB2312" w:cs="仿宋_GB2312"/>
          <w:b/>
          <w:bCs w:val="0"/>
          <w:kern w:val="2"/>
          <w:lang w:val="en-US" w:eastAsia="zh-CN" w:bidi="ar-SA"/>
        </w:rPr>
        <w:t>支持行业协会赋能产业提质</w:t>
      </w:r>
      <w:r>
        <w:rPr>
          <w:rStyle w:val="7"/>
          <w:rFonts w:hint="eastAsia" w:ascii="楷体_GB2312" w:hAnsi="楷体_GB2312" w:eastAsia="楷体_GB2312" w:cs="楷体_GB2312"/>
          <w:b/>
          <w:bCs w:val="0"/>
          <w:kern w:val="2"/>
          <w:lang w:val="en-US" w:eastAsia="zh-CN" w:bidi="ar-SA"/>
        </w:rPr>
        <w:t>。</w:t>
      </w:r>
      <w:r>
        <w:rPr>
          <w:rFonts w:hint="eastAsia" w:ascii="仿宋_GB2312" w:hAnsi="仿宋_GB2312" w:eastAsia="仿宋_GB2312" w:cs="仿宋_GB2312"/>
          <w:b w:val="0"/>
          <w:kern w:val="2"/>
          <w:sz w:val="32"/>
          <w:szCs w:val="32"/>
          <w:lang w:val="en-US" w:eastAsia="zh-CN" w:bidi="ar"/>
        </w:rPr>
        <w:t>支持行业协会开展住宿主体规范化培育服务，构建经营主体规范化经营体系，单主体每年给予最高不超过50万元奖励。</w:t>
      </w:r>
    </w:p>
    <w:p>
      <w:pPr>
        <w:keepNext w:val="0"/>
        <w:keepLines w:val="0"/>
        <w:pageBreakBefore w:val="0"/>
        <w:kinsoku/>
        <w:wordWrap/>
        <w:overflowPunct/>
        <w:topLinePunct w:val="0"/>
        <w:autoSpaceDE/>
        <w:bidi w:val="0"/>
        <w:adjustRightInd/>
        <w:snapToGrid/>
        <w:spacing w:line="560" w:lineRule="exact"/>
        <w:ind w:left="0" w:firstLine="643"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bCs/>
          <w:sz w:val="32"/>
          <w:szCs w:val="32"/>
          <w:lang w:val="en-US" w:eastAsia="zh-CN" w:bidi="ar"/>
        </w:rPr>
        <w:t>第十五条  支持人才培养。</w:t>
      </w:r>
      <w:r>
        <w:rPr>
          <w:rFonts w:hint="eastAsia" w:ascii="仿宋_GB2312" w:hAnsi="仿宋_GB2312" w:eastAsia="仿宋_GB2312" w:cs="仿宋_GB2312"/>
          <w:b w:val="0"/>
          <w:kern w:val="2"/>
          <w:sz w:val="32"/>
          <w:szCs w:val="32"/>
          <w:lang w:val="en-US" w:eastAsia="zh-CN" w:bidi="ar"/>
        </w:rPr>
        <w:t>支持住宿经营主体完善职业人才培育体系，搭建服务技能人才培养平台，单主体每年给予最高不超过6万元奖励。</w:t>
      </w:r>
    </w:p>
    <w:p>
      <w:pPr>
        <w:pStyle w:val="3"/>
        <w:keepNext w:val="0"/>
        <w:keepLines w:val="0"/>
        <w:pageBreakBefore w:val="0"/>
        <w:widowControl/>
        <w:kinsoku/>
        <w:wordWrap/>
        <w:overflowPunct/>
        <w:topLinePunct w:val="0"/>
        <w:autoSpaceDE/>
        <w:autoSpaceDN w:val="0"/>
        <w:bidi w:val="0"/>
        <w:adjustRightInd/>
        <w:snapToGrid/>
        <w:spacing w:line="560" w:lineRule="exact"/>
        <w:ind w:left="0"/>
        <w:textAlignment w:val="auto"/>
        <w:rPr>
          <w:rFonts w:hint="eastAsia" w:ascii="黑体" w:cs="黑体"/>
          <w:sz w:val="32"/>
          <w:szCs w:val="32"/>
        </w:rPr>
      </w:pPr>
      <w:r>
        <w:rPr>
          <w:rFonts w:hint="eastAsia" w:ascii="黑体" w:cs="黑体"/>
          <w:sz w:val="32"/>
          <w:szCs w:val="32"/>
        </w:rPr>
        <w:t>二、附 则</w:t>
      </w:r>
    </w:p>
    <w:p>
      <w:pPr>
        <w:keepNext w:val="0"/>
        <w:keepLines w:val="0"/>
        <w:pageBreakBefore w:val="0"/>
        <w:kinsoku/>
        <w:wordWrap/>
        <w:overflowPunct/>
        <w:topLinePunct w:val="0"/>
        <w:autoSpaceDE/>
        <w:bidi w:val="0"/>
        <w:adjustRightInd/>
        <w:snapToGrid/>
        <w:spacing w:line="560" w:lineRule="exact"/>
        <w:ind w:left="0" w:firstLine="640"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val="0"/>
          <w:kern w:val="2"/>
          <w:sz w:val="32"/>
          <w:szCs w:val="32"/>
          <w:lang w:val="en-US" w:eastAsia="zh-CN" w:bidi="ar"/>
        </w:rPr>
        <w:t>（一）本政策自发布之日起施行，有效期为3年。政策实施期间，如遇国家、北京市相关法律法规及政策调整，本政策将作相应修订。</w:t>
      </w:r>
    </w:p>
    <w:p>
      <w:pPr>
        <w:keepNext w:val="0"/>
        <w:keepLines w:val="0"/>
        <w:pageBreakBefore w:val="0"/>
        <w:kinsoku/>
        <w:wordWrap/>
        <w:overflowPunct/>
        <w:topLinePunct w:val="0"/>
        <w:autoSpaceDE/>
        <w:bidi w:val="0"/>
        <w:adjustRightInd/>
        <w:snapToGrid/>
        <w:spacing w:line="560" w:lineRule="exact"/>
        <w:ind w:left="0" w:firstLine="640"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val="0"/>
          <w:kern w:val="2"/>
          <w:sz w:val="32"/>
          <w:szCs w:val="32"/>
          <w:lang w:val="en-US" w:eastAsia="zh-CN" w:bidi="ar"/>
        </w:rPr>
        <w:t>（二）本政策各项扶持按照 “从高不重复” 原则执行。对同一项目、同一建设改造事项，不得重复享受本区同类财政扶持；同一申报主体，年度从本政策获得各类支持资金总额最高不超过 100 万元。本政策与国家、北京市政策的衔接，按照上级规定执行。</w:t>
      </w:r>
    </w:p>
    <w:p>
      <w:pPr>
        <w:keepNext w:val="0"/>
        <w:keepLines w:val="0"/>
        <w:pageBreakBefore w:val="0"/>
        <w:kinsoku/>
        <w:wordWrap/>
        <w:overflowPunct/>
        <w:topLinePunct w:val="0"/>
        <w:autoSpaceDE/>
        <w:bidi w:val="0"/>
        <w:adjustRightInd/>
        <w:snapToGrid/>
        <w:spacing w:line="560" w:lineRule="exact"/>
        <w:ind w:left="0" w:firstLine="640" w:firstLineChars="200"/>
        <w:textAlignment w:val="auto"/>
        <w:rPr>
          <w:rFonts w:hint="eastAsia" w:ascii="仿宋_GB2312" w:hAnsi="仿宋_GB2312" w:eastAsia="仿宋_GB2312" w:cs="仿宋_GB2312"/>
          <w:b w:val="0"/>
          <w:kern w:val="2"/>
          <w:sz w:val="32"/>
          <w:szCs w:val="32"/>
          <w:lang w:val="en-US" w:eastAsia="zh-CN" w:bidi="ar"/>
        </w:rPr>
      </w:pPr>
      <w:bookmarkStart w:id="0" w:name="_GoBack"/>
      <w:bookmarkEnd w:id="0"/>
      <w:r>
        <w:rPr>
          <w:rFonts w:hint="eastAsia" w:ascii="仿宋_GB2312" w:hAnsi="仿宋_GB2312" w:eastAsia="仿宋_GB2312" w:cs="仿宋_GB2312"/>
          <w:b w:val="0"/>
          <w:kern w:val="2"/>
          <w:sz w:val="32"/>
          <w:szCs w:val="32"/>
          <w:lang w:val="en-US" w:eastAsia="zh-CN" w:bidi="ar"/>
        </w:rPr>
        <w:t>（三）对提供虚假材料以及近三年有重大违法违规失信行为记录的主体取消享受有关政策支持的资格，追究相应的法律责任，并记入企业诚信系统。同时，申报主体须符合安全生产相关法律法规及标准要求，方可享受本政策支持。</w:t>
      </w:r>
    </w:p>
    <w:p>
      <w:pPr>
        <w:keepNext w:val="0"/>
        <w:keepLines w:val="0"/>
        <w:pageBreakBefore w:val="0"/>
        <w:kinsoku/>
        <w:wordWrap/>
        <w:overflowPunct/>
        <w:topLinePunct w:val="0"/>
        <w:autoSpaceDE/>
        <w:bidi w:val="0"/>
        <w:adjustRightInd/>
        <w:snapToGrid/>
        <w:spacing w:line="560" w:lineRule="exact"/>
        <w:ind w:left="0" w:firstLine="640" w:firstLineChars="200"/>
        <w:textAlignment w:val="auto"/>
        <w:rPr>
          <w:rFonts w:hint="eastAsia" w:ascii="仿宋_GB2312" w:hAnsi="仿宋_GB2312" w:eastAsia="仿宋_GB2312" w:cs="仿宋_GB2312"/>
          <w:b w:val="0"/>
          <w:kern w:val="2"/>
          <w:sz w:val="32"/>
          <w:szCs w:val="32"/>
          <w:lang w:val="en-US" w:eastAsia="zh-CN" w:bidi="ar"/>
        </w:rPr>
      </w:pPr>
      <w:r>
        <w:rPr>
          <w:rFonts w:hint="eastAsia" w:ascii="仿宋_GB2312" w:hAnsi="仿宋_GB2312" w:eastAsia="仿宋_GB2312" w:cs="仿宋_GB2312"/>
          <w:b w:val="0"/>
          <w:kern w:val="2"/>
          <w:sz w:val="32"/>
          <w:szCs w:val="32"/>
          <w:lang w:val="en-US" w:eastAsia="zh-CN" w:bidi="ar"/>
        </w:rPr>
        <w:t>（四）本政策自发布之日起实施，由丰台区文化和旅游局负责解释及组织实施。</w:t>
      </w:r>
    </w:p>
    <w:p>
      <w:pPr>
        <w:keepNext w:val="0"/>
        <w:keepLines w:val="0"/>
        <w:pageBreakBefore w:val="0"/>
        <w:kinsoku/>
        <w:wordWrap/>
        <w:overflowPunct/>
        <w:topLinePunct w:val="0"/>
        <w:autoSpaceDE/>
        <w:bidi w:val="0"/>
        <w:adjustRightInd/>
        <w:snapToGrid/>
        <w:spacing w:line="560" w:lineRule="exact"/>
        <w:ind w:left="0" w:firstLine="640" w:firstLineChars="200"/>
        <w:textAlignment w:val="auto"/>
        <w:rPr>
          <w:rFonts w:hint="eastAsia" w:ascii="仿宋_GB2312" w:hAnsi="仿宋_GB2312" w:eastAsia="仿宋_GB2312" w:cs="仿宋_GB2312"/>
          <w:b w:val="0"/>
          <w:kern w:val="2"/>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jaVu Sans">
    <w:altName w:val="Segoe Print"/>
    <w:panose1 w:val="020B0603030804020204"/>
    <w:charset w:val="00"/>
    <w:family w:val="roman"/>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AD65C7"/>
    <w:rsid w:val="004406E2"/>
    <w:rsid w:val="00867FFD"/>
    <w:rsid w:val="01431A4A"/>
    <w:rsid w:val="04974587"/>
    <w:rsid w:val="070B4DB8"/>
    <w:rsid w:val="09A908B8"/>
    <w:rsid w:val="0D04368F"/>
    <w:rsid w:val="0D1D5845"/>
    <w:rsid w:val="11F12A78"/>
    <w:rsid w:val="137D0DEC"/>
    <w:rsid w:val="14975EDD"/>
    <w:rsid w:val="157A0A1A"/>
    <w:rsid w:val="1F3D1644"/>
    <w:rsid w:val="1F6E2F15"/>
    <w:rsid w:val="230A1F70"/>
    <w:rsid w:val="23871813"/>
    <w:rsid w:val="25DC7BF4"/>
    <w:rsid w:val="28F2772E"/>
    <w:rsid w:val="2C4A34FE"/>
    <w:rsid w:val="2E1D349F"/>
    <w:rsid w:val="2EDD3963"/>
    <w:rsid w:val="3058256D"/>
    <w:rsid w:val="336851BD"/>
    <w:rsid w:val="344B770B"/>
    <w:rsid w:val="34D15992"/>
    <w:rsid w:val="37DE6C37"/>
    <w:rsid w:val="38AA6CBB"/>
    <w:rsid w:val="3BDD426E"/>
    <w:rsid w:val="3E8A4C87"/>
    <w:rsid w:val="3F7A3AC2"/>
    <w:rsid w:val="40F462E2"/>
    <w:rsid w:val="4177481D"/>
    <w:rsid w:val="434D1CD9"/>
    <w:rsid w:val="462D4C0F"/>
    <w:rsid w:val="475F1FDB"/>
    <w:rsid w:val="47B70CFB"/>
    <w:rsid w:val="47BC742D"/>
    <w:rsid w:val="47DD7AD0"/>
    <w:rsid w:val="484F02A2"/>
    <w:rsid w:val="48541B31"/>
    <w:rsid w:val="489F6B33"/>
    <w:rsid w:val="49B900C8"/>
    <w:rsid w:val="4CCF375F"/>
    <w:rsid w:val="4D550108"/>
    <w:rsid w:val="4DC40DEA"/>
    <w:rsid w:val="4E0069F9"/>
    <w:rsid w:val="4EA45E6E"/>
    <w:rsid w:val="52D01FDF"/>
    <w:rsid w:val="54297BF9"/>
    <w:rsid w:val="5492286B"/>
    <w:rsid w:val="585731E9"/>
    <w:rsid w:val="5D5903EE"/>
    <w:rsid w:val="5DA0717E"/>
    <w:rsid w:val="60EE6452"/>
    <w:rsid w:val="625247BE"/>
    <w:rsid w:val="626764BC"/>
    <w:rsid w:val="62AC57BC"/>
    <w:rsid w:val="632919C3"/>
    <w:rsid w:val="633A772C"/>
    <w:rsid w:val="64C00BF9"/>
    <w:rsid w:val="66BC2B4E"/>
    <w:rsid w:val="68AD65C7"/>
    <w:rsid w:val="694831A6"/>
    <w:rsid w:val="6A1231B1"/>
    <w:rsid w:val="6B08160C"/>
    <w:rsid w:val="6BCC55E2"/>
    <w:rsid w:val="6CE744AA"/>
    <w:rsid w:val="6E0E3C8F"/>
    <w:rsid w:val="70161521"/>
    <w:rsid w:val="711B05CE"/>
    <w:rsid w:val="727D13E4"/>
    <w:rsid w:val="738B7B30"/>
    <w:rsid w:val="754E4444"/>
    <w:rsid w:val="77E141C3"/>
    <w:rsid w:val="79C12AB1"/>
    <w:rsid w:val="7A5C32B8"/>
    <w:rsid w:val="7B031A7F"/>
    <w:rsid w:val="7B3354EF"/>
    <w:rsid w:val="7DED21DC"/>
    <w:rsid w:val="7E325778"/>
    <w:rsid w:val="7F212654"/>
    <w:rsid w:val="7FCB2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0" w:afterAutospacing="0" w:line="560" w:lineRule="exact"/>
      <w:ind w:firstLine="880" w:firstLineChars="200"/>
      <w:jc w:val="left"/>
      <w:outlineLvl w:val="0"/>
    </w:pPr>
    <w:rPr>
      <w:rFonts w:hint="eastAsia" w:ascii="宋体" w:hAnsi="宋体" w:eastAsia="黑体" w:cs="宋体"/>
      <w:bCs/>
      <w:kern w:val="44"/>
      <w:sz w:val="32"/>
      <w:szCs w:val="48"/>
      <w:lang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unhideWhenUsed/>
    <w:qFormat/>
    <w:uiPriority w:val="0"/>
    <w:pPr>
      <w:ind w:left="420"/>
    </w:pPr>
    <w:rPr>
      <w:rFonts w:hint="default" w:ascii="等线" w:hAnsi="等线" w:eastAsia="等线"/>
      <w:b/>
      <w:sz w:val="30"/>
      <w:szCs w:val="24"/>
    </w:rPr>
  </w:style>
  <w:style w:type="character" w:customStyle="1" w:styleId="7">
    <w:name w:val="15"/>
    <w:basedOn w:val="6"/>
    <w:unhideWhenUsed/>
    <w:qFormat/>
    <w:uiPriority w:val="0"/>
    <w:rPr>
      <w:rFonts w:hint="default" w:ascii="DejaVu Sans" w:hAnsi="DejaVu Sans" w:eastAsia="楷体" w:cs="Times New Roman"/>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1999</Words>
  <Characters>2029</Characters>
  <Lines>0</Lines>
  <Paragraphs>0</Paragraphs>
  <TotalTime>16</TotalTime>
  <ScaleCrop>false</ScaleCrop>
  <LinksUpToDate>false</LinksUpToDate>
  <CharactersWithSpaces>2052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2026-07-24T07:38:00Z</dcterms:created>
  <dc:creator>Administrator</dc:creator>
  <cp:lastModifiedBy>Administrator</cp:lastModifiedBy>
  <cp:lastPrinted>2026-07-28T08:57:00Z</cp:lastPrinted>
  <dcterms:modified xsi:type="dcterms:W3CDTF">2026-08-26T03:52:16Z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eyJoZGlkIjoiYzFhMWNhZjkxMGQyMWI4NTNmOGZkYjJmMWRjNDExOTMiLCJ1c2VySWQiOiI5NTA0NDYxNDgifQ==</vt:lpwstr>
  </property>
  <property fmtid="{D5CDD505-2E9C-101B-9397-08002B2CF9AE}" pid="4" name="ICV">
    <vt:lpwstr>397299DAA041406896022E0C38CCF464_13</vt:lpwstr>
  </property>
</Properties>
</file>