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40A68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《北京市顺义区烟草制品零售点合理布局规定（征求意见稿）》的起草说明</w:t>
      </w:r>
    </w:p>
    <w:p w14:paraId="77CB2BD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highlight w:val="none"/>
        </w:rPr>
      </w:pPr>
    </w:p>
    <w:p w14:paraId="47D6DFF1">
      <w:pPr>
        <w:keepNext w:val="0"/>
        <w:keepLines w:val="0"/>
        <w:pageBreakBefore w:val="0"/>
        <w:kinsoku/>
        <w:wordWrap/>
        <w:overflowPunct/>
        <w:topLinePunct w:val="0"/>
        <w:autoSpaceDE/>
        <w:autoSpaceDN/>
        <w:bidi w:val="0"/>
        <w:adjustRightInd/>
        <w:snapToGrid/>
        <w:spacing w:line="600" w:lineRule="exact"/>
        <w:ind w:firstLine="640" w:firstLineChars="200"/>
        <w:contextualSpacing/>
        <w:textAlignment w:val="auto"/>
        <w:rPr>
          <w:rFonts w:hint="eastAsia" w:ascii="黑体" w:hAnsi="黑体" w:eastAsia="黑体"/>
          <w:color w:val="000000" w:themeColor="text1"/>
          <w:sz w:val="32"/>
          <w:szCs w:val="32"/>
          <w:highlight w:val="none"/>
          <w:lang w:val="en-US" w:eastAsia="zh-CN"/>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一、</w:t>
      </w:r>
      <w:r>
        <w:rPr>
          <w:rFonts w:hint="eastAsia" w:ascii="黑体" w:hAnsi="黑体" w:eastAsia="黑体"/>
          <w:color w:val="000000" w:themeColor="text1"/>
          <w:sz w:val="32"/>
          <w:szCs w:val="32"/>
          <w:highlight w:val="none"/>
          <w:lang w:val="en-US" w:eastAsia="zh-CN"/>
          <w14:textFill>
            <w14:solidFill>
              <w14:schemeClr w14:val="tx1"/>
            </w14:solidFill>
          </w14:textFill>
        </w:rPr>
        <w:t>修订</w:t>
      </w:r>
      <w:r>
        <w:rPr>
          <w:rFonts w:hint="eastAsia" w:ascii="黑体" w:hAnsi="黑体" w:eastAsia="黑体"/>
          <w:color w:val="000000" w:themeColor="text1"/>
          <w:sz w:val="32"/>
          <w:szCs w:val="32"/>
          <w:highlight w:val="none"/>
          <w14:textFill>
            <w14:solidFill>
              <w14:schemeClr w14:val="tx1"/>
            </w14:solidFill>
          </w14:textFill>
        </w:rPr>
        <w:t>背景</w:t>
      </w:r>
      <w:r>
        <w:rPr>
          <w:rFonts w:hint="eastAsia" w:ascii="黑体" w:hAnsi="黑体" w:eastAsia="黑体"/>
          <w:color w:val="000000" w:themeColor="text1"/>
          <w:sz w:val="32"/>
          <w:szCs w:val="32"/>
          <w:highlight w:val="none"/>
          <w:lang w:val="en-US" w:eastAsia="zh-CN"/>
          <w14:textFill>
            <w14:solidFill>
              <w14:schemeClr w14:val="tx1"/>
            </w14:solidFill>
          </w14:textFill>
        </w:rPr>
        <w:t>及目标任务</w:t>
      </w:r>
    </w:p>
    <w:p w14:paraId="696E1C3B">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s="Times New Roman"/>
          <w:sz w:val="32"/>
          <w:szCs w:val="32"/>
          <w:highlight w:val="none"/>
        </w:rPr>
      </w:pPr>
      <w:r>
        <w:rPr>
          <w:rFonts w:hint="eastAsia" w:ascii="仿宋_GB2312" w:hAnsi="宋体" w:eastAsia="仿宋_GB2312" w:cs="Times New Roman"/>
          <w:sz w:val="32"/>
          <w:szCs w:val="32"/>
          <w:highlight w:val="none"/>
        </w:rPr>
        <w:t>为规范烟草制品市场秩序，切实维护国家利益与消费者权益，促进</w:t>
      </w:r>
      <w:r>
        <w:rPr>
          <w:rFonts w:hint="eastAsia" w:ascii="仿宋_GB2312" w:hAnsi="宋体" w:eastAsia="仿宋_GB2312" w:cs="Times New Roman"/>
          <w:sz w:val="32"/>
          <w:szCs w:val="32"/>
          <w:highlight w:val="none"/>
          <w:lang w:val="en-US" w:eastAsia="zh-CN"/>
        </w:rPr>
        <w:t>烟草制品</w:t>
      </w:r>
      <w:r>
        <w:rPr>
          <w:rFonts w:hint="eastAsia" w:ascii="仿宋_GB2312" w:hAnsi="宋体" w:eastAsia="仿宋_GB2312" w:cs="Times New Roman"/>
          <w:sz w:val="32"/>
          <w:szCs w:val="32"/>
          <w:highlight w:val="none"/>
        </w:rPr>
        <w:t>市场向规范化、专业化发展。通过实施精细化、差异化的零售点布局策略，进一步优化许可资源配置，精准提供政策支持，维护烟草专卖制度，保护未成年人、消费者和经营者合法权益</w:t>
      </w:r>
      <w:r>
        <w:rPr>
          <w:rFonts w:hint="eastAsia" w:ascii="仿宋_GB2312" w:hAnsi="宋体" w:eastAsia="仿宋_GB2312" w:cs="Times New Roman"/>
          <w:sz w:val="32"/>
          <w:szCs w:val="32"/>
          <w:highlight w:val="none"/>
          <w:lang w:eastAsia="zh-CN"/>
        </w:rPr>
        <w:t>，</w:t>
      </w:r>
      <w:r>
        <w:rPr>
          <w:rFonts w:hint="eastAsia" w:ascii="仿宋_GB2312" w:hAnsi="宋体" w:eastAsia="仿宋_GB2312" w:cs="Times New Roman"/>
          <w:sz w:val="32"/>
          <w:szCs w:val="32"/>
          <w:highlight w:val="none"/>
        </w:rPr>
        <w:t>着力营造一个“竞争适度、进退有序、健康发展”的</w:t>
      </w:r>
      <w:r>
        <w:rPr>
          <w:rFonts w:hint="eastAsia" w:ascii="仿宋_GB2312" w:hAnsi="宋体" w:eastAsia="仿宋_GB2312" w:cs="Times New Roman"/>
          <w:sz w:val="32"/>
          <w:szCs w:val="32"/>
          <w:highlight w:val="none"/>
          <w:lang w:val="en-US" w:eastAsia="zh-CN"/>
        </w:rPr>
        <w:t>烟草制品</w:t>
      </w:r>
      <w:r>
        <w:rPr>
          <w:rFonts w:hint="eastAsia" w:ascii="仿宋_GB2312" w:hAnsi="宋体" w:eastAsia="仿宋_GB2312" w:cs="Times New Roman"/>
          <w:sz w:val="32"/>
          <w:szCs w:val="32"/>
          <w:highlight w:val="none"/>
        </w:rPr>
        <w:t>市场生态。综合实际情况，北京市</w:t>
      </w:r>
      <w:r>
        <w:rPr>
          <w:rFonts w:hint="eastAsia" w:ascii="仿宋_GB2312" w:hAnsi="宋体" w:eastAsia="仿宋_GB2312" w:cs="Times New Roman"/>
          <w:sz w:val="32"/>
          <w:szCs w:val="32"/>
          <w:highlight w:val="none"/>
          <w:lang w:eastAsia="zh-CN"/>
        </w:rPr>
        <w:t>顺义</w:t>
      </w:r>
      <w:r>
        <w:rPr>
          <w:rFonts w:hint="eastAsia" w:ascii="仿宋_GB2312" w:hAnsi="宋体" w:eastAsia="仿宋_GB2312" w:cs="Times New Roman"/>
          <w:sz w:val="32"/>
          <w:szCs w:val="32"/>
          <w:highlight w:val="none"/>
        </w:rPr>
        <w:t>区烟草专卖局在上级</w:t>
      </w:r>
      <w:r>
        <w:rPr>
          <w:rFonts w:hint="eastAsia" w:ascii="仿宋_GB2312" w:hAnsi="宋体" w:eastAsia="仿宋_GB2312" w:cs="Times New Roman"/>
          <w:sz w:val="32"/>
          <w:szCs w:val="32"/>
          <w:highlight w:val="none"/>
          <w:lang w:val="en-US" w:eastAsia="zh-CN"/>
        </w:rPr>
        <w:t>单位</w:t>
      </w:r>
      <w:r>
        <w:rPr>
          <w:rFonts w:hint="eastAsia" w:ascii="仿宋_GB2312" w:hAnsi="宋体" w:eastAsia="仿宋_GB2312" w:cs="Times New Roman"/>
          <w:sz w:val="32"/>
          <w:szCs w:val="32"/>
          <w:highlight w:val="none"/>
        </w:rPr>
        <w:t>的总体要求</w:t>
      </w:r>
      <w:r>
        <w:rPr>
          <w:rFonts w:hint="eastAsia" w:ascii="仿宋_GB2312" w:hAnsi="宋体" w:eastAsia="仿宋_GB2312" w:cs="Times New Roman"/>
          <w:sz w:val="32"/>
          <w:szCs w:val="32"/>
          <w:highlight w:val="none"/>
          <w:lang w:val="en-US" w:eastAsia="zh-CN"/>
        </w:rPr>
        <w:t>和顺义区“十五五”规划发展</w:t>
      </w:r>
      <w:r>
        <w:rPr>
          <w:rFonts w:hint="eastAsia" w:ascii="仿宋_GB2312" w:hAnsi="宋体" w:eastAsia="仿宋_GB2312" w:cs="Times New Roman"/>
          <w:sz w:val="32"/>
          <w:szCs w:val="32"/>
          <w:highlight w:val="none"/>
        </w:rPr>
        <w:t>框架下，认真听取社会公众和政府部门建议后，</w:t>
      </w:r>
      <w:r>
        <w:rPr>
          <w:rFonts w:hint="eastAsia" w:ascii="仿宋_GB2312" w:hAnsi="宋体" w:eastAsia="仿宋_GB2312" w:cs="Times New Roman"/>
          <w:sz w:val="32"/>
          <w:szCs w:val="32"/>
          <w:highlight w:val="none"/>
          <w:lang w:val="en-US" w:eastAsia="zh-CN"/>
        </w:rPr>
        <w:t>对现有《</w:t>
      </w:r>
      <w:r>
        <w:rPr>
          <w:rFonts w:hint="eastAsia" w:ascii="仿宋_GB2312" w:hAnsi="宋体" w:eastAsia="仿宋_GB2312" w:cs="Times New Roman"/>
          <w:sz w:val="32"/>
          <w:szCs w:val="32"/>
          <w:highlight w:val="none"/>
        </w:rPr>
        <w:t>烟草制品零售点合理布局规定</w:t>
      </w:r>
      <w:r>
        <w:rPr>
          <w:rFonts w:hint="eastAsia" w:ascii="仿宋_GB2312" w:hAnsi="宋体" w:eastAsia="仿宋_GB2312" w:cs="Times New Roman"/>
          <w:sz w:val="32"/>
          <w:szCs w:val="32"/>
          <w:highlight w:val="none"/>
          <w:lang w:val="en-US" w:eastAsia="zh-CN"/>
        </w:rPr>
        <w:t>》进行修订</w:t>
      </w:r>
      <w:r>
        <w:rPr>
          <w:rFonts w:hint="eastAsia" w:ascii="仿宋_GB2312" w:hAnsi="宋体" w:eastAsia="仿宋_GB2312" w:cs="Times New Roman"/>
          <w:sz w:val="32"/>
          <w:szCs w:val="32"/>
          <w:highlight w:val="none"/>
        </w:rPr>
        <w:t>。</w:t>
      </w:r>
    </w:p>
    <w:p w14:paraId="0FC2192E">
      <w:pPr>
        <w:keepNext w:val="0"/>
        <w:keepLines w:val="0"/>
        <w:pageBreakBefore w:val="0"/>
        <w:kinsoku/>
        <w:wordWrap/>
        <w:overflowPunct/>
        <w:topLinePunct w:val="0"/>
        <w:autoSpaceDE/>
        <w:autoSpaceDN/>
        <w:bidi w:val="0"/>
        <w:adjustRightInd/>
        <w:snapToGrid/>
        <w:spacing w:line="600" w:lineRule="exact"/>
        <w:ind w:firstLine="640" w:firstLineChars="200"/>
        <w:contextualSpacing/>
        <w:textAlignment w:val="auto"/>
        <w:rPr>
          <w:rFonts w:hint="eastAsia" w:ascii="黑体" w:hAnsi="黑体" w:eastAsia="黑体"/>
          <w:sz w:val="32"/>
          <w:szCs w:val="32"/>
          <w:highlight w:val="none"/>
        </w:rPr>
      </w:pPr>
      <w:r>
        <w:rPr>
          <w:rFonts w:hint="eastAsia" w:ascii="黑体" w:hAnsi="黑体" w:eastAsia="黑体"/>
          <w:sz w:val="32"/>
          <w:szCs w:val="32"/>
          <w:highlight w:val="none"/>
        </w:rPr>
        <w:t>二、</w:t>
      </w:r>
      <w:r>
        <w:rPr>
          <w:rFonts w:hint="eastAsia" w:ascii="黑体" w:hAnsi="黑体" w:eastAsia="黑体"/>
          <w:sz w:val="32"/>
          <w:szCs w:val="32"/>
          <w:highlight w:val="none"/>
          <w:lang w:val="en-US" w:eastAsia="zh-CN"/>
        </w:rPr>
        <w:t>修订</w:t>
      </w:r>
      <w:r>
        <w:rPr>
          <w:rFonts w:hint="eastAsia" w:ascii="黑体" w:hAnsi="黑体" w:eastAsia="黑体"/>
          <w:sz w:val="32"/>
          <w:szCs w:val="32"/>
          <w:highlight w:val="none"/>
        </w:rPr>
        <w:t>依据</w:t>
      </w:r>
    </w:p>
    <w:p w14:paraId="7CED05DF">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s="Times New Roman"/>
          <w:sz w:val="32"/>
          <w:szCs w:val="32"/>
          <w:highlight w:val="none"/>
          <w:lang w:val="en-US" w:eastAsia="zh-CN"/>
        </w:rPr>
      </w:pPr>
      <w:r>
        <w:rPr>
          <w:rFonts w:hint="eastAsia" w:ascii="仿宋_GB2312" w:hAnsi="宋体" w:eastAsia="仿宋_GB2312" w:cs="Times New Roman"/>
          <w:sz w:val="32"/>
          <w:szCs w:val="32"/>
          <w:highlight w:val="none"/>
          <w:lang w:val="en-US" w:eastAsia="zh-CN"/>
        </w:rPr>
        <w:t>1</w:t>
      </w:r>
      <w:r>
        <w:rPr>
          <w:rFonts w:hint="eastAsia" w:ascii="仿宋_GB2312" w:hAnsi="宋体" w:eastAsia="仿宋_GB2312" w:cs="Times New Roman"/>
          <w:sz w:val="32"/>
          <w:szCs w:val="32"/>
          <w:highlight w:val="none"/>
          <w:lang w:eastAsia="zh-CN"/>
        </w:rPr>
        <w:t>.</w:t>
      </w:r>
      <w:r>
        <w:rPr>
          <w:rFonts w:hint="eastAsia" w:ascii="仿宋_GB2312" w:hAnsi="宋体" w:eastAsia="仿宋_GB2312" w:cs="Times New Roman"/>
          <w:sz w:val="32"/>
          <w:szCs w:val="32"/>
          <w:highlight w:val="none"/>
        </w:rPr>
        <w:t>《中华人民共和国烟草专卖法》</w:t>
      </w:r>
      <w:r>
        <w:rPr>
          <w:rFonts w:hint="eastAsia" w:ascii="仿宋_GB2312" w:hAnsi="宋体" w:eastAsia="仿宋_GB2312" w:cs="Times New Roman"/>
          <w:sz w:val="32"/>
          <w:szCs w:val="32"/>
          <w:highlight w:val="none"/>
          <w:lang w:val="en-US" w:eastAsia="zh-CN"/>
        </w:rPr>
        <w:t xml:space="preserve">  </w:t>
      </w:r>
    </w:p>
    <w:p w14:paraId="219A26E6">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s="Times New Roman"/>
          <w:sz w:val="32"/>
          <w:szCs w:val="32"/>
          <w:highlight w:val="none"/>
        </w:rPr>
      </w:pPr>
      <w:r>
        <w:rPr>
          <w:rFonts w:hint="eastAsia" w:ascii="仿宋_GB2312" w:hAnsi="宋体" w:eastAsia="仿宋_GB2312" w:cs="Times New Roman"/>
          <w:sz w:val="32"/>
          <w:szCs w:val="32"/>
          <w:highlight w:val="none"/>
          <w:lang w:val="en-US" w:eastAsia="zh-CN"/>
        </w:rPr>
        <w:t>2</w:t>
      </w:r>
      <w:r>
        <w:rPr>
          <w:rFonts w:hint="eastAsia" w:ascii="仿宋_GB2312" w:hAnsi="宋体" w:eastAsia="仿宋_GB2312" w:cs="Times New Roman"/>
          <w:sz w:val="32"/>
          <w:szCs w:val="32"/>
          <w:highlight w:val="none"/>
          <w:lang w:eastAsia="zh-CN"/>
        </w:rPr>
        <w:t>.</w:t>
      </w:r>
      <w:r>
        <w:rPr>
          <w:rFonts w:hint="eastAsia" w:ascii="仿宋_GB2312" w:hAnsi="宋体" w:eastAsia="仿宋_GB2312" w:cs="Times New Roman"/>
          <w:sz w:val="32"/>
          <w:szCs w:val="32"/>
          <w:highlight w:val="none"/>
        </w:rPr>
        <w:t>《中华人民共和国行政许可法》</w:t>
      </w:r>
    </w:p>
    <w:p w14:paraId="510E2EE9">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default" w:ascii="仿宋_GB2312" w:hAnsi="宋体" w:eastAsia="仿宋_GB2312" w:cs="Times New Roman"/>
          <w:sz w:val="32"/>
          <w:szCs w:val="32"/>
          <w:highlight w:val="none"/>
          <w:lang w:val="en-US" w:eastAsia="zh-CN"/>
        </w:rPr>
      </w:pPr>
      <w:r>
        <w:rPr>
          <w:rFonts w:hint="eastAsia" w:ascii="仿宋_GB2312" w:hAnsi="宋体" w:eastAsia="仿宋_GB2312" w:cs="Times New Roman"/>
          <w:sz w:val="32"/>
          <w:szCs w:val="32"/>
          <w:highlight w:val="none"/>
          <w:lang w:val="en-US" w:eastAsia="zh-CN"/>
        </w:rPr>
        <w:t>3</w:t>
      </w:r>
      <w:r>
        <w:rPr>
          <w:rFonts w:hint="eastAsia" w:ascii="仿宋_GB2312" w:hAnsi="宋体" w:eastAsia="仿宋_GB2312" w:cs="Times New Roman"/>
          <w:sz w:val="32"/>
          <w:szCs w:val="32"/>
          <w:highlight w:val="none"/>
          <w:lang w:eastAsia="zh-CN"/>
        </w:rPr>
        <w:t>.</w:t>
      </w:r>
      <w:r>
        <w:rPr>
          <w:rFonts w:hint="eastAsia" w:ascii="仿宋_GB2312" w:hAnsi="宋体" w:eastAsia="仿宋_GB2312" w:cs="Times New Roman"/>
          <w:sz w:val="32"/>
          <w:szCs w:val="32"/>
          <w:highlight w:val="none"/>
        </w:rPr>
        <w:t>《中华人民共和国未成年人保护法》</w:t>
      </w:r>
    </w:p>
    <w:p w14:paraId="7567E0C4">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s="Times New Roman"/>
          <w:sz w:val="32"/>
          <w:szCs w:val="32"/>
          <w:highlight w:val="none"/>
          <w:lang w:eastAsia="zh-CN"/>
        </w:rPr>
      </w:pPr>
      <w:r>
        <w:rPr>
          <w:rFonts w:hint="eastAsia" w:ascii="仿宋_GB2312" w:hAnsi="宋体" w:eastAsia="仿宋_GB2312" w:cs="Times New Roman"/>
          <w:sz w:val="32"/>
          <w:szCs w:val="32"/>
          <w:highlight w:val="none"/>
          <w:lang w:val="en-US" w:eastAsia="zh-CN"/>
        </w:rPr>
        <w:t>4</w:t>
      </w:r>
      <w:r>
        <w:rPr>
          <w:rFonts w:hint="eastAsia" w:ascii="仿宋_GB2312" w:hAnsi="宋体" w:eastAsia="仿宋_GB2312" w:cs="Times New Roman"/>
          <w:sz w:val="32"/>
          <w:szCs w:val="32"/>
          <w:highlight w:val="none"/>
          <w:lang w:eastAsia="zh-CN"/>
        </w:rPr>
        <w:t>.</w:t>
      </w:r>
      <w:r>
        <w:rPr>
          <w:rFonts w:hint="eastAsia" w:ascii="仿宋_GB2312" w:hAnsi="宋体" w:eastAsia="仿宋_GB2312" w:cs="Times New Roman"/>
          <w:sz w:val="32"/>
          <w:szCs w:val="32"/>
          <w:highlight w:val="none"/>
        </w:rPr>
        <w:t>《中华人民共和国烟草专卖法实施条例》</w:t>
      </w:r>
    </w:p>
    <w:p w14:paraId="263ADF63">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s="Times New Roman"/>
          <w:sz w:val="32"/>
          <w:szCs w:val="32"/>
          <w:highlight w:val="none"/>
          <w:lang w:eastAsia="zh-CN"/>
        </w:rPr>
      </w:pPr>
      <w:r>
        <w:rPr>
          <w:rFonts w:hint="eastAsia" w:ascii="仿宋_GB2312" w:hAnsi="宋体" w:eastAsia="仿宋_GB2312" w:cs="Times New Roman"/>
          <w:sz w:val="32"/>
          <w:szCs w:val="32"/>
          <w:highlight w:val="none"/>
          <w:lang w:val="en-US" w:eastAsia="zh-CN"/>
        </w:rPr>
        <w:t>5</w:t>
      </w:r>
      <w:r>
        <w:rPr>
          <w:rFonts w:hint="eastAsia" w:ascii="仿宋_GB2312" w:hAnsi="宋体" w:eastAsia="仿宋_GB2312" w:cs="Times New Roman"/>
          <w:sz w:val="32"/>
          <w:szCs w:val="32"/>
          <w:highlight w:val="none"/>
          <w:lang w:eastAsia="zh-CN"/>
        </w:rPr>
        <w:t>.</w:t>
      </w:r>
      <w:r>
        <w:rPr>
          <w:rFonts w:hint="eastAsia" w:ascii="仿宋_GB2312" w:hAnsi="宋体" w:eastAsia="仿宋_GB2312" w:cs="Times New Roman"/>
          <w:sz w:val="32"/>
          <w:szCs w:val="32"/>
          <w:highlight w:val="none"/>
        </w:rPr>
        <w:t>《北京市控制吸烟条例》</w:t>
      </w:r>
    </w:p>
    <w:p w14:paraId="18A57E33">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s="Times New Roman"/>
          <w:sz w:val="32"/>
          <w:szCs w:val="32"/>
          <w:highlight w:val="none"/>
        </w:rPr>
      </w:pPr>
      <w:r>
        <w:rPr>
          <w:rFonts w:hint="eastAsia" w:ascii="仿宋_GB2312" w:hAnsi="宋体" w:eastAsia="仿宋_GB2312" w:cs="Times New Roman"/>
          <w:sz w:val="32"/>
          <w:szCs w:val="32"/>
          <w:highlight w:val="none"/>
          <w:lang w:val="en-US" w:eastAsia="zh-CN"/>
        </w:rPr>
        <w:t>6</w:t>
      </w:r>
      <w:r>
        <w:rPr>
          <w:rFonts w:hint="eastAsia" w:ascii="仿宋_GB2312" w:hAnsi="宋体" w:eastAsia="仿宋_GB2312" w:cs="Times New Roman"/>
          <w:sz w:val="32"/>
          <w:szCs w:val="32"/>
          <w:highlight w:val="none"/>
          <w:lang w:eastAsia="zh-CN"/>
        </w:rPr>
        <w:t>.</w:t>
      </w:r>
      <w:r>
        <w:rPr>
          <w:rFonts w:hint="eastAsia" w:ascii="仿宋_GB2312" w:hAnsi="宋体" w:eastAsia="仿宋_GB2312" w:cs="Times New Roman"/>
          <w:sz w:val="32"/>
          <w:szCs w:val="32"/>
          <w:highlight w:val="none"/>
        </w:rPr>
        <w:t>《烟草专卖许可证管理办法》</w:t>
      </w:r>
    </w:p>
    <w:p w14:paraId="57FA4ECC">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s="Times New Roman"/>
          <w:sz w:val="32"/>
          <w:szCs w:val="32"/>
          <w:highlight w:val="none"/>
        </w:rPr>
      </w:pPr>
      <w:r>
        <w:rPr>
          <w:rFonts w:hint="eastAsia" w:ascii="仿宋_GB2312" w:hAnsi="宋体" w:eastAsia="仿宋_GB2312" w:cs="Times New Roman"/>
          <w:sz w:val="32"/>
          <w:szCs w:val="32"/>
          <w:highlight w:val="none"/>
          <w:lang w:val="en-US" w:eastAsia="zh-CN"/>
        </w:rPr>
        <w:t>7</w:t>
      </w:r>
      <w:r>
        <w:rPr>
          <w:rFonts w:hint="eastAsia" w:ascii="仿宋_GB2312" w:hAnsi="宋体" w:eastAsia="仿宋_GB2312" w:cs="Times New Roman"/>
          <w:sz w:val="32"/>
          <w:szCs w:val="32"/>
          <w:highlight w:val="none"/>
          <w:lang w:eastAsia="zh-CN"/>
        </w:rPr>
        <w:t>.</w:t>
      </w:r>
      <w:r>
        <w:rPr>
          <w:rFonts w:hint="eastAsia" w:ascii="仿宋_GB2312" w:hAnsi="宋体" w:eastAsia="仿宋_GB2312" w:cs="Times New Roman"/>
          <w:sz w:val="32"/>
          <w:szCs w:val="32"/>
          <w:highlight w:val="none"/>
        </w:rPr>
        <w:t>《烟草专卖许可证管理办法实施细则》</w:t>
      </w:r>
    </w:p>
    <w:p w14:paraId="20672D44">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default" w:ascii="仿宋_GB2312" w:hAnsi="宋体" w:eastAsia="仿宋_GB2312" w:cs="Times New Roman"/>
          <w:sz w:val="32"/>
          <w:szCs w:val="32"/>
          <w:highlight w:val="none"/>
          <w:lang w:val="en-US" w:eastAsia="zh-CN"/>
        </w:rPr>
      </w:pPr>
      <w:r>
        <w:rPr>
          <w:rFonts w:hint="eastAsia" w:ascii="仿宋_GB2312" w:hAnsi="宋体" w:eastAsia="仿宋_GB2312" w:cs="Times New Roman"/>
          <w:sz w:val="32"/>
          <w:szCs w:val="32"/>
          <w:highlight w:val="none"/>
          <w:lang w:val="en-US" w:eastAsia="zh-CN"/>
        </w:rPr>
        <w:t>8.《完善烟草专卖零售许可管理优化政务服务工作指引》</w:t>
      </w:r>
    </w:p>
    <w:p w14:paraId="2C026389">
      <w:pPr>
        <w:keepNext w:val="0"/>
        <w:keepLines w:val="0"/>
        <w:pageBreakBefore w:val="0"/>
        <w:kinsoku/>
        <w:wordWrap/>
        <w:overflowPunct/>
        <w:topLinePunct w:val="0"/>
        <w:autoSpaceDE/>
        <w:autoSpaceDN/>
        <w:bidi w:val="0"/>
        <w:spacing w:line="600" w:lineRule="exact"/>
        <w:ind w:firstLine="640" w:firstLineChars="200"/>
        <w:contextualSpacing/>
        <w:textAlignment w:val="auto"/>
        <w:rPr>
          <w:rFonts w:hint="eastAsia" w:ascii="黑体" w:hAnsi="黑体" w:eastAsia="黑体"/>
          <w:sz w:val="32"/>
          <w:szCs w:val="32"/>
          <w:highlight w:val="none"/>
        </w:rPr>
      </w:pPr>
      <w:r>
        <w:rPr>
          <w:rFonts w:hint="eastAsia" w:ascii="黑体" w:hAnsi="黑体" w:eastAsia="黑体"/>
          <w:sz w:val="32"/>
          <w:szCs w:val="32"/>
          <w:highlight w:val="none"/>
        </w:rPr>
        <w:t>三、</w:t>
      </w:r>
      <w:r>
        <w:rPr>
          <w:rFonts w:hint="eastAsia" w:ascii="黑体" w:hAnsi="黑体" w:eastAsia="黑体"/>
          <w:sz w:val="32"/>
          <w:szCs w:val="32"/>
          <w:highlight w:val="none"/>
          <w:lang w:val="en-US" w:eastAsia="zh-CN"/>
        </w:rPr>
        <w:t>修订</w:t>
      </w:r>
      <w:r>
        <w:rPr>
          <w:rFonts w:hint="eastAsia" w:ascii="黑体" w:hAnsi="黑体" w:eastAsia="黑体"/>
          <w:sz w:val="32"/>
          <w:szCs w:val="32"/>
          <w:highlight w:val="none"/>
        </w:rPr>
        <w:t>过程</w:t>
      </w:r>
    </w:p>
    <w:p w14:paraId="4C7B5B45">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hAnsi="Times New Roman" w:eastAsia="仿宋_GB2312" w:cs="Times New Roman"/>
          <w:color w:val="auto"/>
          <w:kern w:val="2"/>
          <w:sz w:val="32"/>
          <w:szCs w:val="32"/>
          <w:highlight w:val="none"/>
          <w:shd w:val="clear" w:color="auto" w:fill="auto"/>
          <w:lang w:val="en-US" w:eastAsia="zh-CN" w:bidi="ar"/>
        </w:rPr>
      </w:pPr>
      <w:r>
        <w:rPr>
          <w:rFonts w:hint="eastAsia" w:ascii="仿宋_GB2312" w:hAnsi="宋体" w:eastAsia="仿宋_GB2312" w:cs="Times New Roman"/>
          <w:sz w:val="32"/>
          <w:szCs w:val="32"/>
          <w:highlight w:val="none"/>
          <w:lang w:val="en-US" w:eastAsia="zh-CN"/>
        </w:rPr>
        <w:t>此次修订《</w:t>
      </w:r>
      <w:r>
        <w:rPr>
          <w:rFonts w:hint="eastAsia" w:ascii="仿宋_GB2312" w:hAnsi="宋体" w:eastAsia="仿宋_GB2312" w:cs="Times New Roman"/>
          <w:sz w:val="32"/>
          <w:szCs w:val="32"/>
          <w:highlight w:val="none"/>
        </w:rPr>
        <w:t>烟草制品零售点合理布局规定</w:t>
      </w:r>
      <w:r>
        <w:rPr>
          <w:rFonts w:hint="eastAsia" w:ascii="仿宋_GB2312" w:hAnsi="宋体" w:eastAsia="仿宋_GB2312" w:cs="Times New Roman"/>
          <w:sz w:val="32"/>
          <w:szCs w:val="32"/>
          <w:highlight w:val="none"/>
          <w:lang w:val="en-US" w:eastAsia="zh-CN"/>
        </w:rPr>
        <w:t>》自2026年6月起，</w:t>
      </w:r>
      <w:r>
        <w:rPr>
          <w:rFonts w:hint="eastAsia" w:ascii="仿宋_GB2312" w:hAnsi="Times New Roman" w:eastAsia="仿宋_GB2312" w:cs="Times New Roman"/>
          <w:color w:val="auto"/>
          <w:sz w:val="32"/>
          <w:szCs w:val="32"/>
          <w:highlight w:val="none"/>
          <w:shd w:val="clear" w:color="auto" w:fill="auto"/>
          <w:lang w:val="en-US" w:eastAsia="zh-CN" w:bidi="ar"/>
        </w:rPr>
        <w:t>北京市顺义区烟草专卖局</w:t>
      </w:r>
      <w:r>
        <w:rPr>
          <w:rFonts w:hint="eastAsia" w:ascii="仿宋_GB2312" w:hAnsi="Times New Roman" w:eastAsia="仿宋_GB2312" w:cs="Times New Roman"/>
          <w:color w:val="auto"/>
          <w:sz w:val="32"/>
          <w:szCs w:val="32"/>
          <w:highlight w:val="none"/>
          <w:shd w:val="clear" w:color="auto" w:fill="auto"/>
          <w:lang w:bidi="ar"/>
        </w:rPr>
        <w:t>启动</w:t>
      </w:r>
      <w:r>
        <w:rPr>
          <w:rFonts w:hint="eastAsia" w:ascii="仿宋_GB2312" w:hAnsi="宋体" w:eastAsia="仿宋_GB2312" w:cs="Times New Roman"/>
          <w:sz w:val="32"/>
          <w:szCs w:val="32"/>
          <w:highlight w:val="none"/>
        </w:rPr>
        <w:t>烟草制品零售点合理布局规定</w:t>
      </w:r>
      <w:r>
        <w:rPr>
          <w:rFonts w:hint="eastAsia" w:ascii="仿宋_GB2312" w:hAnsi="Times New Roman" w:eastAsia="仿宋_GB2312" w:cs="Times New Roman"/>
          <w:color w:val="auto"/>
          <w:sz w:val="32"/>
          <w:szCs w:val="32"/>
          <w:highlight w:val="none"/>
          <w:shd w:val="clear" w:color="auto" w:fill="auto"/>
          <w:lang w:bidi="ar"/>
        </w:rPr>
        <w:t>的</w:t>
      </w:r>
      <w:r>
        <w:rPr>
          <w:rFonts w:hint="eastAsia" w:ascii="仿宋_GB2312" w:hAnsi="Times New Roman" w:eastAsia="仿宋_GB2312" w:cs="Times New Roman"/>
          <w:color w:val="auto"/>
          <w:sz w:val="32"/>
          <w:szCs w:val="32"/>
          <w:highlight w:val="none"/>
          <w:shd w:val="clear" w:color="auto" w:fill="auto"/>
          <w:lang w:val="en-US" w:eastAsia="zh-CN" w:bidi="ar"/>
        </w:rPr>
        <w:t>修订</w:t>
      </w:r>
      <w:r>
        <w:rPr>
          <w:rFonts w:hint="eastAsia" w:ascii="仿宋_GB2312" w:hAnsi="Times New Roman" w:eastAsia="仿宋_GB2312" w:cs="Times New Roman"/>
          <w:color w:val="auto"/>
          <w:sz w:val="32"/>
          <w:szCs w:val="32"/>
          <w:highlight w:val="none"/>
          <w:shd w:val="clear" w:color="auto" w:fill="auto"/>
          <w:lang w:bidi="ar"/>
        </w:rPr>
        <w:t>工作，</w:t>
      </w:r>
      <w:r>
        <w:rPr>
          <w:rFonts w:hint="eastAsia" w:ascii="仿宋_GB2312" w:hAnsi="Times New Roman" w:eastAsia="仿宋_GB2312" w:cs="Times New Roman"/>
          <w:color w:val="auto"/>
          <w:sz w:val="32"/>
          <w:szCs w:val="32"/>
          <w:highlight w:val="none"/>
          <w:shd w:val="clear" w:color="auto" w:fill="auto"/>
          <w:lang w:val="en-US" w:eastAsia="zh-CN" w:bidi="ar"/>
        </w:rPr>
        <w:t>计划通过前期</w:t>
      </w:r>
      <w:r>
        <w:rPr>
          <w:rFonts w:hint="eastAsia" w:ascii="仿宋_GB2312" w:hAnsi="Times New Roman" w:eastAsia="仿宋_GB2312" w:cs="Times New Roman"/>
          <w:color w:val="auto"/>
          <w:sz w:val="32"/>
          <w:szCs w:val="32"/>
          <w:highlight w:val="none"/>
          <w:shd w:val="clear" w:color="auto" w:fill="auto"/>
          <w:lang w:bidi="ar"/>
        </w:rPr>
        <w:t>评估</w:t>
      </w:r>
      <w:r>
        <w:rPr>
          <w:rFonts w:hint="eastAsia" w:ascii="仿宋_GB2312" w:hAnsi="Times New Roman" w:eastAsia="仿宋_GB2312" w:cs="Times New Roman"/>
          <w:color w:val="auto"/>
          <w:sz w:val="32"/>
          <w:szCs w:val="32"/>
          <w:highlight w:val="none"/>
          <w:shd w:val="clear" w:color="auto" w:fill="auto"/>
          <w:lang w:eastAsia="zh-CN" w:bidi="ar"/>
        </w:rPr>
        <w:t>、</w:t>
      </w:r>
      <w:r>
        <w:rPr>
          <w:rFonts w:hint="eastAsia" w:ascii="仿宋_GB2312" w:hAnsi="Times New Roman" w:eastAsia="仿宋_GB2312" w:cs="Times New Roman"/>
          <w:color w:val="auto"/>
          <w:sz w:val="32"/>
          <w:szCs w:val="32"/>
          <w:highlight w:val="none"/>
          <w:shd w:val="clear" w:color="auto" w:fill="auto"/>
          <w:lang w:bidi="ar"/>
        </w:rPr>
        <w:t>市场调研</w:t>
      </w:r>
      <w:r>
        <w:rPr>
          <w:rFonts w:hint="eastAsia" w:ascii="仿宋_GB2312" w:hAnsi="Times New Roman" w:eastAsia="仿宋_GB2312" w:cs="Times New Roman"/>
          <w:color w:val="auto"/>
          <w:sz w:val="32"/>
          <w:szCs w:val="32"/>
          <w:highlight w:val="none"/>
          <w:shd w:val="clear" w:color="auto" w:fill="auto"/>
          <w:lang w:eastAsia="zh-CN" w:bidi="ar"/>
        </w:rPr>
        <w:t>、</w:t>
      </w:r>
      <w:r>
        <w:rPr>
          <w:rFonts w:hint="eastAsia" w:ascii="仿宋_GB2312" w:hAnsi="Times New Roman" w:eastAsia="仿宋_GB2312" w:cs="Times New Roman"/>
          <w:color w:val="auto"/>
          <w:sz w:val="32"/>
          <w:szCs w:val="32"/>
          <w:highlight w:val="none"/>
          <w:shd w:val="clear" w:color="auto" w:fill="auto"/>
          <w:lang w:bidi="ar"/>
        </w:rPr>
        <w:t>起草</w:t>
      </w:r>
      <w:r>
        <w:rPr>
          <w:rFonts w:hint="eastAsia" w:ascii="仿宋_GB2312" w:hAnsi="Times New Roman" w:eastAsia="仿宋_GB2312" w:cs="Times New Roman"/>
          <w:color w:val="auto"/>
          <w:sz w:val="32"/>
          <w:szCs w:val="32"/>
          <w:highlight w:val="none"/>
          <w:shd w:val="clear" w:color="auto" w:fill="auto"/>
          <w:lang w:val="en-US" w:eastAsia="zh-CN" w:bidi="ar"/>
        </w:rPr>
        <w:t>征求意见稿</w:t>
      </w:r>
      <w:r>
        <w:rPr>
          <w:rFonts w:hint="eastAsia" w:ascii="仿宋_GB2312" w:hAnsi="Times New Roman" w:eastAsia="仿宋_GB2312" w:cs="Times New Roman"/>
          <w:color w:val="auto"/>
          <w:sz w:val="32"/>
          <w:szCs w:val="32"/>
          <w:highlight w:val="none"/>
          <w:shd w:val="clear" w:color="auto" w:fill="auto"/>
          <w:lang w:eastAsia="zh-CN" w:bidi="ar"/>
        </w:rPr>
        <w:t>、</w:t>
      </w:r>
      <w:r>
        <w:rPr>
          <w:rFonts w:hint="eastAsia" w:ascii="仿宋_GB2312" w:hAnsi="Times New Roman" w:eastAsia="仿宋_GB2312" w:cs="Times New Roman"/>
          <w:color w:val="auto"/>
          <w:sz w:val="32"/>
          <w:szCs w:val="32"/>
          <w:highlight w:val="none"/>
          <w:shd w:val="clear" w:color="auto" w:fill="auto"/>
          <w:lang w:bidi="ar"/>
        </w:rPr>
        <w:t>征求意见</w:t>
      </w:r>
      <w:r>
        <w:rPr>
          <w:rFonts w:hint="eastAsia" w:ascii="仿宋_GB2312" w:hAnsi="Times New Roman" w:eastAsia="仿宋_GB2312" w:cs="Times New Roman"/>
          <w:color w:val="auto"/>
          <w:sz w:val="32"/>
          <w:szCs w:val="32"/>
          <w:highlight w:val="none"/>
          <w:shd w:val="clear" w:color="auto" w:fill="auto"/>
          <w:lang w:eastAsia="zh-CN" w:bidi="ar"/>
        </w:rPr>
        <w:t>、</w:t>
      </w:r>
      <w:r>
        <w:rPr>
          <w:rFonts w:hint="eastAsia" w:ascii="仿宋_GB2312" w:hAnsi="Times New Roman" w:eastAsia="仿宋_GB2312" w:cs="Times New Roman"/>
          <w:color w:val="auto"/>
          <w:sz w:val="32"/>
          <w:szCs w:val="32"/>
          <w:highlight w:val="none"/>
          <w:shd w:val="clear" w:color="auto" w:fill="auto"/>
          <w:lang w:bidi="ar"/>
        </w:rPr>
        <w:t>组织召开听证会</w:t>
      </w:r>
      <w:r>
        <w:rPr>
          <w:rFonts w:hint="eastAsia" w:ascii="仿宋_GB2312" w:hAnsi="Times New Roman" w:eastAsia="仿宋_GB2312" w:cs="Times New Roman"/>
          <w:color w:val="auto"/>
          <w:sz w:val="32"/>
          <w:szCs w:val="32"/>
          <w:highlight w:val="none"/>
          <w:shd w:val="clear" w:color="auto" w:fill="auto"/>
          <w:lang w:eastAsia="zh-CN" w:bidi="ar"/>
        </w:rPr>
        <w:t>、</w:t>
      </w:r>
      <w:r>
        <w:rPr>
          <w:rFonts w:hint="eastAsia" w:ascii="仿宋_GB2312" w:hAnsi="Times New Roman" w:eastAsia="仿宋_GB2312" w:cs="Times New Roman"/>
          <w:color w:val="auto"/>
          <w:kern w:val="2"/>
          <w:sz w:val="32"/>
          <w:szCs w:val="32"/>
          <w:highlight w:val="none"/>
          <w:shd w:val="clear" w:color="auto" w:fill="auto"/>
          <w:lang w:val="en-US" w:eastAsia="zh-CN" w:bidi="ar"/>
        </w:rPr>
        <w:t>合法性审查等程序，最终形成符合本辖区实际的《北京市顺义区烟草制品零售点合理布局规定》。</w:t>
      </w:r>
    </w:p>
    <w:p w14:paraId="1FB985E3">
      <w:pPr>
        <w:keepNext w:val="0"/>
        <w:keepLines w:val="0"/>
        <w:pageBreakBefore w:val="0"/>
        <w:kinsoku/>
        <w:wordWrap/>
        <w:overflowPunct/>
        <w:topLinePunct w:val="0"/>
        <w:autoSpaceDE/>
        <w:autoSpaceDN/>
        <w:bidi w:val="0"/>
        <w:spacing w:line="600" w:lineRule="exact"/>
        <w:ind w:firstLine="640" w:firstLineChars="200"/>
        <w:contextualSpacing/>
        <w:textAlignment w:val="auto"/>
        <w:rPr>
          <w:rFonts w:hint="eastAsia" w:ascii="黑体" w:hAnsi="黑体" w:eastAsia="黑体"/>
          <w:sz w:val="32"/>
          <w:szCs w:val="32"/>
          <w:highlight w:val="none"/>
        </w:rPr>
      </w:pPr>
      <w:r>
        <w:rPr>
          <w:rFonts w:hint="eastAsia" w:ascii="黑体" w:hAnsi="黑体" w:eastAsia="黑体"/>
          <w:sz w:val="32"/>
          <w:szCs w:val="32"/>
          <w:highlight w:val="none"/>
          <w:lang w:val="en-US" w:eastAsia="zh-CN"/>
        </w:rPr>
        <w:t>四</w:t>
      </w:r>
      <w:r>
        <w:rPr>
          <w:rFonts w:hint="eastAsia" w:ascii="黑体" w:hAnsi="黑体" w:eastAsia="黑体"/>
          <w:sz w:val="32"/>
          <w:szCs w:val="32"/>
          <w:highlight w:val="none"/>
        </w:rPr>
        <w:t>、</w:t>
      </w:r>
      <w:r>
        <w:rPr>
          <w:rFonts w:hint="eastAsia" w:ascii="黑体" w:hAnsi="黑体" w:eastAsia="黑体"/>
          <w:sz w:val="32"/>
          <w:szCs w:val="32"/>
          <w:highlight w:val="none"/>
          <w:lang w:val="en-US" w:eastAsia="zh-CN"/>
        </w:rPr>
        <w:t>修订主要</w:t>
      </w:r>
      <w:r>
        <w:rPr>
          <w:rFonts w:hint="eastAsia" w:ascii="黑体" w:hAnsi="黑体" w:eastAsia="黑体"/>
          <w:sz w:val="32"/>
          <w:szCs w:val="32"/>
          <w:highlight w:val="none"/>
        </w:rPr>
        <w:t>内容</w:t>
      </w:r>
    </w:p>
    <w:p w14:paraId="21484F50">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hAnsi="宋体" w:eastAsia="仿宋_GB2312" w:cs="宋体"/>
          <w:color w:val="000000"/>
          <w:kern w:val="0"/>
          <w:sz w:val="32"/>
          <w:szCs w:val="32"/>
          <w:highlight w:val="none"/>
        </w:rPr>
      </w:pPr>
      <w:r>
        <w:rPr>
          <w:rFonts w:hint="eastAsia" w:ascii="仿宋_GB2312" w:hAnsi="宋体" w:eastAsia="仿宋_GB2312" w:cs="Times New Roman"/>
          <w:color w:val="auto"/>
          <w:sz w:val="32"/>
          <w:szCs w:val="32"/>
          <w:highlight w:val="none"/>
        </w:rPr>
        <w:t>《</w:t>
      </w:r>
      <w:r>
        <w:rPr>
          <w:rFonts w:hint="eastAsia" w:ascii="仿宋_GB2312" w:hAnsi="Times New Roman" w:eastAsia="仿宋_GB2312" w:cs="Times New Roman"/>
          <w:color w:val="auto"/>
          <w:kern w:val="2"/>
          <w:sz w:val="32"/>
          <w:szCs w:val="32"/>
          <w:highlight w:val="none"/>
          <w:shd w:val="clear" w:color="auto" w:fill="auto"/>
          <w:lang w:val="en-US" w:eastAsia="zh-CN" w:bidi="ar"/>
        </w:rPr>
        <w:t>北京市顺义区烟草制品零售点合理布局规定</w:t>
      </w:r>
      <w:r>
        <w:rPr>
          <w:rFonts w:hint="eastAsia" w:ascii="仿宋_GB2312" w:hAnsi="宋体" w:eastAsia="仿宋_GB2312" w:cs="Times New Roman"/>
          <w:color w:val="auto"/>
          <w:sz w:val="32"/>
          <w:szCs w:val="32"/>
          <w:highlight w:val="none"/>
          <w:lang w:eastAsia="zh-CN"/>
        </w:rPr>
        <w:t>（</w:t>
      </w:r>
      <w:r>
        <w:rPr>
          <w:rFonts w:hint="eastAsia" w:ascii="仿宋_GB2312" w:hAnsi="宋体" w:eastAsia="仿宋_GB2312" w:cs="Times New Roman"/>
          <w:color w:val="auto"/>
          <w:sz w:val="32"/>
          <w:szCs w:val="32"/>
          <w:highlight w:val="none"/>
          <w:lang w:val="en-US" w:eastAsia="zh-CN"/>
        </w:rPr>
        <w:t>征求意见稿</w:t>
      </w:r>
      <w:r>
        <w:rPr>
          <w:rFonts w:hint="eastAsia" w:ascii="仿宋_GB2312" w:hAnsi="宋体" w:eastAsia="仿宋_GB2312" w:cs="Times New Roman"/>
          <w:color w:val="auto"/>
          <w:sz w:val="32"/>
          <w:szCs w:val="32"/>
          <w:highlight w:val="none"/>
          <w:lang w:eastAsia="zh-CN"/>
        </w:rPr>
        <w:t>）</w:t>
      </w:r>
      <w:r>
        <w:rPr>
          <w:rFonts w:hint="eastAsia" w:ascii="仿宋_GB2312" w:hAnsi="宋体" w:eastAsia="仿宋_GB2312" w:cs="Times New Roman"/>
          <w:color w:val="auto"/>
          <w:sz w:val="32"/>
          <w:szCs w:val="32"/>
          <w:highlight w:val="none"/>
        </w:rPr>
        <w:t>》</w:t>
      </w:r>
      <w:r>
        <w:rPr>
          <w:rFonts w:hint="eastAsia" w:ascii="仿宋_GB2312" w:hAnsi="宋体" w:eastAsia="仿宋_GB2312" w:cs="Times New Roman"/>
          <w:color w:val="auto"/>
          <w:sz w:val="32"/>
          <w:szCs w:val="32"/>
          <w:highlight w:val="none"/>
          <w:lang w:val="en-US" w:eastAsia="zh-CN"/>
        </w:rPr>
        <w:t>共二十二</w:t>
      </w:r>
      <w:r>
        <w:rPr>
          <w:rFonts w:hint="eastAsia" w:ascii="仿宋_GB2312" w:hAnsi="宋体" w:eastAsia="仿宋_GB2312" w:cs="Times New Roman"/>
          <w:color w:val="auto"/>
          <w:sz w:val="32"/>
          <w:szCs w:val="32"/>
          <w:highlight w:val="none"/>
        </w:rPr>
        <w:t>条，</w:t>
      </w:r>
      <w:r>
        <w:rPr>
          <w:rFonts w:hint="eastAsia" w:ascii="仿宋_GB2312" w:hAnsi="宋体" w:eastAsia="仿宋_GB2312" w:cs="宋体"/>
          <w:color w:val="000000"/>
          <w:kern w:val="0"/>
          <w:sz w:val="32"/>
          <w:szCs w:val="32"/>
          <w:highlight w:val="none"/>
        </w:rPr>
        <w:t>适用于北京市</w:t>
      </w:r>
      <w:r>
        <w:rPr>
          <w:rFonts w:hint="eastAsia" w:ascii="仿宋_GB2312" w:hAnsi="宋体" w:eastAsia="仿宋_GB2312" w:cs="宋体"/>
          <w:color w:val="000000"/>
          <w:kern w:val="0"/>
          <w:sz w:val="32"/>
          <w:szCs w:val="32"/>
          <w:highlight w:val="none"/>
          <w:lang w:val="en-US" w:eastAsia="zh-CN"/>
        </w:rPr>
        <w:t>顺义</w:t>
      </w:r>
      <w:r>
        <w:rPr>
          <w:rFonts w:hint="eastAsia" w:ascii="仿宋_GB2312" w:hAnsi="宋体" w:eastAsia="仿宋_GB2312" w:cs="宋体"/>
          <w:color w:val="000000"/>
          <w:kern w:val="0"/>
          <w:sz w:val="32"/>
          <w:szCs w:val="32"/>
          <w:highlight w:val="none"/>
        </w:rPr>
        <w:t>区行政区域内许可范围为</w:t>
      </w:r>
      <w:r>
        <w:rPr>
          <w:rFonts w:hint="eastAsia" w:ascii="仿宋_GB2312" w:hAnsi="宋体" w:eastAsia="仿宋_GB2312" w:cs="宋体"/>
          <w:color w:val="000000"/>
          <w:kern w:val="0"/>
          <w:sz w:val="32"/>
          <w:szCs w:val="32"/>
          <w:highlight w:val="none"/>
          <w:lang w:val="en-US" w:eastAsia="zh-CN"/>
        </w:rPr>
        <w:t>卷烟本店零售、</w:t>
      </w:r>
      <w:r>
        <w:rPr>
          <w:rFonts w:hint="eastAsia" w:ascii="仿宋_GB2312" w:hAnsi="宋体" w:eastAsia="仿宋_GB2312" w:cs="宋体"/>
          <w:color w:val="000000"/>
          <w:kern w:val="0"/>
          <w:sz w:val="32"/>
          <w:szCs w:val="32"/>
          <w:highlight w:val="none"/>
        </w:rPr>
        <w:t>雪茄烟本店零售的</w:t>
      </w:r>
      <w:r>
        <w:rPr>
          <w:rFonts w:hint="eastAsia" w:ascii="Times New Roman" w:hAnsi="Times New Roman" w:eastAsia="仿宋_GB2312" w:cs="Times New Roman"/>
          <w:color w:val="000000"/>
          <w:kern w:val="0"/>
          <w:sz w:val="32"/>
          <w:szCs w:val="32"/>
          <w:highlight w:val="none"/>
          <w:lang w:val="en-US" w:eastAsia="zh-CN"/>
        </w:rPr>
        <w:t>两项许可范围兼营的零售点</w:t>
      </w:r>
      <w:r>
        <w:rPr>
          <w:rFonts w:hint="eastAsia" w:ascii="仿宋_GB2312" w:hAnsi="宋体" w:eastAsia="仿宋_GB2312" w:cs="宋体"/>
          <w:color w:val="000000"/>
          <w:kern w:val="0"/>
          <w:sz w:val="32"/>
          <w:szCs w:val="32"/>
          <w:highlight w:val="none"/>
        </w:rPr>
        <w:t>布局管理。</w:t>
      </w:r>
    </w:p>
    <w:p w14:paraId="02608603">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主要修订内容如下：</w:t>
      </w:r>
    </w:p>
    <w:p w14:paraId="1AAEF9D0">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1.第一条：</w:t>
      </w:r>
    </w:p>
    <w:p w14:paraId="681F0E21">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default"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增加“</w:t>
      </w:r>
      <w:r>
        <w:rPr>
          <w:rFonts w:hint="eastAsia" w:ascii="仿宋_GB2312" w:hAnsi="宋体" w:eastAsia="仿宋_GB2312" w:cs="Times New Roman"/>
          <w:sz w:val="32"/>
          <w:szCs w:val="32"/>
          <w:highlight w:val="none"/>
          <w:lang w:val="en-US" w:eastAsia="zh-CN"/>
        </w:rPr>
        <w:t>《完善烟草专卖零售许可管理优化政务服务工作指引》</w:t>
      </w:r>
      <w:r>
        <w:rPr>
          <w:rFonts w:hint="eastAsia" w:ascii="仿宋_GB2312" w:hAnsi="宋体" w:eastAsia="仿宋_GB2312" w:cs="宋体"/>
          <w:color w:val="000000"/>
          <w:kern w:val="0"/>
          <w:sz w:val="32"/>
          <w:szCs w:val="32"/>
          <w:highlight w:val="none"/>
          <w:lang w:val="en-US" w:eastAsia="zh-CN"/>
        </w:rPr>
        <w:t>”文件依据表述。</w:t>
      </w:r>
    </w:p>
    <w:p w14:paraId="25B8C8DC">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2.第二条：</w:t>
      </w:r>
    </w:p>
    <w:p w14:paraId="4746D38A">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将“</w:t>
      </w:r>
      <w:r>
        <w:rPr>
          <w:rFonts w:hint="eastAsia" w:ascii="仿宋_GB2312" w:hAnsi="仿宋_GB2312" w:eastAsia="仿宋_GB2312" w:cs="仿宋_GB2312"/>
          <w:color w:val="000000"/>
          <w:sz w:val="32"/>
          <w:szCs w:val="32"/>
          <w:highlight w:val="none"/>
        </w:rPr>
        <w:t>不含电子烟</w:t>
      </w:r>
      <w:r>
        <w:rPr>
          <w:rFonts w:hint="eastAsia" w:ascii="仿宋_GB2312" w:hAnsi="宋体" w:eastAsia="仿宋_GB2312" w:cs="宋体"/>
          <w:color w:val="000000"/>
          <w:kern w:val="0"/>
          <w:sz w:val="32"/>
          <w:szCs w:val="32"/>
          <w:highlight w:val="none"/>
          <w:lang w:val="en-US" w:eastAsia="zh-CN"/>
        </w:rPr>
        <w:t>”修改为“</w:t>
      </w:r>
      <w:r>
        <w:rPr>
          <w:rFonts w:hint="eastAsia" w:ascii="仿宋_GB2312" w:hAnsi="仿宋_GB2312" w:eastAsia="仿宋_GB2312" w:cs="仿宋_GB2312"/>
          <w:color w:val="000000"/>
          <w:sz w:val="32"/>
          <w:szCs w:val="32"/>
          <w:highlight w:val="none"/>
        </w:rPr>
        <w:t>不含电子烟</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雪茄烟专业店</w:t>
      </w:r>
      <w:r>
        <w:rPr>
          <w:rFonts w:hint="eastAsia" w:ascii="仿宋_GB2312" w:hAnsi="宋体" w:eastAsia="仿宋_GB2312" w:cs="宋体"/>
          <w:color w:val="000000"/>
          <w:kern w:val="0"/>
          <w:sz w:val="32"/>
          <w:szCs w:val="32"/>
          <w:highlight w:val="none"/>
          <w:lang w:val="en-US" w:eastAsia="zh-CN"/>
        </w:rPr>
        <w:t>”。</w:t>
      </w:r>
    </w:p>
    <w:p w14:paraId="57E9C886">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3.第四条：</w:t>
      </w:r>
    </w:p>
    <w:p w14:paraId="79EC6854">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删除“</w:t>
      </w:r>
      <w:r>
        <w:rPr>
          <w:rFonts w:hint="eastAsia" w:ascii="仿宋_GB2312" w:hAnsi="仿宋_GB2312" w:eastAsia="仿宋_GB2312" w:cs="仿宋_GB2312"/>
          <w:color w:val="000000"/>
          <w:sz w:val="32"/>
          <w:szCs w:val="32"/>
          <w:highlight w:val="none"/>
        </w:rPr>
        <w:t>将顺义区划分为城市辖区、最小市场单元及特殊情形三种类型</w:t>
      </w:r>
      <w:r>
        <w:rPr>
          <w:rFonts w:hint="eastAsia" w:ascii="仿宋_GB2312" w:hAnsi="宋体" w:eastAsia="仿宋_GB2312" w:cs="宋体"/>
          <w:color w:val="000000"/>
          <w:kern w:val="0"/>
          <w:sz w:val="32"/>
          <w:szCs w:val="32"/>
          <w:highlight w:val="none"/>
          <w:lang w:val="en-US" w:eastAsia="zh-CN"/>
        </w:rPr>
        <w:t>”；</w:t>
      </w:r>
    </w:p>
    <w:p w14:paraId="711BF096">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将“</w:t>
      </w:r>
      <w:r>
        <w:rPr>
          <w:rFonts w:hint="eastAsia" w:ascii="仿宋_GB2312" w:hAnsi="仿宋_GB2312" w:eastAsia="仿宋_GB2312" w:cs="仿宋_GB2312"/>
          <w:color w:val="000000"/>
          <w:sz w:val="32"/>
          <w:szCs w:val="32"/>
          <w:highlight w:val="none"/>
        </w:rPr>
        <w:t>设置不予发放、距离控制、最小市场单元总量调控、最小市场单元总量+间距调控四种模式</w:t>
      </w:r>
      <w:r>
        <w:rPr>
          <w:rFonts w:hint="eastAsia" w:ascii="仿宋_GB2312" w:hAnsi="宋体" w:eastAsia="仿宋_GB2312" w:cs="宋体"/>
          <w:color w:val="000000"/>
          <w:kern w:val="0"/>
          <w:sz w:val="32"/>
          <w:szCs w:val="32"/>
          <w:highlight w:val="none"/>
          <w:lang w:val="en-US" w:eastAsia="zh-CN"/>
        </w:rPr>
        <w:t>”修改为“</w:t>
      </w:r>
      <w:r>
        <w:rPr>
          <w:rFonts w:hint="eastAsia" w:ascii="仿宋_GB2312" w:hAnsi="仿宋_GB2312" w:eastAsia="仿宋_GB2312" w:cs="仿宋_GB2312"/>
          <w:color w:val="000000"/>
          <w:sz w:val="32"/>
          <w:szCs w:val="32"/>
          <w:highlight w:val="none"/>
        </w:rPr>
        <w:t>设置距离控制、最小市场单元总量、最小市场单元总量+间距</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特殊情形</w:t>
      </w:r>
      <w:r>
        <w:rPr>
          <w:rFonts w:hint="eastAsia" w:ascii="仿宋_GB2312" w:hAnsi="仿宋_GB2312" w:eastAsia="仿宋_GB2312" w:cs="仿宋_GB2312"/>
          <w:color w:val="000000"/>
          <w:sz w:val="32"/>
          <w:szCs w:val="32"/>
          <w:highlight w:val="none"/>
          <w:lang w:val="en-US" w:eastAsia="zh-CN"/>
        </w:rPr>
        <w:t>四</w:t>
      </w:r>
      <w:r>
        <w:rPr>
          <w:rFonts w:hint="eastAsia" w:ascii="仿宋_GB2312" w:hAnsi="仿宋_GB2312" w:eastAsia="仿宋_GB2312" w:cs="仿宋_GB2312"/>
          <w:color w:val="000000"/>
          <w:sz w:val="32"/>
          <w:szCs w:val="32"/>
          <w:highlight w:val="none"/>
        </w:rPr>
        <w:t>种模式</w:t>
      </w:r>
      <w:r>
        <w:rPr>
          <w:rFonts w:hint="eastAsia" w:ascii="仿宋_GB2312" w:hAnsi="宋体" w:eastAsia="仿宋_GB2312" w:cs="宋体"/>
          <w:color w:val="000000"/>
          <w:kern w:val="0"/>
          <w:sz w:val="32"/>
          <w:szCs w:val="32"/>
          <w:highlight w:val="none"/>
          <w:lang w:val="en-US" w:eastAsia="zh-CN"/>
        </w:rPr>
        <w:t>”。</w:t>
      </w:r>
    </w:p>
    <w:p w14:paraId="244B95BC">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4.第五条：</w:t>
      </w:r>
    </w:p>
    <w:p w14:paraId="6C21E073">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第九项将“学校”修改为“中小学校”；第十一项将“</w:t>
      </w:r>
      <w:r>
        <w:rPr>
          <w:rFonts w:hint="eastAsia" w:ascii="仿宋_GB2312" w:hAnsi="仿宋_GB2312" w:eastAsia="仿宋_GB2312" w:cs="仿宋_GB2312"/>
          <w:color w:val="000000"/>
          <w:sz w:val="32"/>
          <w:szCs w:val="32"/>
        </w:rPr>
        <w:t>利用自动售货机（柜）、电玩游戏机</w:t>
      </w:r>
      <w:r>
        <w:rPr>
          <w:rFonts w:hint="eastAsia" w:ascii="仿宋_GB2312" w:hAnsi="宋体" w:eastAsia="仿宋_GB2312" w:cs="宋体"/>
          <w:color w:val="000000"/>
          <w:kern w:val="0"/>
          <w:sz w:val="32"/>
          <w:szCs w:val="32"/>
          <w:highlight w:val="none"/>
          <w:lang w:val="en-US" w:eastAsia="zh-CN"/>
        </w:rPr>
        <w:t>”修改为“</w:t>
      </w:r>
      <w:r>
        <w:rPr>
          <w:rFonts w:hint="eastAsia" w:ascii="仿宋_GB2312" w:hAnsi="仿宋_GB2312" w:eastAsia="仿宋_GB2312" w:cs="仿宋_GB2312"/>
          <w:color w:val="000000"/>
          <w:sz w:val="32"/>
          <w:szCs w:val="32"/>
        </w:rPr>
        <w:t>利用自动售货机</w:t>
      </w:r>
      <w:r>
        <w:rPr>
          <w:rFonts w:hint="eastAsia" w:ascii="仿宋_GB2312" w:hAnsi="宋体" w:eastAsia="仿宋_GB2312" w:cs="宋体"/>
          <w:color w:val="000000"/>
          <w:kern w:val="0"/>
          <w:sz w:val="32"/>
          <w:szCs w:val="32"/>
          <w:highlight w:val="none"/>
          <w:lang w:val="en-US" w:eastAsia="zh-CN"/>
        </w:rPr>
        <w:t>”；</w:t>
      </w:r>
    </w:p>
    <w:p w14:paraId="617CBF8C">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删除第十二项“</w:t>
      </w:r>
      <w:r>
        <w:rPr>
          <w:rFonts w:hint="eastAsia" w:ascii="仿宋_GB2312" w:hAnsi="仿宋_GB2312" w:eastAsia="仿宋_GB2312" w:cs="仿宋_GB2312"/>
          <w:color w:val="000000"/>
          <w:sz w:val="32"/>
          <w:szCs w:val="32"/>
        </w:rPr>
        <w:t>政府明文规定的党政机关院内及其他禁止经营烟草制品的区域</w:t>
      </w:r>
      <w:r>
        <w:rPr>
          <w:rFonts w:hint="eastAsia" w:ascii="仿宋_GB2312" w:hAnsi="宋体" w:eastAsia="仿宋_GB2312" w:cs="宋体"/>
          <w:color w:val="000000"/>
          <w:kern w:val="0"/>
          <w:sz w:val="32"/>
          <w:szCs w:val="32"/>
          <w:highlight w:val="none"/>
          <w:lang w:val="en-US" w:eastAsia="zh-CN"/>
        </w:rPr>
        <w:t>”；</w:t>
      </w:r>
    </w:p>
    <w:p w14:paraId="6CF05B0C">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删除第十三项“</w:t>
      </w:r>
      <w:r>
        <w:rPr>
          <w:rFonts w:hint="eastAsia" w:ascii="仿宋_GB2312" w:hAnsi="仿宋_GB2312" w:eastAsia="仿宋_GB2312" w:cs="仿宋_GB2312"/>
          <w:color w:val="000000"/>
          <w:sz w:val="32"/>
          <w:szCs w:val="32"/>
          <w:highlight w:val="none"/>
        </w:rPr>
        <w:t>集贸市场、综合型商品交易市场以及其他市场等，在批发区域内的</w:t>
      </w:r>
      <w:r>
        <w:rPr>
          <w:rFonts w:hint="eastAsia" w:ascii="仿宋_GB2312" w:hAnsi="宋体" w:eastAsia="仿宋_GB2312" w:cs="宋体"/>
          <w:color w:val="000000"/>
          <w:kern w:val="0"/>
          <w:sz w:val="32"/>
          <w:szCs w:val="32"/>
          <w:highlight w:val="none"/>
          <w:lang w:val="en-US" w:eastAsia="zh-CN"/>
        </w:rPr>
        <w:t>”；</w:t>
      </w:r>
    </w:p>
    <w:p w14:paraId="74E0B7BB">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第十四项之后项号依次修改。</w:t>
      </w:r>
    </w:p>
    <w:p w14:paraId="533DE989">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5.第六条：</w:t>
      </w:r>
    </w:p>
    <w:p w14:paraId="6075EA2D">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第一项将“</w:t>
      </w:r>
      <w:r>
        <w:rPr>
          <w:rFonts w:hint="eastAsia" w:ascii="仿宋_GB2312" w:hAnsi="仿宋_GB2312" w:eastAsia="仿宋_GB2312" w:cs="仿宋_GB2312"/>
          <w:color w:val="000000"/>
          <w:sz w:val="32"/>
          <w:szCs w:val="32"/>
        </w:rPr>
        <w:t>与最近零售点间距应达到100米以上</w:t>
      </w:r>
      <w:r>
        <w:rPr>
          <w:rFonts w:hint="eastAsia" w:ascii="仿宋_GB2312" w:hAnsi="宋体" w:eastAsia="仿宋_GB2312" w:cs="宋体"/>
          <w:color w:val="000000"/>
          <w:kern w:val="0"/>
          <w:sz w:val="32"/>
          <w:szCs w:val="32"/>
          <w:highlight w:val="none"/>
          <w:lang w:val="en-US" w:eastAsia="zh-CN"/>
        </w:rPr>
        <w:t>”修改为“</w:t>
      </w:r>
      <w:r>
        <w:rPr>
          <w:rFonts w:hint="eastAsia" w:ascii="仿宋_GB2312" w:hAnsi="仿宋_GB2312" w:eastAsia="仿宋_GB2312" w:cs="仿宋_GB2312"/>
          <w:color w:val="000000"/>
          <w:sz w:val="32"/>
          <w:szCs w:val="32"/>
          <w:highlight w:val="none"/>
        </w:rPr>
        <w:t>与最近零售点间距应达到</w:t>
      </w:r>
      <w:r>
        <w:rPr>
          <w:rFonts w:hint="eastAsia" w:ascii="仿宋_GB2312" w:hAnsi="仿宋_GB2312" w:eastAsia="仿宋_GB2312" w:cs="仿宋_GB2312"/>
          <w:color w:val="000000"/>
          <w:sz w:val="32"/>
          <w:szCs w:val="32"/>
          <w:highlight w:val="none"/>
          <w:lang w:val="en-US" w:eastAsia="zh-CN"/>
        </w:rPr>
        <w:t>80</w:t>
      </w:r>
      <w:r>
        <w:rPr>
          <w:rFonts w:hint="eastAsia" w:ascii="仿宋_GB2312" w:hAnsi="仿宋_GB2312" w:eastAsia="仿宋_GB2312" w:cs="仿宋_GB2312"/>
          <w:color w:val="000000"/>
          <w:sz w:val="32"/>
          <w:szCs w:val="32"/>
          <w:highlight w:val="none"/>
        </w:rPr>
        <w:t>米以上</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其他类业态，</w:t>
      </w:r>
      <w:r>
        <w:rPr>
          <w:rFonts w:hint="eastAsia" w:ascii="仿宋_GB2312" w:hAnsi="仿宋_GB2312" w:eastAsia="仿宋_GB2312" w:cs="仿宋_GB2312"/>
          <w:color w:val="000000"/>
          <w:sz w:val="32"/>
          <w:szCs w:val="32"/>
          <w:highlight w:val="none"/>
        </w:rPr>
        <w:t>与最近零售点间距应达到300米以上</w:t>
      </w:r>
      <w:r>
        <w:rPr>
          <w:rFonts w:hint="eastAsia" w:ascii="仿宋_GB2312" w:hAnsi="宋体" w:eastAsia="仿宋_GB2312" w:cs="宋体"/>
          <w:color w:val="000000"/>
          <w:kern w:val="0"/>
          <w:sz w:val="32"/>
          <w:szCs w:val="32"/>
          <w:highlight w:val="none"/>
          <w:lang w:val="en-US" w:eastAsia="zh-CN"/>
        </w:rPr>
        <w:t>”；</w:t>
      </w:r>
    </w:p>
    <w:p w14:paraId="5267CF83">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default"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删除第二项。</w:t>
      </w:r>
    </w:p>
    <w:p w14:paraId="3A6277A6">
      <w:pPr>
        <w:snapToGrid w:val="0"/>
        <w:spacing w:line="540" w:lineRule="exact"/>
        <w:ind w:firstLine="640" w:firstLineChars="200"/>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6.第七条：</w:t>
      </w:r>
    </w:p>
    <w:p w14:paraId="6EFBEA3F">
      <w:pPr>
        <w:snapToGrid w:val="0"/>
        <w:spacing w:line="540" w:lineRule="exact"/>
        <w:ind w:firstLine="640" w:firstLineChars="200"/>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第一项将“</w:t>
      </w:r>
      <w:r>
        <w:rPr>
          <w:rFonts w:hint="eastAsia" w:ascii="仿宋_GB2312" w:hAnsi="仿宋_GB2312" w:eastAsia="仿宋_GB2312" w:cs="仿宋_GB2312"/>
          <w:color w:val="000000"/>
          <w:sz w:val="32"/>
          <w:szCs w:val="32"/>
          <w:highlight w:val="none"/>
        </w:rPr>
        <w:t>可设2个零售点，每层楼只设1个零售点</w:t>
      </w:r>
      <w:r>
        <w:rPr>
          <w:rFonts w:hint="eastAsia" w:ascii="仿宋_GB2312" w:hAnsi="宋体" w:eastAsia="仿宋_GB2312" w:cs="宋体"/>
          <w:color w:val="000000"/>
          <w:kern w:val="0"/>
          <w:sz w:val="32"/>
          <w:szCs w:val="32"/>
          <w:highlight w:val="none"/>
          <w:lang w:val="en-US" w:eastAsia="zh-CN"/>
        </w:rPr>
        <w:t>”修改为“</w:t>
      </w:r>
      <w:r>
        <w:rPr>
          <w:rFonts w:hint="eastAsia" w:ascii="仿宋_GB2312" w:hAnsi="仿宋_GB2312" w:eastAsia="仿宋_GB2312" w:cs="仿宋_GB2312"/>
          <w:color w:val="000000"/>
          <w:sz w:val="32"/>
          <w:szCs w:val="32"/>
          <w:highlight w:val="none"/>
        </w:rPr>
        <w:t>以经营烟酒及预包装食品为主业的</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可设置2个零售点，</w:t>
      </w:r>
      <w:r>
        <w:rPr>
          <w:rFonts w:hint="eastAsia" w:ascii="仿宋_GB2312" w:hAnsi="仿宋_GB2312" w:eastAsia="仿宋_GB2312" w:cs="仿宋_GB2312"/>
          <w:color w:val="000000"/>
          <w:sz w:val="32"/>
          <w:szCs w:val="32"/>
          <w:highlight w:val="none"/>
          <w:lang w:val="en-US" w:eastAsia="zh-CN"/>
        </w:rPr>
        <w:t>且不在同一楼层</w:t>
      </w:r>
      <w:r>
        <w:rPr>
          <w:rFonts w:hint="eastAsia" w:ascii="仿宋_GB2312" w:hAnsi="宋体" w:eastAsia="仿宋_GB2312" w:cs="宋体"/>
          <w:color w:val="000000"/>
          <w:kern w:val="0"/>
          <w:sz w:val="32"/>
          <w:szCs w:val="32"/>
          <w:highlight w:val="none"/>
          <w:lang w:val="en-US" w:eastAsia="zh-CN"/>
        </w:rPr>
        <w:t>”；</w:t>
      </w:r>
    </w:p>
    <w:p w14:paraId="01C7B2D9">
      <w:pPr>
        <w:snapToGrid w:val="0"/>
        <w:spacing w:line="540" w:lineRule="exact"/>
        <w:ind w:firstLine="640" w:firstLineChars="200"/>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第二项将“</w:t>
      </w:r>
      <w:r>
        <w:rPr>
          <w:rFonts w:hint="eastAsia" w:ascii="仿宋_GB2312" w:hAnsi="仿宋_GB2312" w:eastAsia="仿宋_GB2312" w:cs="仿宋_GB2312"/>
          <w:color w:val="000000"/>
          <w:sz w:val="32"/>
          <w:szCs w:val="32"/>
          <w:highlight w:val="none"/>
        </w:rPr>
        <w:t>每栋楼可设置1个零售点</w:t>
      </w:r>
      <w:r>
        <w:rPr>
          <w:rFonts w:hint="eastAsia" w:ascii="仿宋_GB2312" w:hAnsi="宋体" w:eastAsia="仿宋_GB2312" w:cs="宋体"/>
          <w:color w:val="000000"/>
          <w:kern w:val="0"/>
          <w:sz w:val="32"/>
          <w:szCs w:val="32"/>
          <w:highlight w:val="none"/>
          <w:lang w:val="en-US" w:eastAsia="zh-CN"/>
        </w:rPr>
        <w:t>”修改为“</w:t>
      </w:r>
      <w:r>
        <w:rPr>
          <w:rFonts w:hint="eastAsia" w:ascii="仿宋_GB2312" w:hAnsi="仿宋_GB2312" w:eastAsia="仿宋_GB2312" w:cs="仿宋_GB2312"/>
          <w:color w:val="000000"/>
          <w:sz w:val="32"/>
          <w:szCs w:val="32"/>
          <w:highlight w:val="none"/>
        </w:rPr>
        <w:t>以经营烟酒及预包装食品为主业的</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每栋楼可设置1个零售点</w:t>
      </w:r>
      <w:r>
        <w:rPr>
          <w:rFonts w:hint="eastAsia" w:ascii="仿宋_GB2312" w:hAnsi="宋体" w:eastAsia="仿宋_GB2312" w:cs="宋体"/>
          <w:color w:val="000000"/>
          <w:kern w:val="0"/>
          <w:sz w:val="32"/>
          <w:szCs w:val="32"/>
          <w:highlight w:val="none"/>
          <w:lang w:val="en-US" w:eastAsia="zh-CN"/>
        </w:rPr>
        <w:t>”；</w:t>
      </w:r>
    </w:p>
    <w:p w14:paraId="746ED348">
      <w:pPr>
        <w:snapToGrid w:val="0"/>
        <w:spacing w:line="540" w:lineRule="exact"/>
        <w:ind w:firstLine="640" w:firstLineChars="200"/>
        <w:rPr>
          <w:rFonts w:hint="eastAsia" w:ascii="仿宋_GB2312" w:hAnsi="宋体" w:eastAsia="仿宋_GB2312" w:cs="宋体"/>
          <w:color w:val="000000"/>
          <w:kern w:val="0"/>
          <w:sz w:val="32"/>
          <w:szCs w:val="32"/>
          <w:highlight w:val="yellow"/>
          <w:lang w:val="en-US" w:eastAsia="zh-CN"/>
        </w:rPr>
      </w:pPr>
      <w:r>
        <w:rPr>
          <w:rFonts w:hint="eastAsia" w:ascii="仿宋_GB2312" w:hAnsi="宋体" w:eastAsia="仿宋_GB2312" w:cs="宋体"/>
          <w:color w:val="000000"/>
          <w:kern w:val="0"/>
          <w:sz w:val="32"/>
          <w:szCs w:val="32"/>
          <w:highlight w:val="none"/>
          <w:lang w:val="en-US" w:eastAsia="zh-CN"/>
        </w:rPr>
        <w:t>新增第四项“</w:t>
      </w:r>
      <w:r>
        <w:rPr>
          <w:rFonts w:hint="eastAsia" w:ascii="仿宋_GB2312" w:hAnsi="仿宋_GB2312" w:eastAsia="仿宋_GB2312" w:cs="仿宋_GB2312"/>
          <w:color w:val="000000"/>
          <w:sz w:val="32"/>
          <w:szCs w:val="32"/>
          <w:highlight w:val="none"/>
          <w:lang w:val="en-US" w:eastAsia="zh-CN"/>
        </w:rPr>
        <w:t>（四）加油站公共区域内，可设1个零售点</w:t>
      </w:r>
      <w:r>
        <w:rPr>
          <w:rFonts w:hint="eastAsia" w:ascii="仿宋_GB2312" w:hAnsi="宋体" w:eastAsia="仿宋_GB2312" w:cs="宋体"/>
          <w:color w:val="000000"/>
          <w:kern w:val="0"/>
          <w:sz w:val="32"/>
          <w:szCs w:val="32"/>
          <w:highlight w:val="none"/>
          <w:lang w:val="en-US" w:eastAsia="zh-CN"/>
        </w:rPr>
        <w:t>”。</w:t>
      </w:r>
    </w:p>
    <w:p w14:paraId="42B83ED6">
      <w:pPr>
        <w:snapToGrid w:val="0"/>
        <w:spacing w:line="540" w:lineRule="exact"/>
        <w:ind w:firstLine="640" w:firstLineChars="200"/>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7.第八条：</w:t>
      </w:r>
    </w:p>
    <w:p w14:paraId="6C263E35">
      <w:pPr>
        <w:snapToGrid w:val="0"/>
        <w:spacing w:line="540" w:lineRule="exact"/>
        <w:ind w:firstLine="640" w:firstLineChars="200"/>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第一项将“</w:t>
      </w:r>
      <w:r>
        <w:rPr>
          <w:rFonts w:hint="eastAsia" w:ascii="仿宋_GB2312" w:hAnsi="仿宋_GB2312" w:eastAsia="仿宋_GB2312" w:cs="仿宋_GB2312"/>
          <w:color w:val="000000"/>
          <w:sz w:val="32"/>
          <w:szCs w:val="32"/>
          <w:highlight w:val="none"/>
        </w:rPr>
        <w:t>封闭式居民小区（相对独立，设有门岗、院墙或其他隔离障碍）内部，位于一层临街且面向外部经营的商铺，零售点总数最多不超过3个，且与最近零售点间距应达到100米以上</w:t>
      </w:r>
      <w:r>
        <w:rPr>
          <w:rFonts w:hint="eastAsia" w:ascii="仿宋_GB2312" w:hAnsi="宋体" w:eastAsia="仿宋_GB2312" w:cs="宋体"/>
          <w:color w:val="000000"/>
          <w:kern w:val="0"/>
          <w:sz w:val="32"/>
          <w:szCs w:val="32"/>
          <w:highlight w:val="none"/>
          <w:lang w:val="en-US" w:eastAsia="zh-CN"/>
        </w:rPr>
        <w:t>”修改为“</w:t>
      </w:r>
      <w:r>
        <w:rPr>
          <w:rFonts w:hint="eastAsia" w:ascii="仿宋_GB2312" w:hAnsi="仿宋_GB2312" w:eastAsia="仿宋_GB2312" w:cs="仿宋_GB2312"/>
          <w:color w:val="000000"/>
          <w:sz w:val="32"/>
          <w:szCs w:val="32"/>
          <w:highlight w:val="none"/>
        </w:rPr>
        <w:t>封闭式居民小区（相对独立，设有门岗、院墙或其他隔离障碍）</w:t>
      </w:r>
      <w:r>
        <w:rPr>
          <w:rFonts w:hint="eastAsia" w:ascii="仿宋_GB2312" w:hAnsi="仿宋_GB2312" w:eastAsia="仿宋_GB2312" w:cs="仿宋_GB2312"/>
          <w:color w:val="000000"/>
          <w:sz w:val="32"/>
          <w:szCs w:val="32"/>
          <w:highlight w:val="none"/>
          <w:lang w:val="en-US" w:eastAsia="zh-CN"/>
        </w:rPr>
        <w:t>，在其</w:t>
      </w:r>
      <w:r>
        <w:rPr>
          <w:rFonts w:hint="eastAsia" w:ascii="仿宋_GB2312" w:hAnsi="仿宋_GB2312" w:eastAsia="仿宋_GB2312" w:cs="仿宋_GB2312"/>
          <w:color w:val="000000"/>
          <w:sz w:val="32"/>
          <w:szCs w:val="32"/>
          <w:highlight w:val="none"/>
        </w:rPr>
        <w:t>内部位于一层临街且面向外部经营的商铺，零售点总数最多不超过3个</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以经营烟酒及预包装食品为主业的，与最近零售点间距应达到</w:t>
      </w:r>
      <w:r>
        <w:rPr>
          <w:rFonts w:hint="eastAsia" w:ascii="仿宋_GB2312" w:hAnsi="仿宋_GB2312" w:eastAsia="仿宋_GB2312" w:cs="仿宋_GB2312"/>
          <w:color w:val="000000"/>
          <w:sz w:val="32"/>
          <w:szCs w:val="32"/>
          <w:highlight w:val="none"/>
          <w:lang w:val="en-US" w:eastAsia="zh-CN"/>
        </w:rPr>
        <w:t>80</w:t>
      </w:r>
      <w:r>
        <w:rPr>
          <w:rFonts w:hint="eastAsia" w:ascii="仿宋_GB2312" w:hAnsi="仿宋_GB2312" w:eastAsia="仿宋_GB2312" w:cs="仿宋_GB2312"/>
          <w:color w:val="000000"/>
          <w:sz w:val="32"/>
          <w:szCs w:val="32"/>
          <w:highlight w:val="none"/>
        </w:rPr>
        <w:t>米以上</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其他类业态，</w:t>
      </w:r>
      <w:r>
        <w:rPr>
          <w:rFonts w:hint="eastAsia" w:ascii="仿宋_GB2312" w:hAnsi="仿宋_GB2312" w:eastAsia="仿宋_GB2312" w:cs="仿宋_GB2312"/>
          <w:color w:val="000000"/>
          <w:sz w:val="32"/>
          <w:szCs w:val="32"/>
          <w:highlight w:val="none"/>
        </w:rPr>
        <w:t>与最近零售点间距应达到300米以上</w:t>
      </w:r>
      <w:r>
        <w:rPr>
          <w:rFonts w:hint="eastAsia" w:ascii="仿宋_GB2312" w:hAnsi="宋体" w:eastAsia="仿宋_GB2312" w:cs="宋体"/>
          <w:color w:val="000000"/>
          <w:kern w:val="0"/>
          <w:sz w:val="32"/>
          <w:szCs w:val="32"/>
          <w:highlight w:val="none"/>
          <w:lang w:val="en-US" w:eastAsia="zh-CN"/>
        </w:rPr>
        <w:t>”；</w:t>
      </w:r>
      <w:bookmarkStart w:id="0" w:name="_GoBack"/>
      <w:bookmarkEnd w:id="0"/>
    </w:p>
    <w:p w14:paraId="3F1DF055">
      <w:pPr>
        <w:snapToGrid w:val="0"/>
        <w:spacing w:line="540" w:lineRule="exact"/>
        <w:ind w:firstLine="640" w:firstLineChars="200"/>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第二项修改为第七项，第三项之后项号依次修改，将“</w:t>
      </w:r>
      <w:r>
        <w:rPr>
          <w:rFonts w:hint="eastAsia" w:ascii="仿宋_GB2312" w:hAnsi="仿宋_GB2312" w:eastAsia="仿宋_GB2312" w:cs="仿宋_GB2312"/>
          <w:color w:val="000000"/>
          <w:sz w:val="32"/>
          <w:szCs w:val="32"/>
          <w:highlight w:val="none"/>
        </w:rPr>
        <w:t>且与最近零售点间距应达到150米以上。户籍数量不足200户的，可设置1个零售点</w:t>
      </w:r>
      <w:r>
        <w:rPr>
          <w:rFonts w:hint="eastAsia" w:ascii="仿宋_GB2312" w:hAnsi="宋体" w:eastAsia="仿宋_GB2312" w:cs="宋体"/>
          <w:color w:val="000000"/>
          <w:kern w:val="0"/>
          <w:sz w:val="32"/>
          <w:szCs w:val="32"/>
          <w:highlight w:val="none"/>
          <w:lang w:val="en-US" w:eastAsia="zh-CN"/>
        </w:rPr>
        <w:t>”修改为“</w:t>
      </w:r>
      <w:r>
        <w:rPr>
          <w:rFonts w:hint="eastAsia" w:ascii="仿宋_GB2312" w:hAnsi="仿宋_GB2312" w:eastAsia="仿宋_GB2312" w:cs="仿宋_GB2312"/>
          <w:color w:val="000000"/>
          <w:sz w:val="32"/>
          <w:szCs w:val="32"/>
          <w:highlight w:val="none"/>
        </w:rPr>
        <w:t>户籍数量不足200户的，可设置1个零售点</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以经营烟酒及预包装食品为主业的，与最近零售点间距应达到</w:t>
      </w:r>
      <w:r>
        <w:rPr>
          <w:rFonts w:hint="eastAsia" w:ascii="仿宋_GB2312" w:hAnsi="仿宋_GB2312" w:eastAsia="仿宋_GB2312" w:cs="仿宋_GB2312"/>
          <w:color w:val="000000"/>
          <w:sz w:val="32"/>
          <w:szCs w:val="32"/>
          <w:highlight w:val="none"/>
          <w:lang w:val="en-US" w:eastAsia="zh-CN"/>
        </w:rPr>
        <w:t>150</w:t>
      </w:r>
      <w:r>
        <w:rPr>
          <w:rFonts w:hint="eastAsia" w:ascii="仿宋_GB2312" w:hAnsi="仿宋_GB2312" w:eastAsia="仿宋_GB2312" w:cs="仿宋_GB2312"/>
          <w:color w:val="000000"/>
          <w:sz w:val="32"/>
          <w:szCs w:val="32"/>
          <w:highlight w:val="none"/>
        </w:rPr>
        <w:t>米以上</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其他类业态，</w:t>
      </w:r>
      <w:r>
        <w:rPr>
          <w:rFonts w:hint="eastAsia" w:ascii="仿宋_GB2312" w:hAnsi="仿宋_GB2312" w:eastAsia="仿宋_GB2312" w:cs="仿宋_GB2312"/>
          <w:color w:val="000000"/>
          <w:sz w:val="32"/>
          <w:szCs w:val="32"/>
          <w:highlight w:val="none"/>
        </w:rPr>
        <w:t>与最近零售点间距应达到300米以上</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本款与第八条其他各项在数量上独立执行</w:t>
      </w:r>
      <w:r>
        <w:rPr>
          <w:rFonts w:hint="eastAsia" w:ascii="仿宋_GB2312" w:hAnsi="宋体" w:eastAsia="仿宋_GB2312" w:cs="宋体"/>
          <w:color w:val="000000"/>
          <w:kern w:val="0"/>
          <w:sz w:val="32"/>
          <w:szCs w:val="32"/>
          <w:highlight w:val="none"/>
          <w:lang w:val="en-US" w:eastAsia="zh-CN"/>
        </w:rPr>
        <w:t>”；</w:t>
      </w:r>
    </w:p>
    <w:p w14:paraId="06EBA09A">
      <w:pPr>
        <w:snapToGrid w:val="0"/>
        <w:spacing w:line="540" w:lineRule="exact"/>
        <w:ind w:firstLine="640" w:firstLineChars="200"/>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第三项将“</w:t>
      </w:r>
      <w:r>
        <w:rPr>
          <w:rFonts w:hint="eastAsia" w:ascii="仿宋_GB2312" w:hAnsi="仿宋_GB2312" w:eastAsia="仿宋_GB2312" w:cs="仿宋_GB2312"/>
          <w:color w:val="000000"/>
          <w:sz w:val="32"/>
          <w:szCs w:val="32"/>
          <w:highlight w:val="none"/>
        </w:rPr>
        <w:t>且与最近零售点间距应达到100米以上</w:t>
      </w:r>
      <w:r>
        <w:rPr>
          <w:rFonts w:hint="eastAsia" w:ascii="仿宋_GB2312" w:hAnsi="宋体" w:eastAsia="仿宋_GB2312" w:cs="宋体"/>
          <w:color w:val="000000"/>
          <w:kern w:val="0"/>
          <w:sz w:val="32"/>
          <w:szCs w:val="32"/>
          <w:highlight w:val="none"/>
          <w:lang w:val="en-US" w:eastAsia="zh-CN"/>
        </w:rPr>
        <w:t>”修改为“</w:t>
      </w:r>
      <w:r>
        <w:rPr>
          <w:rFonts w:hint="eastAsia" w:ascii="仿宋_GB2312" w:hAnsi="仿宋_GB2312" w:eastAsia="仿宋_GB2312" w:cs="仿宋_GB2312"/>
          <w:color w:val="000000"/>
          <w:sz w:val="32"/>
          <w:szCs w:val="32"/>
          <w:highlight w:val="none"/>
        </w:rPr>
        <w:t>以经营烟酒及预包装食品为主业的，与最近零售点间距应达到</w:t>
      </w:r>
      <w:r>
        <w:rPr>
          <w:rFonts w:hint="eastAsia" w:ascii="仿宋_GB2312" w:hAnsi="仿宋_GB2312" w:eastAsia="仿宋_GB2312" w:cs="仿宋_GB2312"/>
          <w:color w:val="000000"/>
          <w:sz w:val="32"/>
          <w:szCs w:val="32"/>
          <w:highlight w:val="none"/>
          <w:lang w:val="en-US" w:eastAsia="zh-CN"/>
        </w:rPr>
        <w:t>150</w:t>
      </w:r>
      <w:r>
        <w:rPr>
          <w:rFonts w:hint="eastAsia" w:ascii="仿宋_GB2312" w:hAnsi="仿宋_GB2312" w:eastAsia="仿宋_GB2312" w:cs="仿宋_GB2312"/>
          <w:color w:val="000000"/>
          <w:sz w:val="32"/>
          <w:szCs w:val="32"/>
          <w:highlight w:val="none"/>
        </w:rPr>
        <w:t>米以上</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其他类业态，</w:t>
      </w:r>
      <w:r>
        <w:rPr>
          <w:rFonts w:hint="eastAsia" w:ascii="仿宋_GB2312" w:hAnsi="仿宋_GB2312" w:eastAsia="仿宋_GB2312" w:cs="仿宋_GB2312"/>
          <w:color w:val="000000"/>
          <w:sz w:val="32"/>
          <w:szCs w:val="32"/>
          <w:highlight w:val="none"/>
        </w:rPr>
        <w:t>与最近零售点间距应达到300米以上</w:t>
      </w:r>
      <w:r>
        <w:rPr>
          <w:rFonts w:hint="eastAsia" w:ascii="仿宋_GB2312" w:hAnsi="宋体" w:eastAsia="仿宋_GB2312" w:cs="宋体"/>
          <w:color w:val="000000"/>
          <w:kern w:val="0"/>
          <w:sz w:val="32"/>
          <w:szCs w:val="32"/>
          <w:highlight w:val="none"/>
          <w:lang w:val="en-US" w:eastAsia="zh-CN"/>
        </w:rPr>
        <w:t>”；</w:t>
      </w:r>
    </w:p>
    <w:p w14:paraId="12511E50">
      <w:pPr>
        <w:snapToGrid w:val="0"/>
        <w:spacing w:line="540" w:lineRule="exact"/>
        <w:ind w:firstLine="640" w:firstLineChars="200"/>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第四项将“</w:t>
      </w:r>
      <w:r>
        <w:rPr>
          <w:rFonts w:hint="eastAsia" w:ascii="仿宋_GB2312" w:hAnsi="仿宋_GB2312" w:eastAsia="仿宋_GB2312" w:cs="仿宋_GB2312"/>
          <w:color w:val="000000"/>
          <w:sz w:val="32"/>
          <w:szCs w:val="32"/>
          <w:highlight w:val="none"/>
        </w:rPr>
        <w:t>火车站、高铁站、</w:t>
      </w:r>
      <w:r>
        <w:rPr>
          <w:rFonts w:hint="eastAsia" w:ascii="仿宋_GB2312" w:hAnsi="宋体" w:eastAsia="仿宋_GB2312" w:cs="宋体"/>
          <w:color w:val="000000"/>
          <w:kern w:val="0"/>
          <w:sz w:val="32"/>
          <w:szCs w:val="32"/>
          <w:highlight w:val="none"/>
          <w:lang w:val="en-US" w:eastAsia="zh-CN"/>
        </w:rPr>
        <w:t>”修改为“火车站（含高铁站）”，将“</w:t>
      </w:r>
      <w:r>
        <w:rPr>
          <w:rFonts w:hint="eastAsia" w:ascii="仿宋_GB2312" w:hAnsi="仿宋_GB2312" w:eastAsia="仿宋_GB2312" w:cs="仿宋_GB2312"/>
          <w:color w:val="000000"/>
          <w:sz w:val="32"/>
          <w:szCs w:val="32"/>
          <w:highlight w:val="none"/>
        </w:rPr>
        <w:t>高速公路服务区</w:t>
      </w:r>
      <w:r>
        <w:rPr>
          <w:rFonts w:hint="eastAsia" w:ascii="仿宋_GB2312" w:hAnsi="宋体" w:eastAsia="仿宋_GB2312" w:cs="宋体"/>
          <w:color w:val="000000"/>
          <w:kern w:val="0"/>
          <w:sz w:val="32"/>
          <w:szCs w:val="32"/>
          <w:highlight w:val="none"/>
          <w:lang w:val="en-US" w:eastAsia="zh-CN"/>
        </w:rPr>
        <w:t>”修改为“</w:t>
      </w:r>
      <w:r>
        <w:rPr>
          <w:rFonts w:hint="eastAsia" w:ascii="仿宋_GB2312" w:hAnsi="仿宋_GB2312" w:eastAsia="仿宋_GB2312" w:cs="仿宋_GB2312"/>
          <w:color w:val="000000"/>
          <w:sz w:val="32"/>
          <w:szCs w:val="32"/>
          <w:highlight w:val="none"/>
        </w:rPr>
        <w:t>高速公路服务区</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含加油站区域</w:t>
      </w:r>
      <w:r>
        <w:rPr>
          <w:rFonts w:hint="eastAsia" w:ascii="仿宋_GB2312" w:hAnsi="仿宋_GB2312" w:eastAsia="仿宋_GB2312" w:cs="仿宋_GB2312"/>
          <w:color w:val="000000"/>
          <w:sz w:val="32"/>
          <w:szCs w:val="32"/>
          <w:highlight w:val="none"/>
          <w:lang w:eastAsia="zh-CN"/>
        </w:rPr>
        <w:t>）</w:t>
      </w:r>
      <w:r>
        <w:rPr>
          <w:rFonts w:hint="eastAsia" w:ascii="仿宋_GB2312" w:hAnsi="宋体" w:eastAsia="仿宋_GB2312" w:cs="宋体"/>
          <w:color w:val="000000"/>
          <w:kern w:val="0"/>
          <w:sz w:val="32"/>
          <w:szCs w:val="32"/>
          <w:highlight w:val="none"/>
          <w:lang w:val="en-US" w:eastAsia="zh-CN"/>
        </w:rPr>
        <w:t>”，将“</w:t>
      </w:r>
      <w:r>
        <w:rPr>
          <w:rFonts w:hint="eastAsia" w:ascii="仿宋_GB2312" w:hAnsi="仿宋_GB2312" w:eastAsia="仿宋_GB2312" w:cs="仿宋_GB2312"/>
          <w:color w:val="000000"/>
          <w:sz w:val="32"/>
          <w:szCs w:val="32"/>
          <w:highlight w:val="none"/>
        </w:rPr>
        <w:t>且与最近零售点间距应达到100米以上</w:t>
      </w:r>
      <w:r>
        <w:rPr>
          <w:rFonts w:hint="eastAsia" w:ascii="仿宋_GB2312" w:hAnsi="宋体" w:eastAsia="仿宋_GB2312" w:cs="宋体"/>
          <w:color w:val="000000"/>
          <w:kern w:val="0"/>
          <w:sz w:val="32"/>
          <w:szCs w:val="32"/>
          <w:highlight w:val="none"/>
          <w:lang w:val="en-US" w:eastAsia="zh-CN"/>
        </w:rPr>
        <w:t>”修改为“</w:t>
      </w:r>
      <w:r>
        <w:rPr>
          <w:rFonts w:hint="eastAsia" w:ascii="仿宋_GB2312" w:hAnsi="仿宋_GB2312" w:eastAsia="仿宋_GB2312" w:cs="仿宋_GB2312"/>
          <w:color w:val="000000"/>
          <w:sz w:val="32"/>
          <w:szCs w:val="32"/>
          <w:highlight w:val="none"/>
        </w:rPr>
        <w:t>与最近零售点间距应达到</w:t>
      </w:r>
      <w:r>
        <w:rPr>
          <w:rFonts w:hint="eastAsia" w:ascii="仿宋_GB2312" w:hAnsi="仿宋_GB2312" w:eastAsia="仿宋_GB2312" w:cs="仿宋_GB2312"/>
          <w:color w:val="000000"/>
          <w:sz w:val="32"/>
          <w:szCs w:val="32"/>
          <w:highlight w:val="none"/>
          <w:lang w:val="en-US" w:eastAsia="zh-CN"/>
        </w:rPr>
        <w:t>150</w:t>
      </w:r>
      <w:r>
        <w:rPr>
          <w:rFonts w:hint="eastAsia" w:ascii="仿宋_GB2312" w:hAnsi="仿宋_GB2312" w:eastAsia="仿宋_GB2312" w:cs="仿宋_GB2312"/>
          <w:color w:val="000000"/>
          <w:sz w:val="32"/>
          <w:szCs w:val="32"/>
          <w:highlight w:val="none"/>
        </w:rPr>
        <w:t>米以上</w:t>
      </w:r>
      <w:r>
        <w:rPr>
          <w:rFonts w:hint="eastAsia" w:ascii="仿宋_GB2312" w:hAnsi="宋体" w:eastAsia="仿宋_GB2312" w:cs="宋体"/>
          <w:color w:val="000000"/>
          <w:kern w:val="0"/>
          <w:sz w:val="32"/>
          <w:szCs w:val="32"/>
          <w:highlight w:val="none"/>
          <w:lang w:val="en-US" w:eastAsia="zh-CN"/>
        </w:rPr>
        <w:t>”；</w:t>
      </w:r>
    </w:p>
    <w:p w14:paraId="62AE2A2E">
      <w:pPr>
        <w:snapToGrid w:val="0"/>
        <w:spacing w:line="540" w:lineRule="exact"/>
        <w:ind w:firstLine="640" w:firstLineChars="200"/>
        <w:rPr>
          <w:rFonts w:hint="default"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第六项将“</w:t>
      </w:r>
      <w:r>
        <w:rPr>
          <w:rFonts w:hint="eastAsia" w:ascii="仿宋_GB2312" w:hAnsi="仿宋_GB2312" w:eastAsia="仿宋_GB2312" w:cs="仿宋_GB2312"/>
          <w:color w:val="000000"/>
          <w:sz w:val="32"/>
          <w:szCs w:val="32"/>
        </w:rPr>
        <w:t>高新技术产业园区、文化艺术园区等相对封闭的场所，可设2个零售点，且与最近零售点间距应达到300米以上</w:t>
      </w:r>
      <w:r>
        <w:rPr>
          <w:rFonts w:hint="eastAsia" w:ascii="仿宋_GB2312" w:hAnsi="宋体" w:eastAsia="仿宋_GB2312" w:cs="宋体"/>
          <w:color w:val="000000"/>
          <w:kern w:val="0"/>
          <w:sz w:val="32"/>
          <w:szCs w:val="32"/>
          <w:highlight w:val="none"/>
          <w:lang w:val="en-US" w:eastAsia="zh-CN"/>
        </w:rPr>
        <w:t>”修改为“</w:t>
      </w:r>
      <w:r>
        <w:rPr>
          <w:rFonts w:hint="eastAsia" w:ascii="仿宋_GB2312" w:hAnsi="仿宋_GB2312" w:eastAsia="仿宋_GB2312" w:cs="仿宋_GB2312"/>
          <w:color w:val="000000"/>
          <w:sz w:val="32"/>
          <w:szCs w:val="32"/>
          <w:highlight w:val="none"/>
        </w:rPr>
        <w:t>高新技术产业园区、文化艺术园区</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会展中心</w:t>
      </w:r>
      <w:r>
        <w:rPr>
          <w:rFonts w:hint="eastAsia" w:ascii="仿宋_GB2312" w:hAnsi="仿宋_GB2312" w:eastAsia="仿宋_GB2312" w:cs="仿宋_GB2312"/>
          <w:color w:val="000000"/>
          <w:sz w:val="32"/>
          <w:szCs w:val="32"/>
          <w:highlight w:val="none"/>
        </w:rPr>
        <w:t>等相对封闭的场所</w:t>
      </w:r>
      <w:r>
        <w:rPr>
          <w:rFonts w:hint="eastAsia" w:ascii="仿宋_GB2312" w:hAnsi="仿宋_GB2312" w:eastAsia="仿宋_GB2312" w:cs="仿宋_GB2312"/>
          <w:color w:val="000000"/>
          <w:sz w:val="32"/>
          <w:szCs w:val="32"/>
          <w:highlight w:val="none"/>
          <w:lang w:val="en-US" w:eastAsia="zh-CN"/>
        </w:rPr>
        <w:t>内</w:t>
      </w:r>
      <w:r>
        <w:rPr>
          <w:rFonts w:hint="eastAsia" w:ascii="仿宋_GB2312" w:hAnsi="仿宋_GB2312" w:eastAsia="仿宋_GB2312" w:cs="仿宋_GB2312"/>
          <w:color w:val="000000"/>
          <w:sz w:val="32"/>
          <w:szCs w:val="32"/>
          <w:highlight w:val="none"/>
        </w:rPr>
        <w:t>，可设置</w:t>
      </w:r>
      <w:r>
        <w:rPr>
          <w:rFonts w:hint="eastAsia" w:ascii="仿宋_GB2312" w:hAnsi="仿宋_GB2312" w:eastAsia="仿宋_GB2312" w:cs="仿宋_GB2312"/>
          <w:color w:val="000000"/>
          <w:sz w:val="32"/>
          <w:szCs w:val="32"/>
          <w:highlight w:val="none"/>
          <w:lang w:val="en-US" w:eastAsia="zh-CN"/>
        </w:rPr>
        <w:t>3</w:t>
      </w:r>
      <w:r>
        <w:rPr>
          <w:rFonts w:hint="eastAsia" w:ascii="仿宋_GB2312" w:hAnsi="仿宋_GB2312" w:eastAsia="仿宋_GB2312" w:cs="仿宋_GB2312"/>
          <w:color w:val="000000"/>
          <w:sz w:val="32"/>
          <w:szCs w:val="32"/>
          <w:highlight w:val="none"/>
        </w:rPr>
        <w:t>个零售点，且与最近零售点间距应达到</w:t>
      </w:r>
      <w:r>
        <w:rPr>
          <w:rFonts w:hint="eastAsia" w:ascii="仿宋_GB2312" w:hAnsi="仿宋_GB2312" w:eastAsia="仿宋_GB2312" w:cs="仿宋_GB2312"/>
          <w:color w:val="000000"/>
          <w:sz w:val="32"/>
          <w:szCs w:val="32"/>
          <w:highlight w:val="none"/>
          <w:lang w:val="en-US" w:eastAsia="zh-CN"/>
        </w:rPr>
        <w:t>150</w:t>
      </w:r>
      <w:r>
        <w:rPr>
          <w:rFonts w:hint="eastAsia" w:ascii="仿宋_GB2312" w:hAnsi="仿宋_GB2312" w:eastAsia="仿宋_GB2312" w:cs="仿宋_GB2312"/>
          <w:color w:val="000000"/>
          <w:sz w:val="32"/>
          <w:szCs w:val="32"/>
          <w:highlight w:val="none"/>
        </w:rPr>
        <w:t>米以上</w:t>
      </w:r>
      <w:r>
        <w:rPr>
          <w:rFonts w:hint="eastAsia" w:ascii="仿宋_GB2312" w:hAnsi="宋体" w:eastAsia="仿宋_GB2312" w:cs="宋体"/>
          <w:color w:val="000000"/>
          <w:kern w:val="0"/>
          <w:sz w:val="32"/>
          <w:szCs w:val="32"/>
          <w:highlight w:val="none"/>
          <w:lang w:val="en-US" w:eastAsia="zh-CN"/>
        </w:rPr>
        <w:t>”；</w:t>
      </w:r>
    </w:p>
    <w:p w14:paraId="4745611D">
      <w:pPr>
        <w:snapToGrid w:val="0"/>
        <w:spacing w:line="540" w:lineRule="exact"/>
        <w:ind w:firstLine="640" w:firstLineChars="200"/>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新增第六项“</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六</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北京首都国际机场</w:t>
      </w:r>
      <w:r>
        <w:rPr>
          <w:rFonts w:hint="eastAsia" w:ascii="仿宋_GB2312" w:hAnsi="仿宋_GB2312" w:eastAsia="仿宋_GB2312" w:cs="仿宋_GB2312"/>
          <w:color w:val="000000"/>
          <w:sz w:val="32"/>
          <w:szCs w:val="32"/>
          <w:highlight w:val="none"/>
          <w:lang w:val="en-US" w:eastAsia="zh-CN"/>
        </w:rPr>
        <w:t>三号航站楼内，在公共区域内经营的，每10个摊位可设置1个零售点，每区每层</w:t>
      </w:r>
      <w:r>
        <w:rPr>
          <w:rFonts w:hint="eastAsia" w:ascii="仿宋_GB2312" w:hAnsi="仿宋_GB2312" w:eastAsia="仿宋_GB2312" w:cs="仿宋_GB2312"/>
          <w:color w:val="000000"/>
          <w:sz w:val="32"/>
          <w:szCs w:val="32"/>
          <w:highlight w:val="none"/>
        </w:rPr>
        <w:t>零售点总数最多</w:t>
      </w:r>
      <w:r>
        <w:rPr>
          <w:rFonts w:hint="eastAsia" w:ascii="仿宋_GB2312" w:hAnsi="仿宋_GB2312" w:eastAsia="仿宋_GB2312" w:cs="仿宋_GB2312"/>
          <w:color w:val="000000"/>
          <w:sz w:val="32"/>
          <w:szCs w:val="32"/>
          <w:highlight w:val="none"/>
          <w:lang w:val="en-US" w:eastAsia="zh-CN"/>
        </w:rPr>
        <w:t>不超过8个，三号航站楼</w:t>
      </w:r>
      <w:r>
        <w:rPr>
          <w:rFonts w:hint="eastAsia" w:ascii="仿宋_GB2312" w:hAnsi="仿宋_GB2312" w:eastAsia="仿宋_GB2312" w:cs="仿宋_GB2312"/>
          <w:color w:val="000000"/>
          <w:sz w:val="32"/>
          <w:szCs w:val="32"/>
          <w:highlight w:val="none"/>
        </w:rPr>
        <w:t>零售点总数最多</w:t>
      </w:r>
      <w:r>
        <w:rPr>
          <w:rFonts w:hint="eastAsia" w:ascii="仿宋_GB2312" w:hAnsi="仿宋_GB2312" w:eastAsia="仿宋_GB2312" w:cs="仿宋_GB2312"/>
          <w:color w:val="000000"/>
          <w:sz w:val="32"/>
          <w:szCs w:val="32"/>
          <w:highlight w:val="none"/>
          <w:lang w:val="en-US" w:eastAsia="zh-CN"/>
        </w:rPr>
        <w:t>不超过20个。</w:t>
      </w:r>
      <w:r>
        <w:rPr>
          <w:rFonts w:hint="eastAsia" w:ascii="仿宋_GB2312" w:hAnsi="仿宋_GB2312" w:eastAsia="仿宋_GB2312" w:cs="仿宋_GB2312"/>
          <w:color w:val="000000"/>
          <w:sz w:val="32"/>
          <w:szCs w:val="32"/>
          <w:highlight w:val="none"/>
        </w:rPr>
        <w:t>与最近零售点间距应达到</w:t>
      </w:r>
      <w:r>
        <w:rPr>
          <w:rFonts w:hint="eastAsia" w:ascii="仿宋_GB2312" w:hAnsi="仿宋_GB2312" w:eastAsia="仿宋_GB2312" w:cs="仿宋_GB2312"/>
          <w:color w:val="000000"/>
          <w:sz w:val="32"/>
          <w:szCs w:val="32"/>
          <w:highlight w:val="none"/>
          <w:lang w:val="en-US" w:eastAsia="zh-CN"/>
        </w:rPr>
        <w:t>80</w:t>
      </w:r>
      <w:r>
        <w:rPr>
          <w:rFonts w:hint="eastAsia" w:ascii="仿宋_GB2312" w:hAnsi="仿宋_GB2312" w:eastAsia="仿宋_GB2312" w:cs="仿宋_GB2312"/>
          <w:color w:val="000000"/>
          <w:sz w:val="32"/>
          <w:szCs w:val="32"/>
          <w:highlight w:val="none"/>
        </w:rPr>
        <w:t>米以上</w:t>
      </w:r>
      <w:r>
        <w:rPr>
          <w:rFonts w:hint="eastAsia" w:ascii="仿宋_GB2312" w:hAnsi="宋体" w:eastAsia="仿宋_GB2312" w:cs="宋体"/>
          <w:color w:val="000000"/>
          <w:kern w:val="0"/>
          <w:sz w:val="32"/>
          <w:szCs w:val="32"/>
          <w:highlight w:val="none"/>
          <w:lang w:val="en-US" w:eastAsia="zh-CN"/>
        </w:rPr>
        <w:t>”。</w:t>
      </w:r>
    </w:p>
    <w:p w14:paraId="4FBE1489">
      <w:pPr>
        <w:snapToGrid w:val="0"/>
        <w:spacing w:line="540" w:lineRule="exact"/>
        <w:ind w:firstLine="640" w:firstLineChars="200"/>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8.第九条：</w:t>
      </w:r>
    </w:p>
    <w:p w14:paraId="0358523C">
      <w:pPr>
        <w:snapToGrid w:val="0"/>
        <w:spacing w:line="540" w:lineRule="exact"/>
        <w:ind w:firstLine="640" w:firstLineChars="200"/>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第一项第五目新增“</w:t>
      </w:r>
      <w:r>
        <w:rPr>
          <w:rFonts w:hint="eastAsia" w:ascii="仿宋_GB2312" w:hAnsi="仿宋_GB2312" w:eastAsia="仿宋_GB2312" w:cs="仿宋_GB2312"/>
          <w:color w:val="000000"/>
          <w:sz w:val="32"/>
          <w:szCs w:val="32"/>
          <w:highlight w:val="none"/>
          <w:lang w:val="en-US" w:eastAsia="zh-CN"/>
        </w:rPr>
        <w:t>按本目设置的零售点不再适用本规定第九条第二项第二目的特殊情形</w:t>
      </w:r>
      <w:r>
        <w:rPr>
          <w:rFonts w:hint="eastAsia" w:ascii="仿宋_GB2312" w:hAnsi="宋体" w:eastAsia="仿宋_GB2312" w:cs="宋体"/>
          <w:color w:val="000000"/>
          <w:kern w:val="0"/>
          <w:sz w:val="32"/>
          <w:szCs w:val="32"/>
          <w:highlight w:val="none"/>
          <w:lang w:val="en-US" w:eastAsia="zh-CN"/>
        </w:rPr>
        <w:t>”；</w:t>
      </w:r>
    </w:p>
    <w:p w14:paraId="16A0A4BF">
      <w:pPr>
        <w:snapToGrid w:val="0"/>
        <w:spacing w:line="540" w:lineRule="exact"/>
        <w:ind w:firstLine="640" w:firstLineChars="200"/>
        <w:rPr>
          <w:rFonts w:hint="default"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删除原第二项第二目；</w:t>
      </w:r>
    </w:p>
    <w:p w14:paraId="63429913">
      <w:pPr>
        <w:snapToGrid w:val="0"/>
        <w:spacing w:line="540" w:lineRule="exact"/>
        <w:ind w:firstLine="640" w:firstLineChars="200"/>
        <w:rPr>
          <w:rFonts w:hint="eastAsia" w:ascii="仿宋_GB2312" w:hAnsi="宋体" w:eastAsia="仿宋_GB2312" w:cs="宋体"/>
          <w:color w:val="000000"/>
          <w:kern w:val="0"/>
          <w:sz w:val="32"/>
          <w:szCs w:val="32"/>
          <w:highlight w:val="yellow"/>
          <w:lang w:val="en-US" w:eastAsia="zh-CN"/>
        </w:rPr>
      </w:pPr>
      <w:r>
        <w:rPr>
          <w:rFonts w:hint="eastAsia" w:ascii="仿宋_GB2312" w:hAnsi="宋体" w:eastAsia="仿宋_GB2312" w:cs="宋体"/>
          <w:color w:val="000000"/>
          <w:kern w:val="0"/>
          <w:sz w:val="32"/>
          <w:szCs w:val="32"/>
          <w:highlight w:val="none"/>
          <w:lang w:val="en-US" w:eastAsia="zh-CN"/>
        </w:rPr>
        <w:t>新增第二项第二目“</w:t>
      </w:r>
      <w:r>
        <w:rPr>
          <w:rFonts w:hint="eastAsia" w:ascii="仿宋_GB2312" w:hAnsi="仿宋_GB2312" w:eastAsia="仿宋_GB2312" w:cs="仿宋_GB2312"/>
          <w:color w:val="000000"/>
          <w:sz w:val="32"/>
          <w:szCs w:val="32"/>
          <w:highlight w:val="none"/>
          <w:lang w:val="en-US" w:eastAsia="zh-CN"/>
        </w:rPr>
        <w:t>零售点经营主体类型从个体工商户变更为公司的，且统一社会信用代码不变、原零售点经营者与变更后的法定代表人为同一自然人的，自情形发生之日起至原许可证有效期届满前，在原经营地址重新申请办理烟草专卖零售许可证的</w:t>
      </w:r>
      <w:r>
        <w:rPr>
          <w:rFonts w:hint="eastAsia" w:ascii="仿宋_GB2312" w:hAnsi="宋体" w:eastAsia="仿宋_GB2312" w:cs="宋体"/>
          <w:color w:val="000000"/>
          <w:kern w:val="0"/>
          <w:sz w:val="32"/>
          <w:szCs w:val="32"/>
          <w:highlight w:val="none"/>
          <w:lang w:val="en-US" w:eastAsia="zh-CN"/>
        </w:rPr>
        <w:t>”；</w:t>
      </w:r>
    </w:p>
    <w:p w14:paraId="14B638A0">
      <w:pPr>
        <w:snapToGrid w:val="0"/>
        <w:spacing w:line="540" w:lineRule="exact"/>
        <w:ind w:firstLine="640" w:firstLineChars="200"/>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第二款将“</w:t>
      </w:r>
      <w:r>
        <w:rPr>
          <w:rFonts w:hint="eastAsia" w:ascii="仿宋_GB2312" w:hAnsi="仿宋_GB2312" w:eastAsia="仿宋_GB2312" w:cs="仿宋_GB2312"/>
          <w:color w:val="000000"/>
          <w:sz w:val="32"/>
          <w:szCs w:val="32"/>
          <w:highlight w:val="none"/>
        </w:rPr>
        <w:t>属于本规定第六条第二项情形的，不适用本条所规定的特殊情形</w:t>
      </w:r>
      <w:r>
        <w:rPr>
          <w:rFonts w:hint="eastAsia" w:ascii="仿宋_GB2312" w:hAnsi="宋体" w:eastAsia="仿宋_GB2312" w:cs="宋体"/>
          <w:color w:val="000000"/>
          <w:kern w:val="0"/>
          <w:sz w:val="32"/>
          <w:szCs w:val="32"/>
          <w:highlight w:val="none"/>
          <w:lang w:val="en-US" w:eastAsia="zh-CN"/>
        </w:rPr>
        <w:t>”修改为“</w:t>
      </w:r>
      <w:r>
        <w:rPr>
          <w:rFonts w:hint="eastAsia" w:ascii="仿宋_GB2312" w:hAnsi="仿宋_GB2312" w:eastAsia="仿宋_GB2312" w:cs="仿宋_GB2312"/>
          <w:color w:val="000000"/>
          <w:sz w:val="32"/>
          <w:szCs w:val="32"/>
          <w:highlight w:val="none"/>
          <w:lang w:val="en-US" w:eastAsia="zh-CN"/>
        </w:rPr>
        <w:t>属于本规定其他类业态的，不适用第九条所规定的特殊情形</w:t>
      </w:r>
      <w:r>
        <w:rPr>
          <w:rFonts w:hint="eastAsia" w:ascii="仿宋_GB2312" w:hAnsi="宋体" w:eastAsia="仿宋_GB2312" w:cs="宋体"/>
          <w:color w:val="000000"/>
          <w:kern w:val="0"/>
          <w:sz w:val="32"/>
          <w:szCs w:val="32"/>
          <w:highlight w:val="none"/>
          <w:lang w:val="en-US" w:eastAsia="zh-CN"/>
        </w:rPr>
        <w:t>”。</w:t>
      </w:r>
    </w:p>
    <w:p w14:paraId="66962587">
      <w:pPr>
        <w:snapToGrid w:val="0"/>
        <w:spacing w:line="540" w:lineRule="exact"/>
        <w:ind w:firstLine="640" w:firstLineChars="200"/>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9.第十一条：</w:t>
      </w:r>
    </w:p>
    <w:p w14:paraId="1094B100">
      <w:pPr>
        <w:snapToGrid w:val="0"/>
        <w:spacing w:line="540" w:lineRule="exact"/>
        <w:ind w:firstLine="640" w:firstLineChars="200"/>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删除第一款；</w:t>
      </w:r>
    </w:p>
    <w:p w14:paraId="0C7F4D5A">
      <w:pPr>
        <w:snapToGrid w:val="0"/>
        <w:spacing w:line="540" w:lineRule="exact"/>
        <w:ind w:firstLine="640" w:firstLineChars="200"/>
        <w:rPr>
          <w:rFonts w:hint="default"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第二款将“</w:t>
      </w:r>
      <w:r>
        <w:rPr>
          <w:rFonts w:hint="eastAsia" w:ascii="仿宋_GB2312" w:hAnsi="仿宋_GB2312" w:eastAsia="仿宋_GB2312" w:cs="仿宋_GB2312"/>
          <w:sz w:val="32"/>
          <w:szCs w:val="32"/>
          <w:highlight w:val="none"/>
        </w:rPr>
        <w:t>参照本规定第六条第一项执行</w:t>
      </w:r>
      <w:r>
        <w:rPr>
          <w:rFonts w:hint="eastAsia" w:ascii="仿宋_GB2312" w:hAnsi="宋体" w:eastAsia="仿宋_GB2312" w:cs="宋体"/>
          <w:color w:val="000000"/>
          <w:kern w:val="0"/>
          <w:sz w:val="32"/>
          <w:szCs w:val="32"/>
          <w:highlight w:val="none"/>
          <w:lang w:val="en-US" w:eastAsia="zh-CN"/>
        </w:rPr>
        <w:t>”修改为“</w:t>
      </w:r>
      <w:r>
        <w:rPr>
          <w:rFonts w:hint="eastAsia" w:ascii="仿宋_GB2312" w:hAnsi="仿宋_GB2312" w:eastAsia="仿宋_GB2312" w:cs="仿宋_GB2312"/>
          <w:sz w:val="32"/>
          <w:szCs w:val="32"/>
          <w:highlight w:val="none"/>
        </w:rPr>
        <w:t>以经营烟酒及预包装食品为主业的，与最近零售点间距应达到150米以上；其他类业态，与最近零售点间距应达到300米以上，该区域零售点总数最多不超过10个</w:t>
      </w:r>
      <w:r>
        <w:rPr>
          <w:rFonts w:hint="eastAsia" w:ascii="仿宋_GB2312" w:hAnsi="宋体" w:eastAsia="仿宋_GB2312" w:cs="宋体"/>
          <w:color w:val="000000"/>
          <w:kern w:val="0"/>
          <w:sz w:val="32"/>
          <w:szCs w:val="32"/>
          <w:highlight w:val="none"/>
          <w:lang w:val="en-US" w:eastAsia="zh-CN"/>
        </w:rPr>
        <w:t>”。</w:t>
      </w:r>
    </w:p>
    <w:p w14:paraId="7397F7CC">
      <w:pPr>
        <w:snapToGrid w:val="0"/>
        <w:spacing w:line="540" w:lineRule="exact"/>
        <w:ind w:firstLine="640" w:firstLineChars="200"/>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10.新增第十二条：“</w:t>
      </w:r>
      <w:r>
        <w:rPr>
          <w:rFonts w:hint="eastAsia" w:ascii="仿宋_GB2312" w:hAnsi="仿宋_GB2312" w:eastAsia="仿宋_GB2312" w:cs="仿宋_GB2312"/>
          <w:sz w:val="32"/>
          <w:szCs w:val="32"/>
          <w:highlight w:val="none"/>
        </w:rPr>
        <w:t>本规定</w:t>
      </w:r>
      <w:r>
        <w:rPr>
          <w:rFonts w:hint="eastAsia" w:ascii="仿宋_GB2312" w:hAnsi="仿宋_GB2312" w:eastAsia="仿宋_GB2312" w:cs="仿宋_GB2312"/>
          <w:sz w:val="32"/>
          <w:szCs w:val="32"/>
          <w:highlight w:val="none"/>
          <w:lang w:val="en-US" w:eastAsia="zh-CN"/>
        </w:rPr>
        <w:t>所称的“</w:t>
      </w:r>
      <w:r>
        <w:rPr>
          <w:rFonts w:hint="eastAsia" w:ascii="仿宋_GB2312" w:hAnsi="仿宋_GB2312" w:eastAsia="仿宋_GB2312" w:cs="仿宋_GB2312"/>
          <w:color w:val="000000"/>
          <w:sz w:val="32"/>
          <w:szCs w:val="32"/>
          <w:highlight w:val="none"/>
          <w:lang w:val="en-US" w:eastAsia="zh-CN"/>
        </w:rPr>
        <w:t>其他类业态</w:t>
      </w:r>
      <w:r>
        <w:rPr>
          <w:rFonts w:hint="eastAsia" w:ascii="仿宋_GB2312" w:hAnsi="仿宋_GB2312" w:eastAsia="仿宋_GB2312" w:cs="仿宋_GB2312"/>
          <w:sz w:val="32"/>
          <w:szCs w:val="32"/>
          <w:highlight w:val="none"/>
          <w:lang w:val="en-US" w:eastAsia="zh-CN"/>
        </w:rPr>
        <w:t>”是指</w:t>
      </w:r>
      <w:r>
        <w:rPr>
          <w:rFonts w:hint="eastAsia" w:ascii="仿宋_GB2312" w:hAnsi="仿宋_GB2312" w:eastAsia="仿宋_GB2312" w:cs="仿宋_GB2312"/>
          <w:color w:val="000000"/>
          <w:sz w:val="32"/>
          <w:szCs w:val="32"/>
        </w:rPr>
        <w:t>不以经营烟酒及预包装食品为主业，且与烟草制品零售业务没有直接或间接互补营销关系的业态类型</w:t>
      </w:r>
      <w:r>
        <w:rPr>
          <w:rFonts w:hint="eastAsia" w:ascii="仿宋_GB2312" w:hAnsi="仿宋_GB2312" w:eastAsia="仿宋_GB2312" w:cs="仿宋_GB2312"/>
          <w:color w:val="000000"/>
          <w:sz w:val="32"/>
          <w:szCs w:val="32"/>
          <w:highlight w:val="none"/>
        </w:rPr>
        <w:t>，包括但不限于餐饮娱乐住宿（属于第七条第三项的除外）、咖啡厅、烘焙制品店、酒吧、KTV、会所、棋牌室、球类场所、健身场所、电影院、美容美发、化妆美甲、按摩推拿、药妆医械、五金建材、建筑装潢、中西药店、宠物店、办公用品、文化体育用品、音像制品、家电家具、通信器材、通信业务服务、网吧、金融证券、彩票店、钟表眼镜、仪器仪表、饰品珠宝、修理修配、寄递配送、物流企业、洗涤护理、服装首饰、鞋帽箱包、针纺织品、广告设计、花卉殡葬、种植养殖、中介服务、寄卖典当、奢侈品店、古董店、汽车相关（维修、销售、洗车、保养等）、照相馆、成人用品店、茶馆、洗浴中心、干果干货店、土（水）特产、生鲜水果店等专业性较强的经营场所</w:t>
      </w:r>
      <w:r>
        <w:rPr>
          <w:rFonts w:hint="eastAsia" w:ascii="仿宋_GB2312" w:hAnsi="宋体" w:eastAsia="仿宋_GB2312" w:cs="宋体"/>
          <w:color w:val="000000"/>
          <w:kern w:val="0"/>
          <w:sz w:val="32"/>
          <w:szCs w:val="32"/>
          <w:highlight w:val="none"/>
          <w:lang w:val="en-US" w:eastAsia="zh-CN"/>
        </w:rPr>
        <w:t>”，第十二条之后条号依次修改。</w:t>
      </w:r>
    </w:p>
    <w:p w14:paraId="064622D7">
      <w:pPr>
        <w:snapToGrid w:val="0"/>
        <w:spacing w:line="540" w:lineRule="exact"/>
        <w:ind w:firstLine="640" w:firstLineChars="200"/>
        <w:rPr>
          <w:rFonts w:hint="default"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11.第十六条：删除“</w:t>
      </w:r>
      <w:r>
        <w:rPr>
          <w:rFonts w:hint="eastAsia" w:ascii="仿宋_GB2312" w:hAnsi="仿宋_GB2312" w:eastAsia="仿宋_GB2312" w:cs="仿宋_GB2312"/>
          <w:sz w:val="32"/>
          <w:szCs w:val="32"/>
          <w:highlight w:val="none"/>
        </w:rPr>
        <w:t>本规定所称的“学校”是指普通中小学、特殊教育学校、中等职业学校、专门学校</w:t>
      </w:r>
      <w:r>
        <w:rPr>
          <w:rFonts w:hint="eastAsia" w:ascii="仿宋_GB2312" w:hAnsi="宋体" w:eastAsia="仿宋_GB2312" w:cs="宋体"/>
          <w:color w:val="000000"/>
          <w:kern w:val="0"/>
          <w:sz w:val="32"/>
          <w:szCs w:val="32"/>
          <w:highlight w:val="none"/>
          <w:lang w:val="en-US" w:eastAsia="zh-CN"/>
        </w:rPr>
        <w:t>”。</w:t>
      </w:r>
    </w:p>
    <w:p w14:paraId="6E3288FA">
      <w:pPr>
        <w:snapToGrid w:val="0"/>
        <w:spacing w:line="540" w:lineRule="exact"/>
        <w:ind w:firstLine="640" w:firstLineChars="200"/>
        <w:rPr>
          <w:rFonts w:hint="default"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12.删除第十九条。</w:t>
      </w:r>
    </w:p>
    <w:sectPr>
      <w:footerReference r:id="rId3" w:type="default"/>
      <w:pgSz w:w="11906" w:h="16838"/>
      <w:pgMar w:top="2098" w:right="1474" w:bottom="1984" w:left="1587" w:header="851" w:footer="992" w:gutter="0"/>
      <w:cols w:space="0" w:num="1"/>
      <w:rtlGutter w:val="0"/>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40EE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3AC661">
                          <w:pPr>
                            <w:pStyle w:val="2"/>
                            <w:rPr>
                              <w:rFonts w:hint="eastAsia" w:eastAsiaTheme="minorEastAsia"/>
                              <w:sz w:val="32"/>
                              <w:szCs w:val="32"/>
                              <w:lang w:val="en-US" w:eastAsia="zh-CN"/>
                            </w:rPr>
                          </w:pPr>
                          <w:r>
                            <w:rPr>
                              <w:rFonts w:hint="eastAsia"/>
                              <w:sz w:val="32"/>
                              <w:szCs w:val="32"/>
                              <w:lang w:val="en-US" w:eastAsia="zh-CN"/>
                            </w:rPr>
                            <w:t xml:space="preserve"> — </w:t>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r>
                            <w:rPr>
                              <w:rFonts w:hint="eastAsia" w:ascii="宋体" w:hAnsi="宋体" w:eastAsia="宋体" w:cs="宋体"/>
                              <w:sz w:val="32"/>
                              <w:szCs w:val="32"/>
                              <w:lang w:val="en-US" w:eastAsia="zh-CN"/>
                            </w:rPr>
                            <w:t xml:space="preserve"> </w:t>
                          </w:r>
                          <w:r>
                            <w:rPr>
                              <w:rFonts w:hint="eastAsia"/>
                              <w:sz w:val="32"/>
                              <w:szCs w:val="32"/>
                              <w:lang w:val="en-US"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23AC661">
                    <w:pPr>
                      <w:pStyle w:val="2"/>
                      <w:rPr>
                        <w:rFonts w:hint="eastAsia" w:eastAsiaTheme="minorEastAsia"/>
                        <w:sz w:val="32"/>
                        <w:szCs w:val="32"/>
                        <w:lang w:val="en-US" w:eastAsia="zh-CN"/>
                      </w:rPr>
                    </w:pPr>
                    <w:r>
                      <w:rPr>
                        <w:rFonts w:hint="eastAsia"/>
                        <w:sz w:val="32"/>
                        <w:szCs w:val="32"/>
                        <w:lang w:val="en-US" w:eastAsia="zh-CN"/>
                      </w:rPr>
                      <w:t xml:space="preserve"> — </w:t>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r>
                      <w:rPr>
                        <w:rFonts w:hint="eastAsia" w:ascii="宋体" w:hAnsi="宋体" w:eastAsia="宋体" w:cs="宋体"/>
                        <w:sz w:val="32"/>
                        <w:szCs w:val="32"/>
                        <w:lang w:val="en-US" w:eastAsia="zh-CN"/>
                      </w:rPr>
                      <w:t xml:space="preserve"> </w:t>
                    </w:r>
                    <w:r>
                      <w:rPr>
                        <w:rFonts w:hint="eastAsia"/>
                        <w:sz w:val="32"/>
                        <w:szCs w:val="32"/>
                        <w:lang w:val="en-US"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315"/>
  <w:drawingGridVerticalSpacing w:val="290"/>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8C5B7B"/>
    <w:rsid w:val="168F6536"/>
    <w:rsid w:val="17811D51"/>
    <w:rsid w:val="1AE921D6"/>
    <w:rsid w:val="1C444B9D"/>
    <w:rsid w:val="1E186B65"/>
    <w:rsid w:val="1E54634F"/>
    <w:rsid w:val="1F664E2A"/>
    <w:rsid w:val="223C00C4"/>
    <w:rsid w:val="237F64BA"/>
    <w:rsid w:val="24D171E9"/>
    <w:rsid w:val="29D812E9"/>
    <w:rsid w:val="2E975000"/>
    <w:rsid w:val="30B831A1"/>
    <w:rsid w:val="332C1A8F"/>
    <w:rsid w:val="354E03E2"/>
    <w:rsid w:val="366426BB"/>
    <w:rsid w:val="36681030"/>
    <w:rsid w:val="39C85ECB"/>
    <w:rsid w:val="3D053A7C"/>
    <w:rsid w:val="3D5440BC"/>
    <w:rsid w:val="429F5DD9"/>
    <w:rsid w:val="42DE2DA6"/>
    <w:rsid w:val="47850D07"/>
    <w:rsid w:val="47AC6F8B"/>
    <w:rsid w:val="47E00859"/>
    <w:rsid w:val="48253225"/>
    <w:rsid w:val="4BCD4886"/>
    <w:rsid w:val="50A852B2"/>
    <w:rsid w:val="51DD691E"/>
    <w:rsid w:val="54B806CD"/>
    <w:rsid w:val="55432F3C"/>
    <w:rsid w:val="585711D8"/>
    <w:rsid w:val="5CF34FF8"/>
    <w:rsid w:val="6189617B"/>
    <w:rsid w:val="61914D9C"/>
    <w:rsid w:val="64467711"/>
    <w:rsid w:val="654A5B17"/>
    <w:rsid w:val="6B9B0F84"/>
    <w:rsid w:val="6C2F7B3C"/>
    <w:rsid w:val="6D34343E"/>
    <w:rsid w:val="6F0D185D"/>
    <w:rsid w:val="70C920F0"/>
    <w:rsid w:val="740873D3"/>
    <w:rsid w:val="753C7334"/>
    <w:rsid w:val="77B238DE"/>
    <w:rsid w:val="77B27D81"/>
    <w:rsid w:val="79BF6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2727</Words>
  <Characters>2797</Characters>
  <Lines>0</Lines>
  <Paragraphs>0</Paragraphs>
  <TotalTime>1</TotalTime>
  <ScaleCrop>false</ScaleCrop>
  <LinksUpToDate>false</LinksUpToDate>
  <CharactersWithSpaces>2799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2026-06-08T06:41:00Z</dcterms:created>
  <dc:creator>renxu</dc:creator>
  <cp:lastModifiedBy>renxu</cp:lastModifiedBy>
  <cp:lastPrinted>2026-06-10T00:14:00Z</cp:lastPrinted>
  <dcterms:modified xsi:type="dcterms:W3CDTF">2026-08-18T09:33:49Z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eyJoZGlkIjoiNjZlYmZlNmViOWMxNTVhMjFiNTY4OWVkY2E3MDAwZjMiLCJ1c2VySWQiOiIxNDk1MzU3NzQ3In0=</vt:lpwstr>
  </property>
  <property fmtid="{D5CDD505-2E9C-101B-9397-08002B2CF9AE}" pid="4" name="ICV">
    <vt:lpwstr>D0FDBC5E01464E34A6B9AB91A9E1EE1B_12</vt:lpwstr>
  </property>
</Properties>
</file>