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C25188">
      <w:pPr>
        <w:spacing w:line="560" w:lineRule="exact"/>
        <w:contextualSpacing/>
        <w:jc w:val="center"/>
        <w:rPr>
          <w:rFonts w:hint="eastAsia" w:ascii="方正小标宋简体" w:hAnsi="方正小标宋简体" w:eastAsia="方正小标宋简体" w:cs="方正小标宋简体"/>
          <w:sz w:val="44"/>
          <w:szCs w:val="44"/>
          <w:highlight w:val="none"/>
          <w:lang w:eastAsia="zh-CN"/>
        </w:rPr>
      </w:pPr>
      <w:bookmarkStart w:id="1" w:name="_GoBack"/>
      <w:bookmarkStart w:id="0" w:name="zhengwen"/>
      <w:r>
        <w:rPr>
          <w:rFonts w:hint="eastAsia" w:ascii="方正小标宋简体" w:hAnsi="方正小标宋简体" w:eastAsia="方正小标宋简体" w:cs="方正小标宋简体"/>
          <w:sz w:val="44"/>
          <w:szCs w:val="44"/>
          <w:highlight w:val="none"/>
        </w:rPr>
        <w:t>北京市顺义区烟草制品零售点合理布局规定</w:t>
      </w:r>
      <w:r>
        <w:rPr>
          <w:rFonts w:hint="eastAsia" w:ascii="方正小标宋简体" w:hAnsi="方正小标宋简体" w:eastAsia="方正小标宋简体" w:cs="方正小标宋简体"/>
          <w:sz w:val="44"/>
          <w:szCs w:val="44"/>
          <w:highlight w:val="none"/>
          <w:lang w:eastAsia="zh-CN"/>
        </w:rPr>
        <w:t>（</w:t>
      </w:r>
      <w:r>
        <w:rPr>
          <w:rFonts w:hint="eastAsia" w:ascii="方正小标宋简体" w:hAnsi="方正小标宋简体" w:eastAsia="方正小标宋简体" w:cs="方正小标宋简体"/>
          <w:sz w:val="44"/>
          <w:szCs w:val="44"/>
          <w:highlight w:val="none"/>
          <w:lang w:val="en-US" w:eastAsia="zh-CN"/>
        </w:rPr>
        <w:t>征求意见稿</w:t>
      </w:r>
      <w:r>
        <w:rPr>
          <w:rFonts w:hint="eastAsia" w:ascii="方正小标宋简体" w:hAnsi="方正小标宋简体" w:eastAsia="方正小标宋简体" w:cs="方正小标宋简体"/>
          <w:sz w:val="44"/>
          <w:szCs w:val="44"/>
          <w:highlight w:val="none"/>
          <w:lang w:eastAsia="zh-CN"/>
        </w:rPr>
        <w:t>）</w:t>
      </w:r>
    </w:p>
    <w:bookmarkEnd w:id="1"/>
    <w:p w14:paraId="49FC1927">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ascii="仿宋_GB2312" w:hAnsi="宋体" w:eastAsia="仿宋_GB2312" w:cs="黑体"/>
          <w:color w:val="000000"/>
          <w:sz w:val="32"/>
          <w:szCs w:val="32"/>
          <w:highlight w:val="none"/>
        </w:rPr>
      </w:pPr>
    </w:p>
    <w:p w14:paraId="1023B4F4">
      <w:pPr>
        <w:snapToGrid w:val="0"/>
        <w:spacing w:line="540" w:lineRule="exact"/>
        <w:ind w:firstLine="627" w:firstLineChars="196"/>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第一条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为加强烟草专卖零售许可证管理，合理配置辖区内卷烟零售市场资源，规范烟草制品零售市场经营秩序，保护公民、法人及其他组织的合法权益，根据《中华人民共和国行政许可法》《中华人民共和国烟草专卖法》《中华人民共和国未成年人保护法》《中华人民共和国烟草专卖法实施条例》《北京市控制吸烟条例》《烟草专卖许可证管理办法》</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烟草专卖许可证管理办法</w:t>
      </w:r>
      <w:r>
        <w:rPr>
          <w:rFonts w:hint="eastAsia" w:ascii="仿宋_GB2312" w:hAnsi="仿宋_GB2312" w:eastAsia="仿宋_GB2312" w:cs="仿宋_GB2312"/>
          <w:color w:val="000000"/>
          <w:sz w:val="32"/>
          <w:szCs w:val="32"/>
          <w:highlight w:val="none"/>
          <w:lang w:val="en-US" w:eastAsia="zh-CN"/>
        </w:rPr>
        <w:t>实施细则</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及</w:t>
      </w:r>
      <w:r>
        <w:rPr>
          <w:rFonts w:hint="eastAsia" w:ascii="仿宋_GB2312" w:hAnsi="宋体" w:eastAsia="仿宋_GB2312" w:cs="Times New Roman"/>
          <w:sz w:val="32"/>
          <w:szCs w:val="32"/>
          <w:highlight w:val="none"/>
          <w:lang w:val="en-US" w:eastAsia="zh-CN"/>
        </w:rPr>
        <w:t>《完善烟草专卖零售许可管理优化政务服务工作指引》</w:t>
      </w:r>
      <w:r>
        <w:rPr>
          <w:rFonts w:hint="eastAsia" w:ascii="仿宋_GB2312" w:hAnsi="仿宋_GB2312" w:eastAsia="仿宋_GB2312" w:cs="仿宋_GB2312"/>
          <w:color w:val="000000"/>
          <w:sz w:val="32"/>
          <w:szCs w:val="32"/>
          <w:highlight w:val="none"/>
        </w:rPr>
        <w:t>等</w:t>
      </w:r>
      <w:r>
        <w:rPr>
          <w:rFonts w:hint="eastAsia" w:ascii="仿宋_GB2312" w:hAnsi="仿宋_GB2312" w:eastAsia="仿宋_GB2312" w:cs="仿宋_GB2312"/>
          <w:sz w:val="32"/>
          <w:szCs w:val="32"/>
          <w:highlight w:val="none"/>
        </w:rPr>
        <w:t>法律法规规章和规范性文件</w:t>
      </w:r>
      <w:r>
        <w:rPr>
          <w:rFonts w:hint="eastAsia" w:ascii="仿宋_GB2312" w:hAnsi="仿宋_GB2312" w:eastAsia="仿宋_GB2312" w:cs="仿宋_GB2312"/>
          <w:color w:val="000000"/>
          <w:sz w:val="32"/>
          <w:szCs w:val="32"/>
          <w:highlight w:val="none"/>
        </w:rPr>
        <w:t>，结合本区实际，制定本规定。</w:t>
      </w:r>
    </w:p>
    <w:p w14:paraId="1AC1AE50">
      <w:pPr>
        <w:adjustRightInd w:val="0"/>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第二条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本规定适用于北京市顺义区行政区域内烟草制品（不含电子烟</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雪茄烟专业店</w:t>
      </w:r>
      <w:r>
        <w:rPr>
          <w:rFonts w:hint="eastAsia" w:ascii="仿宋_GB2312" w:hAnsi="仿宋_GB2312" w:eastAsia="仿宋_GB2312" w:cs="仿宋_GB2312"/>
          <w:color w:val="000000"/>
          <w:sz w:val="32"/>
          <w:szCs w:val="32"/>
          <w:highlight w:val="none"/>
        </w:rPr>
        <w:t>）零售点（以下简称零售点）的布局管理。在北京市顺义区行政辖区内申请设立零售点应当符合本规定。</w:t>
      </w:r>
    </w:p>
    <w:p w14:paraId="246C01E4">
      <w:pPr>
        <w:adjustRightInd w:val="0"/>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第三条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本规定所称零售点是指公民、法人及其他组织依法申请取得烟草专卖零售许可证，从事烟草制品零售业务的经营场所。</w:t>
      </w:r>
    </w:p>
    <w:p w14:paraId="25C07EB4">
      <w:pPr>
        <w:adjustRightInd w:val="0"/>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零售点应当设置于与住所相独立的固定经营场所，面向公众经营，并与营业执照登记地址相符。</w:t>
      </w:r>
    </w:p>
    <w:p w14:paraId="009E7C13">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第四条</w:t>
      </w:r>
      <w:r>
        <w:rPr>
          <w:rFonts w:hint="eastAsia" w:ascii="黑体" w:hAnsi="黑体" w:eastAsia="黑体" w:cs="黑体"/>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本规定遵循依法行政、科学规划、服务社会、均衡发展原则，根据辖区人口分布、交通状况、经济发展水平、消费需求和市场单元特点等要素，设置距离控制、最小市场单元总量、最小市场单元总量+间距</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特殊情形</w:t>
      </w:r>
      <w:r>
        <w:rPr>
          <w:rFonts w:hint="eastAsia" w:ascii="仿宋_GB2312" w:hAnsi="仿宋_GB2312" w:eastAsia="仿宋_GB2312" w:cs="仿宋_GB2312"/>
          <w:color w:val="000000"/>
          <w:sz w:val="32"/>
          <w:szCs w:val="32"/>
          <w:highlight w:val="none"/>
          <w:lang w:val="en-US" w:eastAsia="zh-CN"/>
        </w:rPr>
        <w:t>四</w:t>
      </w:r>
      <w:r>
        <w:rPr>
          <w:rFonts w:hint="eastAsia" w:ascii="仿宋_GB2312" w:hAnsi="仿宋_GB2312" w:eastAsia="仿宋_GB2312" w:cs="仿宋_GB2312"/>
          <w:color w:val="000000"/>
          <w:sz w:val="32"/>
          <w:szCs w:val="32"/>
          <w:highlight w:val="none"/>
        </w:rPr>
        <w:t>种模式。坚持零售点总量与烟草制品消费需求相适应，在满足社会消费的同时保持零售点总量合理稳定。</w:t>
      </w:r>
    </w:p>
    <w:p w14:paraId="1C9B1648">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第五条</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color w:val="000000"/>
          <w:sz w:val="32"/>
          <w:szCs w:val="32"/>
          <w:highlight w:val="none"/>
        </w:rPr>
        <w:t>具有下列情形之一的，不予发放烟草专卖零售许可证：</w:t>
      </w:r>
    </w:p>
    <w:p w14:paraId="66B5BEB1">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（一）申请人为未成年人、无民事行为能力人、限制民事行为能力人；</w:t>
      </w:r>
    </w:p>
    <w:p w14:paraId="32B7C157">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（二）外商投资的商业企业或者个体工商户，或以特许、吸纳加盟店及其他投资等形式变相从事烟草专卖品经营业务；</w:t>
      </w:r>
    </w:p>
    <w:p w14:paraId="13EB4479">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（三）申请人被取消从事烟草专卖业务资格不满三年的；</w:t>
      </w:r>
    </w:p>
    <w:p w14:paraId="61558B5C">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（四）因申请人隐瞒有关情况或者提供虚假材料，烟草专卖行政主管部门作出不予受理或者不予发证决定后，申请人一年内再次提出申请的；</w:t>
      </w:r>
    </w:p>
    <w:p w14:paraId="3B359C0B">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（五）因申请人以欺骗、贿赂等不正当手段取得的烟草专卖许可证被撤销后，申请人三年内再次提出申请的；</w:t>
      </w:r>
    </w:p>
    <w:p w14:paraId="23A2F905">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（六）未领取烟草专卖零售许可证经营烟草专卖品业务，并且一年内被执法机关处罚两次以上，在三年内申请领取烟草专卖零售许可证的；</w:t>
      </w:r>
    </w:p>
    <w:p w14:paraId="53203C34">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（七）未领取烟草专卖零售许可证经营烟草专卖品业务被追究刑事责任，在三年内申请领取烟草专卖零售许可证的；</w:t>
      </w:r>
    </w:p>
    <w:p w14:paraId="0DC3C27E">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（八）无固定经营场所或经营场所与住所不相独立的；</w:t>
      </w:r>
    </w:p>
    <w:p w14:paraId="20980239">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（九）</w:t>
      </w:r>
      <w:r>
        <w:rPr>
          <w:rFonts w:hint="eastAsia" w:ascii="仿宋_GB2312" w:hAnsi="仿宋_GB2312" w:eastAsia="仿宋_GB2312" w:cs="仿宋_GB2312"/>
          <w:color w:val="000000"/>
          <w:sz w:val="32"/>
          <w:szCs w:val="32"/>
          <w:highlight w:val="none"/>
          <w:lang w:val="en-US" w:eastAsia="zh-CN"/>
        </w:rPr>
        <w:t>中小</w:t>
      </w:r>
      <w:r>
        <w:rPr>
          <w:rFonts w:hint="eastAsia" w:ascii="仿宋_GB2312" w:hAnsi="仿宋_GB2312" w:eastAsia="仿宋_GB2312" w:cs="仿宋_GB2312"/>
          <w:color w:val="000000"/>
          <w:sz w:val="32"/>
          <w:szCs w:val="32"/>
          <w:highlight w:val="none"/>
        </w:rPr>
        <w:t>学校、幼儿园、少年宫及其周边100米范围内；</w:t>
      </w:r>
    </w:p>
    <w:p w14:paraId="3B23941D">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（十）同一个经营场所已经办理了烟草专卖零售许可证且许可证还在有效期内;</w:t>
      </w:r>
    </w:p>
    <w:p w14:paraId="2BEAB932">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（十一）利用自动售货机或者其他自动售货形式，销售或者变相销售烟草制品的；</w:t>
      </w:r>
    </w:p>
    <w:p w14:paraId="70208D56">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（十</w:t>
      </w:r>
      <w:r>
        <w:rPr>
          <w:rFonts w:hint="eastAsia" w:ascii="仿宋_GB2312" w:hAnsi="仿宋_GB2312" w:eastAsia="仿宋_GB2312" w:cs="仿宋_GB2312"/>
          <w:color w:val="000000"/>
          <w:sz w:val="32"/>
          <w:szCs w:val="32"/>
          <w:highlight w:val="none"/>
          <w:lang w:val="en-US" w:eastAsia="zh-CN"/>
        </w:rPr>
        <w:t>二</w:t>
      </w:r>
      <w:r>
        <w:rPr>
          <w:rFonts w:hint="eastAsia" w:ascii="仿宋_GB2312" w:hAnsi="仿宋_GB2312" w:eastAsia="仿宋_GB2312" w:cs="仿宋_GB2312"/>
          <w:color w:val="000000"/>
          <w:sz w:val="32"/>
          <w:szCs w:val="32"/>
          <w:highlight w:val="none"/>
        </w:rPr>
        <w:t>）文具教材店、母婴用品店、电玩游乐城、游乐场等未成年人关注或者聚集的场所；</w:t>
      </w:r>
    </w:p>
    <w:p w14:paraId="08B765EF">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（十</w:t>
      </w:r>
      <w:r>
        <w:rPr>
          <w:rFonts w:hint="eastAsia" w:ascii="仿宋_GB2312" w:hAnsi="仿宋_GB2312" w:eastAsia="仿宋_GB2312" w:cs="仿宋_GB2312"/>
          <w:color w:val="000000"/>
          <w:sz w:val="32"/>
          <w:szCs w:val="32"/>
          <w:highlight w:val="none"/>
          <w:lang w:val="en-US" w:eastAsia="zh-CN"/>
        </w:rPr>
        <w:t>三</w:t>
      </w:r>
      <w:r>
        <w:rPr>
          <w:rFonts w:hint="eastAsia" w:ascii="仿宋_GB2312" w:hAnsi="仿宋_GB2312" w:eastAsia="仿宋_GB2312" w:cs="仿宋_GB2312"/>
          <w:color w:val="000000"/>
          <w:sz w:val="32"/>
          <w:szCs w:val="32"/>
          <w:highlight w:val="none"/>
        </w:rPr>
        <w:t>）经营场所基于安全因素不适宜经营烟草制品零售业务的；</w:t>
      </w:r>
    </w:p>
    <w:p w14:paraId="601F4A08">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（十</w:t>
      </w:r>
      <w:r>
        <w:rPr>
          <w:rFonts w:hint="eastAsia" w:ascii="仿宋_GB2312" w:hAnsi="仿宋_GB2312" w:eastAsia="仿宋_GB2312" w:cs="仿宋_GB2312"/>
          <w:color w:val="000000"/>
          <w:sz w:val="32"/>
          <w:szCs w:val="32"/>
          <w:highlight w:val="none"/>
          <w:lang w:val="en-US" w:eastAsia="zh-CN"/>
        </w:rPr>
        <w:t>四</w:t>
      </w:r>
      <w:r>
        <w:rPr>
          <w:rFonts w:hint="eastAsia" w:ascii="仿宋_GB2312" w:hAnsi="仿宋_GB2312" w:eastAsia="仿宋_GB2312" w:cs="仿宋_GB2312"/>
          <w:color w:val="000000"/>
          <w:sz w:val="32"/>
          <w:szCs w:val="32"/>
          <w:highlight w:val="none"/>
        </w:rPr>
        <w:t>）法律、法规、规章和国家烟草专卖局规定的其他不予发证的情形。</w:t>
      </w:r>
    </w:p>
    <w:p w14:paraId="311F45AA">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第六条</w:t>
      </w:r>
      <w:r>
        <w:rPr>
          <w:rFonts w:hint="eastAsia" w:ascii="黑体" w:hAnsi="黑体" w:eastAsia="黑体" w:cs="黑体"/>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具有下列情形的，按照“距离控制”模式设置零售点：</w:t>
      </w:r>
    </w:p>
    <w:p w14:paraId="649134C1">
      <w:pPr>
        <w:snapToGrid w:val="0"/>
        <w:spacing w:line="540" w:lineRule="exact"/>
        <w:ind w:firstLine="640" w:firstLineChars="200"/>
        <w:jc w:val="left"/>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主城区、城乡结合区位于道路、街巷等公共区域的临街商铺，以经营烟酒及预包装食品为主业的，与最近零售点间距应达到</w:t>
      </w:r>
      <w:r>
        <w:rPr>
          <w:rFonts w:hint="eastAsia" w:ascii="仿宋_GB2312" w:hAnsi="仿宋_GB2312" w:eastAsia="仿宋_GB2312" w:cs="仿宋_GB2312"/>
          <w:color w:val="000000"/>
          <w:sz w:val="32"/>
          <w:szCs w:val="32"/>
          <w:highlight w:val="none"/>
          <w:lang w:val="en-US" w:eastAsia="zh-CN"/>
        </w:rPr>
        <w:t>80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color w:val="000000"/>
          <w:sz w:val="32"/>
          <w:szCs w:val="32"/>
          <w:highlight w:val="none"/>
        </w:rPr>
        <w:t>与最近零售点间距应达到300米以上</w:t>
      </w:r>
      <w:r>
        <w:rPr>
          <w:rFonts w:hint="eastAsia" w:ascii="仿宋_GB2312" w:hAnsi="仿宋_GB2312" w:eastAsia="仿宋_GB2312" w:cs="仿宋_GB2312"/>
          <w:color w:val="000000"/>
          <w:sz w:val="32"/>
          <w:szCs w:val="32"/>
          <w:highlight w:val="none"/>
          <w:lang w:eastAsia="zh-CN"/>
        </w:rPr>
        <w:t>。</w:t>
      </w:r>
    </w:p>
    <w:p w14:paraId="122D356D">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第七条</w:t>
      </w:r>
      <w:r>
        <w:rPr>
          <w:rFonts w:hint="eastAsia" w:ascii="黑体" w:hAnsi="黑体" w:eastAsia="黑体" w:cs="黑体"/>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具有下列情形之一的，按照“最小市场单元总量”调控模式设置零售点：</w:t>
      </w:r>
    </w:p>
    <w:p w14:paraId="05DB6449">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（一）以出租柜台为主要经营方式的商场、购物中心内部</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以经营烟酒及预包装食品为主业的</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可设置2个零售点，</w:t>
      </w:r>
      <w:r>
        <w:rPr>
          <w:rFonts w:hint="eastAsia" w:ascii="仿宋_GB2312" w:hAnsi="仿宋_GB2312" w:eastAsia="仿宋_GB2312" w:cs="仿宋_GB2312"/>
          <w:color w:val="000000"/>
          <w:sz w:val="32"/>
          <w:szCs w:val="32"/>
          <w:highlight w:val="none"/>
          <w:lang w:val="en-US" w:eastAsia="zh-CN"/>
        </w:rPr>
        <w:t>且不在同一楼层</w:t>
      </w:r>
      <w:r>
        <w:rPr>
          <w:rFonts w:hint="eastAsia" w:ascii="仿宋_GB2312" w:hAnsi="仿宋_GB2312" w:eastAsia="仿宋_GB2312" w:cs="仿宋_GB2312"/>
          <w:color w:val="000000"/>
          <w:sz w:val="32"/>
          <w:szCs w:val="32"/>
          <w:highlight w:val="none"/>
        </w:rPr>
        <w:t>；</w:t>
      </w:r>
    </w:p>
    <w:p w14:paraId="6754EF62">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（二）商业楼、办公楼、写字楼、公寓楼内（不包含一层临街且面向外部经营的商铺），用于餐饮、休闲、娱乐等项目的公共楼层，且在公共空间经营的，以经营烟酒及预包装食品为主业的</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每栋楼可设置1个零售点；</w:t>
      </w:r>
    </w:p>
    <w:p w14:paraId="68EAAE00">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（三）经营面积2000平方米以上的饭店、酒楼、宾馆、度假村、纪念馆、展览馆、体育场馆等独立场所，在公共区域内经营，在其营业场所内部有独立烟草制品陈列区的，可设置1个零售点；</w:t>
      </w:r>
    </w:p>
    <w:p w14:paraId="2A82957E">
      <w:pPr>
        <w:snapToGrid w:val="0"/>
        <w:spacing w:line="540" w:lineRule="exact"/>
        <w:ind w:firstLine="640" w:firstLineChars="200"/>
        <w:jc w:val="left"/>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（四）加油站公共区域内，</w:t>
      </w:r>
      <w:r>
        <w:rPr>
          <w:rFonts w:hint="eastAsia" w:ascii="仿宋_GB2312" w:hAnsi="仿宋_GB2312" w:eastAsia="仿宋_GB2312" w:cs="仿宋_GB2312"/>
          <w:color w:val="000000"/>
          <w:sz w:val="32"/>
          <w:szCs w:val="32"/>
          <w:highlight w:val="none"/>
        </w:rPr>
        <w:t>可设置</w:t>
      </w:r>
      <w:r>
        <w:rPr>
          <w:rFonts w:hint="eastAsia" w:ascii="仿宋_GB2312" w:hAnsi="仿宋_GB2312" w:eastAsia="仿宋_GB2312" w:cs="仿宋_GB2312"/>
          <w:color w:val="000000"/>
          <w:sz w:val="32"/>
          <w:szCs w:val="32"/>
          <w:highlight w:val="none"/>
          <w:lang w:val="en-US" w:eastAsia="zh-CN"/>
        </w:rPr>
        <w:t>1个零售点。</w:t>
      </w:r>
    </w:p>
    <w:p w14:paraId="15BF42F2">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第八条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具有下列情形之一的，按照“最小市场单元总量+间距”调控模式设置零售点：</w:t>
      </w:r>
    </w:p>
    <w:p w14:paraId="79405396">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（一）封闭式居民小区（相对独立，设有门岗、院墙或其他隔离障碍）</w:t>
      </w:r>
      <w:r>
        <w:rPr>
          <w:rFonts w:hint="eastAsia" w:ascii="仿宋_GB2312" w:hAnsi="仿宋_GB2312" w:eastAsia="仿宋_GB2312" w:cs="仿宋_GB2312"/>
          <w:color w:val="000000"/>
          <w:sz w:val="32"/>
          <w:szCs w:val="32"/>
          <w:highlight w:val="none"/>
          <w:lang w:val="en-US" w:eastAsia="zh-CN"/>
        </w:rPr>
        <w:t>，在其</w:t>
      </w:r>
      <w:r>
        <w:rPr>
          <w:rFonts w:hint="eastAsia" w:ascii="仿宋_GB2312" w:hAnsi="仿宋_GB2312" w:eastAsia="仿宋_GB2312" w:cs="仿宋_GB2312"/>
          <w:color w:val="000000"/>
          <w:sz w:val="32"/>
          <w:szCs w:val="32"/>
          <w:highlight w:val="none"/>
        </w:rPr>
        <w:t>内部位于一层临街且面向外部经营的商铺，零售点总数最多不超过3个</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以经营烟酒及预包装食品为主业的，与最近零售点间距应达到</w:t>
      </w:r>
      <w:r>
        <w:rPr>
          <w:rFonts w:hint="eastAsia" w:ascii="仿宋_GB2312" w:hAnsi="仿宋_GB2312" w:eastAsia="仿宋_GB2312" w:cs="仿宋_GB2312"/>
          <w:color w:val="000000"/>
          <w:sz w:val="32"/>
          <w:szCs w:val="32"/>
          <w:highlight w:val="none"/>
          <w:lang w:val="en-US" w:eastAsia="zh-CN"/>
        </w:rPr>
        <w:t>80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color w:val="000000"/>
          <w:sz w:val="32"/>
          <w:szCs w:val="32"/>
          <w:highlight w:val="none"/>
        </w:rPr>
        <w:t>与最近零售点间距应达到300米以上；</w:t>
      </w:r>
    </w:p>
    <w:p w14:paraId="59125647">
      <w:pPr>
        <w:snapToGrid w:val="0"/>
        <w:spacing w:line="540" w:lineRule="exact"/>
        <w:ind w:firstLine="640" w:firstLineChars="200"/>
        <w:jc w:val="left"/>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二</w:t>
      </w:r>
      <w:r>
        <w:rPr>
          <w:rFonts w:hint="eastAsia" w:ascii="仿宋_GB2312" w:hAnsi="仿宋_GB2312" w:eastAsia="仿宋_GB2312" w:cs="仿宋_GB2312"/>
          <w:color w:val="000000"/>
          <w:sz w:val="32"/>
          <w:szCs w:val="32"/>
          <w:highlight w:val="none"/>
        </w:rPr>
        <w:t>）位于集贸市场、综合型商品交易市场以及其他市场等零售区域内，经营场所位于公共区域的一层，零售点总数不超过2个</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以经营烟酒及预包装食品为主业的，与最近零售点间距应达到</w:t>
      </w:r>
      <w:r>
        <w:rPr>
          <w:rFonts w:hint="eastAsia" w:ascii="仿宋_GB2312" w:hAnsi="仿宋_GB2312" w:eastAsia="仿宋_GB2312" w:cs="仿宋_GB2312"/>
          <w:color w:val="000000"/>
          <w:sz w:val="32"/>
          <w:szCs w:val="32"/>
          <w:highlight w:val="none"/>
          <w:lang w:val="en-US" w:eastAsia="zh-CN"/>
        </w:rPr>
        <w:t>150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color w:val="000000"/>
          <w:sz w:val="32"/>
          <w:szCs w:val="32"/>
          <w:highlight w:val="none"/>
        </w:rPr>
        <w:t>与最近零售点间距应达到300米以上</w:t>
      </w:r>
      <w:r>
        <w:rPr>
          <w:rFonts w:hint="eastAsia" w:ascii="仿宋_GB2312" w:hAnsi="仿宋_GB2312" w:eastAsia="仿宋_GB2312" w:cs="仿宋_GB2312"/>
          <w:color w:val="000000"/>
          <w:sz w:val="32"/>
          <w:szCs w:val="32"/>
          <w:highlight w:val="none"/>
          <w:lang w:eastAsia="zh-CN"/>
        </w:rPr>
        <w:t>；</w:t>
      </w:r>
    </w:p>
    <w:p w14:paraId="09141BFE">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三</w:t>
      </w:r>
      <w:r>
        <w:rPr>
          <w:rFonts w:hint="eastAsia" w:ascii="仿宋_GB2312" w:hAnsi="仿宋_GB2312" w:eastAsia="仿宋_GB2312" w:cs="仿宋_GB2312"/>
          <w:color w:val="000000"/>
          <w:sz w:val="32"/>
          <w:szCs w:val="32"/>
          <w:highlight w:val="none"/>
        </w:rPr>
        <w:t>）旅游景点、公园、火车站</w:t>
      </w:r>
      <w:r>
        <w:rPr>
          <w:rFonts w:hint="eastAsia" w:ascii="仿宋_GB2312" w:hAnsi="仿宋_GB2312" w:eastAsia="仿宋_GB2312" w:cs="仿宋_GB2312"/>
          <w:color w:val="000000"/>
          <w:sz w:val="32"/>
          <w:szCs w:val="32"/>
          <w:highlight w:val="none"/>
          <w:lang w:val="en-US" w:eastAsia="zh-CN"/>
        </w:rPr>
        <w:t>(含高铁站）</w:t>
      </w:r>
      <w:r>
        <w:rPr>
          <w:rFonts w:hint="eastAsia" w:ascii="仿宋_GB2312" w:hAnsi="仿宋_GB2312" w:eastAsia="仿宋_GB2312" w:cs="仿宋_GB2312"/>
          <w:color w:val="000000"/>
          <w:sz w:val="32"/>
          <w:szCs w:val="32"/>
          <w:highlight w:val="none"/>
        </w:rPr>
        <w:t>、交通枢纽内部区域、高速公路服务区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含加油站区域</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内经营的，在公共区域内可设置3个零售点</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且</w:t>
      </w:r>
      <w:r>
        <w:rPr>
          <w:rFonts w:hint="eastAsia" w:ascii="仿宋_GB2312" w:hAnsi="仿宋_GB2312" w:eastAsia="仿宋_GB2312" w:cs="仿宋_GB2312"/>
          <w:color w:val="000000"/>
          <w:sz w:val="32"/>
          <w:szCs w:val="32"/>
          <w:highlight w:val="none"/>
        </w:rPr>
        <w:t>与最近零售点间距应达到</w:t>
      </w:r>
      <w:r>
        <w:rPr>
          <w:rFonts w:hint="eastAsia" w:ascii="仿宋_GB2312" w:hAnsi="仿宋_GB2312" w:eastAsia="仿宋_GB2312" w:cs="仿宋_GB2312"/>
          <w:color w:val="000000"/>
          <w:sz w:val="32"/>
          <w:szCs w:val="32"/>
          <w:highlight w:val="none"/>
          <w:lang w:val="en-US" w:eastAsia="zh-CN"/>
        </w:rPr>
        <w:t>150</w:t>
      </w:r>
      <w:r>
        <w:rPr>
          <w:rFonts w:hint="eastAsia" w:ascii="仿宋_GB2312" w:hAnsi="仿宋_GB2312" w:eastAsia="仿宋_GB2312" w:cs="仿宋_GB2312"/>
          <w:color w:val="000000"/>
          <w:sz w:val="32"/>
          <w:szCs w:val="32"/>
          <w:highlight w:val="none"/>
        </w:rPr>
        <w:t>米以上；</w:t>
      </w:r>
    </w:p>
    <w:p w14:paraId="5C224D94">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四</w:t>
      </w:r>
      <w:r>
        <w:rPr>
          <w:rFonts w:hint="eastAsia" w:ascii="仿宋_GB2312" w:hAnsi="仿宋_GB2312" w:eastAsia="仿宋_GB2312" w:cs="仿宋_GB2312"/>
          <w:color w:val="000000"/>
          <w:sz w:val="32"/>
          <w:szCs w:val="32"/>
          <w:highlight w:val="none"/>
        </w:rPr>
        <w:t>）部队营区、监狱、建筑工地、高等院校等相对封闭的特殊场所，为满足内部消费，可设置2个零售点，且与最近零售点间距应达到300米以上；</w:t>
      </w:r>
    </w:p>
    <w:p w14:paraId="3C453489">
      <w:pPr>
        <w:snapToGrid w:val="0"/>
        <w:spacing w:line="540" w:lineRule="exact"/>
        <w:ind w:firstLine="640" w:firstLineChars="200"/>
        <w:jc w:val="left"/>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五</w:t>
      </w:r>
      <w:r>
        <w:rPr>
          <w:rFonts w:hint="eastAsia" w:ascii="仿宋_GB2312" w:hAnsi="仿宋_GB2312" w:eastAsia="仿宋_GB2312" w:cs="仿宋_GB2312"/>
          <w:color w:val="000000"/>
          <w:sz w:val="32"/>
          <w:szCs w:val="32"/>
          <w:highlight w:val="none"/>
        </w:rPr>
        <w:t>）高新技术产业园区、文化艺术园区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会展中心</w:t>
      </w:r>
      <w:r>
        <w:rPr>
          <w:rFonts w:hint="eastAsia" w:ascii="仿宋_GB2312" w:hAnsi="仿宋_GB2312" w:eastAsia="仿宋_GB2312" w:cs="仿宋_GB2312"/>
          <w:color w:val="000000"/>
          <w:sz w:val="32"/>
          <w:szCs w:val="32"/>
          <w:highlight w:val="none"/>
        </w:rPr>
        <w:t>等相对封闭的场所</w:t>
      </w:r>
      <w:r>
        <w:rPr>
          <w:rFonts w:hint="eastAsia" w:ascii="仿宋_GB2312" w:hAnsi="仿宋_GB2312" w:eastAsia="仿宋_GB2312" w:cs="仿宋_GB2312"/>
          <w:color w:val="000000"/>
          <w:sz w:val="32"/>
          <w:szCs w:val="32"/>
          <w:highlight w:val="none"/>
          <w:lang w:val="en-US" w:eastAsia="zh-CN"/>
        </w:rPr>
        <w:t>内</w:t>
      </w:r>
      <w:r>
        <w:rPr>
          <w:rFonts w:hint="eastAsia" w:ascii="仿宋_GB2312" w:hAnsi="仿宋_GB2312" w:eastAsia="仿宋_GB2312" w:cs="仿宋_GB2312"/>
          <w:color w:val="000000"/>
          <w:sz w:val="32"/>
          <w:szCs w:val="32"/>
          <w:highlight w:val="none"/>
        </w:rPr>
        <w:t>，可设置</w:t>
      </w:r>
      <w:r>
        <w:rPr>
          <w:rFonts w:hint="eastAsia" w:ascii="仿宋_GB2312" w:hAnsi="仿宋_GB2312" w:eastAsia="仿宋_GB2312" w:cs="仿宋_GB2312"/>
          <w:color w:val="000000"/>
          <w:sz w:val="32"/>
          <w:szCs w:val="32"/>
          <w:highlight w:val="none"/>
          <w:lang w:val="en-US" w:eastAsia="zh-CN"/>
        </w:rPr>
        <w:t>3</w:t>
      </w:r>
      <w:r>
        <w:rPr>
          <w:rFonts w:hint="eastAsia" w:ascii="仿宋_GB2312" w:hAnsi="仿宋_GB2312" w:eastAsia="仿宋_GB2312" w:cs="仿宋_GB2312"/>
          <w:color w:val="000000"/>
          <w:sz w:val="32"/>
          <w:szCs w:val="32"/>
          <w:highlight w:val="none"/>
        </w:rPr>
        <w:t>个零售点，且与最近零售点间距应达到</w:t>
      </w:r>
      <w:r>
        <w:rPr>
          <w:rFonts w:hint="eastAsia" w:ascii="仿宋_GB2312" w:hAnsi="仿宋_GB2312" w:eastAsia="仿宋_GB2312" w:cs="仿宋_GB2312"/>
          <w:color w:val="000000"/>
          <w:sz w:val="32"/>
          <w:szCs w:val="32"/>
          <w:highlight w:val="none"/>
          <w:lang w:val="en-US" w:eastAsia="zh-CN"/>
        </w:rPr>
        <w:t>150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p>
    <w:p w14:paraId="1A6BE21C">
      <w:pPr>
        <w:snapToGrid w:val="0"/>
        <w:spacing w:line="540" w:lineRule="exact"/>
        <w:ind w:firstLine="640" w:firstLineChars="200"/>
        <w:jc w:val="left"/>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六</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北京首都国际机场</w:t>
      </w:r>
      <w:r>
        <w:rPr>
          <w:rFonts w:hint="eastAsia" w:ascii="仿宋_GB2312" w:hAnsi="仿宋_GB2312" w:eastAsia="仿宋_GB2312" w:cs="仿宋_GB2312"/>
          <w:color w:val="000000"/>
          <w:sz w:val="32"/>
          <w:szCs w:val="32"/>
          <w:highlight w:val="none"/>
          <w:lang w:val="en-US" w:eastAsia="zh-CN"/>
        </w:rPr>
        <w:t>三号航站楼内，在公共区域内经营的，每10个摊位可设置1个零售点，每区每层</w:t>
      </w:r>
      <w:r>
        <w:rPr>
          <w:rFonts w:hint="eastAsia" w:ascii="仿宋_GB2312" w:hAnsi="仿宋_GB2312" w:eastAsia="仿宋_GB2312" w:cs="仿宋_GB2312"/>
          <w:color w:val="000000"/>
          <w:sz w:val="32"/>
          <w:szCs w:val="32"/>
          <w:highlight w:val="none"/>
        </w:rPr>
        <w:t>零售点总数最多</w:t>
      </w:r>
      <w:r>
        <w:rPr>
          <w:rFonts w:hint="eastAsia" w:ascii="仿宋_GB2312" w:hAnsi="仿宋_GB2312" w:eastAsia="仿宋_GB2312" w:cs="仿宋_GB2312"/>
          <w:color w:val="000000"/>
          <w:sz w:val="32"/>
          <w:szCs w:val="32"/>
          <w:highlight w:val="none"/>
          <w:lang w:val="en-US" w:eastAsia="zh-CN"/>
        </w:rPr>
        <w:t>不超过8个，三号航站楼</w:t>
      </w:r>
      <w:r>
        <w:rPr>
          <w:rFonts w:hint="eastAsia" w:ascii="仿宋_GB2312" w:hAnsi="仿宋_GB2312" w:eastAsia="仿宋_GB2312" w:cs="仿宋_GB2312"/>
          <w:color w:val="000000"/>
          <w:sz w:val="32"/>
          <w:szCs w:val="32"/>
          <w:highlight w:val="none"/>
        </w:rPr>
        <w:t>零售点总数最多</w:t>
      </w:r>
      <w:r>
        <w:rPr>
          <w:rFonts w:hint="eastAsia" w:ascii="仿宋_GB2312" w:hAnsi="仿宋_GB2312" w:eastAsia="仿宋_GB2312" w:cs="仿宋_GB2312"/>
          <w:color w:val="000000"/>
          <w:sz w:val="32"/>
          <w:szCs w:val="32"/>
          <w:highlight w:val="none"/>
          <w:lang w:val="en-US" w:eastAsia="zh-CN"/>
        </w:rPr>
        <w:t>不超过20个。</w:t>
      </w:r>
      <w:r>
        <w:rPr>
          <w:rFonts w:hint="eastAsia" w:ascii="仿宋_GB2312" w:hAnsi="仿宋_GB2312" w:eastAsia="仿宋_GB2312" w:cs="仿宋_GB2312"/>
          <w:color w:val="000000"/>
          <w:sz w:val="32"/>
          <w:szCs w:val="32"/>
          <w:highlight w:val="none"/>
        </w:rPr>
        <w:t>与最近零售点间距应达到</w:t>
      </w:r>
      <w:r>
        <w:rPr>
          <w:rFonts w:hint="eastAsia" w:ascii="仿宋_GB2312" w:hAnsi="仿宋_GB2312" w:eastAsia="仿宋_GB2312" w:cs="仿宋_GB2312"/>
          <w:color w:val="000000"/>
          <w:sz w:val="32"/>
          <w:szCs w:val="32"/>
          <w:highlight w:val="none"/>
          <w:lang w:val="en-US" w:eastAsia="zh-CN"/>
        </w:rPr>
        <w:t>80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p>
    <w:p w14:paraId="252FFE8E">
      <w:pPr>
        <w:snapToGrid w:val="0"/>
        <w:spacing w:line="540" w:lineRule="exact"/>
        <w:ind w:firstLine="640" w:firstLineChars="200"/>
        <w:jc w:val="left"/>
        <w:rPr>
          <w:rFonts w:hint="default"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szCs w:val="32"/>
          <w:highlight w:val="none"/>
          <w:lang w:val="en-US" w:eastAsia="zh-CN"/>
        </w:rPr>
        <w:t>七</w:t>
      </w:r>
      <w:r>
        <w:rPr>
          <w:rFonts w:hint="eastAsia" w:ascii="仿宋_GB2312" w:hAnsi="仿宋_GB2312" w:eastAsia="仿宋_GB2312" w:cs="仿宋_GB2312"/>
          <w:color w:val="000000"/>
          <w:sz w:val="32"/>
          <w:szCs w:val="32"/>
          <w:highlight w:val="none"/>
        </w:rPr>
        <w:t>）镇中心区、镇乡结合区、特殊区域、乡中心区、村庄，位于一层临街且面向外部经营的商铺，按照户籍数量计算，每200户人口可设置1个零售点，零售点总数最多不超过10个</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户籍数量不足200户的，可设置1个零售点</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以经营烟酒及预包装食品为主业的，与最近零售点间距应达到</w:t>
      </w:r>
      <w:r>
        <w:rPr>
          <w:rFonts w:hint="eastAsia" w:ascii="仿宋_GB2312" w:hAnsi="仿宋_GB2312" w:eastAsia="仿宋_GB2312" w:cs="仿宋_GB2312"/>
          <w:color w:val="000000"/>
          <w:sz w:val="32"/>
          <w:szCs w:val="32"/>
          <w:highlight w:val="none"/>
          <w:lang w:val="en-US" w:eastAsia="zh-CN"/>
        </w:rPr>
        <w:t>150</w:t>
      </w:r>
      <w:r>
        <w:rPr>
          <w:rFonts w:hint="eastAsia" w:ascii="仿宋_GB2312" w:hAnsi="仿宋_GB2312" w:eastAsia="仿宋_GB2312" w:cs="仿宋_GB2312"/>
          <w:color w:val="000000"/>
          <w:sz w:val="32"/>
          <w:szCs w:val="32"/>
          <w:highlight w:val="none"/>
        </w:rPr>
        <w:t>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color w:val="000000"/>
          <w:sz w:val="32"/>
          <w:szCs w:val="32"/>
          <w:highlight w:val="none"/>
        </w:rPr>
        <w:t>与最近零售点间距应达到300米以上</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本款与第八条其他各项在数量上独立执行。</w:t>
      </w:r>
    </w:p>
    <w:p w14:paraId="37ECB8C8">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第九条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特殊情形规定：</w:t>
      </w:r>
    </w:p>
    <w:p w14:paraId="15FFAF2D">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（一）具有下列情形之一的，经营场所与已存在零售点间距按照第六条、第八条规定的间距标准的50%给予照顾：</w:t>
      </w:r>
    </w:p>
    <w:p w14:paraId="56AD2604">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1.因道路规划、城市建设等客观原因造成无法在核定经营地址经营，自情形发生之日起至原许可证有效期届满后30日内，原经营主体变更或重新申请办理烟草专卖零售许可证的；</w:t>
      </w:r>
    </w:p>
    <w:p w14:paraId="3C360D4E">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2.因客观原因造成经营场所位于</w:t>
      </w:r>
      <w:r>
        <w:rPr>
          <w:rFonts w:hint="eastAsia" w:ascii="仿宋_GB2312" w:hAnsi="仿宋_GB2312" w:eastAsia="仿宋_GB2312" w:cs="仿宋_GB2312"/>
          <w:color w:val="000000"/>
          <w:sz w:val="32"/>
          <w:szCs w:val="32"/>
          <w:highlight w:val="none"/>
          <w:lang w:val="en-US" w:eastAsia="zh-CN"/>
        </w:rPr>
        <w:t>中小</w:t>
      </w:r>
      <w:r>
        <w:rPr>
          <w:rFonts w:hint="eastAsia" w:ascii="仿宋_GB2312" w:hAnsi="仿宋_GB2312" w:eastAsia="仿宋_GB2312" w:cs="仿宋_GB2312"/>
          <w:color w:val="000000"/>
          <w:sz w:val="32"/>
          <w:szCs w:val="32"/>
          <w:highlight w:val="none"/>
        </w:rPr>
        <w:t>学校、幼儿园、少年宫周边的限制区域，自情形发生之日起至原许可证有效期届满后30日内，原经营主体重新申请办理烟草专卖零售许可证的；</w:t>
      </w:r>
    </w:p>
    <w:p w14:paraId="3C060554">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3.未及时申请烟草专卖零售许可证延续，原许可证有效期届满后30日内，原经营主体在原经营地址重新申请办理烟草专卖零售许可证的；</w:t>
      </w:r>
    </w:p>
    <w:p w14:paraId="0C3E1442">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4.符合《北京市连锁便利店行业规范（试行）》，在北京市范围内连锁门店总数达50家以上的品牌连锁便利店、超市；</w:t>
      </w:r>
    </w:p>
    <w:p w14:paraId="3F525ACE">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5.具有北京市户籍的残疾人、特困户、低保户、伤残军人、烈属等特殊群体，具有完全民事行为能力，本人注册的营业执照企业类型为个体的，持法定有效证件，该经营主体申请设置的第一个零售点。</w:t>
      </w:r>
      <w:r>
        <w:rPr>
          <w:rFonts w:hint="eastAsia" w:ascii="仿宋_GB2312" w:hAnsi="仿宋_GB2312" w:eastAsia="仿宋_GB2312" w:cs="仿宋_GB2312"/>
          <w:color w:val="000000"/>
          <w:sz w:val="32"/>
          <w:szCs w:val="32"/>
          <w:highlight w:val="none"/>
          <w:lang w:val="en-US" w:eastAsia="zh-CN"/>
        </w:rPr>
        <w:t>按本目设置的零售点不再适用本规定第九条第二项第二目的特殊情形。</w:t>
      </w:r>
    </w:p>
    <w:p w14:paraId="22BEC86C">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（二）具有下列情形之一的，可以不受一般性间距、数量的布局条件限制：</w:t>
      </w:r>
    </w:p>
    <w:p w14:paraId="190CB90E">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烟草专卖零售许可证核定的经营主体为自然人，自然人死亡或者丧失民事行为能力，自情形发生之日起至原许可证有效期届满后90日内，其直系亲属（包括父母、配偶、子女）在原经营地址继续经营的。符合申领条件的直系亲属有多人提交新办申请的，按照受理的先后顺序作出处理；</w:t>
      </w:r>
    </w:p>
    <w:p w14:paraId="4C96324D">
      <w:pPr>
        <w:snapToGrid w:val="0"/>
        <w:spacing w:line="540" w:lineRule="exact"/>
        <w:ind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零售点经营主体类型从个体工商户变更为公司的，且统一社会信用代码不变、原零售点经营者与变更后的法定代表人为同一自然人的，自情形发生之日起至原许可证有效期届满前，在原经营地址重新申请办理烟草专卖零售许可证的。</w:t>
      </w:r>
    </w:p>
    <w:p w14:paraId="40C42CE0">
      <w:pPr>
        <w:snapToGrid w:val="0"/>
        <w:spacing w:line="540" w:lineRule="exact"/>
        <w:ind w:firstLine="640" w:firstLineChars="200"/>
        <w:jc w:val="left"/>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属于本规定其他类业态的，不适用第九条所规定的特殊情形。</w:t>
      </w:r>
    </w:p>
    <w:p w14:paraId="1AE628F6">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第十条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color w:val="000000"/>
          <w:sz w:val="32"/>
          <w:szCs w:val="32"/>
          <w:highlight w:val="none"/>
        </w:rPr>
        <w:t>已合法持有烟草专卖零售许可证的零售户，在许可</w:t>
      </w:r>
    </w:p>
    <w:p w14:paraId="78139D44">
      <w:pPr>
        <w:snapToGrid w:val="0"/>
        <w:spacing w:line="540" w:lineRule="exact"/>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证有效期内不受本规定中零售点规划布局调整的影响。</w:t>
      </w:r>
    </w:p>
    <w:p w14:paraId="1AA523F3">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持证人办理延续申请，属于按本规定不予设置零售点的，不予延续。</w:t>
      </w:r>
    </w:p>
    <w:p w14:paraId="166A8BFE">
      <w:pPr>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黑体" w:hAnsi="黑体" w:eastAsia="黑体" w:cs="黑体"/>
          <w:color w:val="000000"/>
          <w:sz w:val="32"/>
          <w:szCs w:val="32"/>
          <w:highlight w:val="none"/>
        </w:rPr>
        <w:t>第十一条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sz w:val="32"/>
          <w:szCs w:val="32"/>
          <w:highlight w:val="none"/>
        </w:rPr>
        <w:t>本规定未明确界定的区域，或者按照有关条款无法辨明适用布局标准的区域，以经营烟酒及预包装食品为主业的，与最近零售点间距应达到150米以上；其他类业态，与最近零售点间距应达到300米以上，该区域零售点总数最多不超过10个。</w:t>
      </w:r>
    </w:p>
    <w:p w14:paraId="7D4E8F09">
      <w:pPr>
        <w:snapToGrid w:val="0"/>
        <w:spacing w:line="540" w:lineRule="exact"/>
        <w:ind w:firstLine="640" w:firstLineChars="200"/>
        <w:jc w:val="left"/>
        <w:rPr>
          <w:rFonts w:hint="eastAsia" w:ascii="仿宋_GB2312" w:hAnsi="仿宋_GB2312" w:eastAsia="仿宋_GB2312" w:cs="仿宋_GB2312"/>
          <w:sz w:val="32"/>
          <w:szCs w:val="32"/>
          <w:highlight w:val="none"/>
          <w:lang w:val="en-US" w:eastAsia="zh-CN"/>
        </w:rPr>
      </w:pPr>
      <w:r>
        <w:rPr>
          <w:rFonts w:hint="eastAsia" w:ascii="黑体" w:hAnsi="黑体" w:eastAsia="黑体" w:cs="黑体"/>
          <w:color w:val="000000"/>
          <w:sz w:val="32"/>
          <w:szCs w:val="32"/>
          <w:highlight w:val="none"/>
          <w:lang w:val="en-US" w:eastAsia="zh-CN"/>
        </w:rPr>
        <w:t xml:space="preserve">第十二条 </w:t>
      </w:r>
      <w:r>
        <w:rPr>
          <w:rFonts w:hint="eastAsia" w:ascii="仿宋_GB2312" w:hAnsi="仿宋_GB2312" w:eastAsia="仿宋_GB2312" w:cs="仿宋_GB2312"/>
          <w:sz w:val="32"/>
          <w:szCs w:val="32"/>
          <w:highlight w:val="none"/>
        </w:rPr>
        <w:t>本规定</w:t>
      </w:r>
      <w:r>
        <w:rPr>
          <w:rFonts w:hint="eastAsia" w:ascii="仿宋_GB2312" w:hAnsi="仿宋_GB2312" w:eastAsia="仿宋_GB2312" w:cs="仿宋_GB2312"/>
          <w:sz w:val="32"/>
          <w:szCs w:val="32"/>
          <w:highlight w:val="none"/>
          <w:lang w:val="en-US" w:eastAsia="zh-CN"/>
        </w:rPr>
        <w:t>所称的“</w:t>
      </w:r>
      <w:r>
        <w:rPr>
          <w:rFonts w:hint="eastAsia" w:ascii="仿宋_GB2312" w:hAnsi="仿宋_GB2312" w:eastAsia="仿宋_GB2312" w:cs="仿宋_GB2312"/>
          <w:color w:val="000000"/>
          <w:sz w:val="32"/>
          <w:szCs w:val="32"/>
          <w:highlight w:val="none"/>
          <w:lang w:val="en-US" w:eastAsia="zh-CN"/>
        </w:rPr>
        <w:t>其他类业态</w:t>
      </w:r>
      <w:r>
        <w:rPr>
          <w:rFonts w:hint="eastAsia" w:ascii="仿宋_GB2312" w:hAnsi="仿宋_GB2312" w:eastAsia="仿宋_GB2312" w:cs="仿宋_GB2312"/>
          <w:sz w:val="32"/>
          <w:szCs w:val="32"/>
          <w:highlight w:val="none"/>
          <w:lang w:val="en-US" w:eastAsia="zh-CN"/>
        </w:rPr>
        <w:t>”是指</w:t>
      </w:r>
      <w:r>
        <w:rPr>
          <w:rFonts w:hint="eastAsia" w:ascii="仿宋_GB2312" w:hAnsi="仿宋_GB2312" w:eastAsia="仿宋_GB2312" w:cs="仿宋_GB2312"/>
          <w:color w:val="000000"/>
          <w:sz w:val="32"/>
          <w:szCs w:val="32"/>
        </w:rPr>
        <w:t>不以经营烟酒及预包装食品为主业，且与烟草制品零售业务没有直接或间接互补营销关系的业态类型</w:t>
      </w:r>
      <w:r>
        <w:rPr>
          <w:rFonts w:hint="eastAsia" w:ascii="仿宋_GB2312" w:hAnsi="仿宋_GB2312" w:eastAsia="仿宋_GB2312" w:cs="仿宋_GB2312"/>
          <w:color w:val="000000"/>
          <w:sz w:val="32"/>
          <w:szCs w:val="32"/>
          <w:highlight w:val="none"/>
        </w:rPr>
        <w:t>，包括但不限于餐饮娱乐住宿（属于第七条第三项的除外）、咖啡厅、烘焙制品店、酒吧、KTV、会所、棋牌室、球类场所、健身场所、电影院、美容美发、化妆美甲、按摩推拿、药妆医械、五金建材、建筑装潢、中西药店、宠物店、办公用品、文化体育用品、音像制品、家电家具、通信器材、通信业务服务、网吧、金融证券、彩票店、钟表眼镜、仪器仪表、饰品珠宝、修理修配、寄递配送、物流企业、洗涤护理、服装首饰、鞋帽箱包、针纺织品、广告设计、花卉殡葬、种植养殖、中介服务、寄卖典当、奢侈品店、古董店、汽车相关（维修、销售、洗车、保养等）、照相馆、成人用品店、茶馆、洗浴中心、干果干货店、土（水）特产、生鲜水果店等专业性较强的经营场所</w:t>
      </w:r>
      <w:r>
        <w:rPr>
          <w:rFonts w:hint="eastAsia" w:ascii="仿宋_GB2312" w:hAnsi="仿宋_GB2312" w:eastAsia="仿宋_GB2312" w:cs="仿宋_GB2312"/>
          <w:color w:val="000000"/>
          <w:sz w:val="32"/>
          <w:szCs w:val="32"/>
          <w:highlight w:val="none"/>
          <w:lang w:eastAsia="zh-CN"/>
        </w:rPr>
        <w:t>。</w:t>
      </w:r>
    </w:p>
    <w:p w14:paraId="33FBE2DB">
      <w:pPr>
        <w:adjustRightInd w:val="0"/>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第十</w:t>
      </w:r>
      <w:r>
        <w:rPr>
          <w:rFonts w:hint="eastAsia" w:ascii="黑体" w:hAnsi="黑体" w:eastAsia="黑体" w:cs="黑体"/>
          <w:color w:val="000000"/>
          <w:sz w:val="32"/>
          <w:szCs w:val="32"/>
          <w:highlight w:val="none"/>
          <w:lang w:val="en-US" w:eastAsia="zh-CN"/>
        </w:rPr>
        <w:t>三</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sz w:val="32"/>
          <w:szCs w:val="32"/>
          <w:highlight w:val="none"/>
        </w:rPr>
        <w:t>本规定所称的“固定经营场所”是指可对消费者完全开放的商品销售和商品存储场所，由砖墙、钢筋混凝土等材料建成封闭且不可移动的合法建筑，不包括违法建筑、流动摊点、报刊亭、活动板房、临时建筑物等，也不包含无实际商品展卖、无烟草制品展卖的场所。</w:t>
      </w:r>
    </w:p>
    <w:p w14:paraId="1F7A15BC">
      <w:pPr>
        <w:adjustRightInd w:val="0"/>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黑体" w:hAnsi="黑体" w:eastAsia="黑体" w:cs="黑体"/>
          <w:color w:val="000000"/>
          <w:sz w:val="32"/>
          <w:szCs w:val="32"/>
          <w:highlight w:val="none"/>
        </w:rPr>
        <w:t>第十</w:t>
      </w:r>
      <w:r>
        <w:rPr>
          <w:rFonts w:hint="eastAsia" w:ascii="黑体" w:hAnsi="黑体" w:eastAsia="黑体" w:cs="黑体"/>
          <w:color w:val="000000"/>
          <w:sz w:val="32"/>
          <w:szCs w:val="32"/>
          <w:highlight w:val="none"/>
          <w:lang w:val="en-US" w:eastAsia="zh-CN"/>
        </w:rPr>
        <w:t>四</w:t>
      </w:r>
      <w:r>
        <w:rPr>
          <w:rFonts w:hint="eastAsia" w:ascii="黑体" w:hAnsi="黑体" w:eastAsia="黑体" w:cs="黑体"/>
          <w:color w:val="000000"/>
          <w:sz w:val="32"/>
          <w:szCs w:val="32"/>
          <w:highlight w:val="none"/>
        </w:rPr>
        <w:t>条</w:t>
      </w:r>
      <w:r>
        <w:rPr>
          <w:rFonts w:hint="eastAsia" w:ascii="黑体" w:hAnsi="黑体" w:eastAsia="黑体" w:cs="黑体"/>
          <w:color w:val="000000"/>
          <w:sz w:val="32"/>
          <w:szCs w:val="32"/>
          <w:highlight w:val="none"/>
          <w:lang w:val="en-US" w:eastAsia="zh-CN"/>
        </w:rPr>
        <w:t xml:space="preserve"> </w:t>
      </w:r>
      <w:r>
        <w:rPr>
          <w:rFonts w:hint="eastAsia" w:ascii="仿宋_GB2312" w:hAnsi="仿宋_GB2312" w:eastAsia="仿宋_GB2312" w:cs="仿宋_GB2312"/>
          <w:sz w:val="32"/>
          <w:szCs w:val="32"/>
          <w:highlight w:val="none"/>
        </w:rPr>
        <w:t>本规定所称的“与住所相独立”是指从事烟草制品销售、存储的经营场所与居住场所之间，从空间上相分离，无出入口相连通，从物理特性上有实体墙阻隔，有明确的区域界限。</w:t>
      </w:r>
    </w:p>
    <w:p w14:paraId="6054FDD1">
      <w:pPr>
        <w:adjustRightInd w:val="0"/>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经营场所不能将经营区与其他区域完全相独立的，如前后、左右、上下与门相联通的隔间、阁楼、仓库、房间等，均视其为经营场所。</w:t>
      </w:r>
    </w:p>
    <w:p w14:paraId="42125419">
      <w:pPr>
        <w:widowControl/>
        <w:spacing w:line="540" w:lineRule="exact"/>
        <w:ind w:firstLine="640" w:firstLineChars="200"/>
        <w:jc w:val="left"/>
        <w:rPr>
          <w:rFonts w:hint="eastAsia" w:ascii="仿宋_GB2312" w:hAnsi="仿宋_GB2312" w:eastAsia="仿宋_GB2312" w:cs="仿宋_GB2312"/>
          <w:sz w:val="32"/>
          <w:szCs w:val="32"/>
          <w:highlight w:val="yellow"/>
        </w:rPr>
      </w:pPr>
      <w:r>
        <w:rPr>
          <w:rFonts w:hint="eastAsia" w:ascii="黑体" w:hAnsi="黑体" w:eastAsia="黑体" w:cs="黑体"/>
          <w:color w:val="000000"/>
          <w:sz w:val="32"/>
          <w:szCs w:val="32"/>
          <w:highlight w:val="none"/>
        </w:rPr>
        <w:t>第十</w:t>
      </w:r>
      <w:r>
        <w:rPr>
          <w:rFonts w:hint="eastAsia" w:ascii="黑体" w:hAnsi="黑体" w:eastAsia="黑体" w:cs="黑体"/>
          <w:color w:val="000000"/>
          <w:sz w:val="32"/>
          <w:szCs w:val="32"/>
          <w:highlight w:val="none"/>
          <w:lang w:val="en-US" w:eastAsia="zh-CN"/>
        </w:rPr>
        <w:t>五</w:t>
      </w:r>
      <w:r>
        <w:rPr>
          <w:rFonts w:hint="eastAsia" w:ascii="黑体" w:hAnsi="黑体" w:eastAsia="黑体" w:cs="黑体"/>
          <w:color w:val="000000"/>
          <w:sz w:val="32"/>
          <w:szCs w:val="32"/>
          <w:highlight w:val="none"/>
        </w:rPr>
        <w:t>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本规定所称的“主城区”、“城乡结合区”、“镇中心区”、“镇乡结合区”、“特殊区域”、“乡中心区”、“村庄”，依据《关于统计上划分城乡的规定》《统计用区划代码和城乡划分代码编制规则》进行划分。</w:t>
      </w:r>
    </w:p>
    <w:p w14:paraId="04678085">
      <w:pPr>
        <w:widowControl/>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黑体" w:hAnsi="黑体" w:eastAsia="黑体" w:cs="黑体"/>
          <w:color w:val="000000"/>
          <w:sz w:val="32"/>
          <w:szCs w:val="32"/>
          <w:highlight w:val="none"/>
        </w:rPr>
        <w:t>第十</w:t>
      </w:r>
      <w:r>
        <w:rPr>
          <w:rFonts w:hint="eastAsia" w:ascii="黑体" w:hAnsi="黑体" w:eastAsia="黑体" w:cs="黑体"/>
          <w:color w:val="000000"/>
          <w:sz w:val="32"/>
          <w:szCs w:val="32"/>
          <w:highlight w:val="none"/>
          <w:lang w:val="en-US" w:eastAsia="zh-CN"/>
        </w:rPr>
        <w:t>六</w:t>
      </w:r>
      <w:r>
        <w:rPr>
          <w:rFonts w:hint="eastAsia" w:ascii="黑体" w:hAnsi="黑体" w:eastAsia="黑体" w:cs="黑体"/>
          <w:color w:val="000000"/>
          <w:sz w:val="32"/>
          <w:szCs w:val="32"/>
          <w:highlight w:val="none"/>
        </w:rPr>
        <w:t>条</w:t>
      </w:r>
      <w:r>
        <w:rPr>
          <w:rFonts w:hint="eastAsia" w:ascii="黑体" w:hAnsi="黑体" w:eastAsia="黑体" w:cs="黑体"/>
          <w:color w:val="000000"/>
          <w:sz w:val="32"/>
          <w:szCs w:val="32"/>
          <w:highlight w:val="none"/>
          <w:lang w:val="en-US" w:eastAsia="zh-CN"/>
        </w:rPr>
        <w:t xml:space="preserve"> </w:t>
      </w:r>
      <w:r>
        <w:rPr>
          <w:rFonts w:hint="eastAsia" w:ascii="仿宋_GB2312" w:hAnsi="仿宋_GB2312" w:eastAsia="仿宋_GB2312" w:cs="仿宋_GB2312"/>
          <w:sz w:val="32"/>
          <w:szCs w:val="32"/>
          <w:highlight w:val="none"/>
        </w:rPr>
        <w:t>本规定所称的“安全因素”，是指生产、经营、储存燃气、化工、油漆、农药、化肥、鞭炮等有毒、有害、易燃、易爆、易挥发类物质等不适宜经营卷烟的影响安全的因素。</w:t>
      </w:r>
    </w:p>
    <w:p w14:paraId="020EF1EC">
      <w:pPr>
        <w:adjustRightInd w:val="0"/>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黑体" w:hAnsi="黑体" w:eastAsia="黑体" w:cs="黑体"/>
          <w:color w:val="000000"/>
          <w:sz w:val="32"/>
          <w:szCs w:val="32"/>
          <w:highlight w:val="none"/>
        </w:rPr>
        <w:t>第十</w:t>
      </w:r>
      <w:r>
        <w:rPr>
          <w:rFonts w:hint="eastAsia" w:ascii="黑体" w:hAnsi="黑体" w:eastAsia="黑体" w:cs="黑体"/>
          <w:color w:val="000000"/>
          <w:sz w:val="32"/>
          <w:szCs w:val="32"/>
          <w:highlight w:val="none"/>
          <w:lang w:val="en-US" w:eastAsia="zh-CN"/>
        </w:rPr>
        <w:t>七</w:t>
      </w:r>
      <w:r>
        <w:rPr>
          <w:rFonts w:hint="eastAsia" w:ascii="黑体" w:hAnsi="黑体" w:eastAsia="黑体" w:cs="黑体"/>
          <w:color w:val="000000"/>
          <w:sz w:val="32"/>
          <w:szCs w:val="32"/>
          <w:highlight w:val="none"/>
        </w:rPr>
        <w:t>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本规定所称的“幼儿园”是指经教育行政管理部门批准或备案的对学龄前幼儿实施教育的机构。</w:t>
      </w:r>
      <w:r>
        <w:rPr>
          <w:rFonts w:hint="eastAsia" w:ascii="仿宋_GB2312" w:hAnsi="仿宋_GB2312" w:eastAsia="仿宋_GB2312" w:cs="仿宋_GB2312"/>
          <w:sz w:val="32"/>
          <w:szCs w:val="32"/>
          <w:highlight w:val="none"/>
          <w:lang w:val="en-US" w:eastAsia="zh-CN"/>
        </w:rPr>
        <w:t>中小</w:t>
      </w:r>
      <w:r>
        <w:rPr>
          <w:rFonts w:hint="eastAsia" w:ascii="仿宋_GB2312" w:hAnsi="仿宋_GB2312" w:eastAsia="仿宋_GB2312" w:cs="仿宋_GB2312"/>
          <w:sz w:val="32"/>
          <w:szCs w:val="32"/>
          <w:highlight w:val="none"/>
        </w:rPr>
        <w:t>学校、幼儿园、少年宫的认定以北京市顺义区教育主管部门的批准或备案为准。</w:t>
      </w:r>
    </w:p>
    <w:p w14:paraId="7CA27571">
      <w:pPr>
        <w:adjustRightInd w:val="0"/>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黑体" w:hAnsi="黑体" w:eastAsia="黑体" w:cs="黑体"/>
          <w:color w:val="000000"/>
          <w:sz w:val="32"/>
          <w:szCs w:val="32"/>
          <w:highlight w:val="none"/>
        </w:rPr>
        <w:t>第十</w:t>
      </w:r>
      <w:r>
        <w:rPr>
          <w:rFonts w:hint="eastAsia" w:ascii="黑体" w:hAnsi="黑体" w:eastAsia="黑体" w:cs="黑体"/>
          <w:color w:val="000000"/>
          <w:sz w:val="32"/>
          <w:szCs w:val="32"/>
          <w:highlight w:val="none"/>
          <w:lang w:val="en-US" w:eastAsia="zh-CN"/>
        </w:rPr>
        <w:t>八</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sz w:val="32"/>
          <w:szCs w:val="32"/>
          <w:highlight w:val="none"/>
        </w:rPr>
        <w:t>本规定中“间距”是指申请者拟从事烟草制品零售业务的经营场所与最近的</w:t>
      </w:r>
      <w:r>
        <w:rPr>
          <w:rFonts w:hint="eastAsia" w:ascii="仿宋_GB2312" w:hAnsi="仿宋_GB2312" w:eastAsia="仿宋_GB2312" w:cs="仿宋_GB2312"/>
          <w:sz w:val="32"/>
          <w:szCs w:val="32"/>
          <w:highlight w:val="none"/>
          <w:lang w:val="en-US" w:eastAsia="zh-CN"/>
        </w:rPr>
        <w:t>中小</w:t>
      </w:r>
      <w:r>
        <w:rPr>
          <w:rFonts w:hint="eastAsia" w:ascii="仿宋_GB2312" w:hAnsi="仿宋_GB2312" w:eastAsia="仿宋_GB2312" w:cs="仿宋_GB2312"/>
          <w:sz w:val="32"/>
          <w:szCs w:val="32"/>
          <w:highlight w:val="none"/>
        </w:rPr>
        <w:t>学校、幼儿园、少年宫或已取得烟草专卖零售许可证的零售点之间的距离。</w:t>
      </w:r>
    </w:p>
    <w:p w14:paraId="50BDE78B">
      <w:pPr>
        <w:adjustRightInd w:val="0"/>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黑体" w:hAnsi="黑体" w:eastAsia="黑体" w:cs="黑体"/>
          <w:color w:val="000000"/>
          <w:sz w:val="32"/>
          <w:szCs w:val="32"/>
          <w:highlight w:val="none"/>
        </w:rPr>
        <w:t>第十</w:t>
      </w:r>
      <w:r>
        <w:rPr>
          <w:rFonts w:hint="eastAsia" w:ascii="黑体" w:hAnsi="黑体" w:eastAsia="黑体" w:cs="黑体"/>
          <w:color w:val="000000"/>
          <w:sz w:val="32"/>
          <w:szCs w:val="32"/>
          <w:highlight w:val="none"/>
          <w:lang w:val="en-US" w:eastAsia="zh-CN"/>
        </w:rPr>
        <w:t>九</w:t>
      </w:r>
      <w:r>
        <w:rPr>
          <w:rFonts w:hint="eastAsia" w:ascii="黑体" w:hAnsi="黑体" w:eastAsia="黑体" w:cs="黑体"/>
          <w:color w:val="000000"/>
          <w:sz w:val="32"/>
          <w:szCs w:val="32"/>
          <w:highlight w:val="none"/>
        </w:rPr>
        <w:t>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本规定中各零售点之间距离的测量，以及零售点与</w:t>
      </w:r>
      <w:r>
        <w:rPr>
          <w:rFonts w:hint="eastAsia" w:ascii="仿宋_GB2312" w:hAnsi="仿宋_GB2312" w:eastAsia="仿宋_GB2312" w:cs="仿宋_GB2312"/>
          <w:sz w:val="32"/>
          <w:szCs w:val="32"/>
          <w:highlight w:val="none"/>
          <w:lang w:val="en-US" w:eastAsia="zh-CN"/>
        </w:rPr>
        <w:t>中小</w:t>
      </w:r>
      <w:r>
        <w:rPr>
          <w:rFonts w:hint="eastAsia" w:ascii="仿宋_GB2312" w:hAnsi="仿宋_GB2312" w:eastAsia="仿宋_GB2312" w:cs="仿宋_GB2312"/>
          <w:sz w:val="32"/>
          <w:szCs w:val="32"/>
          <w:highlight w:val="none"/>
        </w:rPr>
        <w:t>学校、幼儿园、少年宫的距离测量遵循以下规则：</w:t>
      </w:r>
    </w:p>
    <w:p w14:paraId="5FF8AFE2">
      <w:pPr>
        <w:adjustRightInd w:val="0"/>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零售点距离按照行人不违反交通管理规定行走的最短路径进行测量，零售点的测量起始点为消费者正常出入口中间点。申请人申请办理许可证的经营场所有两个及两个以上出入口的，选择零售点间距离最近的出入口作为起始点；</w:t>
      </w:r>
    </w:p>
    <w:p w14:paraId="233F6E69">
      <w:pPr>
        <w:adjustRightInd w:val="0"/>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w:t>
      </w:r>
      <w:r>
        <w:rPr>
          <w:rFonts w:hint="eastAsia" w:ascii="仿宋_GB2312" w:hAnsi="仿宋_GB2312" w:eastAsia="仿宋_GB2312" w:cs="仿宋_GB2312"/>
          <w:sz w:val="32"/>
          <w:szCs w:val="32"/>
          <w:highlight w:val="none"/>
          <w:lang w:val="en-US" w:eastAsia="zh-CN"/>
        </w:rPr>
        <w:t>中小</w:t>
      </w:r>
      <w:r>
        <w:rPr>
          <w:rFonts w:hint="eastAsia" w:ascii="仿宋_GB2312" w:hAnsi="仿宋_GB2312" w:eastAsia="仿宋_GB2312" w:cs="仿宋_GB2312"/>
          <w:sz w:val="32"/>
          <w:szCs w:val="32"/>
          <w:highlight w:val="none"/>
        </w:rPr>
        <w:t>学校、幼儿园、少年宫测量点为未成年人进出通道口的中间点，有多个进出通道口的，选择距离零售点最近的进出通道口作为测量点（不包括消防通道、垃圾通道等）；</w:t>
      </w:r>
    </w:p>
    <w:p w14:paraId="1FAA423B">
      <w:pPr>
        <w:adjustRightInd w:val="0"/>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本规定中距离的测量均为城市步行交通网络的可行间距测量，根据《中华人民共和国道路交通安全法》《中华人民共和国道路交通安全法实施条例》，采用如下测量方法:核查人员应当在人行道内行走，没有人行道的靠路边行走；通过路口或者横过道路，应当走人行横道或过街设施；没有过街设施或人行横道的路段横过道路，应当在确认安全后直行通过；</w:t>
      </w:r>
    </w:p>
    <w:p w14:paraId="4C6DB269">
      <w:pPr>
        <w:adjustRightInd w:val="0"/>
        <w:snapToGrid w:val="0"/>
        <w:spacing w:line="540" w:lineRule="exact"/>
        <w:ind w:firstLine="640" w:firstLineChars="200"/>
        <w:jc w:val="lef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遇到台阶时，应上、下行台阶至出入口，台阶距离予以计算在内；不得穿越隔离护栏、护墙、花坛、花园等不适合行人通行的固定障碍物、建筑物，严禁跨越存在标线、隔离设施的道路；遇到非市政设施、个人或单位自行设置的障碍物、堆积的货物、暂时停放的车辆、临时施工的围挡、无合法手续的路障、可移动的临时障碍物等，绕行距离不予计算。</w:t>
      </w:r>
    </w:p>
    <w:p w14:paraId="2026A5F2">
      <w:pPr>
        <w:snapToGrid w:val="0"/>
        <w:spacing w:line="540" w:lineRule="exact"/>
        <w:ind w:firstLine="640" w:firstLineChars="200"/>
        <w:jc w:val="left"/>
        <w:rPr>
          <w:rFonts w:hint="eastAsia" w:ascii="仿宋_GB2312" w:hAnsi="仿宋_GB2312" w:eastAsia="仿宋_GB2312" w:cs="仿宋_GB2312"/>
          <w:sz w:val="32"/>
          <w:szCs w:val="32"/>
          <w:highlight w:val="none"/>
          <w:lang w:eastAsia="zh-CN"/>
        </w:rPr>
      </w:pPr>
      <w:r>
        <w:rPr>
          <w:rFonts w:hint="eastAsia" w:ascii="黑体" w:hAnsi="黑体" w:eastAsia="黑体" w:cs="黑体"/>
          <w:color w:val="000000"/>
          <w:sz w:val="32"/>
          <w:szCs w:val="32"/>
          <w:highlight w:val="none"/>
        </w:rPr>
        <w:t>第二十条</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本规定中涉及的“以上”、“不超过”包含本数。</w:t>
      </w:r>
    </w:p>
    <w:p w14:paraId="2C0F9B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snapToGrid w:val="0"/>
        <w:spacing w:line="600" w:lineRule="exact"/>
        <w:ind w:firstLine="640" w:firstLineChars="200"/>
        <w:jc w:val="left"/>
        <w:rPr>
          <w:rFonts w:hint="eastAsia" w:ascii="仿宋_GB2312" w:hAnsi="仿宋_GB2312" w:eastAsia="仿宋_GB2312" w:cs="仿宋_GB2312"/>
          <w:sz w:val="32"/>
          <w:szCs w:val="32"/>
          <w:highlight w:val="none"/>
        </w:rPr>
      </w:pPr>
      <w:r>
        <w:rPr>
          <w:rFonts w:hint="eastAsia" w:ascii="黑体" w:hAnsi="黑体" w:eastAsia="黑体" w:cs="黑体"/>
          <w:color w:val="000000"/>
          <w:sz w:val="32"/>
          <w:szCs w:val="32"/>
          <w:highlight w:val="none"/>
        </w:rPr>
        <w:t>第二十</w:t>
      </w:r>
      <w:r>
        <w:rPr>
          <w:rFonts w:hint="eastAsia" w:ascii="黑体" w:hAnsi="黑体" w:eastAsia="黑体" w:cs="黑体"/>
          <w:color w:val="000000"/>
          <w:sz w:val="32"/>
          <w:szCs w:val="32"/>
          <w:highlight w:val="none"/>
          <w:lang w:val="en-US" w:eastAsia="zh-CN"/>
        </w:rPr>
        <w:t>一</w:t>
      </w:r>
      <w:r>
        <w:rPr>
          <w:rFonts w:hint="eastAsia" w:ascii="黑体" w:hAnsi="黑体" w:eastAsia="黑体" w:cs="黑体"/>
          <w:color w:val="000000"/>
          <w:sz w:val="32"/>
          <w:szCs w:val="32"/>
          <w:highlight w:val="none"/>
        </w:rPr>
        <w:t>条</w:t>
      </w:r>
      <w:r>
        <w:rPr>
          <w:rFonts w:hint="eastAsia" w:ascii="黑体" w:hAnsi="黑体" w:eastAsia="黑体" w:cs="黑体"/>
          <w:color w:val="000000"/>
          <w:sz w:val="32"/>
          <w:szCs w:val="32"/>
          <w:highlight w:val="none"/>
          <w:lang w:val="en-US" w:eastAsia="zh-CN"/>
        </w:rPr>
        <w:t xml:space="preserve"> </w:t>
      </w:r>
      <w:r>
        <w:rPr>
          <w:rFonts w:hint="eastAsia" w:ascii="仿宋_GB2312" w:hAnsi="仿宋_GB2312" w:eastAsia="仿宋_GB2312" w:cs="仿宋_GB2312"/>
          <w:sz w:val="32"/>
          <w:szCs w:val="32"/>
          <w:highlight w:val="none"/>
        </w:rPr>
        <w:t>本规定由北京市顺义区烟草专卖局负责解释。</w:t>
      </w:r>
    </w:p>
    <w:p w14:paraId="3D4615D0">
      <w:pPr>
        <w:snapToGrid w:val="0"/>
        <w:spacing w:line="540" w:lineRule="exact"/>
        <w:ind w:firstLine="640" w:firstLineChars="200"/>
        <w:jc w:val="left"/>
        <w:rPr>
          <w:rFonts w:hint="eastAsia" w:ascii="仿宋_GB2312" w:hAnsi="仿宋_GB2312" w:eastAsia="仿宋_GB2312" w:cs="仿宋_GB2312"/>
          <w:color w:val="000000"/>
          <w:sz w:val="32"/>
          <w:szCs w:val="32"/>
          <w:highlight w:val="none"/>
        </w:rPr>
      </w:pPr>
      <w:r>
        <w:rPr>
          <w:rFonts w:hint="eastAsia" w:ascii="黑体" w:hAnsi="黑体" w:eastAsia="黑体" w:cs="黑体"/>
          <w:color w:val="000000"/>
          <w:sz w:val="32"/>
          <w:szCs w:val="32"/>
          <w:highlight w:val="none"/>
        </w:rPr>
        <w:t>第二十</w:t>
      </w:r>
      <w:r>
        <w:rPr>
          <w:rFonts w:hint="eastAsia" w:ascii="黑体" w:hAnsi="黑体" w:eastAsia="黑体" w:cs="黑体"/>
          <w:color w:val="000000"/>
          <w:sz w:val="32"/>
          <w:szCs w:val="32"/>
          <w:highlight w:val="none"/>
          <w:lang w:val="en-US" w:eastAsia="zh-CN"/>
        </w:rPr>
        <w:t>二</w:t>
      </w:r>
      <w:r>
        <w:rPr>
          <w:rFonts w:hint="eastAsia" w:ascii="黑体" w:hAnsi="黑体" w:eastAsia="黑体" w:cs="黑体"/>
          <w:color w:val="000000"/>
          <w:sz w:val="32"/>
          <w:szCs w:val="32"/>
          <w:highlight w:val="none"/>
        </w:rPr>
        <w:t>条</w:t>
      </w:r>
      <w:r>
        <w:rPr>
          <w:rFonts w:hint="eastAsia" w:ascii="仿宋_GB2312" w:hAnsi="仿宋_GB2312" w:eastAsia="仿宋_GB2312" w:cs="仿宋_GB2312"/>
          <w:color w:val="000000"/>
          <w:sz w:val="32"/>
          <w:szCs w:val="32"/>
          <w:highlight w:val="none"/>
          <w:lang w:val="en-US" w:eastAsia="zh-CN"/>
        </w:rPr>
        <w:t xml:space="preserve"> </w:t>
      </w:r>
      <w:r>
        <w:rPr>
          <w:rFonts w:hint="eastAsia" w:ascii="仿宋_GB2312" w:hAnsi="仿宋_GB2312" w:eastAsia="仿宋_GB2312" w:cs="仿宋_GB2312"/>
          <w:sz w:val="32"/>
          <w:szCs w:val="32"/>
          <w:highlight w:val="none"/>
        </w:rPr>
        <w:t>本规定自202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X</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X</w:t>
      </w:r>
      <w:r>
        <w:rPr>
          <w:rFonts w:hint="eastAsia" w:ascii="仿宋_GB2312" w:hAnsi="仿宋_GB2312" w:eastAsia="仿宋_GB2312" w:cs="仿宋_GB2312"/>
          <w:sz w:val="32"/>
          <w:szCs w:val="32"/>
          <w:highlight w:val="none"/>
        </w:rPr>
        <w:t>日起施行</w:t>
      </w:r>
      <w:r>
        <w:rPr>
          <w:rFonts w:hint="eastAsia" w:ascii="仿宋_GB2312" w:hAnsi="仿宋_GB2312" w:eastAsia="仿宋_GB2312" w:cs="仿宋_GB2312"/>
          <w:color w:val="000000"/>
          <w:sz w:val="32"/>
          <w:szCs w:val="32"/>
          <w:highlight w:val="none"/>
        </w:rPr>
        <w:t>。原北京市顺义区烟草专卖局202</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年</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color w:val="000000"/>
          <w:sz w:val="32"/>
          <w:szCs w:val="32"/>
          <w:highlight w:val="none"/>
        </w:rPr>
        <w:t>日印发的《</w:t>
      </w:r>
      <w:r>
        <w:rPr>
          <w:rFonts w:hint="eastAsia" w:ascii="仿宋_GB2312" w:hAnsi="仿宋_GB2312" w:eastAsia="仿宋_GB2312" w:cs="仿宋_GB2312"/>
          <w:sz w:val="32"/>
          <w:szCs w:val="32"/>
          <w:highlight w:val="none"/>
        </w:rPr>
        <w:t>北京市顺义区烟草专卖局烟草制品零售点合理布局规定</w:t>
      </w:r>
      <w:r>
        <w:rPr>
          <w:rFonts w:hint="eastAsia" w:ascii="仿宋_GB2312" w:hAnsi="仿宋_GB2312" w:eastAsia="仿宋_GB2312" w:cs="仿宋_GB2312"/>
          <w:color w:val="000000"/>
          <w:sz w:val="32"/>
          <w:szCs w:val="32"/>
          <w:highlight w:val="none"/>
        </w:rPr>
        <w:t>》（顺烟法〔202</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szCs w:val="32"/>
          <w:highlight w:val="none"/>
        </w:rPr>
        <w:t>〕1号）同时废止。</w:t>
      </w:r>
      <w:bookmarkEnd w:id="0"/>
    </w:p>
    <w:sectPr>
      <w:headerReference r:id="rId3" w:type="default"/>
      <w:footerReference r:id="rId4" w:type="default"/>
      <w:footerReference r:id="rId5" w:type="even"/>
      <w:pgSz w:w="11906" w:h="16838"/>
      <w:pgMar w:top="2098" w:right="1531" w:bottom="1985" w:left="1531" w:header="851"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7918E">
    <w:pPr>
      <w:pStyle w:val="2"/>
      <w:framePr w:wrap="around" w:vAnchor="text" w:hAnchor="margin" w:xAlign="outside" w:y="1"/>
      <w:ind w:right="252" w:rightChars="120"/>
      <w:rPr>
        <w:rStyle w:val="6"/>
        <w:rFonts w:hint="eastAsia" w:ascii="宋体" w:hAnsi="宋体"/>
        <w:sz w:val="28"/>
        <w:szCs w:val="28"/>
      </w:rPr>
    </w:pPr>
    <w:r>
      <w:rPr>
        <w:rStyle w:val="6"/>
        <w:rFonts w:hint="eastAsia" w:ascii="宋体" w:hAnsi="宋体"/>
        <w:sz w:val="28"/>
        <w:szCs w:val="28"/>
      </w:rPr>
      <w:t xml:space="preserve">  — </w:t>
    </w: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10</w:t>
    </w:r>
    <w:r>
      <w:rPr>
        <w:rFonts w:ascii="宋体" w:hAnsi="宋体"/>
        <w:sz w:val="28"/>
        <w:szCs w:val="28"/>
      </w:rPr>
      <w:fldChar w:fldCharType="end"/>
    </w:r>
    <w:r>
      <w:rPr>
        <w:rStyle w:val="6"/>
        <w:rFonts w:hint="eastAsia" w:ascii="宋体" w:hAnsi="宋体"/>
        <w:sz w:val="28"/>
        <w:szCs w:val="28"/>
      </w:rPr>
      <w:t xml:space="preserve"> —</w:t>
    </w:r>
  </w:p>
  <w:p w14:paraId="2D2CEDE7">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E3015">
    <w:pPr>
      <w:pStyle w:val="2"/>
      <w:framePr w:wrap="around" w:vAnchor="text" w:hAnchor="margin" w:xAlign="outside" w:y="1"/>
      <w:rPr>
        <w:rStyle w:val="6"/>
      </w:rPr>
    </w:pPr>
    <w:r>
      <w:fldChar w:fldCharType="begin"/>
    </w:r>
    <w:r>
      <w:rPr>
        <w:rStyle w:val="6"/>
      </w:rPr>
      <w:instrText xml:space="preserve">PAGE  </w:instrText>
    </w:r>
    <w:r>
      <w:fldChar w:fldCharType="end"/>
    </w:r>
  </w:p>
  <w:p w14:paraId="19FF95A7">
    <w:pPr>
      <w:pStyle w:val="2"/>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8623A">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97848"/>
    <w:rsid w:val="06B807E5"/>
    <w:rsid w:val="07013F3A"/>
    <w:rsid w:val="071F0864"/>
    <w:rsid w:val="072B7208"/>
    <w:rsid w:val="08B17BE1"/>
    <w:rsid w:val="08CB2746"/>
    <w:rsid w:val="0A07583C"/>
    <w:rsid w:val="0A2E773B"/>
    <w:rsid w:val="0A4A209B"/>
    <w:rsid w:val="0AA06CE4"/>
    <w:rsid w:val="0AED325F"/>
    <w:rsid w:val="0CB33F00"/>
    <w:rsid w:val="0D474670"/>
    <w:rsid w:val="0DE87C01"/>
    <w:rsid w:val="0E835B7C"/>
    <w:rsid w:val="0FCC601B"/>
    <w:rsid w:val="12D10988"/>
    <w:rsid w:val="15320C2C"/>
    <w:rsid w:val="1B8E55BE"/>
    <w:rsid w:val="1EC90425"/>
    <w:rsid w:val="1EEA12FF"/>
    <w:rsid w:val="202D37ED"/>
    <w:rsid w:val="22246E1F"/>
    <w:rsid w:val="23111ABF"/>
    <w:rsid w:val="23767606"/>
    <w:rsid w:val="23971A56"/>
    <w:rsid w:val="23DA1C5E"/>
    <w:rsid w:val="25577186"/>
    <w:rsid w:val="256E6D39"/>
    <w:rsid w:val="28327F9F"/>
    <w:rsid w:val="28CF1C92"/>
    <w:rsid w:val="2AA003B5"/>
    <w:rsid w:val="2C1D0F66"/>
    <w:rsid w:val="2C9254B0"/>
    <w:rsid w:val="2D517119"/>
    <w:rsid w:val="2D6D752A"/>
    <w:rsid w:val="34367069"/>
    <w:rsid w:val="3439428E"/>
    <w:rsid w:val="34F32864"/>
    <w:rsid w:val="37922808"/>
    <w:rsid w:val="396401D4"/>
    <w:rsid w:val="3AD43138"/>
    <w:rsid w:val="3C3420E0"/>
    <w:rsid w:val="3D235CB1"/>
    <w:rsid w:val="41A16FF8"/>
    <w:rsid w:val="41B810BD"/>
    <w:rsid w:val="42DE0FF8"/>
    <w:rsid w:val="45D109A0"/>
    <w:rsid w:val="466D2A59"/>
    <w:rsid w:val="48952158"/>
    <w:rsid w:val="48BA1BBF"/>
    <w:rsid w:val="4B490FD8"/>
    <w:rsid w:val="4B6D116B"/>
    <w:rsid w:val="4BCB4D2F"/>
    <w:rsid w:val="4CEE2D04"/>
    <w:rsid w:val="4D4C3002"/>
    <w:rsid w:val="51A41618"/>
    <w:rsid w:val="52302391"/>
    <w:rsid w:val="52AD62F0"/>
    <w:rsid w:val="52AE4350"/>
    <w:rsid w:val="53C5380A"/>
    <w:rsid w:val="53E709D1"/>
    <w:rsid w:val="53F87A3F"/>
    <w:rsid w:val="54501629"/>
    <w:rsid w:val="56651C32"/>
    <w:rsid w:val="56ED13B1"/>
    <w:rsid w:val="58070251"/>
    <w:rsid w:val="59290F16"/>
    <w:rsid w:val="5A074538"/>
    <w:rsid w:val="5A92474A"/>
    <w:rsid w:val="5BC621D1"/>
    <w:rsid w:val="5C675762"/>
    <w:rsid w:val="5D105DFA"/>
    <w:rsid w:val="5D347D3A"/>
    <w:rsid w:val="5FBF05CC"/>
    <w:rsid w:val="601700BB"/>
    <w:rsid w:val="609B00D0"/>
    <w:rsid w:val="621C0D9D"/>
    <w:rsid w:val="623C4F9B"/>
    <w:rsid w:val="62F26858"/>
    <w:rsid w:val="630A5099"/>
    <w:rsid w:val="63302D52"/>
    <w:rsid w:val="64457D00"/>
    <w:rsid w:val="64780205"/>
    <w:rsid w:val="66D64724"/>
    <w:rsid w:val="67611D55"/>
    <w:rsid w:val="67DD0FCE"/>
    <w:rsid w:val="681C3140"/>
    <w:rsid w:val="6AF03E8C"/>
    <w:rsid w:val="6CAB169B"/>
    <w:rsid w:val="6CF22E26"/>
    <w:rsid w:val="6E58315D"/>
    <w:rsid w:val="6EE246E8"/>
    <w:rsid w:val="72343EE1"/>
    <w:rsid w:val="7275610E"/>
    <w:rsid w:val="7346211D"/>
    <w:rsid w:val="74364139"/>
    <w:rsid w:val="76100FC1"/>
    <w:rsid w:val="76766876"/>
    <w:rsid w:val="76D30893"/>
    <w:rsid w:val="7766386B"/>
    <w:rsid w:val="798412AA"/>
    <w:rsid w:val="7A982666"/>
    <w:rsid w:val="7C432B76"/>
    <w:rsid w:val="7C9F7014"/>
    <w:rsid w:val="7D512BE8"/>
    <w:rsid w:val="7EDE14D8"/>
    <w:rsid w:val="7F3948E4"/>
    <w:rsid w:val="7F9D4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4852</Words>
  <Characters>4916</Characters>
  <Lines>0</Lines>
  <Paragraphs>0</Paragraphs>
  <TotalTime>3</TotalTime>
  <ScaleCrop>false</ScaleCrop>
  <LinksUpToDate>false</LinksUpToDate>
  <CharactersWithSpaces>4938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2026-06-08T00:42:00Z</dcterms:created>
  <dc:creator>renxu</dc:creator>
  <cp:lastModifiedBy>Administrator</cp:lastModifiedBy>
  <cp:lastPrinted>2026-06-11T02:37:00Z</cp:lastPrinted>
  <dcterms:modified xsi:type="dcterms:W3CDTF">2026-08-19T05:53:08Z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eyJoZGlkIjoiNmNkYTNmYmM5ZmIxYTk0MmVkNGZkNTUwOTNkNTM5OWEiLCJ1c2VySWQiOiIxNTgyNzYzMjgyIn0=</vt:lpwstr>
  </property>
  <property fmtid="{D5CDD505-2E9C-101B-9397-08002B2CF9AE}" pid="4" name="ICV">
    <vt:lpwstr>ACC95FFDA9F24F3B85A0E0A9BA60AA42_13</vt:lpwstr>
  </property>
</Properties>
</file>