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0" w:line="680" w:lineRule="exact"/>
        <w:jc w:val="center"/>
        <w:rPr>
          <w:rFonts w:ascii="方正小标宋简体" w:hAnsi="楷体_GB2312" w:eastAsia="方正小标宋简体" w:cs="楷体_GB2312"/>
          <w:color w:val="000000"/>
          <w:kern w:val="2"/>
          <w:sz w:val="44"/>
          <w:szCs w:val="44"/>
          <w:lang w:eastAsia="zh-CN"/>
        </w:rPr>
      </w:pPr>
      <w:bookmarkStart w:id="0" w:name="北京市大兴区十五五时期文化和旅游高质量发展规划"/>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r>
        <w:rPr>
          <w:rFonts w:ascii="方正小标宋简体" w:hAnsi="楷体_GB2312" w:eastAsia="方正小标宋简体" w:cs="楷体_GB2312"/>
          <w:color w:val="000000"/>
          <w:kern w:val="2"/>
          <w:sz w:val="44"/>
          <w:szCs w:val="44"/>
          <w:lang w:eastAsia="zh-CN"/>
        </w:rPr>
        <w:t>北京市大兴区“十五五”时期文化和旅游高质量发展规划</w:t>
      </w:r>
      <w:bookmarkEnd w:id="0"/>
    </w:p>
    <w:p>
      <w:pPr>
        <w:widowControl w:val="0"/>
        <w:spacing w:after="0" w:line="680" w:lineRule="exact"/>
        <w:jc w:val="center"/>
        <w:rPr>
          <w:rFonts w:ascii="仿宋_GB2312" w:hAnsi="楷体_GB2312" w:eastAsia="仿宋_GB2312" w:cs="楷体_GB2312"/>
          <w:color w:val="000000"/>
          <w:kern w:val="2"/>
          <w:sz w:val="32"/>
          <w:szCs w:val="32"/>
          <w:lang w:eastAsia="zh-CN"/>
        </w:rPr>
      </w:pPr>
      <w:r>
        <w:rPr>
          <w:rFonts w:hint="eastAsia" w:ascii="仿宋_GB2312" w:hAnsi="楷体_GB2312" w:eastAsia="仿宋_GB2312" w:cs="楷体_GB2312"/>
          <w:color w:val="000000"/>
          <w:kern w:val="2"/>
          <w:sz w:val="32"/>
          <w:szCs w:val="32"/>
          <w:lang w:eastAsia="zh-CN"/>
        </w:rPr>
        <w:t>（征求意见稿）</w:t>
      </w: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line="680" w:lineRule="exact"/>
        <w:jc w:val="center"/>
        <w:rPr>
          <w:rFonts w:ascii="方正小标宋简体" w:hAnsi="楷体_GB2312" w:eastAsia="方正小标宋简体" w:cs="楷体_GB2312"/>
          <w:color w:val="000000"/>
          <w:kern w:val="2"/>
          <w:sz w:val="44"/>
          <w:szCs w:val="44"/>
          <w:lang w:eastAsia="zh-CN"/>
        </w:rPr>
      </w:pPr>
    </w:p>
    <w:p>
      <w:pPr>
        <w:widowControl w:val="0"/>
        <w:spacing w:after="0"/>
        <w:jc w:val="center"/>
        <w:rPr>
          <w:rFonts w:ascii="黑体" w:hAnsi="黑体" w:eastAsia="黑体"/>
          <w:kern w:val="2"/>
          <w:sz w:val="32"/>
          <w:szCs w:val="32"/>
          <w:lang w:eastAsia="zh-CN"/>
        </w:rPr>
      </w:pPr>
      <w:r>
        <w:rPr>
          <w:rFonts w:ascii="黑体" w:hAnsi="黑体" w:eastAsia="黑体"/>
          <w:kern w:val="2"/>
          <w:sz w:val="32"/>
          <w:szCs w:val="32"/>
          <w:lang w:eastAsia="zh-CN"/>
        </w:rPr>
        <w:t>北京市大兴区文化和旅游局</w:t>
      </w:r>
    </w:p>
    <w:p>
      <w:pPr>
        <w:widowControl w:val="0"/>
        <w:spacing w:after="0"/>
        <w:jc w:val="center"/>
        <w:rPr>
          <w:rFonts w:ascii="黑体" w:hAnsi="黑体" w:eastAsia="黑体"/>
          <w:kern w:val="2"/>
          <w:sz w:val="32"/>
          <w:szCs w:val="32"/>
          <w:lang w:eastAsia="zh-CN"/>
        </w:rPr>
      </w:pPr>
      <w:r>
        <w:rPr>
          <w:rFonts w:ascii="黑体" w:hAnsi="黑体" w:eastAsia="黑体"/>
          <w:kern w:val="2"/>
          <w:sz w:val="32"/>
          <w:szCs w:val="32"/>
          <w:lang w:eastAsia="zh-CN"/>
        </w:rPr>
        <w:t>2026年8月</w:t>
      </w:r>
    </w:p>
    <w:p>
      <w:pPr>
        <w:widowControl w:val="0"/>
        <w:spacing w:after="0"/>
        <w:jc w:val="center"/>
        <w:rPr>
          <w:rFonts w:ascii="黑体" w:hAnsi="黑体" w:eastAsia="黑体"/>
          <w:kern w:val="2"/>
          <w:sz w:val="32"/>
          <w:szCs w:val="32"/>
          <w:lang w:eastAsia="zh-CN"/>
        </w:rPr>
      </w:pPr>
    </w:p>
    <w:p>
      <w:pPr>
        <w:rPr>
          <w:rFonts w:ascii="黑体" w:hAnsi="黑体" w:eastAsia="黑体"/>
          <w:sz w:val="32"/>
          <w:szCs w:val="32"/>
          <w:lang w:eastAsia="zh-CN"/>
        </w:rPr>
      </w:pPr>
    </w:p>
    <w:p>
      <w:pPr>
        <w:tabs>
          <w:tab w:val="center" w:pos="4320"/>
        </w:tabs>
        <w:rPr>
          <w:rFonts w:ascii="黑体" w:hAnsi="黑体" w:eastAsia="黑体"/>
          <w:sz w:val="32"/>
          <w:szCs w:val="32"/>
          <w:lang w:eastAsia="zh-CN"/>
        </w:rPr>
        <w:sectPr>
          <w:footerReference r:id="rId3" w:type="default"/>
          <w:pgSz w:w="12240" w:h="15840"/>
          <w:pgMar w:top="1440" w:right="1800" w:bottom="1440" w:left="1800" w:header="720" w:footer="720" w:gutter="0"/>
          <w:cols w:space="720" w:num="1"/>
          <w:titlePg/>
          <w:docGrid w:linePitch="326" w:charSpace="0"/>
        </w:sectPr>
      </w:pPr>
    </w:p>
    <w:p>
      <w:pPr>
        <w:widowControl w:val="0"/>
        <w:spacing w:after="0"/>
        <w:jc w:val="center"/>
        <w:rPr>
          <w:rFonts w:ascii="黑体" w:hAnsi="黑体" w:eastAsia="黑体"/>
          <w:kern w:val="2"/>
          <w:sz w:val="32"/>
          <w:szCs w:val="32"/>
          <w:lang w:eastAsia="zh-CN"/>
        </w:rPr>
      </w:pPr>
      <w:r>
        <w:rPr>
          <w:rFonts w:hint="eastAsia" w:ascii="黑体" w:hAnsi="黑体" w:eastAsia="黑体"/>
          <w:kern w:val="2"/>
          <w:sz w:val="32"/>
          <w:szCs w:val="32"/>
          <w:lang w:eastAsia="zh-CN"/>
        </w:rPr>
        <w:t xml:space="preserve">目 </w:t>
      </w:r>
      <w:r>
        <w:rPr>
          <w:rFonts w:ascii="黑体" w:hAnsi="黑体" w:eastAsia="黑体"/>
          <w:kern w:val="2"/>
          <w:sz w:val="32"/>
          <w:szCs w:val="32"/>
          <w:lang w:eastAsia="zh-CN"/>
        </w:rPr>
        <w:t xml:space="preserve"> </w:t>
      </w:r>
      <w:r>
        <w:rPr>
          <w:rFonts w:hint="eastAsia" w:ascii="黑体" w:hAnsi="黑体" w:eastAsia="黑体"/>
          <w:kern w:val="2"/>
          <w:sz w:val="32"/>
          <w:szCs w:val="32"/>
          <w:lang w:eastAsia="zh-CN"/>
        </w:rPr>
        <w:t>录</w:t>
      </w:r>
    </w:p>
    <w:p>
      <w:pPr>
        <w:widowControl w:val="0"/>
        <w:spacing w:after="0"/>
        <w:jc w:val="center"/>
        <w:rPr>
          <w:rFonts w:ascii="仿宋_GB2312" w:hAnsi="黑体" w:eastAsia="仿宋_GB2312"/>
          <w:kern w:val="2"/>
          <w:sz w:val="28"/>
          <w:szCs w:val="28"/>
          <w:lang w:eastAsia="zh-CN"/>
        </w:rPr>
      </w:pPr>
    </w:p>
    <w:p>
      <w:pPr>
        <w:pStyle w:val="21"/>
        <w:rPr>
          <w:rFonts w:asciiTheme="minorHAnsi" w:hAnsiTheme="minorHAnsi" w:eastAsiaTheme="minorEastAsia"/>
          <w:b w:val="0"/>
          <w:bCs w:val="0"/>
          <w:kern w:val="2"/>
          <w:sz w:val="21"/>
          <w:szCs w:val="22"/>
        </w:rPr>
      </w:pPr>
      <w:r>
        <w:rPr>
          <w:rFonts w:hint="eastAsia"/>
          <w:kern w:val="2"/>
        </w:rPr>
        <w:fldChar w:fldCharType="begin"/>
      </w:r>
      <w:r>
        <w:rPr>
          <w:rFonts w:hint="eastAsia"/>
          <w:kern w:val="2"/>
        </w:rPr>
        <w:instrText xml:space="preserve"> TOC \o "1-3" \h \z \u </w:instrText>
      </w:r>
      <w:r>
        <w:rPr>
          <w:rFonts w:hint="eastAsia"/>
          <w:kern w:val="2"/>
        </w:rPr>
        <w:fldChar w:fldCharType="separate"/>
      </w:r>
      <w:r>
        <w:fldChar w:fldCharType="begin"/>
      </w:r>
      <w:r>
        <w:instrText xml:space="preserve"> HYPERLINK \l "_Toc237860778" </w:instrText>
      </w:r>
      <w:r>
        <w:fldChar w:fldCharType="separate"/>
      </w:r>
      <w:r>
        <w:rPr>
          <w:rStyle w:val="25"/>
          <w:rFonts w:ascii="黑体" w:eastAsia="黑体"/>
        </w:rPr>
        <w:t>第一章 坚持行稳致远，站上高质量发展新阶段</w:t>
      </w:r>
      <w:r>
        <w:tab/>
      </w:r>
      <w:r>
        <w:fldChar w:fldCharType="begin"/>
      </w:r>
      <w:r>
        <w:instrText xml:space="preserve"> PAGEREF _Toc237860778 \h </w:instrText>
      </w:r>
      <w:r>
        <w:fldChar w:fldCharType="separate"/>
      </w:r>
      <w:r>
        <w:t>4</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"_Toc237860779" </w:instrText>
      </w:r>
      <w:r>
        <w:fldChar w:fldCharType="separate"/>
      </w:r>
      <w:r>
        <w:rPr>
          <w:rStyle w:val="25"/>
          <w:rFonts w:ascii="黑体" w:hAnsi="黑体" w:eastAsia="黑体"/>
          <w:lang w:eastAsia="zh-CN"/>
        </w:rPr>
        <w:t>一、奠定高质量发展坚实基础</w:t>
      </w:r>
      <w:r>
        <w:tab/>
      </w:r>
      <w:r>
        <w:fldChar w:fldCharType="begin"/>
      </w:r>
      <w:r>
        <w:instrText xml:space="preserve"> PAGEREF _Toc237860779 \h </w:instrText>
      </w:r>
      <w:r>
        <w:fldChar w:fldCharType="separate"/>
      </w:r>
      <w:r>
        <w:t>4</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"_Toc237860780" </w:instrText>
      </w:r>
      <w:r>
        <w:fldChar w:fldCharType="separate"/>
      </w:r>
      <w:r>
        <w:rPr>
          <w:rStyle w:val="25"/>
          <w:rFonts w:ascii="黑体" w:hAnsi="黑体" w:eastAsia="黑体"/>
          <w:lang w:eastAsia="zh-CN"/>
        </w:rPr>
        <w:t>二、迎来高质量发展重大机遇</w:t>
      </w:r>
      <w:r>
        <w:tab/>
      </w:r>
      <w:r>
        <w:fldChar w:fldCharType="begin"/>
      </w:r>
      <w:r>
        <w:instrText xml:space="preserve"> PAGEREF _Toc237860780 \h </w:instrText>
      </w:r>
      <w:r>
        <w:fldChar w:fldCharType="separate"/>
      </w:r>
      <w:r>
        <w:t>4</w:t>
      </w:r>
      <w:r>
        <w:fldChar w:fldCharType="end"/>
      </w:r>
      <w:r>
        <w:fldChar w:fldCharType="end"/>
      </w:r>
    </w:p>
    <w:p>
      <w:pPr>
        <w:pStyle w:val="21"/>
        <w:rPr>
          <w:rFonts w:asciiTheme="minorHAnsi" w:hAnsiTheme="minorHAnsi" w:eastAsiaTheme="minorEastAsia"/>
          <w:b w:val="0"/>
          <w:bCs w:val="0"/>
          <w:kern w:val="2"/>
          <w:sz w:val="21"/>
          <w:szCs w:val="22"/>
        </w:rPr>
      </w:pPr>
      <w:r>
        <w:fldChar w:fldCharType="begin"/>
      </w:r>
      <w:r>
        <w:instrText xml:space="preserve"> HYPERLINK \l "_Toc237860781" </w:instrText>
      </w:r>
      <w:r>
        <w:fldChar w:fldCharType="separate"/>
      </w:r>
      <w:r>
        <w:rPr>
          <w:rStyle w:val="25"/>
          <w:rFonts w:ascii="黑体" w:eastAsia="黑体"/>
        </w:rPr>
        <w:t>第二章 落实上位战略，谋划高质量发展新蓝图</w:t>
      </w:r>
      <w:r>
        <w:tab/>
      </w:r>
      <w:r>
        <w:fldChar w:fldCharType="begin"/>
      </w:r>
      <w:r>
        <w:instrText xml:space="preserve"> PAGEREF _Toc237860781 \h </w:instrText>
      </w:r>
      <w:r>
        <w:fldChar w:fldCharType="separate"/>
      </w:r>
      <w:r>
        <w:t>6</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"_Toc237860782" </w:instrText>
      </w:r>
      <w:r>
        <w:fldChar w:fldCharType="separate"/>
      </w:r>
      <w:r>
        <w:rPr>
          <w:rStyle w:val="25"/>
          <w:rFonts w:ascii="黑体" w:hAnsi="黑体" w:eastAsia="黑体"/>
          <w:lang w:eastAsia="zh-CN"/>
        </w:rPr>
        <w:t>一、指导思想</w:t>
      </w:r>
      <w:r>
        <w:tab/>
      </w:r>
      <w:r>
        <w:fldChar w:fldCharType="begin"/>
      </w:r>
      <w:r>
        <w:instrText xml:space="preserve"> PAGEREF _Toc237860782 \h </w:instrText>
      </w:r>
      <w:r>
        <w:fldChar w:fldCharType="separate"/>
      </w:r>
      <w:r>
        <w:t>6</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"_Toc237860783" </w:instrText>
      </w:r>
      <w:r>
        <w:fldChar w:fldCharType="separate"/>
      </w:r>
      <w:r>
        <w:rPr>
          <w:rStyle w:val="25"/>
          <w:rFonts w:ascii="黑体" w:hAnsi="黑体" w:eastAsia="黑体"/>
          <w:lang w:eastAsia="zh-CN"/>
        </w:rPr>
        <w:t>二、发展目标</w:t>
      </w:r>
      <w:r>
        <w:tab/>
      </w:r>
      <w:r>
        <w:fldChar w:fldCharType="begin"/>
      </w:r>
      <w:r>
        <w:instrText xml:space="preserve"> PAGEREF _Toc237860783 \h </w:instrText>
      </w:r>
      <w:r>
        <w:fldChar w:fldCharType="separate"/>
      </w:r>
      <w:r>
        <w:t>6</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"_Toc237860784" </w:instrText>
      </w:r>
      <w:r>
        <w:fldChar w:fldCharType="separate"/>
      </w:r>
      <w:r>
        <w:rPr>
          <w:rStyle w:val="25"/>
          <w:rFonts w:ascii="黑体" w:hAnsi="黑体" w:eastAsia="黑体"/>
          <w:lang w:eastAsia="zh-CN"/>
        </w:rPr>
        <w:t>三、空间布局</w:t>
      </w:r>
      <w:r>
        <w:tab/>
      </w:r>
      <w:r>
        <w:fldChar w:fldCharType="begin"/>
      </w:r>
      <w:r>
        <w:instrText xml:space="preserve"> PAGEREF _Toc237860784 \h </w:instrText>
      </w:r>
      <w:r>
        <w:fldChar w:fldCharType="separate"/>
      </w:r>
      <w:r>
        <w:t>7</w:t>
      </w:r>
      <w:r>
        <w:fldChar w:fldCharType="end"/>
      </w:r>
      <w:r>
        <w:fldChar w:fldCharType="end"/>
      </w:r>
    </w:p>
    <w:p>
      <w:pPr>
        <w:pStyle w:val="21"/>
        <w:rPr>
          <w:rFonts w:asciiTheme="minorHAnsi" w:hAnsiTheme="minorHAnsi" w:eastAsiaTheme="minorEastAsia"/>
          <w:b w:val="0"/>
          <w:bCs w:val="0"/>
          <w:kern w:val="2"/>
          <w:sz w:val="21"/>
          <w:szCs w:val="22"/>
        </w:rPr>
      </w:pPr>
      <w:r>
        <w:fldChar w:fldCharType="begin"/>
      </w:r>
      <w:r>
        <w:instrText xml:space="preserve"> HYPERLINK \l "_Toc237860785" </w:instrText>
      </w:r>
      <w:r>
        <w:fldChar w:fldCharType="separate"/>
      </w:r>
      <w:r>
        <w:rPr>
          <w:rStyle w:val="25"/>
          <w:rFonts w:ascii="黑体" w:eastAsia="黑体"/>
        </w:rPr>
        <w:t>第三章 焕新大兴魅力，构建文旅惠民润城新体系</w:t>
      </w:r>
      <w:r>
        <w:tab/>
      </w:r>
      <w:r>
        <w:fldChar w:fldCharType="begin"/>
      </w:r>
      <w:r>
        <w:instrText xml:space="preserve"> PAGEREF _Toc237860785 \h </w:instrText>
      </w:r>
      <w:r>
        <w:fldChar w:fldCharType="separate"/>
      </w:r>
      <w:r>
        <w:t>9</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"_Toc237860786" </w:instrText>
      </w:r>
      <w:r>
        <w:fldChar w:fldCharType="separate"/>
      </w:r>
      <w:r>
        <w:rPr>
          <w:rStyle w:val="25"/>
          <w:rFonts w:ascii="黑体" w:hAnsi="黑体" w:eastAsia="黑体"/>
          <w:lang w:eastAsia="zh-CN"/>
        </w:rPr>
        <w:t>一、涵养大兴独特文化气质</w:t>
      </w:r>
      <w:r>
        <w:tab/>
      </w:r>
      <w:r>
        <w:fldChar w:fldCharType="begin"/>
      </w:r>
      <w:r>
        <w:instrText xml:space="preserve"> PAGEREF _Toc237860786 \h </w:instrText>
      </w:r>
      <w:r>
        <w:fldChar w:fldCharType="separate"/>
      </w:r>
      <w:r>
        <w:t>9</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"_Toc237860787" </w:instrText>
      </w:r>
      <w:r>
        <w:fldChar w:fldCharType="separate"/>
      </w:r>
      <w:r>
        <w:rPr>
          <w:rStyle w:val="25"/>
          <w:rFonts w:ascii="黑体" w:hAnsi="黑体" w:eastAsia="黑体"/>
          <w:lang w:eastAsia="zh-CN"/>
        </w:rPr>
        <w:t>二、建设京南活力演艺高地</w:t>
      </w:r>
      <w:r>
        <w:tab/>
      </w:r>
      <w:r>
        <w:fldChar w:fldCharType="begin"/>
      </w:r>
      <w:r>
        <w:instrText xml:space="preserve"> PAGEREF _Toc237860787 \h </w:instrText>
      </w:r>
      <w:r>
        <w:fldChar w:fldCharType="separate"/>
      </w:r>
      <w:r>
        <w:t>9</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"_Toc237860788" </w:instrText>
      </w:r>
      <w:r>
        <w:fldChar w:fldCharType="separate"/>
      </w:r>
      <w:r>
        <w:rPr>
          <w:rStyle w:val="25"/>
          <w:rFonts w:ascii="黑体" w:hAnsi="黑体" w:eastAsia="黑体"/>
          <w:lang w:eastAsia="zh-CN"/>
        </w:rPr>
        <w:t>三、提升旅游公共服务能力</w:t>
      </w:r>
      <w:r>
        <w:tab/>
      </w:r>
      <w:r>
        <w:fldChar w:fldCharType="begin"/>
      </w:r>
      <w:r>
        <w:instrText xml:space="preserve"> PAGEREF _Toc237860788 \h </w:instrText>
      </w:r>
      <w:r>
        <w:fldChar w:fldCharType="separate"/>
      </w:r>
      <w:r>
        <w:t>10</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"_Toc237860789" </w:instrText>
      </w:r>
      <w:r>
        <w:fldChar w:fldCharType="separate"/>
      </w:r>
      <w:r>
        <w:rPr>
          <w:rStyle w:val="25"/>
          <w:rFonts w:ascii="黑体" w:hAnsi="黑体" w:eastAsia="黑体"/>
          <w:lang w:eastAsia="zh-CN"/>
        </w:rPr>
        <w:t>四、推进文旅服务革新迭代</w:t>
      </w:r>
      <w:r>
        <w:tab/>
      </w:r>
      <w:r>
        <w:fldChar w:fldCharType="begin"/>
      </w:r>
      <w:r>
        <w:instrText xml:space="preserve"> PAGEREF _Toc237860789 \h </w:instrText>
      </w:r>
      <w:r>
        <w:fldChar w:fldCharType="separate"/>
      </w:r>
      <w:r>
        <w:t>10</w:t>
      </w:r>
      <w:r>
        <w:fldChar w:fldCharType="end"/>
      </w:r>
      <w:r>
        <w:fldChar w:fldCharType="end"/>
      </w:r>
    </w:p>
    <w:p>
      <w:pPr>
        <w:pStyle w:val="21"/>
        <w:rPr>
          <w:rFonts w:asciiTheme="minorHAnsi" w:hAnsiTheme="minorHAnsi" w:eastAsiaTheme="minorEastAsia"/>
          <w:b w:val="0"/>
          <w:bCs w:val="0"/>
          <w:kern w:val="2"/>
          <w:sz w:val="21"/>
          <w:szCs w:val="22"/>
        </w:rPr>
      </w:pPr>
      <w:r>
        <w:fldChar w:fldCharType="begin"/>
      </w:r>
      <w:r>
        <w:instrText xml:space="preserve"> HYPERLINK \l "_Toc237860790" </w:instrText>
      </w:r>
      <w:r>
        <w:fldChar w:fldCharType="separate"/>
      </w:r>
      <w:r>
        <w:rPr>
          <w:rStyle w:val="25"/>
          <w:rFonts w:ascii="黑体" w:eastAsia="黑体"/>
        </w:rPr>
        <w:t>第四章 坚持文博兴城，打造文化遗产保护利用新生态</w:t>
      </w:r>
      <w:r>
        <w:tab/>
      </w:r>
      <w:r>
        <w:fldChar w:fldCharType="begin"/>
      </w:r>
      <w:r>
        <w:instrText xml:space="preserve"> PAGEREF _Toc237860790 \h </w:instrText>
      </w:r>
      <w:r>
        <w:fldChar w:fldCharType="separate"/>
      </w:r>
      <w:r>
        <w:t>11</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"_Toc237860791" </w:instrText>
      </w:r>
      <w:r>
        <w:fldChar w:fldCharType="separate"/>
      </w:r>
      <w:r>
        <w:rPr>
          <w:rStyle w:val="25"/>
          <w:rFonts w:ascii="黑体" w:hAnsi="黑体" w:eastAsia="黑体"/>
          <w:lang w:eastAsia="zh-CN"/>
        </w:rPr>
        <w:t>一、加强区域文物资源保护利用</w:t>
      </w:r>
      <w:r>
        <w:tab/>
      </w:r>
      <w:r>
        <w:fldChar w:fldCharType="begin"/>
      </w:r>
      <w:r>
        <w:instrText xml:space="preserve"> PAGEREF _Toc237860791 \h </w:instrText>
      </w:r>
      <w:r>
        <w:fldChar w:fldCharType="separate"/>
      </w:r>
      <w:r>
        <w:t>11</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"_Toc237860792" </w:instrText>
      </w:r>
      <w:r>
        <w:fldChar w:fldCharType="separate"/>
      </w:r>
      <w:r>
        <w:rPr>
          <w:rStyle w:val="25"/>
          <w:rFonts w:ascii="黑体" w:hAnsi="黑体" w:eastAsia="黑体"/>
          <w:lang w:eastAsia="zh-CN"/>
        </w:rPr>
        <w:t>二、推进非遗传承保护和展示传播</w:t>
      </w:r>
      <w:r>
        <w:tab/>
      </w:r>
      <w:r>
        <w:fldChar w:fldCharType="begin"/>
      </w:r>
      <w:r>
        <w:instrText xml:space="preserve"> PAGEREF _Toc237860792 \h </w:instrText>
      </w:r>
      <w:r>
        <w:fldChar w:fldCharType="separate"/>
      </w:r>
      <w:r>
        <w:t>11</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"_Toc237860793" </w:instrText>
      </w:r>
      <w:r>
        <w:fldChar w:fldCharType="separate"/>
      </w:r>
      <w:r>
        <w:rPr>
          <w:rStyle w:val="25"/>
          <w:rFonts w:ascii="黑体" w:hAnsi="黑体" w:eastAsia="黑体"/>
          <w:lang w:eastAsia="zh-CN"/>
        </w:rPr>
        <w:t>三、提升大兴区文博兴城水平</w:t>
      </w:r>
      <w:r>
        <w:tab/>
      </w:r>
      <w:r>
        <w:fldChar w:fldCharType="begin"/>
      </w:r>
      <w:r>
        <w:instrText xml:space="preserve"> PAGEREF _Toc237860793 \h </w:instrText>
      </w:r>
      <w:r>
        <w:fldChar w:fldCharType="separate"/>
      </w:r>
      <w:r>
        <w:t>11</w:t>
      </w:r>
      <w:r>
        <w:fldChar w:fldCharType="end"/>
      </w:r>
      <w:r>
        <w:fldChar w:fldCharType="end"/>
      </w:r>
    </w:p>
    <w:p>
      <w:pPr>
        <w:pStyle w:val="21"/>
        <w:rPr>
          <w:rFonts w:asciiTheme="minorHAnsi" w:hAnsiTheme="minorHAnsi" w:eastAsiaTheme="minorEastAsia"/>
          <w:b w:val="0"/>
          <w:bCs w:val="0"/>
          <w:kern w:val="2"/>
          <w:sz w:val="21"/>
          <w:szCs w:val="22"/>
        </w:rPr>
      </w:pPr>
      <w:r>
        <w:fldChar w:fldCharType="begin"/>
      </w:r>
      <w:r>
        <w:instrText xml:space="preserve"> HYPERLINK \l "_Toc237860794" </w:instrText>
      </w:r>
      <w:r>
        <w:fldChar w:fldCharType="separate"/>
      </w:r>
      <w:r>
        <w:rPr>
          <w:rStyle w:val="25"/>
          <w:rFonts w:ascii="黑体" w:eastAsia="黑体"/>
        </w:rPr>
        <w:t>第五章 聚焦休闲度假，建设首都文化旅游新磁极</w:t>
      </w:r>
      <w:r>
        <w:tab/>
      </w:r>
      <w:r>
        <w:fldChar w:fldCharType="begin"/>
      </w:r>
      <w:r>
        <w:instrText xml:space="preserve"> PAGEREF _Toc237860794 \h </w:instrText>
      </w:r>
      <w:r>
        <w:fldChar w:fldCharType="separate"/>
      </w:r>
      <w:r>
        <w:t>13</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"_Toc237860795" </w:instrText>
      </w:r>
      <w:r>
        <w:fldChar w:fldCharType="separate"/>
      </w:r>
      <w:r>
        <w:rPr>
          <w:rStyle w:val="25"/>
          <w:rFonts w:ascii="黑体" w:hAnsi="黑体" w:eastAsia="黑体"/>
          <w:lang w:eastAsia="zh-CN"/>
        </w:rPr>
        <w:t>一、建设首都平原休闲会客厅</w:t>
      </w:r>
      <w:r>
        <w:tab/>
      </w:r>
      <w:r>
        <w:fldChar w:fldCharType="begin"/>
      </w:r>
      <w:r>
        <w:instrText xml:space="preserve"> PAGEREF _Toc237860795 \h </w:instrText>
      </w:r>
      <w:r>
        <w:fldChar w:fldCharType="separate"/>
      </w:r>
      <w:r>
        <w:t>13</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"_Toc237860796" </w:instrText>
      </w:r>
      <w:r>
        <w:fldChar w:fldCharType="separate"/>
      </w:r>
      <w:r>
        <w:rPr>
          <w:rStyle w:val="25"/>
          <w:rFonts w:ascii="黑体" w:hAnsi="黑体" w:eastAsia="黑体"/>
          <w:lang w:eastAsia="zh-CN"/>
        </w:rPr>
        <w:t>二、打造北京乡村旅游重要支撑</w:t>
      </w:r>
      <w:r>
        <w:tab/>
      </w:r>
      <w:r>
        <w:fldChar w:fldCharType="begin"/>
      </w:r>
      <w:r>
        <w:instrText xml:space="preserve"> PAGEREF _Toc237860796 \h </w:instrText>
      </w:r>
      <w:r>
        <w:fldChar w:fldCharType="separate"/>
      </w:r>
      <w:r>
        <w:t>13</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"_Toc237860797" </w:instrText>
      </w:r>
      <w:r>
        <w:fldChar w:fldCharType="separate"/>
      </w:r>
      <w:r>
        <w:rPr>
          <w:rStyle w:val="25"/>
          <w:rFonts w:ascii="黑体" w:hAnsi="黑体" w:eastAsia="黑体"/>
          <w:lang w:eastAsia="zh-CN"/>
        </w:rPr>
        <w:t>三、强化“一区四镇”休闲度假节点联动</w:t>
      </w:r>
      <w:r>
        <w:tab/>
      </w:r>
      <w:r>
        <w:fldChar w:fldCharType="begin"/>
      </w:r>
      <w:r>
        <w:instrText xml:space="preserve"> PAGEREF _Toc237860797 \h </w:instrText>
      </w:r>
      <w:r>
        <w:fldChar w:fldCharType="separate"/>
      </w:r>
      <w:r>
        <w:t>14</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"_Toc237860798" </w:instrText>
      </w:r>
      <w:r>
        <w:fldChar w:fldCharType="separate"/>
      </w:r>
      <w:r>
        <w:rPr>
          <w:rStyle w:val="25"/>
          <w:rFonts w:ascii="黑体" w:hAnsi="黑体" w:eastAsia="黑体"/>
          <w:lang w:eastAsia="zh-CN"/>
        </w:rPr>
        <w:t>四、创新休闲度假多元体验场景</w:t>
      </w:r>
      <w:r>
        <w:tab/>
      </w:r>
      <w:r>
        <w:fldChar w:fldCharType="begin"/>
      </w:r>
      <w:r>
        <w:instrText xml:space="preserve"> PAGEREF _Toc237860798 \h </w:instrText>
      </w:r>
      <w:r>
        <w:fldChar w:fldCharType="separate"/>
      </w:r>
      <w:r>
        <w:t>15</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"_Toc237860799" </w:instrText>
      </w:r>
      <w:r>
        <w:fldChar w:fldCharType="separate"/>
      </w:r>
      <w:r>
        <w:rPr>
          <w:rStyle w:val="25"/>
          <w:rFonts w:ascii="黑体" w:hAnsi="黑体" w:eastAsia="黑体"/>
          <w:lang w:eastAsia="zh-CN"/>
        </w:rPr>
        <w:t>五、全要素焕新文旅消费配套</w:t>
      </w:r>
      <w:r>
        <w:tab/>
      </w:r>
      <w:r>
        <w:fldChar w:fldCharType="begin"/>
      </w:r>
      <w:r>
        <w:instrText xml:space="preserve"> PAGEREF _Toc237860799 \h </w:instrText>
      </w:r>
      <w:r>
        <w:fldChar w:fldCharType="separate"/>
      </w:r>
      <w:r>
        <w:t>15</w:t>
      </w:r>
      <w:r>
        <w:fldChar w:fldCharType="end"/>
      </w:r>
      <w:r>
        <w:fldChar w:fldCharType="end"/>
      </w:r>
    </w:p>
    <w:p>
      <w:pPr>
        <w:pStyle w:val="21"/>
        <w:rPr>
          <w:rFonts w:asciiTheme="minorHAnsi" w:hAnsiTheme="minorHAnsi" w:eastAsiaTheme="minorEastAsia"/>
          <w:b w:val="0"/>
          <w:bCs w:val="0"/>
          <w:kern w:val="2"/>
          <w:sz w:val="21"/>
          <w:szCs w:val="22"/>
        </w:rPr>
      </w:pPr>
      <w:r>
        <w:fldChar w:fldCharType="begin"/>
      </w:r>
      <w:r>
        <w:instrText xml:space="preserve"> HYPERLINK \l "_Toc237860800" </w:instrText>
      </w:r>
      <w:r>
        <w:fldChar w:fldCharType="separate"/>
      </w:r>
      <w:r>
        <w:rPr>
          <w:rStyle w:val="25"/>
          <w:rFonts w:ascii="黑体" w:eastAsia="黑体"/>
        </w:rPr>
        <w:t>第六章 坚持精治善管，探索文旅综合治理新路径</w:t>
      </w:r>
      <w:r>
        <w:tab/>
      </w:r>
      <w:r>
        <w:fldChar w:fldCharType="begin"/>
      </w:r>
      <w:r>
        <w:instrText xml:space="preserve"> PAGEREF _Toc237860800 \h </w:instrText>
      </w:r>
      <w:r>
        <w:fldChar w:fldCharType="separate"/>
      </w:r>
      <w:r>
        <w:t>17</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"_Toc237860801" </w:instrText>
      </w:r>
      <w:r>
        <w:fldChar w:fldCharType="separate"/>
      </w:r>
      <w:r>
        <w:rPr>
          <w:rStyle w:val="25"/>
          <w:rFonts w:ascii="黑体" w:hAnsi="黑体" w:eastAsia="黑体"/>
          <w:lang w:eastAsia="zh-CN"/>
        </w:rPr>
        <w:t>一、提升文旅市场综合治理能力</w:t>
      </w:r>
      <w:r>
        <w:tab/>
      </w:r>
      <w:r>
        <w:fldChar w:fldCharType="begin"/>
      </w:r>
      <w:r>
        <w:instrText xml:space="preserve"> PAGEREF _Toc237860801 \h </w:instrText>
      </w:r>
      <w:r>
        <w:fldChar w:fldCharType="separate"/>
      </w:r>
      <w:r>
        <w:t>17</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"_Toc237860802" </w:instrText>
      </w:r>
      <w:r>
        <w:fldChar w:fldCharType="separate"/>
      </w:r>
      <w:r>
        <w:rPr>
          <w:rStyle w:val="25"/>
          <w:rFonts w:ascii="黑体" w:hAnsi="黑体" w:eastAsia="黑体"/>
          <w:lang w:eastAsia="zh-CN"/>
        </w:rPr>
        <w:t>二、营造文明好客的旅游氛围</w:t>
      </w:r>
      <w:r>
        <w:tab/>
      </w:r>
      <w:r>
        <w:fldChar w:fldCharType="begin"/>
      </w:r>
      <w:r>
        <w:instrText xml:space="preserve"> PAGEREF _Toc237860802 \h </w:instrText>
      </w:r>
      <w:r>
        <w:fldChar w:fldCharType="separate"/>
      </w:r>
      <w:r>
        <w:t>17</w:t>
      </w:r>
      <w:r>
        <w:fldChar w:fldCharType="end"/>
      </w:r>
      <w:r>
        <w:fldChar w:fldCharType="end"/>
      </w:r>
    </w:p>
    <w:p>
      <w:pPr>
        <w:pStyle w:val="21"/>
        <w:rPr>
          <w:rFonts w:asciiTheme="minorHAnsi" w:hAnsiTheme="minorHAnsi" w:eastAsiaTheme="minorEastAsia"/>
          <w:b w:val="0"/>
          <w:bCs w:val="0"/>
          <w:kern w:val="2"/>
          <w:sz w:val="21"/>
          <w:szCs w:val="22"/>
        </w:rPr>
      </w:pPr>
      <w:r>
        <w:fldChar w:fldCharType="begin"/>
      </w:r>
      <w:r>
        <w:instrText xml:space="preserve"> HYPERLINK \l "_Toc237860803" </w:instrText>
      </w:r>
      <w:r>
        <w:fldChar w:fldCharType="separate"/>
      </w:r>
      <w:r>
        <w:rPr>
          <w:rStyle w:val="25"/>
          <w:rFonts w:ascii="黑体" w:eastAsia="黑体"/>
        </w:rPr>
        <w:t>第七章 加强规划实施保障</w:t>
      </w:r>
      <w:r>
        <w:tab/>
      </w:r>
      <w:r>
        <w:fldChar w:fldCharType="begin"/>
      </w:r>
      <w:r>
        <w:instrText xml:space="preserve"> PAGEREF _Toc237860803 \h </w:instrText>
      </w:r>
      <w:r>
        <w:fldChar w:fldCharType="separate"/>
      </w:r>
      <w:r>
        <w:t>18</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"_Toc237860804" </w:instrText>
      </w:r>
      <w:r>
        <w:fldChar w:fldCharType="separate"/>
      </w:r>
      <w:r>
        <w:rPr>
          <w:rStyle w:val="25"/>
          <w:rFonts w:ascii="黑体" w:hAnsi="黑体" w:eastAsia="黑体"/>
          <w:lang w:eastAsia="zh-CN"/>
        </w:rPr>
        <w:t>一、加强组织领导与统筹协调</w:t>
      </w:r>
      <w:r>
        <w:tab/>
      </w:r>
      <w:r>
        <w:fldChar w:fldCharType="begin"/>
      </w:r>
      <w:r>
        <w:instrText xml:space="preserve"> PAGEREF _Toc237860804 \h </w:instrText>
      </w:r>
      <w:r>
        <w:fldChar w:fldCharType="separate"/>
      </w:r>
      <w:r>
        <w:t>18</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"_Toc237860805" </w:instrText>
      </w:r>
      <w:r>
        <w:fldChar w:fldCharType="separate"/>
      </w:r>
      <w:r>
        <w:rPr>
          <w:rStyle w:val="25"/>
          <w:rFonts w:ascii="黑体" w:hAnsi="黑体" w:eastAsia="黑体"/>
          <w:lang w:eastAsia="zh-CN"/>
        </w:rPr>
        <w:t>二、加大政策扶持与资金投入</w:t>
      </w:r>
      <w:r>
        <w:tab/>
      </w:r>
      <w:r>
        <w:fldChar w:fldCharType="begin"/>
      </w:r>
      <w:r>
        <w:instrText xml:space="preserve"> PAGEREF _Toc237860805 \h </w:instrText>
      </w:r>
      <w:r>
        <w:fldChar w:fldCharType="separate"/>
      </w:r>
      <w:r>
        <w:t>18</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"_Toc237860806" </w:instrText>
      </w:r>
      <w:r>
        <w:fldChar w:fldCharType="separate"/>
      </w:r>
      <w:r>
        <w:rPr>
          <w:rStyle w:val="25"/>
          <w:rFonts w:ascii="黑体" w:hAnsi="黑体" w:eastAsia="黑体"/>
          <w:lang w:eastAsia="zh-CN"/>
        </w:rPr>
        <w:t>三、协调重大项目有序推进</w:t>
      </w:r>
      <w:r>
        <w:tab/>
      </w:r>
      <w:r>
        <w:fldChar w:fldCharType="begin"/>
      </w:r>
      <w:r>
        <w:instrText xml:space="preserve"> PAGEREF _Toc237860806 \h </w:instrText>
      </w:r>
      <w:r>
        <w:fldChar w:fldCharType="separate"/>
      </w:r>
      <w:r>
        <w:t>18</w:t>
      </w:r>
      <w:r>
        <w:fldChar w:fldCharType="end"/>
      </w:r>
      <w:r>
        <w:fldChar w:fldCharType="end"/>
      </w:r>
    </w:p>
    <w:p>
      <w:pPr>
        <w:pStyle w:val="14"/>
        <w:tabs>
          <w:tab w:val="right" w:leader="dot" w:pos="8630"/>
        </w:tabs>
        <w:ind w:left="960"/>
        <w:rPr>
          <w:kern w:val="2"/>
          <w:sz w:val="21"/>
          <w:szCs w:val="22"/>
          <w:lang w:eastAsia="zh-CN"/>
        </w:rPr>
      </w:pPr>
      <w:r>
        <w:fldChar w:fldCharType="begin"/>
      </w:r>
      <w:r>
        <w:instrText xml:space="preserve"> HYPERLINK \l "_Toc237860807" </w:instrText>
      </w:r>
      <w:r>
        <w:fldChar w:fldCharType="separate"/>
      </w:r>
      <w:r>
        <w:rPr>
          <w:rStyle w:val="25"/>
          <w:rFonts w:ascii="黑体" w:hAnsi="黑体" w:eastAsia="黑体"/>
          <w:lang w:eastAsia="zh-CN"/>
        </w:rPr>
        <w:t>四、加强文化和旅游人才培养</w:t>
      </w:r>
      <w:r>
        <w:tab/>
      </w:r>
      <w:r>
        <w:fldChar w:fldCharType="begin"/>
      </w:r>
      <w:r>
        <w:instrText xml:space="preserve"> PAGEREF _Toc237860807 \h </w:instrText>
      </w:r>
      <w:r>
        <w:fldChar w:fldCharType="separate"/>
      </w:r>
      <w:r>
        <w:t>18</w:t>
      </w:r>
      <w:r>
        <w:fldChar w:fldCharType="end"/>
      </w:r>
      <w:r>
        <w:fldChar w:fldCharType="end"/>
      </w:r>
    </w:p>
    <w:p>
      <w:pPr>
        <w:widowControl w:val="0"/>
        <w:spacing w:after="0"/>
        <w:jc w:val="center"/>
        <w:rPr>
          <w:rFonts w:ascii="黑体" w:hAnsi="黑体" w:eastAsia="黑体"/>
          <w:kern w:val="2"/>
          <w:sz w:val="32"/>
          <w:szCs w:val="32"/>
          <w:lang w:eastAsia="zh-CN"/>
        </w:rPr>
      </w:pPr>
      <w:r>
        <w:rPr>
          <w:rFonts w:hint="eastAsia" w:ascii="仿宋_GB2312" w:hAnsi="黑体" w:eastAsia="仿宋_GB2312"/>
          <w:kern w:val="2"/>
          <w:sz w:val="28"/>
          <w:szCs w:val="28"/>
          <w:lang w:eastAsia="zh-CN"/>
        </w:rPr>
        <w:fldChar w:fldCharType="end"/>
      </w:r>
      <w:r>
        <w:rPr>
          <w:rFonts w:hint="eastAsia" w:ascii="黑体" w:hAnsi="黑体" w:eastAsia="黑体"/>
          <w:kern w:val="2"/>
          <w:sz w:val="32"/>
          <w:szCs w:val="32"/>
          <w:lang w:eastAsia="zh-CN"/>
        </w:rPr>
        <w:t xml:space="preserve"> </w:t>
      </w:r>
    </w:p>
    <w:p>
      <w:pPr>
        <w:pStyle w:val="4"/>
        <w:widowControl w:val="0"/>
        <w:spacing w:before="260" w:after="260" w:line="360" w:lineRule="auto"/>
        <w:jc w:val="center"/>
        <w:rPr>
          <w:rFonts w:ascii="黑体" w:hAnsi="黑体" w:eastAsia="黑体"/>
          <w:bCs w:val="0"/>
          <w:color w:val="000000" w:themeColor="text1"/>
          <w:sz w:val="32"/>
          <w:szCs w:val="20"/>
          <w:lang w:eastAsia="zh-CN"/>
        </w:rPr>
        <w:sectPr>
          <w:pgSz w:w="12240" w:h="15840"/>
          <w:pgMar w:top="1440" w:right="1800" w:bottom="1440" w:left="1800" w:header="720" w:footer="720" w:gutter="0"/>
          <w:pgNumType w:start="1"/>
          <w:cols w:space="720" w:num="1"/>
        </w:sectPr>
      </w:pPr>
      <w:bookmarkStart w:id="1" w:name="第一章-坚持行稳致远站上高质量发展新阶段"/>
    </w:p>
    <w:p>
      <w:pPr>
        <w:pStyle w:val="4"/>
        <w:widowControl w:val="0"/>
        <w:spacing w:before="260" w:after="260" w:line="360" w:lineRule="auto"/>
        <w:jc w:val="center"/>
        <w:rPr>
          <w:rFonts w:ascii="黑体" w:hAnsi="黑体" w:eastAsia="黑体"/>
          <w:bCs w:val="0"/>
          <w:color w:val="000000" w:themeColor="text1"/>
          <w:sz w:val="32"/>
          <w:szCs w:val="20"/>
          <w:lang w:eastAsia="zh-CN"/>
        </w:rPr>
      </w:pPr>
      <w:bookmarkStart w:id="2" w:name="_Toc237860778"/>
      <w:r>
        <w:rPr>
          <w:rFonts w:ascii="黑体" w:hAnsi="黑体" w:eastAsia="黑体"/>
          <w:bCs w:val="0"/>
          <w:color w:val="000000" w:themeColor="text1"/>
          <w:sz w:val="32"/>
          <w:szCs w:val="20"/>
          <w:lang w:eastAsia="zh-CN"/>
        </w:rPr>
        <w:t>第一章 坚持行稳致远，站上高质量发展新阶段</w:t>
      </w:r>
      <w:bookmarkEnd w:id="1"/>
      <w:bookmarkEnd w:id="2"/>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3" w:name="一奠定高质量发展坚实基础"/>
      <w:bookmarkStart w:id="4" w:name="_Toc237860779"/>
      <w:r>
        <w:rPr>
          <w:rFonts w:ascii="黑体" w:hAnsi="黑体" w:eastAsia="黑体" w:cstheme="minorBidi"/>
          <w:b w:val="0"/>
          <w:bCs w:val="0"/>
          <w:color w:val="000000" w:themeColor="text1"/>
          <w:sz w:val="32"/>
          <w:szCs w:val="20"/>
          <w:lang w:eastAsia="zh-CN"/>
        </w:rPr>
        <w:t>一、奠定高质量发展坚实基础</w:t>
      </w:r>
      <w:bookmarkEnd w:id="3"/>
      <w:bookmarkEnd w:id="4"/>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“十四五”以来，大兴区紧紧围绕“三区一门户”和“国门新城”功能定位，持续推进文化和旅游高质量发展。</w:t>
      </w:r>
      <w:r>
        <w:rPr>
          <w:rFonts w:ascii="仿宋_GB2312" w:hAnsi="仿宋_GB2312" w:eastAsia="仿宋_GB2312" w:cs="仿宋_GB2312"/>
          <w:b/>
          <w:bCs/>
          <w:kern w:val="2"/>
          <w:sz w:val="32"/>
          <w:szCs w:val="32"/>
          <w:lang w:eastAsia="zh-CN"/>
        </w:rPr>
        <w:t>公共文化服务体系健全优化</w:t>
      </w:r>
      <w:r>
        <w:rPr>
          <w:rFonts w:ascii="仿宋_GB2312" w:hAnsi="仿宋_GB2312" w:eastAsia="仿宋_GB2312" w:cs="仿宋_GB2312"/>
          <w:kern w:val="2"/>
          <w:sz w:val="32"/>
          <w:szCs w:val="32"/>
          <w:lang w:eastAsia="zh-CN"/>
        </w:rPr>
        <w:t>，实现区、镇街、村社三级设施全覆盖</w:t>
      </w:r>
      <w:r>
        <w:rPr>
          <w:rFonts w:hint="eastAsia" w:ascii="仿宋_GB2312" w:hAnsi="仿宋_GB2312" w:eastAsia="仿宋_GB2312" w:cs="仿宋_GB2312"/>
          <w:kern w:val="2"/>
          <w:sz w:val="32"/>
          <w:szCs w:val="32"/>
          <w:lang w:eastAsia="zh-CN"/>
        </w:rPr>
        <w:t>，</w:t>
      </w:r>
      <w:r>
        <w:rPr>
          <w:rFonts w:ascii="仿宋_GB2312" w:hAnsi="仿宋_GB2312" w:eastAsia="仿宋_GB2312" w:cs="仿宋_GB2312"/>
          <w:kern w:val="2"/>
          <w:sz w:val="32"/>
          <w:szCs w:val="32"/>
          <w:lang w:eastAsia="zh-CN"/>
        </w:rPr>
        <w:t>年均开展群众文化活动2000余场。</w:t>
      </w:r>
      <w:r>
        <w:rPr>
          <w:rFonts w:ascii="仿宋_GB2312" w:hAnsi="仿宋_GB2312" w:eastAsia="仿宋_GB2312" w:cs="仿宋_GB2312"/>
          <w:b/>
          <w:bCs/>
          <w:kern w:val="2"/>
          <w:sz w:val="32"/>
          <w:szCs w:val="32"/>
          <w:lang w:eastAsia="zh-CN"/>
        </w:rPr>
        <w:t>演艺生态初具规模</w:t>
      </w:r>
      <w:r>
        <w:rPr>
          <w:rFonts w:ascii="仿宋_GB2312" w:hAnsi="仿宋_GB2312" w:eastAsia="仿宋_GB2312" w:cs="仿宋_GB2312"/>
          <w:kern w:val="2"/>
          <w:sz w:val="32"/>
          <w:szCs w:val="32"/>
          <w:lang w:eastAsia="zh-CN"/>
        </w:rPr>
        <w:t>，培育“繁星亦花园”剧场等演艺新空间，打造京南首个开心麻花联名剧场。</w:t>
      </w:r>
      <w:r>
        <w:rPr>
          <w:rFonts w:hint="eastAsia" w:ascii="仿宋_GB2312" w:hAnsi="仿宋_GB2312" w:eastAsia="仿宋_GB2312" w:cs="仿宋_GB2312"/>
          <w:b/>
          <w:bCs/>
          <w:kern w:val="2"/>
          <w:sz w:val="32"/>
          <w:szCs w:val="32"/>
          <w:lang w:eastAsia="zh-CN"/>
        </w:rPr>
        <w:t>遗产保护体系不断健全，</w:t>
      </w:r>
      <w:r>
        <w:rPr>
          <w:rFonts w:ascii="仿宋_GB2312" w:hAnsi="仿宋_GB2312" w:eastAsia="仿宋_GB2312" w:cs="仿宋_GB2312"/>
          <w:kern w:val="2"/>
          <w:sz w:val="32"/>
          <w:szCs w:val="32"/>
          <w:lang w:eastAsia="zh-CN"/>
        </w:rPr>
        <w:t>团河行宫历经十年修复以“一园两馆”重新开园，“曹氏风筝”亮相中非论坛，《高山流水》古琴音乐会送进人民大会堂和大兴机场。</w:t>
      </w:r>
      <w:r>
        <w:rPr>
          <w:rFonts w:hint="eastAsia" w:ascii="仿宋_GB2312" w:hAnsi="仿宋_GB2312" w:eastAsia="仿宋_GB2312" w:cs="仿宋_GB2312"/>
          <w:b/>
          <w:bCs/>
          <w:kern w:val="2"/>
          <w:sz w:val="32"/>
          <w:szCs w:val="32"/>
          <w:lang w:eastAsia="zh-CN"/>
        </w:rPr>
        <w:t>旅游产业发展提质增效</w:t>
      </w:r>
      <w:r>
        <w:rPr>
          <w:rFonts w:hint="eastAsia" w:ascii="仿宋_GB2312" w:hAnsi="仿宋_GB2312" w:eastAsia="仿宋_GB2312" w:cs="仿宋_GB2312"/>
          <w:kern w:val="2"/>
          <w:sz w:val="32"/>
          <w:szCs w:val="32"/>
          <w:lang w:eastAsia="zh-CN"/>
        </w:rPr>
        <w:t>，“十四五”期末（2</w:t>
      </w:r>
      <w:r>
        <w:rPr>
          <w:rFonts w:ascii="仿宋_GB2312" w:hAnsi="仿宋_GB2312" w:eastAsia="仿宋_GB2312" w:cs="仿宋_GB2312"/>
          <w:kern w:val="2"/>
          <w:sz w:val="32"/>
          <w:szCs w:val="32"/>
          <w:lang w:eastAsia="zh-CN"/>
        </w:rPr>
        <w:t>025</w:t>
      </w:r>
      <w:r>
        <w:rPr>
          <w:rFonts w:hint="eastAsia" w:ascii="仿宋_GB2312" w:hAnsi="仿宋_GB2312" w:eastAsia="仿宋_GB2312" w:cs="仿宋_GB2312"/>
          <w:kern w:val="2"/>
          <w:sz w:val="32"/>
          <w:szCs w:val="32"/>
          <w:lang w:eastAsia="zh-CN"/>
        </w:rPr>
        <w:t>年），全区</w:t>
      </w:r>
      <w:r>
        <w:rPr>
          <w:rFonts w:ascii="仿宋_GB2312" w:hAnsi="仿宋_GB2312" w:eastAsia="仿宋_GB2312" w:cs="仿宋_GB2312"/>
          <w:kern w:val="2"/>
          <w:sz w:val="32"/>
          <w:szCs w:val="32"/>
          <w:lang w:eastAsia="zh-CN"/>
        </w:rPr>
        <w:t>旅游总花费和接待人次分别</w:t>
      </w:r>
      <w:r>
        <w:rPr>
          <w:rFonts w:hint="eastAsia" w:ascii="仿宋_GB2312" w:hAnsi="仿宋_GB2312" w:eastAsia="仿宋_GB2312" w:cs="仿宋_GB2312"/>
          <w:kern w:val="2"/>
          <w:sz w:val="32"/>
          <w:szCs w:val="32"/>
          <w:lang w:eastAsia="zh-CN"/>
        </w:rPr>
        <w:t>为</w:t>
      </w:r>
      <w:r>
        <w:rPr>
          <w:rFonts w:ascii="仿宋_GB2312" w:hAnsi="仿宋_GB2312" w:eastAsia="仿宋_GB2312" w:cs="仿宋_GB2312"/>
          <w:kern w:val="2"/>
          <w:sz w:val="32"/>
          <w:szCs w:val="32"/>
          <w:lang w:eastAsia="zh-CN"/>
        </w:rPr>
        <w:t>126.5亿元、785.2万人次。大兴国际旅游度假区纳入北京市主题公园总体布局</w:t>
      </w:r>
      <w:r>
        <w:rPr>
          <w:rFonts w:hint="eastAsia" w:ascii="仿宋_GB2312" w:hAnsi="仿宋_GB2312" w:eastAsia="仿宋_GB2312" w:cs="仿宋_GB2312"/>
          <w:kern w:val="2"/>
          <w:sz w:val="32"/>
          <w:szCs w:val="32"/>
          <w:lang w:eastAsia="zh-CN"/>
        </w:rPr>
        <w:t>，</w:t>
      </w:r>
      <w:r>
        <w:rPr>
          <w:rFonts w:ascii="仿宋_GB2312" w:hAnsi="仿宋_GB2312" w:eastAsia="仿宋_GB2312" w:cs="仿宋_GB2312"/>
          <w:kern w:val="2"/>
          <w:sz w:val="32"/>
          <w:szCs w:val="32"/>
          <w:lang w:eastAsia="zh-CN"/>
        </w:rPr>
        <w:t>三元首都牛奶科普馆等入选市级工业旅游示范点</w:t>
      </w:r>
      <w:r>
        <w:rPr>
          <w:rFonts w:hint="eastAsia" w:ascii="仿宋_GB2312" w:hAnsi="仿宋_GB2312" w:eastAsia="仿宋_GB2312" w:cs="仿宋_GB2312"/>
          <w:kern w:val="2"/>
          <w:sz w:val="32"/>
          <w:szCs w:val="32"/>
          <w:lang w:eastAsia="zh-CN"/>
        </w:rPr>
        <w:t>，产业高质量发展迈出坚实步伐</w:t>
      </w:r>
      <w:r>
        <w:rPr>
          <w:rFonts w:ascii="仿宋_GB2312" w:hAnsi="仿宋_GB2312" w:eastAsia="仿宋_GB2312" w:cs="仿宋_GB2312"/>
          <w:kern w:val="2"/>
          <w:sz w:val="32"/>
          <w:szCs w:val="32"/>
          <w:lang w:eastAsia="zh-CN"/>
        </w:rPr>
        <w:t>。</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5" w:name="_Toc237860780"/>
      <w:bookmarkStart w:id="6" w:name="二迎来高质量发展重大机遇"/>
      <w:r>
        <w:rPr>
          <w:rFonts w:ascii="黑体" w:hAnsi="黑体" w:eastAsia="黑体" w:cstheme="minorBidi"/>
          <w:b w:val="0"/>
          <w:bCs w:val="0"/>
          <w:color w:val="000000" w:themeColor="text1"/>
          <w:sz w:val="32"/>
          <w:szCs w:val="20"/>
          <w:lang w:eastAsia="zh-CN"/>
        </w:rPr>
        <w:t>二、迎来高质量发展重大机遇</w:t>
      </w:r>
      <w:bookmarkEnd w:id="5"/>
      <w:bookmarkEnd w:id="6"/>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7" w:name="一面临新机遇"/>
      <w:r>
        <w:rPr>
          <w:rFonts w:hint="eastAsia" w:ascii="仿宋_GB2312" w:hAnsi="仿宋_GB2312" w:eastAsia="仿宋_GB2312" w:cs="仿宋_GB2312"/>
          <w:b/>
          <w:bCs/>
          <w:kern w:val="2"/>
          <w:sz w:val="32"/>
          <w:szCs w:val="32"/>
          <w:lang w:eastAsia="zh-CN"/>
        </w:rPr>
        <w:t>发展</w:t>
      </w:r>
      <w:r>
        <w:rPr>
          <w:rFonts w:ascii="仿宋_GB2312" w:hAnsi="仿宋_GB2312" w:eastAsia="仿宋_GB2312" w:cs="仿宋_GB2312"/>
          <w:b/>
          <w:bCs/>
          <w:kern w:val="2"/>
          <w:sz w:val="32"/>
          <w:szCs w:val="32"/>
          <w:lang w:eastAsia="zh-CN"/>
        </w:rPr>
        <w:t>机遇</w:t>
      </w:r>
      <w:bookmarkEnd w:id="7"/>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b/>
          <w:bCs/>
          <w:kern w:val="2"/>
          <w:sz w:val="32"/>
          <w:szCs w:val="32"/>
          <w:lang w:eastAsia="zh-CN"/>
        </w:rPr>
        <w:t>从国际环境看</w:t>
      </w:r>
      <w:r>
        <w:rPr>
          <w:rFonts w:ascii="仿宋_GB2312" w:hAnsi="仿宋_GB2312" w:eastAsia="仿宋_GB2312" w:cs="仿宋_GB2312"/>
          <w:kern w:val="2"/>
          <w:sz w:val="32"/>
          <w:szCs w:val="32"/>
          <w:lang w:eastAsia="zh-CN"/>
        </w:rPr>
        <w:t>，全球旅游市场强劲发展，大兴机场作为240小时过境免签热门口岸，航线持续扩容，承接国际旅游发展红利前景广阔，迫切需要提升旅游产品适配性和国际化服务水平。</w:t>
      </w:r>
      <w:r>
        <w:rPr>
          <w:rFonts w:ascii="仿宋_GB2312" w:hAnsi="仿宋_GB2312" w:eastAsia="仿宋_GB2312" w:cs="仿宋_GB2312"/>
          <w:b/>
          <w:bCs/>
          <w:kern w:val="2"/>
          <w:sz w:val="32"/>
          <w:szCs w:val="32"/>
          <w:lang w:eastAsia="zh-CN"/>
        </w:rPr>
        <w:t>从国内环境看</w:t>
      </w:r>
      <w:r>
        <w:rPr>
          <w:rFonts w:ascii="仿宋_GB2312" w:hAnsi="仿宋_GB2312" w:eastAsia="仿宋_GB2312" w:cs="仿宋_GB2312"/>
          <w:kern w:val="2"/>
          <w:sz w:val="32"/>
          <w:szCs w:val="32"/>
          <w:lang w:eastAsia="zh-CN"/>
        </w:rPr>
        <w:t>，文化强国和旅游强国上升为国家战略，数字化、沉浸式新型场景不断涌现，为大兴发展文旅新业态提供方向，也对供给布局和服务品质提出更高要求。</w:t>
      </w:r>
      <w:r>
        <w:rPr>
          <w:rFonts w:ascii="仿宋_GB2312" w:hAnsi="仿宋_GB2312" w:eastAsia="仿宋_GB2312" w:cs="仿宋_GB2312"/>
          <w:b/>
          <w:bCs/>
          <w:kern w:val="2"/>
          <w:sz w:val="32"/>
          <w:szCs w:val="32"/>
          <w:lang w:eastAsia="zh-CN"/>
        </w:rPr>
        <w:t>从市级层面看</w:t>
      </w:r>
      <w:r>
        <w:rPr>
          <w:rFonts w:ascii="仿宋_GB2312" w:hAnsi="仿宋_GB2312" w:eastAsia="仿宋_GB2312" w:cs="仿宋_GB2312"/>
          <w:kern w:val="2"/>
          <w:sz w:val="32"/>
          <w:szCs w:val="32"/>
          <w:lang w:eastAsia="zh-CN"/>
        </w:rPr>
        <w:t>，北京加速建设国际一流旅游城市，推进“演艺之都”和“博物馆之城”建设，大兴须深度融入首都文旅发展大局。</w:t>
      </w:r>
      <w:r>
        <w:rPr>
          <w:rFonts w:ascii="仿宋_GB2312" w:hAnsi="仿宋_GB2312" w:eastAsia="仿宋_GB2312" w:cs="仿宋_GB2312"/>
          <w:b/>
          <w:bCs/>
          <w:kern w:val="2"/>
          <w:sz w:val="32"/>
          <w:szCs w:val="32"/>
          <w:lang w:eastAsia="zh-CN"/>
        </w:rPr>
        <w:t>从区级层面看</w:t>
      </w:r>
      <w:r>
        <w:rPr>
          <w:rFonts w:ascii="仿宋_GB2312" w:hAnsi="仿宋_GB2312" w:eastAsia="仿宋_GB2312" w:cs="仿宋_GB2312"/>
          <w:kern w:val="2"/>
          <w:sz w:val="32"/>
          <w:szCs w:val="32"/>
          <w:lang w:eastAsia="zh-CN"/>
        </w:rPr>
        <w:t>，“6+5+3”产业发展新蓝图为文旅发展提供空间指引，大兴机场流量红利和平原区交通可达性优势，迫切需要构建“全域覆盖、多业态融合”的文旅发展格局。</w:t>
      </w:r>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8" w:name="二正视新问题"/>
      <w:r>
        <w:rPr>
          <w:rFonts w:ascii="仿宋_GB2312" w:hAnsi="仿宋_GB2312" w:eastAsia="仿宋_GB2312" w:cs="仿宋_GB2312"/>
          <w:b/>
          <w:bCs/>
          <w:kern w:val="2"/>
          <w:sz w:val="32"/>
          <w:szCs w:val="32"/>
          <w:lang w:eastAsia="zh-CN"/>
        </w:rPr>
        <w:t>问题</w:t>
      </w:r>
      <w:bookmarkEnd w:id="8"/>
      <w:r>
        <w:rPr>
          <w:rFonts w:hint="eastAsia" w:ascii="仿宋_GB2312" w:hAnsi="仿宋_GB2312" w:eastAsia="仿宋_GB2312" w:cs="仿宋_GB2312"/>
          <w:b/>
          <w:bCs/>
          <w:kern w:val="2"/>
          <w:sz w:val="32"/>
          <w:szCs w:val="32"/>
          <w:lang w:eastAsia="zh-CN"/>
        </w:rPr>
        <w:t>挑战。</w:t>
      </w:r>
      <w:r>
        <w:rPr>
          <w:rFonts w:ascii="仿宋_GB2312" w:hAnsi="仿宋_GB2312" w:eastAsia="仿宋_GB2312" w:cs="仿宋_GB2312"/>
          <w:kern w:val="2"/>
          <w:sz w:val="32"/>
          <w:szCs w:val="32"/>
          <w:lang w:eastAsia="zh-CN"/>
        </w:rPr>
        <w:t>一是旅游产品亟待创新，缺乏沉浸式、互动性体验设计，品牌竞争力不足。二是文旅公共服务亟待完善，基层设施仍有欠缺，国际化、标准化建设水平不够，“吃住行游购娱”要素体系亟待加强。三是旅游品牌有待提升，缺乏全国辨识度的超级IP，“国门新城”文旅内涵挖掘不足，游客认知仍停留在“机场过境地”。</w:t>
      </w:r>
    </w:p>
    <w:p>
      <w:pPr>
        <w:pStyle w:val="4"/>
        <w:widowControl w:val="0"/>
        <w:spacing w:before="260" w:after="260" w:line="360" w:lineRule="auto"/>
        <w:jc w:val="center"/>
        <w:rPr>
          <w:rFonts w:ascii="黑体" w:hAnsi="黑体" w:eastAsia="黑体"/>
          <w:bCs w:val="0"/>
          <w:color w:val="000000" w:themeColor="text1"/>
          <w:sz w:val="32"/>
          <w:szCs w:val="20"/>
          <w:lang w:eastAsia="zh-CN"/>
        </w:rPr>
        <w:sectPr>
          <w:pgSz w:w="12240" w:h="15840"/>
          <w:pgMar w:top="1440" w:right="1800" w:bottom="1440" w:left="1800" w:header="720" w:footer="720" w:gutter="0"/>
          <w:pgNumType w:fmt="numberInDash" w:start="1"/>
          <w:cols w:space="720" w:num="1"/>
        </w:sectPr>
      </w:pPr>
      <w:bookmarkStart w:id="9" w:name="第二章-落实上位战略谋划高质量发展新蓝图"/>
    </w:p>
    <w:p>
      <w:pPr>
        <w:pStyle w:val="4"/>
        <w:widowControl w:val="0"/>
        <w:spacing w:before="260" w:after="260" w:line="360" w:lineRule="auto"/>
        <w:jc w:val="center"/>
        <w:rPr>
          <w:rFonts w:ascii="黑体" w:hAnsi="黑体" w:eastAsia="黑体"/>
          <w:bCs w:val="0"/>
          <w:color w:val="000000" w:themeColor="text1"/>
          <w:sz w:val="32"/>
          <w:szCs w:val="20"/>
          <w:lang w:eastAsia="zh-CN"/>
        </w:rPr>
      </w:pPr>
      <w:bookmarkStart w:id="10" w:name="_Toc237860781"/>
      <w:r>
        <w:rPr>
          <w:rFonts w:ascii="黑体" w:hAnsi="黑体" w:eastAsia="黑体"/>
          <w:bCs w:val="0"/>
          <w:color w:val="000000" w:themeColor="text1"/>
          <w:sz w:val="32"/>
          <w:szCs w:val="20"/>
          <w:lang w:eastAsia="zh-CN"/>
        </w:rPr>
        <w:t>第二章 落实上位战略，谋划高质量发展新蓝图</w:t>
      </w:r>
      <w:bookmarkEnd w:id="9"/>
      <w:bookmarkEnd w:id="10"/>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11" w:name="一指导思想"/>
      <w:bookmarkStart w:id="12" w:name="_Toc237860782"/>
      <w:r>
        <w:rPr>
          <w:rFonts w:ascii="黑体" w:hAnsi="黑体" w:eastAsia="黑体" w:cstheme="minorBidi"/>
          <w:b w:val="0"/>
          <w:bCs w:val="0"/>
          <w:color w:val="000000" w:themeColor="text1"/>
          <w:sz w:val="32"/>
          <w:szCs w:val="20"/>
          <w:lang w:eastAsia="zh-CN"/>
        </w:rPr>
        <w:t>一、指导思想</w:t>
      </w:r>
      <w:bookmarkEnd w:id="11"/>
      <w:bookmarkEnd w:id="12"/>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贯彻落实习近平新时代中国特色社会主义思想和“加快建设旅游强国”重要指示精神，紧紧围绕“繁荣开放国门新城”战略定位，深入贯彻“6+5+3”产业布局，锚定“产业先行、项目为王、干成为王”，以“新国门·兴世界”为主题，以文旅深度融合、高质量发展为主线，以“休闲度假”为抓手，坚持用机场枢纽重构国际文旅流量分配，用平原空间再造首都田园休闲生活方式，用数字科技唤醒京南文化经济价值，精塑“中心主城+美丽乡村+特色小镇”城乡发展格局，打造首都国际交往的平原会客厅和面向世界展示中国式现代化的重要窗口。</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13" w:name="三发展目标"/>
      <w:bookmarkStart w:id="14" w:name="_Toc237860783"/>
      <w:r>
        <w:rPr>
          <w:rFonts w:hint="eastAsia" w:ascii="黑体" w:hAnsi="黑体" w:eastAsia="黑体" w:cstheme="minorBidi"/>
          <w:b w:val="0"/>
          <w:bCs w:val="0"/>
          <w:color w:val="000000" w:themeColor="text1"/>
          <w:sz w:val="32"/>
          <w:szCs w:val="20"/>
          <w:lang w:eastAsia="zh-CN"/>
        </w:rPr>
        <w:t>二</w:t>
      </w:r>
      <w:r>
        <w:rPr>
          <w:rFonts w:ascii="黑体" w:hAnsi="黑体" w:eastAsia="黑体" w:cstheme="minorBidi"/>
          <w:b w:val="0"/>
          <w:bCs w:val="0"/>
          <w:color w:val="000000" w:themeColor="text1"/>
          <w:sz w:val="32"/>
          <w:szCs w:val="20"/>
          <w:lang w:eastAsia="zh-CN"/>
        </w:rPr>
        <w:t>、发展目标</w:t>
      </w:r>
      <w:bookmarkEnd w:id="13"/>
      <w:bookmarkEnd w:id="14"/>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以“国门新城”战略定位为引领，加快文旅供给体系创新，深入推进“文旅+百业”跨界融合，塑造“城市大休闲”和“快周转微度假”氛围，力争五年将大兴建设成为文旅品牌形象突出、旅游产业发展强劲的国际文旅交往新枢纽和首都平原休闲度假新名片。</w:t>
      </w:r>
    </w:p>
    <w:p>
      <w:pPr>
        <w:spacing w:line="560" w:lineRule="exact"/>
        <w:jc w:val="center"/>
        <w:rPr>
          <w:rFonts w:ascii="黑体" w:hAnsi="黑体" w:eastAsia="黑体" w:cs="仿宋_GB2312"/>
          <w:sz w:val="28"/>
          <w:szCs w:val="28"/>
          <w:lang w:eastAsia="zh-CN"/>
        </w:rPr>
      </w:pPr>
      <w:bookmarkStart w:id="15" w:name="四空间布局"/>
      <w:r>
        <w:rPr>
          <w:rFonts w:hint="eastAsia" w:ascii="黑体" w:hAnsi="黑体" w:eastAsia="黑体" w:cs="仿宋_GB2312"/>
          <w:sz w:val="28"/>
          <w:szCs w:val="28"/>
          <w:lang w:eastAsia="zh-CN"/>
        </w:rPr>
        <w:t>大兴区“十五五”时期文化和旅游发展目标指标</w:t>
      </w:r>
    </w:p>
    <w:tbl>
      <w:tblPr>
        <w:tblStyle w:val="23"/>
        <w:tblW w:w="48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
        <w:gridCol w:w="1043"/>
        <w:gridCol w:w="458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912" w:type="pct"/>
            <w:vAlign w:val="center"/>
          </w:tcPr>
          <w:p>
            <w:pPr>
              <w:spacing w:after="0" w:line="560" w:lineRule="exact"/>
              <w:jc w:val="center"/>
              <w:rPr>
                <w:rFonts w:ascii="宋体" w:hAnsi="宋体" w:eastAsia="宋体" w:cs="仿宋_GB2312"/>
                <w:b/>
                <w:bCs/>
                <w:sz w:val="24"/>
                <w:szCs w:val="24"/>
                <w:lang w:eastAsia="zh-CN"/>
              </w:rPr>
            </w:pPr>
            <w:bookmarkStart w:id="16" w:name="OLE_LINK60"/>
            <w:r>
              <w:rPr>
                <w:rFonts w:hint="eastAsia" w:ascii="宋体" w:hAnsi="宋体" w:eastAsia="宋体" w:cs="仿宋_GB2312"/>
                <w:b/>
                <w:bCs/>
                <w:sz w:val="24"/>
                <w:szCs w:val="24"/>
                <w:lang w:eastAsia="zh-CN"/>
              </w:rPr>
              <w:t>类别</w:t>
            </w:r>
          </w:p>
        </w:tc>
        <w:tc>
          <w:tcPr>
            <w:tcW w:w="605" w:type="pct"/>
            <w:vAlign w:val="center"/>
          </w:tcPr>
          <w:p>
            <w:pPr>
              <w:spacing w:after="0" w:line="560" w:lineRule="exact"/>
              <w:jc w:val="center"/>
              <w:rPr>
                <w:rFonts w:ascii="宋体" w:hAnsi="宋体" w:eastAsia="宋体" w:cs="仿宋_GB2312"/>
                <w:b/>
                <w:bCs/>
                <w:sz w:val="24"/>
                <w:szCs w:val="24"/>
                <w:lang w:eastAsia="zh-CN"/>
              </w:rPr>
            </w:pPr>
            <w:r>
              <w:rPr>
                <w:rFonts w:hint="eastAsia" w:ascii="宋体" w:hAnsi="宋体" w:eastAsia="宋体" w:cs="仿宋_GB2312"/>
                <w:b/>
                <w:bCs/>
                <w:sz w:val="24"/>
                <w:szCs w:val="24"/>
                <w:lang w:eastAsia="zh-CN"/>
              </w:rPr>
              <w:t>序号</w:t>
            </w:r>
          </w:p>
        </w:tc>
        <w:tc>
          <w:tcPr>
            <w:tcW w:w="2660" w:type="pct"/>
            <w:vAlign w:val="center"/>
          </w:tcPr>
          <w:p>
            <w:pPr>
              <w:spacing w:after="0" w:line="560" w:lineRule="exact"/>
              <w:jc w:val="center"/>
              <w:rPr>
                <w:rFonts w:ascii="宋体" w:hAnsi="宋体" w:eastAsia="宋体" w:cs="仿宋_GB2312"/>
                <w:b/>
                <w:bCs/>
                <w:sz w:val="24"/>
                <w:szCs w:val="24"/>
                <w:lang w:eastAsia="zh-CN"/>
              </w:rPr>
            </w:pPr>
            <w:r>
              <w:rPr>
                <w:rFonts w:hint="eastAsia" w:ascii="宋体" w:hAnsi="宋体" w:eastAsia="宋体" w:cs="仿宋_GB2312"/>
                <w:b/>
                <w:bCs/>
                <w:sz w:val="24"/>
                <w:szCs w:val="24"/>
                <w:lang w:eastAsia="zh-CN"/>
              </w:rPr>
              <w:t>指标</w:t>
            </w:r>
          </w:p>
        </w:tc>
        <w:tc>
          <w:tcPr>
            <w:tcW w:w="823" w:type="pct"/>
            <w:vAlign w:val="center"/>
          </w:tcPr>
          <w:p>
            <w:pPr>
              <w:spacing w:after="0" w:line="560" w:lineRule="exact"/>
              <w:jc w:val="center"/>
              <w:rPr>
                <w:rFonts w:ascii="宋体" w:hAnsi="宋体" w:eastAsia="宋体" w:cs="仿宋_GB2312"/>
                <w:b/>
                <w:bCs/>
                <w:sz w:val="24"/>
                <w:szCs w:val="24"/>
                <w:lang w:eastAsia="zh-CN"/>
              </w:rPr>
            </w:pPr>
            <w:r>
              <w:rPr>
                <w:rFonts w:hint="eastAsia" w:ascii="宋体" w:hAnsi="宋体" w:eastAsia="宋体" w:cs="仿宋_GB2312"/>
                <w:b/>
                <w:bCs/>
                <w:sz w:val="24"/>
                <w:szCs w:val="24"/>
                <w:lang w:eastAsia="zh-CN"/>
              </w:rPr>
              <w:t>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12" w:type="pct"/>
            <w:vMerge w:val="restart"/>
            <w:vAlign w:val="center"/>
          </w:tcPr>
          <w:p>
            <w:pPr>
              <w:spacing w:after="0" w:line="560" w:lineRule="exact"/>
              <w:jc w:val="center"/>
              <w:rPr>
                <w:rFonts w:ascii="宋体" w:hAnsi="宋体" w:eastAsia="宋体" w:cs="仿宋_GB2312"/>
                <w:b/>
                <w:bCs/>
                <w:sz w:val="24"/>
                <w:szCs w:val="24"/>
                <w:lang w:eastAsia="zh-CN"/>
              </w:rPr>
            </w:pPr>
            <w:r>
              <w:rPr>
                <w:rFonts w:hint="eastAsia" w:ascii="宋体" w:hAnsi="宋体" w:eastAsia="宋体" w:cs="仿宋_GB2312"/>
                <w:b/>
                <w:bCs/>
                <w:sz w:val="24"/>
                <w:szCs w:val="24"/>
                <w:lang w:eastAsia="zh-CN"/>
              </w:rPr>
              <w:t>公共文化与艺术创作</w:t>
            </w:r>
          </w:p>
        </w:tc>
        <w:tc>
          <w:tcPr>
            <w:tcW w:w="605" w:type="pct"/>
            <w:vAlign w:val="center"/>
          </w:tcPr>
          <w:p>
            <w:pPr>
              <w:spacing w:after="0" w:line="560" w:lineRule="exact"/>
              <w:jc w:val="center"/>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p>
        </w:tc>
        <w:tc>
          <w:tcPr>
            <w:tcW w:w="2660" w:type="pct"/>
            <w:vAlign w:val="center"/>
          </w:tcPr>
          <w:p>
            <w:pPr>
              <w:spacing w:after="0" w:line="560" w:lineRule="exact"/>
              <w:rPr>
                <w:rFonts w:ascii="仿宋_GB2312" w:hAnsi="仿宋_GB2312" w:eastAsia="仿宋_GB2312" w:cs="仿宋_GB2312"/>
                <w:sz w:val="24"/>
                <w:szCs w:val="24"/>
                <w:lang w:eastAsia="zh-CN"/>
              </w:rPr>
            </w:pPr>
            <w:r>
              <w:rPr>
                <w:rFonts w:hint="eastAsia" w:ascii="宋体" w:hAnsi="宋体" w:eastAsia="宋体" w:cs="仿宋_GB2312"/>
                <w:sz w:val="24"/>
                <w:szCs w:val="24"/>
                <w:lang w:eastAsia="zh-CN"/>
              </w:rPr>
              <w:t>年均首都市民系列文化活动（场）</w:t>
            </w:r>
          </w:p>
        </w:tc>
        <w:tc>
          <w:tcPr>
            <w:tcW w:w="823" w:type="pct"/>
            <w:vAlign w:val="center"/>
          </w:tcPr>
          <w:p>
            <w:pPr>
              <w:spacing w:after="0" w:line="560" w:lineRule="exact"/>
              <w:jc w:val="center"/>
              <w:rPr>
                <w:rFonts w:ascii="仿宋_GB2312" w:hAnsi="仿宋_GB2312" w:eastAsia="仿宋_GB2312" w:cs="仿宋_GB2312"/>
                <w:sz w:val="24"/>
                <w:szCs w:val="24"/>
                <w:lang w:eastAsia="zh-CN"/>
              </w:rPr>
            </w:pPr>
            <w:r>
              <w:rPr>
                <w:rFonts w:hint="eastAsia" w:ascii="宋体" w:hAnsi="宋体" w:eastAsia="宋体" w:cs="仿宋_GB2312"/>
                <w:color w:val="000000"/>
                <w:sz w:val="24"/>
                <w:szCs w:val="24"/>
                <w:lang w:eastAsia="zh-CN"/>
              </w:rPr>
              <w:t>1</w:t>
            </w:r>
            <w:r>
              <w:rPr>
                <w:rFonts w:ascii="宋体" w:hAnsi="宋体" w:eastAsia="宋体" w:cs="仿宋_GB2312"/>
                <w:color w:val="000000"/>
                <w:sz w:val="24"/>
                <w:szCs w:val="24"/>
                <w:lang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12" w:type="pct"/>
            <w:vMerge w:val="continue"/>
            <w:vAlign w:val="center"/>
          </w:tcPr>
          <w:p>
            <w:pPr>
              <w:spacing w:after="0" w:line="560" w:lineRule="exact"/>
              <w:jc w:val="center"/>
              <w:rPr>
                <w:rFonts w:ascii="宋体" w:hAnsi="宋体" w:eastAsia="宋体" w:cs="仿宋_GB2312"/>
                <w:b/>
                <w:bCs/>
                <w:sz w:val="24"/>
                <w:szCs w:val="24"/>
                <w:lang w:eastAsia="zh-CN"/>
              </w:rPr>
            </w:pP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2</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原创剧目（个）</w:t>
            </w:r>
          </w:p>
        </w:tc>
        <w:tc>
          <w:tcPr>
            <w:tcW w:w="823" w:type="pct"/>
            <w:vAlign w:val="center"/>
          </w:tcPr>
          <w:p>
            <w:pPr>
              <w:spacing w:after="0" w:line="560" w:lineRule="exact"/>
              <w:jc w:val="center"/>
              <w:rPr>
                <w:rFonts w:ascii="宋体" w:hAnsi="宋体" w:eastAsia="宋体" w:cs="仿宋_GB2312"/>
                <w:sz w:val="24"/>
                <w:szCs w:val="24"/>
                <w:lang w:eastAsia="zh-CN"/>
              </w:rPr>
            </w:pPr>
            <w:bookmarkStart w:id="17" w:name="OLE_LINK46"/>
            <w:r>
              <w:rPr>
                <w:rFonts w:hint="eastAsia" w:ascii="宋体" w:hAnsi="宋体" w:eastAsia="宋体" w:cs="仿宋_GB2312"/>
                <w:sz w:val="24"/>
                <w:szCs w:val="24"/>
                <w:lang w:eastAsia="zh-CN"/>
              </w:rPr>
              <w:t>≥</w:t>
            </w:r>
            <w:r>
              <w:rPr>
                <w:rFonts w:ascii="仿宋_GB2312" w:hAnsi="仿宋_GB2312" w:eastAsia="仿宋_GB2312" w:cs="仿宋_GB2312"/>
                <w:sz w:val="24"/>
                <w:szCs w:val="24"/>
                <w:lang w:eastAsia="zh-CN"/>
              </w:rPr>
              <w:t xml:space="preserve">5 </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12" w:type="pct"/>
            <w:vMerge w:val="continue"/>
            <w:vAlign w:val="center"/>
          </w:tcPr>
          <w:p>
            <w:pPr>
              <w:spacing w:after="0" w:line="560" w:lineRule="exact"/>
              <w:jc w:val="center"/>
              <w:rPr>
                <w:rFonts w:ascii="宋体" w:hAnsi="宋体" w:eastAsia="宋体" w:cs="仿宋_GB2312"/>
                <w:b/>
                <w:bCs/>
                <w:sz w:val="24"/>
                <w:szCs w:val="24"/>
                <w:lang w:eastAsia="zh-CN"/>
              </w:rPr>
            </w:pP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3</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新增演艺新空间（个）</w:t>
            </w:r>
          </w:p>
        </w:tc>
        <w:tc>
          <w:tcPr>
            <w:tcW w:w="823"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w:t>
            </w:r>
            <w:r>
              <w:rPr>
                <w:rFonts w:ascii="宋体" w:hAnsi="宋体" w:eastAsia="宋体" w:cs="仿宋_GB2312"/>
                <w:sz w:val="24"/>
                <w:szCs w:val="24"/>
                <w:lang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12" w:type="pct"/>
            <w:vMerge w:val="restart"/>
            <w:vAlign w:val="center"/>
          </w:tcPr>
          <w:p>
            <w:pPr>
              <w:spacing w:after="0" w:line="560" w:lineRule="exact"/>
              <w:jc w:val="center"/>
              <w:rPr>
                <w:rFonts w:ascii="宋体" w:hAnsi="宋体" w:eastAsia="宋体" w:cs="仿宋_GB2312"/>
                <w:b/>
                <w:bCs/>
                <w:sz w:val="24"/>
                <w:szCs w:val="24"/>
                <w:lang w:eastAsia="zh-CN"/>
              </w:rPr>
            </w:pPr>
            <w:r>
              <w:rPr>
                <w:rFonts w:hint="eastAsia" w:ascii="宋体" w:hAnsi="宋体" w:eastAsia="宋体" w:cs="仿宋_GB2312"/>
                <w:b/>
                <w:bCs/>
                <w:sz w:val="24"/>
                <w:szCs w:val="24"/>
                <w:lang w:eastAsia="zh-CN"/>
              </w:rPr>
              <w:t>文旅产品和配套供给</w:t>
            </w: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5</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新增国家旅游度假区（个）</w:t>
            </w:r>
          </w:p>
        </w:tc>
        <w:tc>
          <w:tcPr>
            <w:tcW w:w="823" w:type="pct"/>
            <w:vAlign w:val="center"/>
          </w:tcPr>
          <w:p>
            <w:pPr>
              <w:spacing w:after="0" w:line="560" w:lineRule="exact"/>
              <w:jc w:val="center"/>
              <w:rPr>
                <w:rFonts w:ascii="宋体" w:hAnsi="宋体" w:eastAsia="宋体" w:cs="仿宋_GB2312"/>
                <w:sz w:val="24"/>
                <w:szCs w:val="24"/>
                <w:lang w:eastAsia="zh-CN"/>
              </w:rPr>
            </w:pPr>
            <w:r>
              <w:rPr>
                <w:rFonts w:ascii="宋体" w:hAnsi="宋体" w:eastAsia="宋体" w:cs="仿宋_GB2312"/>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12" w:type="pct"/>
            <w:vMerge w:val="continue"/>
            <w:vAlign w:val="center"/>
          </w:tcPr>
          <w:p>
            <w:pPr>
              <w:spacing w:after="0" w:line="560" w:lineRule="exact"/>
              <w:jc w:val="center"/>
              <w:rPr>
                <w:rFonts w:ascii="宋体" w:hAnsi="宋体" w:eastAsia="宋体" w:cs="仿宋_GB2312"/>
                <w:b/>
                <w:bCs/>
                <w:sz w:val="24"/>
                <w:szCs w:val="24"/>
                <w:lang w:eastAsia="zh-CN"/>
              </w:rPr>
            </w:pP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6</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新增北京乡村休闲旅游重点片区</w:t>
            </w:r>
            <w:r>
              <w:rPr>
                <w:rFonts w:hint="eastAsia" w:ascii="宋体" w:hAnsi="宋体" w:eastAsia="宋体" w:cs="仿宋_GB2312"/>
                <w:color w:val="000000"/>
                <w:sz w:val="24"/>
                <w:szCs w:val="24"/>
                <w:lang w:eastAsia="zh-CN"/>
              </w:rPr>
              <w:t>(</w:t>
            </w:r>
            <w:r>
              <w:rPr>
                <w:rFonts w:hint="eastAsia" w:ascii="宋体" w:hAnsi="宋体" w:eastAsia="宋体" w:cs="仿宋_GB2312"/>
                <w:sz w:val="24"/>
                <w:szCs w:val="24"/>
                <w:lang w:eastAsia="zh-CN"/>
              </w:rPr>
              <w:t>个</w:t>
            </w:r>
            <w:r>
              <w:rPr>
                <w:rFonts w:hint="eastAsia" w:ascii="宋体" w:hAnsi="宋体" w:eastAsia="宋体" w:cs="仿宋_GB2312"/>
                <w:color w:val="000000"/>
                <w:sz w:val="24"/>
                <w:szCs w:val="24"/>
                <w:lang w:eastAsia="zh-CN"/>
              </w:rPr>
              <w:t>)</w:t>
            </w:r>
          </w:p>
        </w:tc>
        <w:tc>
          <w:tcPr>
            <w:tcW w:w="823"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w:t>
            </w:r>
            <w:r>
              <w:rPr>
                <w:rFonts w:ascii="宋体" w:hAnsi="宋体" w:eastAsia="宋体" w:cs="仿宋_GB2312"/>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12" w:type="pct"/>
            <w:vMerge w:val="continue"/>
            <w:vAlign w:val="center"/>
          </w:tcPr>
          <w:p>
            <w:pPr>
              <w:spacing w:after="0" w:line="560" w:lineRule="exact"/>
              <w:jc w:val="center"/>
              <w:rPr>
                <w:rFonts w:ascii="宋体" w:hAnsi="宋体" w:eastAsia="宋体" w:cs="仿宋_GB2312"/>
                <w:b/>
                <w:bCs/>
                <w:sz w:val="24"/>
                <w:szCs w:val="24"/>
                <w:lang w:eastAsia="zh-CN"/>
              </w:rPr>
            </w:pP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7</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新增北京工业旅游示范单位（个）</w:t>
            </w:r>
          </w:p>
        </w:tc>
        <w:tc>
          <w:tcPr>
            <w:tcW w:w="823"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12" w:type="pct"/>
            <w:vMerge w:val="continue"/>
            <w:vAlign w:val="center"/>
          </w:tcPr>
          <w:p>
            <w:pPr>
              <w:spacing w:after="0" w:line="560" w:lineRule="exact"/>
              <w:jc w:val="center"/>
              <w:rPr>
                <w:rFonts w:ascii="宋体" w:hAnsi="宋体" w:eastAsia="宋体" w:cs="仿宋_GB2312"/>
                <w:b/>
                <w:bCs/>
                <w:sz w:val="24"/>
                <w:szCs w:val="24"/>
                <w:lang w:eastAsia="zh-CN"/>
              </w:rPr>
            </w:pP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8</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新增中高端酒店（家）</w:t>
            </w:r>
          </w:p>
        </w:tc>
        <w:tc>
          <w:tcPr>
            <w:tcW w:w="823"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w:t>
            </w:r>
            <w:r>
              <w:rPr>
                <w:rFonts w:ascii="仿宋_GB2312" w:hAnsi="仿宋_GB2312" w:eastAsia="仿宋_GB2312" w:cs="仿宋_GB2312"/>
                <w:sz w:val="24"/>
                <w:szCs w:val="24"/>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12" w:type="pct"/>
            <w:vMerge w:val="restart"/>
            <w:vAlign w:val="center"/>
          </w:tcPr>
          <w:p>
            <w:pPr>
              <w:spacing w:after="0" w:line="560" w:lineRule="exact"/>
              <w:jc w:val="center"/>
              <w:rPr>
                <w:rFonts w:ascii="宋体" w:hAnsi="宋体" w:eastAsia="宋体" w:cs="仿宋_GB2312"/>
                <w:b/>
                <w:bCs/>
                <w:sz w:val="24"/>
                <w:szCs w:val="24"/>
                <w:lang w:eastAsia="zh-CN"/>
              </w:rPr>
            </w:pPr>
            <w:r>
              <w:rPr>
                <w:rFonts w:hint="eastAsia" w:ascii="宋体" w:hAnsi="宋体" w:eastAsia="宋体" w:cs="仿宋_GB2312"/>
                <w:b/>
                <w:bCs/>
                <w:sz w:val="24"/>
                <w:szCs w:val="24"/>
                <w:lang w:eastAsia="zh-CN"/>
              </w:rPr>
              <w:t>旅游经济</w:t>
            </w:r>
          </w:p>
          <w:p>
            <w:pPr>
              <w:spacing w:after="0" w:line="560" w:lineRule="exact"/>
              <w:jc w:val="center"/>
              <w:rPr>
                <w:rFonts w:ascii="宋体" w:hAnsi="宋体" w:eastAsia="宋体" w:cs="仿宋_GB2312"/>
                <w:b/>
                <w:bCs/>
                <w:sz w:val="24"/>
                <w:szCs w:val="24"/>
                <w:lang w:eastAsia="zh-CN"/>
              </w:rPr>
            </w:pPr>
            <w:r>
              <w:rPr>
                <w:rFonts w:hint="eastAsia" w:ascii="宋体" w:hAnsi="宋体" w:eastAsia="宋体" w:cs="仿宋_GB2312"/>
                <w:b/>
                <w:bCs/>
                <w:sz w:val="24"/>
                <w:szCs w:val="24"/>
                <w:lang w:eastAsia="zh-CN"/>
              </w:rPr>
              <w:t>发展</w:t>
            </w: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9</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旅游接待总人次年均增长（</w:t>
            </w:r>
            <w:r>
              <w:rPr>
                <w:rFonts w:ascii="宋体" w:hAnsi="宋体" w:eastAsia="宋体" w:cs="仿宋_GB2312"/>
                <w:sz w:val="24"/>
                <w:szCs w:val="24"/>
                <w:lang w:eastAsia="zh-CN"/>
              </w:rPr>
              <w:t>%</w:t>
            </w:r>
            <w:r>
              <w:rPr>
                <w:rFonts w:hint="eastAsia" w:ascii="宋体" w:hAnsi="宋体" w:eastAsia="宋体" w:cs="仿宋_GB2312"/>
                <w:sz w:val="24"/>
                <w:szCs w:val="24"/>
                <w:lang w:eastAsia="zh-CN"/>
              </w:rPr>
              <w:t>）</w:t>
            </w:r>
          </w:p>
        </w:tc>
        <w:tc>
          <w:tcPr>
            <w:tcW w:w="823" w:type="pct"/>
            <w:vAlign w:val="center"/>
          </w:tcPr>
          <w:p>
            <w:pPr>
              <w:spacing w:after="0" w:line="560" w:lineRule="exact"/>
              <w:jc w:val="center"/>
              <w:rPr>
                <w:rFonts w:ascii="宋体" w:hAnsi="宋体" w:eastAsia="宋体" w:cs="仿宋_GB2312"/>
                <w:sz w:val="24"/>
                <w:szCs w:val="24"/>
                <w:lang w:eastAsia="zh-CN"/>
              </w:rPr>
            </w:pPr>
            <w:r>
              <w:rPr>
                <w:rFonts w:ascii="宋体" w:hAnsi="宋体" w:eastAsia="宋体" w:cs="仿宋_GB2312"/>
                <w:sz w:val="24"/>
                <w:szCs w:val="24"/>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12" w:type="pct"/>
            <w:vMerge w:val="continue"/>
            <w:vAlign w:val="center"/>
          </w:tcPr>
          <w:p>
            <w:pPr>
              <w:spacing w:after="0" w:line="560" w:lineRule="exact"/>
              <w:jc w:val="center"/>
              <w:rPr>
                <w:rFonts w:ascii="宋体" w:hAnsi="宋体" w:eastAsia="宋体" w:cs="仿宋_GB2312"/>
                <w:sz w:val="24"/>
                <w:szCs w:val="24"/>
                <w:lang w:eastAsia="zh-CN"/>
              </w:rPr>
            </w:pPr>
          </w:p>
        </w:tc>
        <w:tc>
          <w:tcPr>
            <w:tcW w:w="605" w:type="pct"/>
            <w:vAlign w:val="center"/>
          </w:tcPr>
          <w:p>
            <w:pPr>
              <w:spacing w:after="0" w:line="560" w:lineRule="exact"/>
              <w:jc w:val="center"/>
              <w:rPr>
                <w:rFonts w:ascii="宋体" w:hAnsi="宋体" w:eastAsia="宋体" w:cs="仿宋_GB2312"/>
                <w:sz w:val="24"/>
                <w:szCs w:val="24"/>
                <w:lang w:eastAsia="zh-CN"/>
              </w:rPr>
            </w:pPr>
            <w:r>
              <w:rPr>
                <w:rFonts w:hint="eastAsia" w:ascii="宋体" w:hAnsi="宋体" w:eastAsia="宋体" w:cs="仿宋_GB2312"/>
                <w:sz w:val="24"/>
                <w:szCs w:val="24"/>
                <w:lang w:eastAsia="zh-CN"/>
              </w:rPr>
              <w:t>1</w:t>
            </w:r>
            <w:r>
              <w:rPr>
                <w:rFonts w:ascii="宋体" w:hAnsi="宋体" w:eastAsia="宋体" w:cs="仿宋_GB2312"/>
                <w:sz w:val="24"/>
                <w:szCs w:val="24"/>
                <w:lang w:eastAsia="zh-CN"/>
              </w:rPr>
              <w:t>0</w:t>
            </w:r>
          </w:p>
        </w:tc>
        <w:tc>
          <w:tcPr>
            <w:tcW w:w="2660" w:type="pct"/>
            <w:vAlign w:val="center"/>
          </w:tcPr>
          <w:p>
            <w:pPr>
              <w:spacing w:after="0" w:line="560" w:lineRule="exact"/>
              <w:rPr>
                <w:rFonts w:ascii="宋体" w:hAnsi="宋体" w:eastAsia="宋体" w:cs="仿宋_GB2312"/>
                <w:sz w:val="24"/>
                <w:szCs w:val="24"/>
                <w:lang w:eastAsia="zh-CN"/>
              </w:rPr>
            </w:pPr>
            <w:r>
              <w:rPr>
                <w:rFonts w:hint="eastAsia" w:ascii="宋体" w:hAnsi="宋体" w:eastAsia="宋体" w:cs="仿宋_GB2312"/>
                <w:sz w:val="24"/>
                <w:szCs w:val="24"/>
                <w:lang w:eastAsia="zh-CN"/>
              </w:rPr>
              <w:t>旅游总花费年均增长（</w:t>
            </w:r>
            <w:r>
              <w:rPr>
                <w:rFonts w:ascii="宋体" w:hAnsi="宋体" w:eastAsia="宋体" w:cs="仿宋_GB2312"/>
                <w:sz w:val="24"/>
                <w:szCs w:val="24"/>
                <w:lang w:eastAsia="zh-CN"/>
              </w:rPr>
              <w:t>%</w:t>
            </w:r>
            <w:r>
              <w:rPr>
                <w:rFonts w:hint="eastAsia" w:ascii="宋体" w:hAnsi="宋体" w:eastAsia="宋体" w:cs="仿宋_GB2312"/>
                <w:sz w:val="24"/>
                <w:szCs w:val="24"/>
                <w:lang w:eastAsia="zh-CN"/>
              </w:rPr>
              <w:t>）</w:t>
            </w:r>
          </w:p>
        </w:tc>
        <w:tc>
          <w:tcPr>
            <w:tcW w:w="823" w:type="pct"/>
            <w:vAlign w:val="center"/>
          </w:tcPr>
          <w:p>
            <w:pPr>
              <w:spacing w:after="0" w:line="560" w:lineRule="exact"/>
              <w:jc w:val="center"/>
              <w:rPr>
                <w:rFonts w:ascii="宋体" w:hAnsi="宋体" w:eastAsia="宋体" w:cs="仿宋_GB2312"/>
                <w:sz w:val="24"/>
                <w:szCs w:val="24"/>
                <w:lang w:eastAsia="zh-CN"/>
              </w:rPr>
            </w:pPr>
            <w:r>
              <w:rPr>
                <w:rFonts w:ascii="宋体" w:hAnsi="宋体" w:eastAsia="宋体" w:cs="仿宋_GB2312"/>
                <w:sz w:val="24"/>
                <w:szCs w:val="24"/>
                <w:lang w:eastAsia="zh-CN"/>
              </w:rPr>
              <w:t>4</w:t>
            </w:r>
          </w:p>
        </w:tc>
      </w:tr>
      <w:bookmarkEnd w:id="16"/>
    </w:tbl>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18" w:name="_Toc237860784"/>
      <w:r>
        <w:rPr>
          <w:rFonts w:hint="eastAsia" w:ascii="黑体" w:hAnsi="黑体" w:eastAsia="黑体" w:cstheme="minorBidi"/>
          <w:b w:val="0"/>
          <w:bCs w:val="0"/>
          <w:color w:val="000000" w:themeColor="text1"/>
          <w:sz w:val="32"/>
          <w:szCs w:val="20"/>
          <w:lang w:eastAsia="zh-CN"/>
        </w:rPr>
        <w:t>三</w:t>
      </w:r>
      <w:r>
        <w:rPr>
          <w:rFonts w:ascii="黑体" w:hAnsi="黑体" w:eastAsia="黑体" w:cstheme="minorBidi"/>
          <w:b w:val="0"/>
          <w:bCs w:val="0"/>
          <w:color w:val="000000" w:themeColor="text1"/>
          <w:sz w:val="32"/>
          <w:szCs w:val="20"/>
          <w:lang w:eastAsia="zh-CN"/>
        </w:rPr>
        <w:t>、空间布局</w:t>
      </w:r>
      <w:bookmarkEnd w:id="15"/>
      <w:bookmarkEnd w:id="18"/>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按照大兴分区规划城市空间结构和“6+5+3”产业布局，构建“一轴两带三区”的全域旅游发展格局。</w:t>
      </w:r>
    </w:p>
    <w:p>
      <w:pPr>
        <w:pStyle w:val="6"/>
        <w:widowControl w:val="0"/>
        <w:spacing w:before="0" w:line="560" w:lineRule="exact"/>
        <w:ind w:firstLine="642" w:firstLineChars="200"/>
        <w:jc w:val="both"/>
        <w:rPr>
          <w:rFonts w:ascii="楷体_GB2312" w:hAnsi="仿宋" w:eastAsia="楷体_GB2312"/>
          <w:b/>
          <w:i w:val="0"/>
          <w:color w:val="auto"/>
          <w:kern w:val="2"/>
          <w:sz w:val="32"/>
          <w:szCs w:val="32"/>
          <w:lang w:eastAsia="zh-CN"/>
        </w:rPr>
      </w:pPr>
      <w:bookmarkStart w:id="19" w:name="一一轴串联"/>
      <w:r>
        <w:rPr>
          <w:rFonts w:ascii="楷体_GB2312" w:hAnsi="仿宋" w:eastAsia="楷体_GB2312"/>
          <w:b/>
          <w:i w:val="0"/>
          <w:color w:val="auto"/>
          <w:kern w:val="2"/>
          <w:sz w:val="32"/>
          <w:szCs w:val="32"/>
          <w:lang w:eastAsia="zh-CN"/>
        </w:rPr>
        <w:t>（一）“一轴”串联</w:t>
      </w:r>
      <w:bookmarkEnd w:id="19"/>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南中轴文化传承轴，北接南苑、南至大兴机场，以“从皇家苑囿到未来之城”为主题，串联南中轴森林公园、月季大会主题公园等节点，建设南中轴文化客厅，打造彰显文化自信的国际交往新载体。</w:t>
      </w:r>
    </w:p>
    <w:p>
      <w:pPr>
        <w:pStyle w:val="6"/>
        <w:widowControl w:val="0"/>
        <w:spacing w:before="0" w:line="560" w:lineRule="exact"/>
        <w:ind w:firstLine="642" w:firstLineChars="200"/>
        <w:jc w:val="both"/>
        <w:rPr>
          <w:rFonts w:ascii="楷体_GB2312" w:hAnsi="仿宋" w:eastAsia="楷体_GB2312"/>
          <w:b/>
          <w:i w:val="0"/>
          <w:color w:val="auto"/>
          <w:kern w:val="2"/>
          <w:sz w:val="32"/>
          <w:szCs w:val="32"/>
          <w:lang w:eastAsia="zh-CN"/>
        </w:rPr>
      </w:pPr>
      <w:bookmarkStart w:id="20" w:name="二两带贯通"/>
      <w:r>
        <w:rPr>
          <w:rFonts w:ascii="楷体_GB2312" w:hAnsi="仿宋" w:eastAsia="楷体_GB2312"/>
          <w:b/>
          <w:i w:val="0"/>
          <w:color w:val="auto"/>
          <w:kern w:val="2"/>
          <w:sz w:val="32"/>
          <w:szCs w:val="32"/>
          <w:lang w:eastAsia="zh-CN"/>
        </w:rPr>
        <w:t>（二）“两带”贯通</w:t>
      </w:r>
      <w:bookmarkEnd w:id="20"/>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永定河生态休闲带以“千年水脉·生态客厅”为主题，植入文创市集、灯光秀、移动演艺等业态，打造“平原慢生活超级链接”。龙河凤河民俗旅游发展带充分挖掘凤河流域“五台、八庙、七十二连营”民俗内涵，发展民俗体验和乡村休闲。</w:t>
      </w:r>
    </w:p>
    <w:p>
      <w:pPr>
        <w:pStyle w:val="6"/>
        <w:widowControl w:val="0"/>
        <w:spacing w:before="0" w:line="560" w:lineRule="exact"/>
        <w:ind w:firstLine="642" w:firstLineChars="200"/>
        <w:jc w:val="both"/>
        <w:rPr>
          <w:rFonts w:ascii="楷体_GB2312" w:hAnsi="仿宋" w:eastAsia="楷体_GB2312"/>
          <w:b/>
          <w:i w:val="0"/>
          <w:color w:val="auto"/>
          <w:kern w:val="2"/>
          <w:sz w:val="32"/>
          <w:szCs w:val="32"/>
          <w:lang w:eastAsia="zh-CN"/>
        </w:rPr>
      </w:pPr>
      <w:bookmarkStart w:id="21" w:name="三三区协同"/>
      <w:r>
        <w:rPr>
          <w:rFonts w:ascii="楷体_GB2312" w:hAnsi="仿宋" w:eastAsia="楷体_GB2312"/>
          <w:b/>
          <w:i w:val="0"/>
          <w:color w:val="auto"/>
          <w:kern w:val="2"/>
          <w:sz w:val="32"/>
          <w:szCs w:val="32"/>
          <w:lang w:eastAsia="zh-CN"/>
        </w:rPr>
        <w:t>（三）“三区”协同</w:t>
      </w:r>
      <w:bookmarkEnd w:id="21"/>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都市休闲娱乐区聚焦大兴新城核心区、永定湾、星光影视园等，布局小微剧场、艺术画廊等业态，发展夜间经济；乡村田园度假区依托庞各庄、魏善庄、北臧村等镇，发展田园沉浸微度假和精品民宿；临空文旅度假区依托大兴机场和国际旅游度假区，发展航旅融合和临空消费。</w:t>
      </w:r>
    </w:p>
    <w:p>
      <w:pPr>
        <w:pStyle w:val="3"/>
        <w:jc w:val="center"/>
        <w:rPr>
          <w:lang w:eastAsia="zh-CN"/>
        </w:rPr>
      </w:pPr>
      <w:bookmarkStart w:id="22" w:name="第三章-焕新大兴魅力构建文旅惠民润城新体系"/>
      <w:r>
        <w:drawing>
          <wp:inline distT="0" distB="0" distL="0" distR="0">
            <wp:extent cx="4248150" cy="4514850"/>
            <wp:effectExtent l="0" t="0" r="0" b="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5" cstate="print">
                      <a:extLst>
                        <a:ext uri="{28A0092B-C50C-407E-A947-70E740481C1C}">
                          <a14:useLocalDpi xmlns:a14="http://schemas.microsoft.com/office/drawing/2010/main" val="false"/>
                        </a:ext>
                      </a:extLst>
                    </a:blip>
                    <a:srcRect/>
                    <a:stretch>
                      <a:fillRect/>
                    </a:stretch>
                  </pic:blipFill>
                  <pic:spPr>
                    <a:xfrm>
                      <a:off x="0" y="0"/>
                      <a:ext cx="4249036" cy="4516072"/>
                    </a:xfrm>
                    <a:prstGeom prst="rect">
                      <a:avLst/>
                    </a:prstGeom>
                    <a:noFill/>
                    <a:ln>
                      <a:noFill/>
                    </a:ln>
                  </pic:spPr>
                </pic:pic>
              </a:graphicData>
            </a:graphic>
          </wp:inline>
        </w:drawing>
      </w:r>
    </w:p>
    <w:p>
      <w:pPr>
        <w:spacing w:line="560" w:lineRule="exact"/>
        <w:jc w:val="center"/>
        <w:rPr>
          <w:rFonts w:ascii="黑体" w:hAnsi="黑体" w:eastAsia="黑体"/>
          <w:lang w:eastAsia="zh-CN"/>
        </w:rPr>
      </w:pPr>
      <w:r>
        <w:rPr>
          <w:rFonts w:hint="eastAsia" w:ascii="黑体" w:hAnsi="黑体" w:eastAsia="黑体"/>
          <w:lang w:eastAsia="zh-CN"/>
        </w:rPr>
        <w:t>大兴区“十五五”时期文化和旅游高质量发展空间布局</w:t>
      </w:r>
    </w:p>
    <w:p>
      <w:pPr>
        <w:pStyle w:val="3"/>
        <w:jc w:val="center"/>
        <w:rPr>
          <w:rFonts w:hint="eastAsia"/>
          <w:lang w:eastAsia="zh-CN"/>
        </w:rPr>
        <w:sectPr>
          <w:pgSz w:w="12240" w:h="15840"/>
          <w:pgMar w:top="1440" w:right="1800" w:bottom="1440" w:left="1800" w:header="720" w:footer="720" w:gutter="0"/>
          <w:pgNumType w:fmt="numberInDash"/>
          <w:cols w:space="720" w:num="1"/>
        </w:sectPr>
      </w:pPr>
    </w:p>
    <w:p>
      <w:pPr>
        <w:pStyle w:val="4"/>
        <w:widowControl w:val="0"/>
        <w:spacing w:before="260" w:after="260" w:line="360" w:lineRule="auto"/>
        <w:jc w:val="center"/>
        <w:rPr>
          <w:rFonts w:ascii="黑体" w:hAnsi="黑体" w:eastAsia="黑体"/>
          <w:bCs w:val="0"/>
          <w:color w:val="000000" w:themeColor="text1"/>
          <w:sz w:val="32"/>
          <w:szCs w:val="20"/>
          <w:lang w:eastAsia="zh-CN"/>
        </w:rPr>
      </w:pPr>
      <w:bookmarkStart w:id="23" w:name="_Toc237860785"/>
      <w:r>
        <w:rPr>
          <w:rFonts w:ascii="黑体" w:hAnsi="黑体" w:eastAsia="黑体"/>
          <w:bCs w:val="0"/>
          <w:color w:val="000000" w:themeColor="text1"/>
          <w:sz w:val="32"/>
          <w:szCs w:val="20"/>
          <w:lang w:eastAsia="zh-CN"/>
        </w:rPr>
        <w:t>第三章 焕新大兴魅力，构建文旅惠民润城新体系</w:t>
      </w:r>
      <w:bookmarkEnd w:id="22"/>
      <w:bookmarkEnd w:id="23"/>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聚焦大兴机场中转客群与京津冀市民两大主体，构建具有首都特色的公共文化服务体系和国际标准的旅游公共服务体系。</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24" w:name="一涵养大兴独特文化气质"/>
      <w:bookmarkStart w:id="25" w:name="_Toc237860786"/>
      <w:r>
        <w:rPr>
          <w:rFonts w:ascii="黑体" w:hAnsi="黑体" w:eastAsia="黑体" w:cstheme="minorBidi"/>
          <w:b w:val="0"/>
          <w:bCs w:val="0"/>
          <w:color w:val="000000" w:themeColor="text1"/>
          <w:sz w:val="32"/>
          <w:szCs w:val="20"/>
          <w:lang w:eastAsia="zh-CN"/>
        </w:rPr>
        <w:t>一、涵养大兴独特文化气质</w:t>
      </w:r>
      <w:bookmarkEnd w:id="24"/>
      <w:bookmarkEnd w:id="25"/>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26" w:name="一完善公共文化设施网络"/>
      <w:r>
        <w:rPr>
          <w:rFonts w:ascii="仿宋_GB2312" w:hAnsi="仿宋_GB2312" w:eastAsia="仿宋_GB2312" w:cs="仿宋_GB2312"/>
          <w:b/>
          <w:bCs/>
          <w:kern w:val="2"/>
          <w:sz w:val="32"/>
          <w:szCs w:val="32"/>
          <w:lang w:eastAsia="zh-CN"/>
        </w:rPr>
        <w:t>完善公共文化设施网络</w:t>
      </w:r>
      <w:bookmarkEnd w:id="2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全力配合京南艺术中心加快建设，推进“一带一路”文化艺术中心等项目，整合区级图书馆、文化馆等功能打造城市文化地标，统筹推进区-街镇-村居三级设施设备更新，鼓励社会力量参与新型公共文化空间建设。</w:t>
      </w:r>
      <w:bookmarkStart w:id="27" w:name="二打造大兴惠民文化品牌"/>
      <w:r>
        <w:rPr>
          <w:rFonts w:ascii="仿宋_GB2312" w:hAnsi="仿宋_GB2312" w:eastAsia="仿宋_GB2312" w:cs="仿宋_GB2312"/>
          <w:b/>
          <w:bCs/>
          <w:kern w:val="2"/>
          <w:sz w:val="32"/>
          <w:szCs w:val="32"/>
          <w:lang w:eastAsia="zh-CN"/>
        </w:rPr>
        <w:t>打造大兴惠民文化品牌</w:t>
      </w:r>
      <w:bookmarkEnd w:id="27"/>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持续举办“开心聚大兴 京南观大戏”“行宫有戏”等惠民活动，引导商圈开展文化演艺、主题市集等创意活动，实施基层文化惠民服务工程，实现公共文化服务“行走的舞台、流动的书房”。</w:t>
      </w:r>
      <w:bookmarkStart w:id="28" w:name="三提升公共文化供给服务效能"/>
      <w:r>
        <w:rPr>
          <w:rFonts w:ascii="仿宋_GB2312" w:hAnsi="仿宋_GB2312" w:eastAsia="仿宋_GB2312" w:cs="仿宋_GB2312"/>
          <w:b/>
          <w:bCs/>
          <w:kern w:val="2"/>
          <w:sz w:val="32"/>
          <w:szCs w:val="32"/>
          <w:lang w:eastAsia="zh-CN"/>
        </w:rPr>
        <w:t>提升公共文化供给服务效能</w:t>
      </w:r>
      <w:bookmarkEnd w:id="28"/>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深化公园人文内涵建设，鼓励公共文化体育设施提供夜间、延时或错时服务，建立健全动态调整的基本公共文化服务目录，推广“菜单式”“订单式”服务模式。</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29" w:name="二建设京南活力演艺高地"/>
      <w:bookmarkStart w:id="30" w:name="_Toc237860787"/>
      <w:r>
        <w:rPr>
          <w:rFonts w:ascii="黑体" w:hAnsi="黑体" w:eastAsia="黑体" w:cstheme="minorBidi"/>
          <w:b w:val="0"/>
          <w:bCs w:val="0"/>
          <w:color w:val="000000" w:themeColor="text1"/>
          <w:sz w:val="32"/>
          <w:szCs w:val="20"/>
          <w:lang w:eastAsia="zh-CN"/>
        </w:rPr>
        <w:t>二、建设京南活力演艺高地</w:t>
      </w:r>
      <w:bookmarkEnd w:id="29"/>
      <w:bookmarkEnd w:id="30"/>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31" w:name="一加强精品演艺创作"/>
      <w:r>
        <w:rPr>
          <w:rFonts w:ascii="仿宋_GB2312" w:hAnsi="仿宋_GB2312" w:eastAsia="仿宋_GB2312" w:cs="仿宋_GB2312"/>
          <w:b/>
          <w:bCs/>
          <w:kern w:val="2"/>
          <w:sz w:val="32"/>
          <w:szCs w:val="32"/>
          <w:lang w:eastAsia="zh-CN"/>
        </w:rPr>
        <w:t>加强精品演艺创作</w:t>
      </w:r>
      <w:bookmarkEnd w:id="31"/>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聚焦长征胜利90周年、建军百年等重大时间节点，深入挖掘国门新城资源，融合皇家苑囿、红色、农耕、民俗文化，推出一批思想精深、艺术精湛的演艺作品。</w:t>
      </w:r>
      <w:bookmarkStart w:id="32" w:name="二培育大兴演艺品牌"/>
      <w:r>
        <w:rPr>
          <w:rFonts w:ascii="仿宋_GB2312" w:hAnsi="仿宋_GB2312" w:eastAsia="仿宋_GB2312" w:cs="仿宋_GB2312"/>
          <w:b/>
          <w:bCs/>
          <w:kern w:val="2"/>
          <w:sz w:val="32"/>
          <w:szCs w:val="32"/>
          <w:lang w:eastAsia="zh-CN"/>
        </w:rPr>
        <w:t>培育大兴演艺品牌</w:t>
      </w:r>
      <w:bookmarkEnd w:id="32"/>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落实北京市建设“演艺之都”要求，鼓励京南艺术中心、星光影视园、亦花园剧场等引入国内外顶级演出资源，探索景区微演艺模式。</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33" w:name="三提升旅游公共服务能力"/>
      <w:bookmarkStart w:id="34" w:name="_Toc237860788"/>
      <w:r>
        <w:rPr>
          <w:rFonts w:ascii="黑体" w:hAnsi="黑体" w:eastAsia="黑体" w:cstheme="minorBidi"/>
          <w:b w:val="0"/>
          <w:bCs w:val="0"/>
          <w:color w:val="000000" w:themeColor="text1"/>
          <w:sz w:val="32"/>
          <w:szCs w:val="20"/>
          <w:lang w:eastAsia="zh-CN"/>
        </w:rPr>
        <w:t>三、提升旅游公共服务能力</w:t>
      </w:r>
      <w:bookmarkEnd w:id="33"/>
      <w:bookmarkEnd w:id="34"/>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35" w:name="一实施旅游交通便捷化工程"/>
      <w:r>
        <w:rPr>
          <w:rFonts w:ascii="仿宋_GB2312" w:hAnsi="仿宋_GB2312" w:eastAsia="仿宋_GB2312" w:cs="仿宋_GB2312"/>
          <w:b/>
          <w:bCs/>
          <w:kern w:val="2"/>
          <w:sz w:val="32"/>
          <w:szCs w:val="32"/>
          <w:lang w:eastAsia="zh-CN"/>
        </w:rPr>
        <w:t>实施旅游交通便捷化工程</w:t>
      </w:r>
      <w:bookmarkEnd w:id="35"/>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构建“快进慢游”旅游交通网络，依托永定河、凤河建设骑行旅游风景道，完善旅游接驳车和智能导停系统，加强大兴机场与核心文旅资源的快速接驳。</w:t>
      </w:r>
      <w:bookmarkStart w:id="36" w:name="二实施旅游服务便利化工程"/>
      <w:r>
        <w:rPr>
          <w:rFonts w:ascii="仿宋_GB2312" w:hAnsi="仿宋_GB2312" w:eastAsia="仿宋_GB2312" w:cs="仿宋_GB2312"/>
          <w:b/>
          <w:bCs/>
          <w:kern w:val="2"/>
          <w:sz w:val="32"/>
          <w:szCs w:val="32"/>
          <w:lang w:eastAsia="zh-CN"/>
        </w:rPr>
        <w:t>实施旅游服务便利化工程</w:t>
      </w:r>
      <w:bookmarkEnd w:id="3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增加外卡支付终端和兑换点，完善中英双语标识标牌，推进重点旅游片区一类公厕建设，推进文旅接待场所无障碍设施全覆盖。</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37" w:name="_Toc237860789"/>
      <w:bookmarkStart w:id="38" w:name="四推进文旅服务革新迭代"/>
      <w:r>
        <w:rPr>
          <w:rFonts w:ascii="黑体" w:hAnsi="黑体" w:eastAsia="黑体" w:cstheme="minorBidi"/>
          <w:b w:val="0"/>
          <w:bCs w:val="0"/>
          <w:color w:val="000000" w:themeColor="text1"/>
          <w:sz w:val="32"/>
          <w:szCs w:val="20"/>
          <w:lang w:eastAsia="zh-CN"/>
        </w:rPr>
        <w:t>四、推进文旅服务革新迭代</w:t>
      </w:r>
      <w:bookmarkEnd w:id="37"/>
      <w:bookmarkEnd w:id="38"/>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39" w:name="一构建智慧旅游服务体系"/>
      <w:r>
        <w:rPr>
          <w:rFonts w:ascii="仿宋_GB2312" w:hAnsi="仿宋_GB2312" w:eastAsia="仿宋_GB2312" w:cs="仿宋_GB2312"/>
          <w:b/>
          <w:bCs/>
          <w:kern w:val="2"/>
          <w:sz w:val="32"/>
          <w:szCs w:val="32"/>
          <w:lang w:eastAsia="zh-CN"/>
        </w:rPr>
        <w:t>构建智慧旅游服务体系</w:t>
      </w:r>
      <w:bookmarkEnd w:id="39"/>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推进全域AI+旅游智慧化建设，整合文旅、餐饮、住宿、购物、交通等数据资源，提供“吃住行游购娱”全链条线上服务和24小时智能咨询。</w:t>
      </w:r>
      <w:bookmarkStart w:id="40" w:name="二推行数字公共文化服务"/>
      <w:r>
        <w:rPr>
          <w:rFonts w:ascii="仿宋_GB2312" w:hAnsi="仿宋_GB2312" w:eastAsia="仿宋_GB2312" w:cs="仿宋_GB2312"/>
          <w:b/>
          <w:bCs/>
          <w:kern w:val="2"/>
          <w:sz w:val="32"/>
          <w:szCs w:val="32"/>
          <w:lang w:eastAsia="zh-CN"/>
        </w:rPr>
        <w:t>推行数字公共文化服务</w:t>
      </w:r>
      <w:bookmarkEnd w:id="40"/>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探索建设智慧图书馆和数字文化馆，打造贯通一体的数字资源库，打通区文化馆、图书馆、博物馆等数字资源互联互通。</w:t>
      </w:r>
    </w:p>
    <w:p>
      <w:pPr>
        <w:pStyle w:val="4"/>
        <w:widowControl w:val="0"/>
        <w:spacing w:before="260" w:after="260" w:line="360" w:lineRule="auto"/>
        <w:jc w:val="center"/>
        <w:rPr>
          <w:rFonts w:ascii="黑体" w:hAnsi="黑体" w:eastAsia="黑体"/>
          <w:bCs w:val="0"/>
          <w:color w:val="000000" w:themeColor="text1"/>
          <w:sz w:val="32"/>
          <w:szCs w:val="20"/>
          <w:lang w:eastAsia="zh-CN"/>
        </w:rPr>
        <w:sectPr>
          <w:pgSz w:w="12240" w:h="15840"/>
          <w:pgMar w:top="1440" w:right="1800" w:bottom="1440" w:left="1800" w:header="720" w:footer="720" w:gutter="0"/>
          <w:pgNumType w:fmt="numberInDash"/>
          <w:cols w:space="720" w:num="1"/>
        </w:sectPr>
      </w:pPr>
      <w:bookmarkStart w:id="41" w:name="第四章-坚持文博兴城打造文化遗产保护利用新生态"/>
    </w:p>
    <w:p>
      <w:pPr>
        <w:pStyle w:val="4"/>
        <w:widowControl w:val="0"/>
        <w:spacing w:before="260" w:after="260" w:line="360" w:lineRule="auto"/>
        <w:jc w:val="center"/>
        <w:rPr>
          <w:rFonts w:ascii="黑体" w:hAnsi="黑体" w:eastAsia="黑体"/>
          <w:bCs w:val="0"/>
          <w:color w:val="000000" w:themeColor="text1"/>
          <w:sz w:val="32"/>
          <w:szCs w:val="20"/>
          <w:lang w:eastAsia="zh-CN"/>
        </w:rPr>
      </w:pPr>
      <w:bookmarkStart w:id="42" w:name="_Toc237860790"/>
      <w:r>
        <w:rPr>
          <w:rFonts w:ascii="黑体" w:hAnsi="黑体" w:eastAsia="黑体"/>
          <w:bCs w:val="0"/>
          <w:color w:val="000000" w:themeColor="text1"/>
          <w:sz w:val="32"/>
          <w:szCs w:val="20"/>
          <w:lang w:eastAsia="zh-CN"/>
        </w:rPr>
        <w:t>第四章 坚持文博兴城，打造文化遗产保护利用新生态</w:t>
      </w:r>
      <w:bookmarkEnd w:id="41"/>
      <w:bookmarkEnd w:id="42"/>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贯彻“保护为主、抢救第一、合理利用、加强管理”方针，创新文化遗产保护利用模式，实现“文物保下来、非遗活起来、文化火起来”。</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43" w:name="_Toc237860791"/>
      <w:bookmarkStart w:id="44" w:name="一加强区域文物资源保护利用"/>
      <w:r>
        <w:rPr>
          <w:rFonts w:ascii="黑体" w:hAnsi="黑体" w:eastAsia="黑体" w:cstheme="minorBidi"/>
          <w:b w:val="0"/>
          <w:bCs w:val="0"/>
          <w:color w:val="000000" w:themeColor="text1"/>
          <w:sz w:val="32"/>
          <w:szCs w:val="20"/>
          <w:lang w:eastAsia="zh-CN"/>
        </w:rPr>
        <w:t>一、加强区域文物资源保护利用</w:t>
      </w:r>
      <w:bookmarkEnd w:id="43"/>
      <w:bookmarkEnd w:id="44"/>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45" w:name="一构建文物资源大保护格局"/>
      <w:r>
        <w:rPr>
          <w:rFonts w:ascii="仿宋_GB2312" w:hAnsi="仿宋_GB2312" w:eastAsia="仿宋_GB2312" w:cs="仿宋_GB2312"/>
          <w:b/>
          <w:bCs/>
          <w:kern w:val="2"/>
          <w:sz w:val="32"/>
          <w:szCs w:val="32"/>
          <w:lang w:eastAsia="zh-CN"/>
        </w:rPr>
        <w:t>构建文物资源大保护格局</w:t>
      </w:r>
      <w:bookmarkEnd w:id="45"/>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持续做好第四次全国文物普查成果转换，建立全区文物资源台账，推进文物资源数字化建档，建立分级分类动态保护机制。</w:t>
      </w:r>
      <w:bookmarkStart w:id="46" w:name="二筑牢文物资源安全底线"/>
      <w:r>
        <w:rPr>
          <w:rFonts w:ascii="仿宋_GB2312" w:hAnsi="仿宋_GB2312" w:eastAsia="仿宋_GB2312" w:cs="仿宋_GB2312"/>
          <w:b/>
          <w:bCs/>
          <w:kern w:val="2"/>
          <w:sz w:val="32"/>
          <w:szCs w:val="32"/>
          <w:lang w:eastAsia="zh-CN"/>
        </w:rPr>
        <w:t>筑牢文物资源安全底线</w:t>
      </w:r>
      <w:bookmarkEnd w:id="4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推进团河行宫和西汉阴乡县故城考古发掘，实施榆垡古渡等保护利用工程，应用遥感监测和AI技术实施预防性保护。</w:t>
      </w:r>
      <w:bookmarkStart w:id="47" w:name="三推进文物资源活化利用"/>
      <w:r>
        <w:rPr>
          <w:rFonts w:ascii="仿宋_GB2312" w:hAnsi="仿宋_GB2312" w:eastAsia="仿宋_GB2312" w:cs="仿宋_GB2312"/>
          <w:b/>
          <w:bCs/>
          <w:kern w:val="2"/>
          <w:sz w:val="32"/>
          <w:szCs w:val="32"/>
          <w:lang w:eastAsia="zh-CN"/>
        </w:rPr>
        <w:t>推进文物资源活化利用</w:t>
      </w:r>
      <w:bookmarkEnd w:id="47"/>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依托团河行宫等策划系列主题展览，推进文物数字化展示利用，研究建设“团河行宫数字遗址公园”。</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48" w:name="二打造首都非遗传承展示窗口"/>
      <w:bookmarkStart w:id="49" w:name="_Toc237860792"/>
      <w:r>
        <w:rPr>
          <w:rFonts w:ascii="黑体" w:hAnsi="黑体" w:eastAsia="黑体" w:cstheme="minorBidi"/>
          <w:b w:val="0"/>
          <w:bCs w:val="0"/>
          <w:color w:val="000000" w:themeColor="text1"/>
          <w:sz w:val="32"/>
          <w:szCs w:val="20"/>
          <w:lang w:eastAsia="zh-CN"/>
        </w:rPr>
        <w:t>二、</w:t>
      </w:r>
      <w:bookmarkEnd w:id="48"/>
      <w:r>
        <w:rPr>
          <w:rFonts w:hint="eastAsia" w:ascii="黑体" w:hAnsi="黑体" w:eastAsia="黑体" w:cstheme="minorBidi"/>
          <w:b w:val="0"/>
          <w:bCs w:val="0"/>
          <w:color w:val="000000" w:themeColor="text1"/>
          <w:sz w:val="32"/>
          <w:szCs w:val="20"/>
          <w:lang w:eastAsia="zh-CN"/>
        </w:rPr>
        <w:t>推进非遗传承保护和展示传播</w:t>
      </w:r>
      <w:bookmarkEnd w:id="49"/>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50" w:name="一完善非遗资源保护体系"/>
      <w:r>
        <w:rPr>
          <w:rFonts w:ascii="仿宋_GB2312" w:hAnsi="仿宋_GB2312" w:eastAsia="仿宋_GB2312" w:cs="仿宋_GB2312"/>
          <w:b/>
          <w:bCs/>
          <w:kern w:val="2"/>
          <w:sz w:val="32"/>
          <w:szCs w:val="32"/>
          <w:lang w:eastAsia="zh-CN"/>
        </w:rPr>
        <w:t>完善非遗资源保护体系</w:t>
      </w:r>
      <w:bookmarkEnd w:id="50"/>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重点挖掘永定河文化带、南中轴延长线区域特色非遗项目，实施代表性非遗项目“一项一策”保护工程，建设非遗主题工坊。</w:t>
      </w:r>
      <w:bookmarkStart w:id="51" w:name="二推进非遗资源传承传播"/>
      <w:r>
        <w:rPr>
          <w:rFonts w:ascii="仿宋_GB2312" w:hAnsi="仿宋_GB2312" w:eastAsia="仿宋_GB2312" w:cs="仿宋_GB2312"/>
          <w:b/>
          <w:bCs/>
          <w:kern w:val="2"/>
          <w:sz w:val="32"/>
          <w:szCs w:val="32"/>
          <w:lang w:eastAsia="zh-CN"/>
        </w:rPr>
        <w:t>推进非遗资源传承传播</w:t>
      </w:r>
      <w:bookmarkEnd w:id="51"/>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建立“大师工作室+社区传习所+校园传承基地”三级培养网络，推动国家级非遗项目参与文化旅游节庆展演，深入推动非遗进景区、进商圈、进校园。</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52" w:name="_Toc237860793"/>
      <w:bookmarkStart w:id="53" w:name="三提升大兴区文博兴城水平"/>
      <w:r>
        <w:rPr>
          <w:rFonts w:ascii="黑体" w:hAnsi="黑体" w:eastAsia="黑体" w:cstheme="minorBidi"/>
          <w:b w:val="0"/>
          <w:bCs w:val="0"/>
          <w:color w:val="000000" w:themeColor="text1"/>
          <w:sz w:val="32"/>
          <w:szCs w:val="20"/>
          <w:lang w:eastAsia="zh-CN"/>
        </w:rPr>
        <w:t>三、提升大兴区文博兴城水平</w:t>
      </w:r>
      <w:bookmarkEnd w:id="52"/>
      <w:bookmarkEnd w:id="53"/>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54" w:name="一全面提升博物馆建设水平"/>
      <w:r>
        <w:rPr>
          <w:rFonts w:ascii="仿宋_GB2312" w:hAnsi="仿宋_GB2312" w:eastAsia="仿宋_GB2312" w:cs="仿宋_GB2312"/>
          <w:b/>
          <w:bCs/>
          <w:kern w:val="2"/>
          <w:sz w:val="32"/>
          <w:szCs w:val="32"/>
          <w:lang w:eastAsia="zh-CN"/>
        </w:rPr>
        <w:t>全面提升博物馆建设水平</w:t>
      </w:r>
      <w:bookmarkEnd w:id="54"/>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加快编制博物馆建设规划方案，确立“一轴两带多点”博物馆之城布局，鼓励区内博物馆完成注册备案，推动南海子苑囿历史文化博物馆等完成备案。</w:t>
      </w:r>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55" w:name="二推动馆城共生融合发展"/>
      <w:r>
        <w:rPr>
          <w:rFonts w:ascii="仿宋_GB2312" w:hAnsi="仿宋_GB2312" w:eastAsia="仿宋_GB2312" w:cs="仿宋_GB2312"/>
          <w:b/>
          <w:bCs/>
          <w:kern w:val="2"/>
          <w:sz w:val="32"/>
          <w:szCs w:val="32"/>
          <w:lang w:eastAsia="zh-CN"/>
        </w:rPr>
        <w:t>推动馆城共生融合发展</w:t>
      </w:r>
      <w:bookmarkEnd w:id="55"/>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推动文博展示活动进商圈、进园区、进景区，实施博物馆文创集市推广计划，发展文博衍生品零售品牌和线下沉浸式消费体验业态。</w:t>
      </w:r>
      <w:bookmarkStart w:id="56" w:name="三提升博物馆公共服务效能"/>
      <w:r>
        <w:rPr>
          <w:rFonts w:ascii="仿宋_GB2312" w:hAnsi="仿宋_GB2312" w:eastAsia="仿宋_GB2312" w:cs="仿宋_GB2312"/>
          <w:b/>
          <w:bCs/>
          <w:kern w:val="2"/>
          <w:sz w:val="32"/>
          <w:szCs w:val="32"/>
          <w:lang w:eastAsia="zh-CN"/>
        </w:rPr>
        <w:t>提升博物馆公共服务效能</w:t>
      </w:r>
      <w:bookmarkEnd w:id="5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建立全区博物馆藏品数字资源库，实施“博物馆+”战略，运用全息投影、AR等技术重现历史场景，试点博物馆夜游项目，探索“政府主导+社会参与”运营机制。</w:t>
      </w:r>
    </w:p>
    <w:p>
      <w:pPr>
        <w:pStyle w:val="4"/>
        <w:widowControl w:val="0"/>
        <w:spacing w:before="260" w:after="260" w:line="360" w:lineRule="auto"/>
        <w:jc w:val="center"/>
        <w:rPr>
          <w:rFonts w:ascii="黑体" w:hAnsi="黑体" w:eastAsia="黑体"/>
          <w:bCs w:val="0"/>
          <w:color w:val="000000" w:themeColor="text1"/>
          <w:sz w:val="32"/>
          <w:szCs w:val="20"/>
          <w:lang w:eastAsia="zh-CN"/>
        </w:rPr>
        <w:sectPr>
          <w:pgSz w:w="12240" w:h="15840"/>
          <w:pgMar w:top="1440" w:right="1800" w:bottom="1440" w:left="1800" w:header="720" w:footer="720" w:gutter="0"/>
          <w:pgNumType w:fmt="numberInDash"/>
          <w:cols w:space="720" w:num="1"/>
        </w:sectPr>
      </w:pPr>
      <w:bookmarkStart w:id="57" w:name="第五章-聚焦休闲度假建设首都文化旅游新磁极"/>
    </w:p>
    <w:p>
      <w:pPr>
        <w:pStyle w:val="4"/>
        <w:widowControl w:val="0"/>
        <w:spacing w:before="260" w:after="260" w:line="360" w:lineRule="auto"/>
        <w:jc w:val="center"/>
        <w:rPr>
          <w:rFonts w:ascii="黑体" w:hAnsi="黑体" w:eastAsia="黑体"/>
          <w:bCs w:val="0"/>
          <w:color w:val="000000" w:themeColor="text1"/>
          <w:sz w:val="32"/>
          <w:szCs w:val="20"/>
          <w:lang w:eastAsia="zh-CN"/>
        </w:rPr>
      </w:pPr>
      <w:bookmarkStart w:id="58" w:name="_Toc237860794"/>
      <w:r>
        <w:rPr>
          <w:rFonts w:ascii="黑体" w:hAnsi="黑体" w:eastAsia="黑体"/>
          <w:bCs w:val="0"/>
          <w:color w:val="000000" w:themeColor="text1"/>
          <w:sz w:val="32"/>
          <w:szCs w:val="20"/>
          <w:lang w:eastAsia="zh-CN"/>
        </w:rPr>
        <w:t>第五章 聚焦休闲度假，建设首都文化旅游新磁极</w:t>
      </w:r>
      <w:bookmarkEnd w:id="57"/>
      <w:bookmarkEnd w:id="58"/>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发挥大兴机场和平原空间优势，建设北京文旅的“京南新磁极”与“平原会客厅”，让国际旅客为“国门新城”驻足，让首都市民为“大兴田园”流连忘返。</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59" w:name="一建设首都平原休闲会客厅"/>
      <w:bookmarkStart w:id="60" w:name="_Toc237860795"/>
      <w:r>
        <w:rPr>
          <w:rFonts w:ascii="黑体" w:hAnsi="黑体" w:eastAsia="黑体" w:cstheme="minorBidi"/>
          <w:b w:val="0"/>
          <w:bCs w:val="0"/>
          <w:color w:val="000000" w:themeColor="text1"/>
          <w:sz w:val="32"/>
          <w:szCs w:val="20"/>
          <w:lang w:eastAsia="zh-CN"/>
        </w:rPr>
        <w:t>一、建设首都平原休闲会客厅</w:t>
      </w:r>
      <w:bookmarkEnd w:id="59"/>
      <w:bookmarkEnd w:id="60"/>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61" w:name="一深度挖掘文化休闲产品"/>
      <w:r>
        <w:rPr>
          <w:rFonts w:ascii="仿宋_GB2312" w:hAnsi="仿宋_GB2312" w:eastAsia="仿宋_GB2312" w:cs="仿宋_GB2312"/>
          <w:b/>
          <w:bCs/>
          <w:kern w:val="2"/>
          <w:sz w:val="32"/>
          <w:szCs w:val="32"/>
          <w:lang w:eastAsia="zh-CN"/>
        </w:rPr>
        <w:t>深度挖掘文化休闲产品</w:t>
      </w:r>
      <w:bookmarkEnd w:id="61"/>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聚焦苑囿、农耕、红色、生态文化，开发行宫复原体验、农耕活态游、红色研学等产品。围绕南海子苑囿文化开发行宫生活复原体验，围绕凤河流域“五台八庙七十二连营”打造移民寻根之旅，结合花园城市建设和生物医药产业发展康养休闲产品。</w:t>
      </w:r>
      <w:bookmarkStart w:id="62" w:name="二大力培育城市休闲产品"/>
      <w:r>
        <w:rPr>
          <w:rFonts w:ascii="仿宋_GB2312" w:hAnsi="仿宋_GB2312" w:eastAsia="仿宋_GB2312" w:cs="仿宋_GB2312"/>
          <w:b/>
          <w:bCs/>
          <w:kern w:val="2"/>
          <w:sz w:val="32"/>
          <w:szCs w:val="32"/>
          <w:lang w:eastAsia="zh-CN"/>
        </w:rPr>
        <w:t>大力培育城市休闲产品</w:t>
      </w:r>
      <w:bookmarkEnd w:id="62"/>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推进永定湾项目打造“水城共融、居游共享”高品质生活空间，推动星光影视园转型改造打造潮流文化休闲区，围绕新城片区布局小微剧场、非遗工坊等打造都市微度假目的地，开发“夜游夜食夜购夜娱夜学”全链条夜间消费场景，高质量推进与北京经开区文旅协同发展。</w:t>
      </w:r>
      <w:bookmarkStart w:id="63" w:name="三积极培育漫步大兴产品"/>
      <w:r>
        <w:rPr>
          <w:rFonts w:ascii="仿宋_GB2312" w:hAnsi="仿宋_GB2312" w:eastAsia="仿宋_GB2312" w:cs="仿宋_GB2312"/>
          <w:b/>
          <w:bCs/>
          <w:kern w:val="2"/>
          <w:sz w:val="32"/>
          <w:szCs w:val="32"/>
          <w:lang w:eastAsia="zh-CN"/>
        </w:rPr>
        <w:t>积极培育“漫步大兴”产品</w:t>
      </w:r>
      <w:bookmarkEnd w:id="63"/>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规划建设永定河绿道、凤河绿道等骑行线路，以“骑行+沉浸体验”为核心布局打卡点和服务设施，打造“骑行游大兴”品牌。</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64" w:name="_Toc237860796"/>
      <w:bookmarkStart w:id="65" w:name="二打造北京乡村旅游重要支撑"/>
      <w:r>
        <w:rPr>
          <w:rFonts w:ascii="黑体" w:hAnsi="黑体" w:eastAsia="黑体" w:cstheme="minorBidi"/>
          <w:b w:val="0"/>
          <w:bCs w:val="0"/>
          <w:color w:val="000000" w:themeColor="text1"/>
          <w:sz w:val="32"/>
          <w:szCs w:val="20"/>
          <w:lang w:eastAsia="zh-CN"/>
        </w:rPr>
        <w:t>二、打造北京乡村旅游重要支撑</w:t>
      </w:r>
      <w:bookmarkEnd w:id="64"/>
      <w:bookmarkEnd w:id="65"/>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66" w:name="一优化乡村旅游产品供给"/>
      <w:r>
        <w:rPr>
          <w:rFonts w:ascii="仿宋_GB2312" w:hAnsi="仿宋_GB2312" w:eastAsia="仿宋_GB2312" w:cs="仿宋_GB2312"/>
          <w:b/>
          <w:bCs/>
          <w:kern w:val="2"/>
          <w:sz w:val="32"/>
          <w:szCs w:val="32"/>
          <w:lang w:eastAsia="zh-CN"/>
        </w:rPr>
        <w:t>优化乡村旅游产品供给</w:t>
      </w:r>
      <w:bookmarkEnd w:id="6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依托休闲农业星级园区和民俗接待户，培育田园沉浸微度假体系，开发“农业体验+生活沉浸”产品，推出一批主题鲜明的乡村旅游线路和重点片区。</w:t>
      </w:r>
      <w:bookmarkStart w:id="67" w:name="二创新乡村旅游营销推广"/>
      <w:r>
        <w:rPr>
          <w:rFonts w:ascii="仿宋_GB2312" w:hAnsi="仿宋_GB2312" w:eastAsia="仿宋_GB2312" w:cs="仿宋_GB2312"/>
          <w:b/>
          <w:bCs/>
          <w:kern w:val="2"/>
          <w:sz w:val="32"/>
          <w:szCs w:val="32"/>
          <w:lang w:eastAsia="zh-CN"/>
        </w:rPr>
        <w:t>创新乡村旅游营销推广</w:t>
      </w:r>
      <w:bookmarkEnd w:id="67"/>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联动抖音、快手、小红书等开展直播短视频种草，举办大兴西瓜节、采育葡萄旅游文化季、安定桑椹文化主题月等活动，推广“跟着节庆/演艺/赛事去旅游”模式，完善乡村景区多语种标识及接待设施。</w:t>
      </w:r>
      <w:bookmarkStart w:id="68" w:name="三强化乡村旅游发展保障"/>
      <w:r>
        <w:rPr>
          <w:rFonts w:ascii="仿宋_GB2312" w:hAnsi="仿宋_GB2312" w:eastAsia="仿宋_GB2312" w:cs="仿宋_GB2312"/>
          <w:b/>
          <w:bCs/>
          <w:kern w:val="2"/>
          <w:sz w:val="32"/>
          <w:szCs w:val="32"/>
          <w:lang w:eastAsia="zh-CN"/>
        </w:rPr>
        <w:t>强化乡村旅游发展保障</w:t>
      </w:r>
      <w:bookmarkEnd w:id="68"/>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围绕庞各庄、魏善庄、北臧村等建设精品民宿，优化“快进慢游”交通网络，落实乡村旅游高质量发展重点任务清单，用好“点状配套设施用地”政策，培育乡村旅游人才队伍。</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69" w:name="三强化一区四镇休闲度假节点联动"/>
      <w:bookmarkStart w:id="70" w:name="_Toc237860797"/>
      <w:r>
        <w:rPr>
          <w:rFonts w:ascii="黑体" w:hAnsi="黑体" w:eastAsia="黑体" w:cstheme="minorBidi"/>
          <w:b w:val="0"/>
          <w:bCs w:val="0"/>
          <w:color w:val="000000" w:themeColor="text1"/>
          <w:sz w:val="32"/>
          <w:szCs w:val="20"/>
          <w:lang w:eastAsia="zh-CN"/>
        </w:rPr>
        <w:t>三、强化“一区四镇”休闲度假节点联动</w:t>
      </w:r>
      <w:bookmarkEnd w:id="69"/>
      <w:bookmarkEnd w:id="70"/>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71" w:name="一建设大兴国际旅游度假区"/>
      <w:r>
        <w:rPr>
          <w:rFonts w:ascii="仿宋_GB2312" w:hAnsi="仿宋_GB2312" w:eastAsia="仿宋_GB2312" w:cs="仿宋_GB2312"/>
          <w:b/>
          <w:bCs/>
          <w:kern w:val="2"/>
          <w:sz w:val="32"/>
          <w:szCs w:val="32"/>
          <w:lang w:eastAsia="zh-CN"/>
        </w:rPr>
        <w:t>建设大兴国际旅游度假区</w:t>
      </w:r>
      <w:bookmarkEnd w:id="71"/>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聚焦“北有大兴，南有长隆”愿景，推进度假区建设，推动野生动物园主题酒店、动物展区等建设，完善旅游基础设施和公共服务设施，强化“留客”效应。</w:t>
      </w:r>
      <w:bookmarkStart w:id="72" w:name="二打造庞各庄西瓜小镇"/>
      <w:r>
        <w:rPr>
          <w:rFonts w:ascii="仿宋_GB2312" w:hAnsi="仿宋_GB2312" w:eastAsia="仿宋_GB2312" w:cs="仿宋_GB2312"/>
          <w:b/>
          <w:bCs/>
          <w:kern w:val="2"/>
          <w:sz w:val="32"/>
          <w:szCs w:val="32"/>
          <w:lang w:eastAsia="zh-CN"/>
        </w:rPr>
        <w:t>打造庞各庄西瓜小镇</w:t>
      </w:r>
      <w:bookmarkEnd w:id="72"/>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通过“农林科技+宠物经济”双轮驱动、基础设施焕新和高端商业服务导入，构建“快乐生活圈”，借势永兴河串联生态、文化、休闲、商业、夜经济等元素，拓展西瓜节等品牌影响力。</w:t>
      </w:r>
      <w:bookmarkStart w:id="73" w:name="三建设采育数字时尚小镇"/>
      <w:r>
        <w:rPr>
          <w:rFonts w:ascii="仿宋_GB2312" w:hAnsi="仿宋_GB2312" w:eastAsia="仿宋_GB2312" w:cs="仿宋_GB2312"/>
          <w:b/>
          <w:bCs/>
          <w:kern w:val="2"/>
          <w:sz w:val="32"/>
          <w:szCs w:val="32"/>
          <w:lang w:eastAsia="zh-CN"/>
        </w:rPr>
        <w:t>建设采育数字时尚小镇</w:t>
      </w:r>
      <w:bookmarkEnd w:id="73"/>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按“数字+时尚+农文旅”融合思路，融入潮流元素和高品质配套，推进凤河沿线滨水景观建设，依托北京上林马术中央公园打造多元赛事体系。</w:t>
      </w:r>
      <w:bookmarkStart w:id="74" w:name="四发展礼贤空港小镇"/>
      <w:r>
        <w:rPr>
          <w:rFonts w:ascii="仿宋_GB2312" w:hAnsi="仿宋_GB2312" w:eastAsia="仿宋_GB2312" w:cs="仿宋_GB2312"/>
          <w:b/>
          <w:bCs/>
          <w:kern w:val="2"/>
          <w:sz w:val="32"/>
          <w:szCs w:val="32"/>
          <w:lang w:eastAsia="zh-CN"/>
        </w:rPr>
        <w:t>发展礼贤空港小镇</w:t>
      </w:r>
      <w:bookmarkEnd w:id="74"/>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以“文化为魂、空港为核、旅游为体”构建文旅体系，挖掘“礼贤下士”典故，整合升级为空港文化节，开发“航空探秘”“非遗体验”“生态休闲”等主题线路。</w:t>
      </w:r>
      <w:bookmarkStart w:id="75" w:name="五打造魏善庄博物小镇"/>
      <w:r>
        <w:rPr>
          <w:rFonts w:ascii="仿宋_GB2312" w:hAnsi="仿宋_GB2312" w:eastAsia="仿宋_GB2312" w:cs="仿宋_GB2312"/>
          <w:b/>
          <w:bCs/>
          <w:kern w:val="2"/>
          <w:sz w:val="32"/>
          <w:szCs w:val="32"/>
          <w:lang w:eastAsia="zh-CN"/>
        </w:rPr>
        <w:t>打造魏善庄博物小镇</w:t>
      </w:r>
      <w:bookmarkEnd w:id="75"/>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以泓文博雅艺术馆、钧天坊古琴基地等为基础，打造“一条中轴贯穿南北，百家馆藏点缀其中”的泛博物馆体系，发展文化创意旅游，优化月季文化主题农旅产品。</w:t>
      </w:r>
      <w:bookmarkStart w:id="76" w:name="六打造团河行宫文化交流新窗口"/>
      <w:r>
        <w:rPr>
          <w:rFonts w:ascii="仿宋_GB2312" w:hAnsi="仿宋_GB2312" w:eastAsia="仿宋_GB2312" w:cs="仿宋_GB2312"/>
          <w:b/>
          <w:bCs/>
          <w:kern w:val="2"/>
          <w:sz w:val="32"/>
          <w:szCs w:val="32"/>
          <w:lang w:eastAsia="zh-CN"/>
        </w:rPr>
        <w:t>打造团河行宫文化交流新窗口</w:t>
      </w:r>
      <w:bookmarkEnd w:id="7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推动团河行宫遗址公园项目实施，打造“京南新地标”“国门会客厅”，举办皇家文化主题展览、非遗技艺展演等活动，借助现代科技打造数字团河行宫。</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77" w:name="四创新休闲度假多元体验场景"/>
      <w:bookmarkStart w:id="78" w:name="_Toc237860798"/>
      <w:r>
        <w:rPr>
          <w:rFonts w:ascii="黑体" w:hAnsi="黑体" w:eastAsia="黑体" w:cstheme="minorBidi"/>
          <w:b w:val="0"/>
          <w:bCs w:val="0"/>
          <w:color w:val="000000" w:themeColor="text1"/>
          <w:sz w:val="32"/>
          <w:szCs w:val="20"/>
          <w:lang w:eastAsia="zh-CN"/>
        </w:rPr>
        <w:t>四、创新休闲度假多元体验场景</w:t>
      </w:r>
      <w:bookmarkEnd w:id="77"/>
      <w:bookmarkEnd w:id="78"/>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79" w:name="一策划航旅融合休闲场景"/>
      <w:r>
        <w:rPr>
          <w:rFonts w:ascii="仿宋_GB2312" w:hAnsi="仿宋_GB2312" w:eastAsia="仿宋_GB2312" w:cs="仿宋_GB2312"/>
          <w:b/>
          <w:bCs/>
          <w:kern w:val="2"/>
          <w:sz w:val="32"/>
          <w:szCs w:val="32"/>
          <w:lang w:eastAsia="zh-CN"/>
        </w:rPr>
        <w:t>策划航旅融合休闲场景</w:t>
      </w:r>
      <w:bookmarkEnd w:id="79"/>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以“中转流量转化”和“临空消费升级”为主线，推进临空区国际消费枢纽建设，在高速和地铁沿线布局动态光影装置打造国门文化长廊。</w:t>
      </w:r>
      <w:bookmarkStart w:id="80" w:name="二建设园旅融合休闲场景"/>
      <w:r>
        <w:rPr>
          <w:rFonts w:ascii="仿宋_GB2312" w:hAnsi="仿宋_GB2312" w:eastAsia="仿宋_GB2312" w:cs="仿宋_GB2312"/>
          <w:b/>
          <w:bCs/>
          <w:kern w:val="2"/>
          <w:sz w:val="32"/>
          <w:szCs w:val="32"/>
          <w:lang w:eastAsia="zh-CN"/>
        </w:rPr>
        <w:t>建设园旅融合休闲场景</w:t>
      </w:r>
      <w:bookmarkEnd w:id="80"/>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依托御林古桑园、半壁店森林公园等开发“公园+剧场”“公园+演艺”产品，谋划推进“花园中轴 多彩空港”项目，发展林下旅游和科普研学。</w:t>
      </w:r>
      <w:bookmarkStart w:id="81" w:name="三发展工业旅游新场景"/>
      <w:r>
        <w:rPr>
          <w:rFonts w:ascii="仿宋_GB2312" w:hAnsi="仿宋_GB2312" w:eastAsia="仿宋_GB2312" w:cs="仿宋_GB2312"/>
          <w:b/>
          <w:bCs/>
          <w:kern w:val="2"/>
          <w:sz w:val="32"/>
          <w:szCs w:val="32"/>
          <w:lang w:eastAsia="zh-CN"/>
        </w:rPr>
        <w:t>发展工业旅游新场景</w:t>
      </w:r>
      <w:bookmarkEnd w:id="81"/>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依托同仁堂知嘛健康零号店、生物医药基地、北冰洋义利园区等，开发健康探秘、VR参观等体验项目，开通工业旅游专线串联航空基地、生物医药基地等。</w:t>
      </w:r>
      <w:bookmarkStart w:id="82" w:name="四完善体旅融合新链条"/>
      <w:r>
        <w:rPr>
          <w:rFonts w:ascii="仿宋_GB2312" w:hAnsi="仿宋_GB2312" w:eastAsia="仿宋_GB2312" w:cs="仿宋_GB2312"/>
          <w:b/>
          <w:bCs/>
          <w:kern w:val="2"/>
          <w:sz w:val="32"/>
          <w:szCs w:val="32"/>
          <w:lang w:eastAsia="zh-CN"/>
        </w:rPr>
        <w:t>完善体旅融合新链条</w:t>
      </w:r>
      <w:bookmarkEnd w:id="82"/>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培育“跟着赛事去旅行”品牌，依托半程马拉松、马术赛事等推出体育旅游产品，探索开发永定河骑行大赛。</w:t>
      </w:r>
      <w:bookmarkStart w:id="83" w:name="五培育文科旅融合体验场景"/>
      <w:r>
        <w:rPr>
          <w:rFonts w:ascii="仿宋_GB2312" w:hAnsi="仿宋_GB2312" w:eastAsia="仿宋_GB2312" w:cs="仿宋_GB2312"/>
          <w:b/>
          <w:bCs/>
          <w:kern w:val="2"/>
          <w:sz w:val="32"/>
          <w:szCs w:val="32"/>
          <w:lang w:eastAsia="zh-CN"/>
        </w:rPr>
        <w:t>培育文科旅融合体验场景</w:t>
      </w:r>
      <w:bookmarkEnd w:id="83"/>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以南中轴延长线为脉络，开发“可触摸的历史+可感知的未来”沉浸式产品体系，建设“数字团河行宫”，通过全息投影还原“南囿秋风”等历史场景。</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84" w:name="_Toc237860799"/>
      <w:bookmarkStart w:id="85" w:name="五全要素焕新文旅消费配套"/>
      <w:r>
        <w:rPr>
          <w:rFonts w:ascii="黑体" w:hAnsi="黑体" w:eastAsia="黑体" w:cstheme="minorBidi"/>
          <w:b w:val="0"/>
          <w:bCs w:val="0"/>
          <w:color w:val="000000" w:themeColor="text1"/>
          <w:sz w:val="32"/>
          <w:szCs w:val="20"/>
          <w:lang w:eastAsia="zh-CN"/>
        </w:rPr>
        <w:t>五、全要素焕新文旅消费配套</w:t>
      </w:r>
      <w:bookmarkEnd w:id="84"/>
      <w:bookmarkEnd w:id="85"/>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86" w:name="一推进餐饮消费升级"/>
      <w:r>
        <w:rPr>
          <w:rFonts w:ascii="仿宋_GB2312" w:hAnsi="仿宋_GB2312" w:eastAsia="仿宋_GB2312" w:cs="仿宋_GB2312"/>
          <w:b/>
          <w:bCs/>
          <w:kern w:val="2"/>
          <w:sz w:val="32"/>
          <w:szCs w:val="32"/>
          <w:lang w:eastAsia="zh-CN"/>
        </w:rPr>
        <w:t>推进餐饮消费升级</w:t>
      </w:r>
      <w:bookmarkEnd w:id="8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围绕新城、星光影视园、度假区等建设美食街区，创新“餐饮+文旅”融合业态，推进龙湖天街“非遗夜市”，做大同仁堂药膳轻食品牌。</w:t>
      </w:r>
      <w:bookmarkStart w:id="87" w:name="二优化住宿服务体系"/>
      <w:r>
        <w:rPr>
          <w:rFonts w:ascii="仿宋_GB2312" w:hAnsi="仿宋_GB2312" w:eastAsia="仿宋_GB2312" w:cs="仿宋_GB2312"/>
          <w:b/>
          <w:bCs/>
          <w:kern w:val="2"/>
          <w:sz w:val="32"/>
          <w:szCs w:val="32"/>
          <w:lang w:eastAsia="zh-CN"/>
        </w:rPr>
        <w:t>优化住宿服务体系</w:t>
      </w:r>
      <w:bookmarkEnd w:id="87"/>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引进国际连锁品质酒店，鼓励存量酒店硬件改造和文化植入，发展乡村民宿聚落和“住宿+书店”“住宿+艺术”等主题住宿。</w:t>
      </w:r>
      <w:bookmarkStart w:id="88" w:name="三积极拓展购物消费"/>
      <w:r>
        <w:rPr>
          <w:rFonts w:ascii="仿宋_GB2312" w:hAnsi="仿宋_GB2312" w:eastAsia="仿宋_GB2312" w:cs="仿宋_GB2312"/>
          <w:b/>
          <w:bCs/>
          <w:kern w:val="2"/>
          <w:sz w:val="32"/>
          <w:szCs w:val="32"/>
          <w:lang w:eastAsia="zh-CN"/>
        </w:rPr>
        <w:t>积极拓展购物消费</w:t>
      </w:r>
      <w:bookmarkEnd w:id="88"/>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吸引国际品牌首店首发落地，依托荟聚商圈引入文旅主题旗舰店、非遗快闪工坊，打造“扫码下单+行李直送”服务，持续做好“大兴有礼”品牌。</w:t>
      </w:r>
      <w:bookmarkStart w:id="89" w:name="四大力发展娱乐经济"/>
      <w:r>
        <w:rPr>
          <w:rFonts w:ascii="仿宋_GB2312" w:hAnsi="仿宋_GB2312" w:eastAsia="仿宋_GB2312" w:cs="仿宋_GB2312"/>
          <w:b/>
          <w:bCs/>
          <w:kern w:val="2"/>
          <w:sz w:val="32"/>
          <w:szCs w:val="32"/>
          <w:lang w:eastAsia="zh-CN"/>
        </w:rPr>
        <w:t>大力发展娱乐经济</w:t>
      </w:r>
      <w:bookmarkEnd w:id="89"/>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布局室内娱乐综合体和“文化+科技”沉浸式剧场，升级改造大型户外公园增设亲子探险乐园。</w:t>
      </w:r>
      <w:bookmarkStart w:id="90" w:name="五推进文旅消费升级扩容"/>
      <w:r>
        <w:rPr>
          <w:rFonts w:ascii="仿宋_GB2312" w:hAnsi="仿宋_GB2312" w:eastAsia="仿宋_GB2312" w:cs="仿宋_GB2312"/>
          <w:b/>
          <w:bCs/>
          <w:kern w:val="2"/>
          <w:sz w:val="32"/>
          <w:szCs w:val="32"/>
          <w:lang w:eastAsia="zh-CN"/>
        </w:rPr>
        <w:t>推进文旅消费升级扩容</w:t>
      </w:r>
      <w:bookmarkEnd w:id="90"/>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促进票根经济发展，加强文博场馆、演艺空间周边配套建设，引导金融机构创新文旅消费金融产品。</w:t>
      </w:r>
    </w:p>
    <w:p>
      <w:pPr>
        <w:pStyle w:val="4"/>
        <w:widowControl w:val="0"/>
        <w:spacing w:before="260" w:after="260" w:line="360" w:lineRule="auto"/>
        <w:jc w:val="center"/>
        <w:rPr>
          <w:rFonts w:ascii="黑体" w:hAnsi="黑体" w:eastAsia="黑体"/>
          <w:bCs w:val="0"/>
          <w:color w:val="000000" w:themeColor="text1"/>
          <w:sz w:val="32"/>
          <w:szCs w:val="20"/>
          <w:lang w:eastAsia="zh-CN"/>
        </w:rPr>
        <w:sectPr>
          <w:pgSz w:w="12240" w:h="15840"/>
          <w:pgMar w:top="1440" w:right="1800" w:bottom="1440" w:left="1800" w:header="720" w:footer="720" w:gutter="0"/>
          <w:pgNumType w:fmt="numberInDash"/>
          <w:cols w:space="720" w:num="1"/>
        </w:sectPr>
      </w:pPr>
      <w:bookmarkStart w:id="91" w:name="第六章-对标两大客群塑造大兴休闲品牌新形象"/>
    </w:p>
    <w:bookmarkEnd w:id="91"/>
    <w:p>
      <w:pPr>
        <w:pStyle w:val="4"/>
        <w:widowControl w:val="0"/>
        <w:spacing w:before="260" w:after="260" w:line="360" w:lineRule="auto"/>
        <w:jc w:val="center"/>
        <w:rPr>
          <w:rFonts w:ascii="黑体" w:hAnsi="黑体" w:eastAsia="黑体"/>
          <w:bCs w:val="0"/>
          <w:color w:val="000000" w:themeColor="text1"/>
          <w:sz w:val="32"/>
          <w:szCs w:val="20"/>
          <w:lang w:eastAsia="zh-CN"/>
        </w:rPr>
      </w:pPr>
      <w:bookmarkStart w:id="92" w:name="_Toc237860800"/>
      <w:bookmarkStart w:id="93" w:name="第七章-坚持精治善管探索文旅综合治理新路径"/>
      <w:r>
        <w:rPr>
          <w:rFonts w:ascii="黑体" w:hAnsi="黑体" w:eastAsia="黑体"/>
          <w:bCs w:val="0"/>
          <w:color w:val="000000" w:themeColor="text1"/>
          <w:sz w:val="32"/>
          <w:szCs w:val="20"/>
          <w:lang w:eastAsia="zh-CN"/>
        </w:rPr>
        <w:t>第</w:t>
      </w:r>
      <w:r>
        <w:rPr>
          <w:rFonts w:hint="eastAsia" w:ascii="黑体" w:hAnsi="黑体" w:eastAsia="黑体"/>
          <w:bCs w:val="0"/>
          <w:color w:val="000000" w:themeColor="text1"/>
          <w:sz w:val="32"/>
          <w:szCs w:val="20"/>
          <w:lang w:eastAsia="zh-CN"/>
        </w:rPr>
        <w:t>六</w:t>
      </w:r>
      <w:r>
        <w:rPr>
          <w:rFonts w:ascii="黑体" w:hAnsi="黑体" w:eastAsia="黑体"/>
          <w:bCs w:val="0"/>
          <w:color w:val="000000" w:themeColor="text1"/>
          <w:sz w:val="32"/>
          <w:szCs w:val="20"/>
          <w:lang w:eastAsia="zh-CN"/>
        </w:rPr>
        <w:t>章 坚持精治善管，探索文旅综合治理新路径</w:t>
      </w:r>
      <w:bookmarkEnd w:id="92"/>
      <w:bookmarkEnd w:id="93"/>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94" w:name="_Toc237860801"/>
      <w:bookmarkStart w:id="95" w:name="一提升文旅市场综合治理能力"/>
      <w:r>
        <w:rPr>
          <w:rFonts w:ascii="黑体" w:hAnsi="黑体" w:eastAsia="黑体" w:cstheme="minorBidi"/>
          <w:b w:val="0"/>
          <w:bCs w:val="0"/>
          <w:color w:val="000000" w:themeColor="text1"/>
          <w:sz w:val="32"/>
          <w:szCs w:val="20"/>
          <w:lang w:eastAsia="zh-CN"/>
        </w:rPr>
        <w:t>一、提升文旅市场综合治理能力</w:t>
      </w:r>
      <w:bookmarkEnd w:id="94"/>
      <w:bookmarkEnd w:id="95"/>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96" w:name="一优化文化和旅游营商环境"/>
      <w:r>
        <w:rPr>
          <w:rFonts w:ascii="仿宋_GB2312" w:hAnsi="仿宋_GB2312" w:eastAsia="仿宋_GB2312" w:cs="仿宋_GB2312"/>
          <w:b/>
          <w:bCs/>
          <w:kern w:val="2"/>
          <w:sz w:val="32"/>
          <w:szCs w:val="32"/>
          <w:lang w:eastAsia="zh-CN"/>
        </w:rPr>
        <w:t>优化文化和旅游营商环境</w:t>
      </w:r>
      <w:bookmarkEnd w:id="96"/>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深化“放管服”改革，健全“双随机、一公开”联合检查机制，强化非现场执法，加强文旅经济调度，动态调整政策。</w:t>
      </w:r>
      <w:bookmarkStart w:id="97" w:name="二规范文化和旅游市场秩序"/>
      <w:r>
        <w:rPr>
          <w:rFonts w:ascii="仿宋_GB2312" w:hAnsi="仿宋_GB2312" w:eastAsia="仿宋_GB2312" w:cs="仿宋_GB2312"/>
          <w:b/>
          <w:bCs/>
          <w:kern w:val="2"/>
          <w:sz w:val="32"/>
          <w:szCs w:val="32"/>
          <w:lang w:eastAsia="zh-CN"/>
        </w:rPr>
        <w:t>规范文化和旅游市场秩序</w:t>
      </w:r>
      <w:bookmarkEnd w:id="97"/>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建立健全跨部门举报投诉和执法协作机制，依托“12345”热线规范投诉处理流程，坚决维护游客合法权益。</w:t>
      </w:r>
      <w:bookmarkStart w:id="98" w:name="三加强文化和旅游综合监管"/>
      <w:r>
        <w:rPr>
          <w:rFonts w:ascii="仿宋_GB2312" w:hAnsi="仿宋_GB2312" w:eastAsia="仿宋_GB2312" w:cs="仿宋_GB2312"/>
          <w:b/>
          <w:bCs/>
          <w:kern w:val="2"/>
          <w:sz w:val="32"/>
          <w:szCs w:val="32"/>
          <w:lang w:eastAsia="zh-CN"/>
        </w:rPr>
        <w:t>加强文化和旅游综合监管</w:t>
      </w:r>
      <w:bookmarkEnd w:id="98"/>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推广“信用+监管”模式，建立文旅企业红黑榜，加强意识形态阵地管理和内容分级审查，扎实开展安全生产专项整治，健全应急救援体系。</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99" w:name="_Toc237860802"/>
      <w:bookmarkStart w:id="100" w:name="二营造文明好客的旅游氛围"/>
      <w:r>
        <w:rPr>
          <w:rFonts w:ascii="黑体" w:hAnsi="黑体" w:eastAsia="黑体" w:cstheme="minorBidi"/>
          <w:b w:val="0"/>
          <w:bCs w:val="0"/>
          <w:color w:val="000000" w:themeColor="text1"/>
          <w:sz w:val="32"/>
          <w:szCs w:val="20"/>
          <w:lang w:eastAsia="zh-CN"/>
        </w:rPr>
        <w:t>二、营造文明好客的旅游氛围</w:t>
      </w:r>
      <w:bookmarkEnd w:id="99"/>
      <w:bookmarkEnd w:id="100"/>
    </w:p>
    <w:p>
      <w:pPr>
        <w:widowControl w:val="0"/>
        <w:spacing w:after="0" w:line="560" w:lineRule="exact"/>
        <w:ind w:firstLine="642" w:firstLineChars="200"/>
        <w:jc w:val="both"/>
        <w:rPr>
          <w:rFonts w:ascii="仿宋_GB2312" w:hAnsi="仿宋_GB2312" w:eastAsia="仿宋_GB2312" w:cs="仿宋_GB2312"/>
          <w:kern w:val="2"/>
          <w:sz w:val="32"/>
          <w:szCs w:val="32"/>
          <w:lang w:eastAsia="zh-CN"/>
        </w:rPr>
      </w:pPr>
      <w:bookmarkStart w:id="101" w:name="一加强文明旅游宣传引导"/>
      <w:r>
        <w:rPr>
          <w:rFonts w:ascii="仿宋_GB2312" w:hAnsi="仿宋_GB2312" w:eastAsia="仿宋_GB2312" w:cs="仿宋_GB2312"/>
          <w:b/>
          <w:bCs/>
          <w:kern w:val="2"/>
          <w:sz w:val="32"/>
          <w:szCs w:val="32"/>
          <w:lang w:eastAsia="zh-CN"/>
        </w:rPr>
        <w:t>加强文明旅游宣传引导</w:t>
      </w:r>
      <w:bookmarkEnd w:id="101"/>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依托全媒体矩阵加强文明旅游宣传，推动文明旅游成为社会新风尚。</w:t>
      </w:r>
      <w:bookmarkStart w:id="102" w:name="二开展文明旅游专项行动"/>
      <w:r>
        <w:rPr>
          <w:rFonts w:ascii="仿宋_GB2312" w:hAnsi="仿宋_GB2312" w:eastAsia="仿宋_GB2312" w:cs="仿宋_GB2312"/>
          <w:b/>
          <w:bCs/>
          <w:kern w:val="2"/>
          <w:sz w:val="32"/>
          <w:szCs w:val="32"/>
          <w:lang w:eastAsia="zh-CN"/>
        </w:rPr>
        <w:t>开展文明旅游专项行动</w:t>
      </w:r>
      <w:bookmarkEnd w:id="102"/>
      <w:r>
        <w:rPr>
          <w:rFonts w:hint="eastAsia" w:ascii="仿宋_GB2312" w:hAnsi="仿宋_GB2312" w:eastAsia="仿宋_GB2312" w:cs="仿宋_GB2312"/>
          <w:b/>
          <w:bCs/>
          <w:kern w:val="2"/>
          <w:sz w:val="32"/>
          <w:szCs w:val="32"/>
          <w:lang w:eastAsia="zh-CN"/>
        </w:rPr>
        <w:t>。</w:t>
      </w:r>
      <w:r>
        <w:rPr>
          <w:rFonts w:ascii="仿宋_GB2312" w:hAnsi="仿宋_GB2312" w:eastAsia="仿宋_GB2312" w:cs="仿宋_GB2312"/>
          <w:kern w:val="2"/>
          <w:sz w:val="32"/>
          <w:szCs w:val="32"/>
          <w:lang w:eastAsia="zh-CN"/>
        </w:rPr>
        <w:t>对导游、酒店、景区开展文明旅游服务培训，打击黄牛倒票等行为，壮大“大兴文旅志愿者”队伍，开展中英双语咨询等服务。</w:t>
      </w:r>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bookmarkStart w:id="103" w:name="第八章-加强规划实施保障"/>
    </w:p>
    <w:p>
      <w:pPr>
        <w:tabs>
          <w:tab w:val="center" w:pos="4320"/>
        </w:tabs>
        <w:rPr>
          <w:lang w:eastAsia="zh-CN"/>
        </w:rPr>
        <w:sectPr>
          <w:pgSz w:w="12240" w:h="15840"/>
          <w:pgMar w:top="1440" w:right="1800" w:bottom="1440" w:left="1800" w:header="720" w:footer="720" w:gutter="0"/>
          <w:pgNumType w:fmt="numberInDash"/>
          <w:cols w:space="720" w:num="1"/>
        </w:sectPr>
      </w:pPr>
      <w:bookmarkStart w:id="113" w:name="_GoBack"/>
      <w:bookmarkEnd w:id="113"/>
      <w:r>
        <w:rPr>
          <w:lang w:eastAsia="zh-CN"/>
        </w:rPr>
        <w:tab/>
      </w:r>
      <w:bookmarkStart w:id="104" w:name="_Toc237860803"/>
    </w:p>
    <w:p>
      <w:pPr>
        <w:pStyle w:val="4"/>
        <w:widowControl w:val="0"/>
        <w:spacing w:before="260" w:after="260" w:line="360" w:lineRule="auto"/>
        <w:jc w:val="center"/>
        <w:rPr>
          <w:rFonts w:ascii="黑体" w:hAnsi="黑体" w:eastAsia="黑体"/>
          <w:bCs w:val="0"/>
          <w:color w:val="000000" w:themeColor="text1"/>
          <w:sz w:val="32"/>
          <w:szCs w:val="20"/>
          <w:lang w:eastAsia="zh-CN"/>
        </w:rPr>
      </w:pPr>
      <w:r>
        <w:rPr>
          <w:rFonts w:ascii="黑体" w:hAnsi="黑体" w:eastAsia="黑体"/>
          <w:bCs w:val="0"/>
          <w:color w:val="000000" w:themeColor="text1"/>
          <w:sz w:val="32"/>
          <w:szCs w:val="20"/>
          <w:lang w:eastAsia="zh-CN"/>
        </w:rPr>
        <w:t>第</w:t>
      </w:r>
      <w:r>
        <w:rPr>
          <w:rFonts w:hint="eastAsia" w:ascii="黑体" w:hAnsi="黑体" w:eastAsia="黑体"/>
          <w:bCs w:val="0"/>
          <w:color w:val="000000" w:themeColor="text1"/>
          <w:sz w:val="32"/>
          <w:szCs w:val="20"/>
          <w:lang w:eastAsia="zh-CN"/>
        </w:rPr>
        <w:t>七</w:t>
      </w:r>
      <w:r>
        <w:rPr>
          <w:rFonts w:ascii="黑体" w:hAnsi="黑体" w:eastAsia="黑体"/>
          <w:bCs w:val="0"/>
          <w:color w:val="000000" w:themeColor="text1"/>
          <w:sz w:val="32"/>
          <w:szCs w:val="20"/>
          <w:lang w:eastAsia="zh-CN"/>
        </w:rPr>
        <w:t>章 加强规划实施保障</w:t>
      </w:r>
      <w:bookmarkEnd w:id="103"/>
      <w:bookmarkEnd w:id="104"/>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105" w:name="_Toc237860804"/>
      <w:bookmarkStart w:id="106" w:name="一加强组织领导与统筹协调"/>
      <w:r>
        <w:rPr>
          <w:rFonts w:ascii="黑体" w:hAnsi="黑体" w:eastAsia="黑体" w:cstheme="minorBidi"/>
          <w:b w:val="0"/>
          <w:bCs w:val="0"/>
          <w:color w:val="000000" w:themeColor="text1"/>
          <w:sz w:val="32"/>
          <w:szCs w:val="20"/>
          <w:lang w:eastAsia="zh-CN"/>
        </w:rPr>
        <w:t>一、加强组织领导与统筹协调</w:t>
      </w:r>
      <w:bookmarkEnd w:id="105"/>
      <w:bookmarkEnd w:id="106"/>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加强党的全面领导，建立健全部门协同联动机制，明确各部门职责清单，形成“双向精准”的工作链条。</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107" w:name="二加大政策扶持与资金投入"/>
      <w:bookmarkStart w:id="108" w:name="_Toc237860805"/>
      <w:r>
        <w:rPr>
          <w:rFonts w:ascii="黑体" w:hAnsi="黑体" w:eastAsia="黑体" w:cstheme="minorBidi"/>
          <w:b w:val="0"/>
          <w:bCs w:val="0"/>
          <w:color w:val="000000" w:themeColor="text1"/>
          <w:sz w:val="32"/>
          <w:szCs w:val="20"/>
          <w:lang w:eastAsia="zh-CN"/>
        </w:rPr>
        <w:t>二、加大政策扶持与资金投入</w:t>
      </w:r>
      <w:bookmarkEnd w:id="107"/>
      <w:bookmarkEnd w:id="108"/>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积极争取上级财政资金支持，研究制定促进文旅高质量发展的专项政策，创新土地政策制定“文旅空间转化清单”，建立文旅产业人才引进培养专项政策。</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109" w:name="_Toc237860806"/>
      <w:bookmarkStart w:id="110" w:name="三协调重大项目有序推进"/>
      <w:r>
        <w:rPr>
          <w:rFonts w:ascii="黑体" w:hAnsi="黑体" w:eastAsia="黑体" w:cstheme="minorBidi"/>
          <w:b w:val="0"/>
          <w:bCs w:val="0"/>
          <w:color w:val="000000" w:themeColor="text1"/>
          <w:sz w:val="32"/>
          <w:szCs w:val="20"/>
          <w:lang w:eastAsia="zh-CN"/>
        </w:rPr>
        <w:t>三、协调重大项目有序推进</w:t>
      </w:r>
      <w:bookmarkEnd w:id="109"/>
      <w:bookmarkEnd w:id="110"/>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支持重大文旅项目列入政府投资计划和市级重大文旅产业项目库，建立健全项目建设协调推进机制，优先保障文旅项目土地供应。</w:t>
      </w:r>
    </w:p>
    <w:p>
      <w:pPr>
        <w:pStyle w:val="5"/>
        <w:widowControl w:val="0"/>
        <w:spacing w:before="0" w:line="560" w:lineRule="exact"/>
        <w:ind w:firstLine="640" w:firstLineChars="200"/>
        <w:jc w:val="both"/>
        <w:rPr>
          <w:rFonts w:ascii="黑体" w:hAnsi="黑体" w:eastAsia="黑体" w:cstheme="minorBidi"/>
          <w:b w:val="0"/>
          <w:bCs w:val="0"/>
          <w:color w:val="000000" w:themeColor="text1"/>
          <w:sz w:val="32"/>
          <w:szCs w:val="20"/>
          <w:lang w:eastAsia="zh-CN"/>
        </w:rPr>
      </w:pPr>
      <w:bookmarkStart w:id="111" w:name="_Toc237860807"/>
      <w:bookmarkStart w:id="112" w:name="四加强文化和旅游人才培养"/>
      <w:r>
        <w:rPr>
          <w:rFonts w:ascii="黑体" w:hAnsi="黑体" w:eastAsia="黑体" w:cstheme="minorBidi"/>
          <w:b w:val="0"/>
          <w:bCs w:val="0"/>
          <w:color w:val="000000" w:themeColor="text1"/>
          <w:sz w:val="32"/>
          <w:szCs w:val="20"/>
          <w:lang w:eastAsia="zh-CN"/>
        </w:rPr>
        <w:t>四、加强文化和旅游人才培养</w:t>
      </w:r>
      <w:bookmarkEnd w:id="111"/>
      <w:bookmarkEnd w:id="112"/>
    </w:p>
    <w:p>
      <w:pPr>
        <w:widowControl w:val="0"/>
        <w:spacing w:after="0" w:line="560" w:lineRule="exact"/>
        <w:ind w:firstLine="640" w:firstLineChars="200"/>
        <w:jc w:val="both"/>
        <w:rPr>
          <w:rFonts w:ascii="仿宋_GB2312" w:hAnsi="仿宋_GB2312" w:eastAsia="仿宋_GB2312" w:cs="仿宋_GB2312"/>
          <w:kern w:val="2"/>
          <w:sz w:val="32"/>
          <w:szCs w:val="32"/>
          <w:lang w:eastAsia="zh-CN"/>
        </w:rPr>
      </w:pPr>
      <w:r>
        <w:rPr>
          <w:rFonts w:ascii="仿宋_GB2312" w:hAnsi="仿宋_GB2312" w:eastAsia="仿宋_GB2312" w:cs="仿宋_GB2312"/>
          <w:kern w:val="2"/>
          <w:sz w:val="32"/>
          <w:szCs w:val="32"/>
          <w:lang w:eastAsia="zh-CN"/>
        </w:rPr>
        <w:t>重点引进场景策划、数字文创、非遗传承等领域专家，研究建立“大兴文旅智库”，优化培训方案，与院校合作定向培养乡村旅游规划师、非遗传承人等专业人才。</w:t>
      </w:r>
    </w:p>
    <w:p>
      <w:pPr>
        <w:jc w:val="center"/>
        <w:rPr>
          <w:rFonts w:ascii="仿宋_GB2312" w:hAnsi="仿宋_GB2312" w:eastAsia="仿宋_GB2312" w:cs="仿宋_GB2312"/>
          <w:sz w:val="32"/>
          <w:szCs w:val="32"/>
          <w:lang w:eastAsia="zh-CN"/>
        </w:rPr>
      </w:pPr>
    </w:p>
    <w:sectPr>
      <w:pgSz w:w="12240" w:h="15840"/>
      <w:pgMar w:top="1440" w:right="1797" w:bottom="1440" w:left="1797"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Consolas">
    <w:altName w:val="Noto Sans Mono"/>
    <w:panose1 w:val="020B0609020204030204"/>
    <w:charset w:val="00"/>
    <w:family w:val="modern"/>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3909010"/>
      <w:docPartObj>
        <w:docPartGallery w:val="AutoText"/>
      </w:docPartObj>
    </w:sdtPr>
    <w:sdtEndPr>
      <w:rPr>
        <w:rFonts w:hint="eastAsia" w:ascii="仿宋_GB2312" w:eastAsia="仿宋_GB2312"/>
        <w:sz w:val="28"/>
        <w:szCs w:val="28"/>
      </w:rPr>
    </w:sdtEndPr>
    <w:sdtContent>
      <w:p>
        <w:pPr>
          <w:pStyle w:val="16"/>
          <w:jc w:val="center"/>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PAGE   \* MERGEFORMAT</w:instrText>
        </w:r>
        <w:r>
          <w:rPr>
            <w:rFonts w:hint="eastAsia" w:ascii="仿宋_GB2312" w:eastAsia="仿宋_GB2312"/>
            <w:sz w:val="28"/>
            <w:szCs w:val="28"/>
          </w:rPr>
          <w:fldChar w:fldCharType="separate"/>
        </w:r>
        <w:r>
          <w:rPr>
            <w:rFonts w:hint="eastAsia" w:ascii="仿宋_GB2312" w:eastAsia="仿宋_GB2312"/>
            <w:sz w:val="28"/>
            <w:szCs w:val="28"/>
            <w:lang w:val="zh-CN" w:eastAsia="zh-CN"/>
          </w:rPr>
          <w:t>2</w:t>
        </w:r>
        <w:r>
          <w:rPr>
            <w:rFonts w:hint="eastAsia" w:ascii="仿宋_GB2312" w:eastAsia="仿宋_GB2312"/>
            <w:sz w:val="28"/>
            <w:szCs w:val="28"/>
          </w:rPr>
          <w:fldChar w:fldCharType="end"/>
        </w:r>
      </w:p>
    </w:sdtContent>
  </w:sdt>
  <w:p>
    <w:pPr>
      <w:pStyle w:val="1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2"/>
  </w:compat>
  <w:rsids>
    <w:rsidRoot w:val="00590D07"/>
    <w:rsid w:val="00011C8B"/>
    <w:rsid w:val="001146E8"/>
    <w:rsid w:val="00124646"/>
    <w:rsid w:val="00186234"/>
    <w:rsid w:val="002E0417"/>
    <w:rsid w:val="0030767A"/>
    <w:rsid w:val="0036638E"/>
    <w:rsid w:val="004E29B3"/>
    <w:rsid w:val="00590D07"/>
    <w:rsid w:val="00784D58"/>
    <w:rsid w:val="00792122"/>
    <w:rsid w:val="007F7881"/>
    <w:rsid w:val="008C6382"/>
    <w:rsid w:val="008D6863"/>
    <w:rsid w:val="00942F3B"/>
    <w:rsid w:val="009C58A5"/>
    <w:rsid w:val="00B86B75"/>
    <w:rsid w:val="00BC48D5"/>
    <w:rsid w:val="00BD5C2B"/>
    <w:rsid w:val="00C36279"/>
    <w:rsid w:val="00C80F77"/>
    <w:rsid w:val="00CC3784"/>
    <w:rsid w:val="00D123BA"/>
    <w:rsid w:val="00E315A3"/>
    <w:rsid w:val="00E51374"/>
    <w:rsid w:val="00F35C9E"/>
    <w:rsid w:val="00F427D5"/>
    <w:rsid w:val="00F744A1"/>
    <w:rsid w:val="00F847B1"/>
    <w:rsid w:val="00FB28B1"/>
    <w:rsid w:val="EF5FD9C7"/>
  </w:rsids>
  <m:mathPr>
    <m:mathFont m:val="Cambria Math"/>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 w:semiHidden="0" w:name="footnote text"/>
    <w:lsdException w:uiPriority="0" w:name="annotation text"/>
    <w:lsdException w:qFormat="1" w:uiPriority="0"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nhideWhenUsed="0" w:uiPriority="0" w:semiHidden="0" w:name="List 5"/>
    <w:lsdException w:uiPriority="0" w:name="List Bullet 2"/>
    <w:lsdException w:uiPriority="0" w:name="List Bullet 3"/>
    <w:lsdException w:unhideWhenUsed="0" w:uiPriority="0" w:semiHidden="0" w:name="List Bullet 4"/>
    <w:lsdException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0" w:name="Body Text Indent 2"/>
    <w:lsdException w:uiPriority="0" w:name="Body Text Indent 3"/>
    <w:lsdException w:qFormat="1" w:uiPriority="9" w:semiHidden="0" w:name="Block Text"/>
    <w:lsdException w:qFormat="1" w:unhideWhenUsed="0" w:uiPriority="99" w:semiHidden="0" w:name="Hyperlink"/>
    <w:lsdException w:uiPriority="0" w:name="FollowedHyperlink"/>
    <w:lsdException w:unhideWhenUsed="0" w:uiPriority="0"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4">
    <w:name w:val="heading 2"/>
    <w:basedOn w:val="1"/>
    <w:next w:val="3"/>
    <w:link w:val="74"/>
    <w:unhideWhenUsed/>
    <w:qFormat/>
    <w:uiPriority w:val="9"/>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5">
    <w:name w:val="heading 3"/>
    <w:basedOn w:val="1"/>
    <w:next w:val="3"/>
    <w:link w:val="75"/>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6">
    <w:name w:val="heading 4"/>
    <w:basedOn w:val="1"/>
    <w:next w:val="3"/>
    <w:link w:val="76"/>
    <w:unhideWhenUsed/>
    <w:qFormat/>
    <w:uiPriority w:val="9"/>
    <w:pPr>
      <w:keepNext/>
      <w:keepLines/>
      <w:spacing w:before="200" w:after="0"/>
      <w:outlineLvl w:val="3"/>
    </w:pPr>
    <w:rPr>
      <w:rFonts w:asciiTheme="majorHAnsi" w:hAnsiTheme="majorHAnsi" w:eastAsiaTheme="majorEastAsia" w:cstheme="majorBidi"/>
      <w:bCs/>
      <w:i/>
      <w:color w:val="4F81BD" w:themeColor="accent1"/>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Cs/>
      <w:color w:val="4F81BD" w:themeColor="accent1"/>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180" w:after="180"/>
    </w:pPr>
  </w:style>
  <w:style w:type="paragraph" w:styleId="12">
    <w:name w:val="caption"/>
    <w:basedOn w:val="1"/>
    <w:next w:val="1"/>
    <w:link w:val="26"/>
    <w:qFormat/>
    <w:uiPriority w:val="0"/>
    <w:pPr>
      <w:spacing w:after="120"/>
    </w:pPr>
    <w:rPr>
      <w:i/>
    </w:rPr>
  </w:style>
  <w:style w:type="paragraph" w:styleId="13">
    <w:name w:val="Block Text"/>
    <w:basedOn w:val="3"/>
    <w:next w:val="3"/>
    <w:unhideWhenUsed/>
    <w:qFormat/>
    <w:uiPriority w:val="9"/>
    <w:pPr>
      <w:spacing w:before="100" w:after="100"/>
      <w:ind w:left="480" w:right="480"/>
    </w:pPr>
  </w:style>
  <w:style w:type="paragraph" w:styleId="14">
    <w:name w:val="toc 3"/>
    <w:basedOn w:val="1"/>
    <w:next w:val="1"/>
    <w:unhideWhenUsed/>
    <w:qFormat/>
    <w:uiPriority w:val="39"/>
    <w:pPr>
      <w:ind w:left="840" w:leftChars="400"/>
    </w:pPr>
  </w:style>
  <w:style w:type="paragraph" w:styleId="15">
    <w:name w:val="Date"/>
    <w:next w:val="3"/>
    <w:qFormat/>
    <w:uiPriority w:val="0"/>
    <w:pPr>
      <w:keepNext/>
      <w:keepLines/>
      <w:spacing w:after="200"/>
      <w:jc w:val="center"/>
    </w:pPr>
    <w:rPr>
      <w:rFonts w:asciiTheme="minorHAnsi" w:hAnsiTheme="minorHAnsi" w:eastAsiaTheme="minorEastAsia" w:cstheme="minorBidi"/>
      <w:sz w:val="24"/>
      <w:szCs w:val="24"/>
      <w:lang w:val="en-US" w:eastAsia="en-US" w:bidi="ar-SA"/>
    </w:rPr>
  </w:style>
  <w:style w:type="paragraph" w:styleId="16">
    <w:name w:val="footer"/>
    <w:basedOn w:val="1"/>
    <w:link w:val="78"/>
    <w:unhideWhenUsed/>
    <w:qFormat/>
    <w:uiPriority w:val="99"/>
    <w:pPr>
      <w:tabs>
        <w:tab w:val="center" w:pos="4153"/>
        <w:tab w:val="right" w:pos="8306"/>
      </w:tabs>
      <w:snapToGrid w:val="0"/>
    </w:pPr>
    <w:rPr>
      <w:sz w:val="18"/>
      <w:szCs w:val="18"/>
    </w:rPr>
  </w:style>
  <w:style w:type="paragraph" w:styleId="17">
    <w:name w:val="header"/>
    <w:basedOn w:val="1"/>
    <w:link w:val="77"/>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Subtitle"/>
    <w:basedOn w:val="19"/>
    <w:next w:val="3"/>
    <w:qFormat/>
    <w:uiPriority w:val="0"/>
    <w:pPr>
      <w:spacing w:before="240"/>
    </w:pPr>
    <w:rPr>
      <w:sz w:val="30"/>
      <w:szCs w:val="30"/>
    </w:rPr>
  </w:style>
  <w:style w:type="paragraph" w:styleId="19">
    <w:name w:val="Title"/>
    <w:basedOn w:val="1"/>
    <w:next w:val="3"/>
    <w:qFormat/>
    <w:uiPriority w:val="0"/>
    <w:pPr>
      <w:keepNext/>
      <w:keepLines/>
      <w:spacing w:before="480" w:after="240"/>
      <w:jc w:val="center"/>
    </w:pPr>
    <w:rPr>
      <w:rFonts w:asciiTheme="majorHAnsi" w:hAnsiTheme="majorHAnsi" w:eastAsiaTheme="majorEastAsia" w:cstheme="majorBidi"/>
      <w:b/>
      <w:bCs/>
      <w:color w:val="335B8A" w:themeColor="accent1" w:themeShade="B5"/>
      <w:sz w:val="36"/>
      <w:szCs w:val="36"/>
    </w:rPr>
  </w:style>
  <w:style w:type="paragraph" w:styleId="20">
    <w:name w:val="footnote text"/>
    <w:basedOn w:val="1"/>
    <w:unhideWhenUsed/>
    <w:qFormat/>
    <w:uiPriority w:val="9"/>
  </w:style>
  <w:style w:type="paragraph" w:styleId="21">
    <w:name w:val="toc 2"/>
    <w:basedOn w:val="1"/>
    <w:next w:val="1"/>
    <w:unhideWhenUsed/>
    <w:qFormat/>
    <w:uiPriority w:val="39"/>
    <w:pPr>
      <w:tabs>
        <w:tab w:val="right" w:leader="dot" w:pos="8630"/>
      </w:tabs>
      <w:ind w:left="480" w:leftChars="200"/>
    </w:pPr>
    <w:rPr>
      <w:rFonts w:ascii="仿宋_GB2312" w:hAnsi="黑体" w:eastAsia="仿宋_GB2312"/>
      <w:b/>
      <w:bCs/>
      <w:sz w:val="28"/>
      <w:szCs w:val="28"/>
      <w:lang w:eastAsia="zh-CN"/>
    </w:rPr>
  </w:style>
  <w:style w:type="table" w:styleId="23">
    <w:name w:val="Table Grid"/>
    <w:basedOn w:val="22"/>
    <w:qFormat/>
    <w:uiPriority w:val="59"/>
    <w:pPr>
      <w:spacing w:after="0"/>
    </w:pPr>
    <w:rPr>
      <w:rFonts w:ascii="Times New Roman" w:hAnsi="Times New Roman" w:eastAsia="宋体"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6"/>
    <w:qFormat/>
    <w:uiPriority w:val="99"/>
    <w:rPr>
      <w:color w:val="4F81BD" w:themeColor="accent1"/>
    </w:rPr>
  </w:style>
  <w:style w:type="character" w:customStyle="1" w:styleId="26">
    <w:name w:val="题注 字符"/>
    <w:basedOn w:val="24"/>
    <w:link w:val="12"/>
    <w:qFormat/>
    <w:uiPriority w:val="0"/>
  </w:style>
  <w:style w:type="character" w:styleId="27">
    <w:name w:val="footnote reference"/>
    <w:basedOn w:val="26"/>
    <w:qFormat/>
    <w:uiPriority w:val="0"/>
    <w:rPr>
      <w:vertAlign w:val="superscript"/>
    </w:rPr>
  </w:style>
  <w:style w:type="paragraph" w:customStyle="1" w:styleId="28">
    <w:name w:val="First Paragraph"/>
    <w:basedOn w:val="3"/>
    <w:next w:val="3"/>
    <w:qFormat/>
    <w:uiPriority w:val="0"/>
  </w:style>
  <w:style w:type="paragraph" w:customStyle="1" w:styleId="29">
    <w:name w:val="Compact"/>
    <w:basedOn w:val="3"/>
    <w:qFormat/>
    <w:uiPriority w:val="0"/>
    <w:pPr>
      <w:spacing w:before="36" w:after="36"/>
    </w:pPr>
  </w:style>
  <w:style w:type="paragraph" w:customStyle="1" w:styleId="30">
    <w:name w:val="Author"/>
    <w:next w:val="3"/>
    <w:qFormat/>
    <w:uiPriority w:val="0"/>
    <w:pPr>
      <w:keepNext/>
      <w:keepLines/>
      <w:spacing w:after="200"/>
      <w:jc w:val="center"/>
    </w:pPr>
    <w:rPr>
      <w:rFonts w:asciiTheme="minorHAnsi" w:hAnsiTheme="minorHAnsi" w:eastAsiaTheme="minorEastAsia" w:cstheme="minorBidi"/>
      <w:sz w:val="24"/>
      <w:szCs w:val="24"/>
      <w:lang w:val="en-US" w:eastAsia="en-US" w:bidi="ar-SA"/>
    </w:rPr>
  </w:style>
  <w:style w:type="paragraph" w:customStyle="1" w:styleId="31">
    <w:name w:val="Abstract"/>
    <w:basedOn w:val="1"/>
    <w:next w:val="3"/>
    <w:qFormat/>
    <w:uiPriority w:val="0"/>
    <w:pPr>
      <w:keepNext/>
      <w:keepLines/>
      <w:spacing w:before="300" w:after="300"/>
    </w:pPr>
    <w:rPr>
      <w:sz w:val="20"/>
      <w:szCs w:val="20"/>
    </w:rPr>
  </w:style>
  <w:style w:type="paragraph" w:customStyle="1" w:styleId="32">
    <w:name w:val="Bibliography"/>
    <w:basedOn w:val="1"/>
    <w:qFormat/>
    <w:uiPriority w:val="0"/>
  </w:style>
  <w:style w:type="table" w:customStyle="1" w:styleId="33">
    <w:name w:val="Table"/>
    <w:semiHidden/>
    <w:unhideWhenUsed/>
    <w:qFormat/>
    <w:uiPriority w:val="0"/>
    <w:tblPr>
      <w:tblCellMar>
        <w:top w:w="0" w:type="dxa"/>
        <w:left w:w="108" w:type="dxa"/>
        <w:bottom w:w="0" w:type="dxa"/>
        <w:right w:w="108" w:type="dxa"/>
      </w:tblCellMar>
    </w:tblPr>
  </w:style>
  <w:style w:type="paragraph" w:customStyle="1" w:styleId="34">
    <w:name w:val="Definition Term"/>
    <w:basedOn w:val="1"/>
    <w:next w:val="35"/>
    <w:qFormat/>
    <w:uiPriority w:val="0"/>
    <w:pPr>
      <w:keepNext/>
      <w:keepLines/>
      <w:spacing w:after="0"/>
    </w:pPr>
    <w:rPr>
      <w:b/>
    </w:rPr>
  </w:style>
  <w:style w:type="paragraph" w:customStyle="1" w:styleId="35">
    <w:name w:val="Definition"/>
    <w:basedOn w:val="1"/>
    <w:qFormat/>
    <w:uiPriority w:val="0"/>
  </w:style>
  <w:style w:type="paragraph" w:customStyle="1" w:styleId="36">
    <w:name w:val="Table Caption"/>
    <w:basedOn w:val="12"/>
    <w:qFormat/>
    <w:uiPriority w:val="0"/>
    <w:pPr>
      <w:keepNext/>
    </w:pPr>
  </w:style>
  <w:style w:type="paragraph" w:customStyle="1" w:styleId="37">
    <w:name w:val="Image Caption"/>
    <w:basedOn w:val="12"/>
    <w:qFormat/>
    <w:uiPriority w:val="0"/>
  </w:style>
  <w:style w:type="paragraph" w:customStyle="1" w:styleId="38">
    <w:name w:val="Figure"/>
    <w:basedOn w:val="1"/>
    <w:qFormat/>
    <w:uiPriority w:val="0"/>
  </w:style>
  <w:style w:type="paragraph" w:customStyle="1" w:styleId="39">
    <w:name w:val="Captioned Figure"/>
    <w:basedOn w:val="38"/>
    <w:qFormat/>
    <w:uiPriority w:val="0"/>
    <w:pPr>
      <w:keepNext/>
    </w:pPr>
  </w:style>
  <w:style w:type="character" w:customStyle="1" w:styleId="40">
    <w:name w:val="Verbatim Char"/>
    <w:basedOn w:val="26"/>
    <w:link w:val="41"/>
    <w:qFormat/>
    <w:uiPriority w:val="0"/>
    <w:rPr>
      <w:rFonts w:ascii="Consolas" w:hAnsi="Consolas"/>
      <w:sz w:val="22"/>
    </w:rPr>
  </w:style>
  <w:style w:type="paragraph" w:customStyle="1" w:styleId="41">
    <w:name w:val="Source Code"/>
    <w:basedOn w:val="1"/>
    <w:link w:val="40"/>
    <w:qFormat/>
    <w:uiPriority w:val="0"/>
    <w:pPr>
      <w:wordWrap w:val="0"/>
    </w:pPr>
  </w:style>
  <w:style w:type="paragraph" w:customStyle="1" w:styleId="42">
    <w:name w:val="TOC Heading"/>
    <w:basedOn w:val="2"/>
    <w:next w:val="3"/>
    <w:unhideWhenUsed/>
    <w:qFormat/>
    <w:uiPriority w:val="39"/>
    <w:pPr>
      <w:spacing w:before="240" w:line="259" w:lineRule="auto"/>
      <w:outlineLvl w:val="9"/>
    </w:pPr>
    <w:rPr>
      <w:b w:val="0"/>
      <w:bCs w:val="0"/>
      <w:color w:val="366091" w:themeColor="accent1" w:themeShade="BF"/>
    </w:rPr>
  </w:style>
  <w:style w:type="character" w:customStyle="1" w:styleId="43">
    <w:name w:val="KeywordTok"/>
    <w:basedOn w:val="40"/>
    <w:qFormat/>
    <w:uiPriority w:val="0"/>
    <w:rPr>
      <w:rFonts w:ascii="Consolas" w:hAnsi="Consolas"/>
      <w:b/>
      <w:color w:val="007020"/>
      <w:sz w:val="22"/>
    </w:rPr>
  </w:style>
  <w:style w:type="character" w:customStyle="1" w:styleId="44">
    <w:name w:val="DataTypeTok"/>
    <w:basedOn w:val="40"/>
    <w:qFormat/>
    <w:uiPriority w:val="0"/>
    <w:rPr>
      <w:rFonts w:ascii="Consolas" w:hAnsi="Consolas"/>
      <w:color w:val="902000"/>
      <w:sz w:val="22"/>
    </w:rPr>
  </w:style>
  <w:style w:type="character" w:customStyle="1" w:styleId="45">
    <w:name w:val="DecValTok"/>
    <w:basedOn w:val="40"/>
    <w:qFormat/>
    <w:uiPriority w:val="0"/>
    <w:rPr>
      <w:rFonts w:ascii="Consolas" w:hAnsi="Consolas"/>
      <w:color w:val="40A070"/>
      <w:sz w:val="22"/>
    </w:rPr>
  </w:style>
  <w:style w:type="character" w:customStyle="1" w:styleId="46">
    <w:name w:val="BaseNTok"/>
    <w:basedOn w:val="40"/>
    <w:qFormat/>
    <w:uiPriority w:val="0"/>
    <w:rPr>
      <w:rFonts w:ascii="Consolas" w:hAnsi="Consolas"/>
      <w:color w:val="40A070"/>
      <w:sz w:val="22"/>
    </w:rPr>
  </w:style>
  <w:style w:type="character" w:customStyle="1" w:styleId="47">
    <w:name w:val="FloatTok"/>
    <w:basedOn w:val="40"/>
    <w:qFormat/>
    <w:uiPriority w:val="0"/>
    <w:rPr>
      <w:rFonts w:ascii="Consolas" w:hAnsi="Consolas"/>
      <w:color w:val="40A070"/>
      <w:sz w:val="22"/>
    </w:rPr>
  </w:style>
  <w:style w:type="character" w:customStyle="1" w:styleId="48">
    <w:name w:val="ConstantTok"/>
    <w:basedOn w:val="40"/>
    <w:qFormat/>
    <w:uiPriority w:val="0"/>
    <w:rPr>
      <w:rFonts w:ascii="Consolas" w:hAnsi="Consolas"/>
      <w:color w:val="880000"/>
      <w:sz w:val="22"/>
    </w:rPr>
  </w:style>
  <w:style w:type="character" w:customStyle="1" w:styleId="49">
    <w:name w:val="CharTok"/>
    <w:basedOn w:val="40"/>
    <w:qFormat/>
    <w:uiPriority w:val="0"/>
    <w:rPr>
      <w:rFonts w:ascii="Consolas" w:hAnsi="Consolas"/>
      <w:color w:val="4070A0"/>
      <w:sz w:val="22"/>
    </w:rPr>
  </w:style>
  <w:style w:type="character" w:customStyle="1" w:styleId="50">
    <w:name w:val="SpecialCharTok"/>
    <w:basedOn w:val="40"/>
    <w:qFormat/>
    <w:uiPriority w:val="0"/>
    <w:rPr>
      <w:rFonts w:ascii="Consolas" w:hAnsi="Consolas"/>
      <w:color w:val="4070A0"/>
      <w:sz w:val="22"/>
    </w:rPr>
  </w:style>
  <w:style w:type="character" w:customStyle="1" w:styleId="51">
    <w:name w:val="StringTok"/>
    <w:basedOn w:val="40"/>
    <w:qFormat/>
    <w:uiPriority w:val="0"/>
    <w:rPr>
      <w:rFonts w:ascii="Consolas" w:hAnsi="Consolas"/>
      <w:color w:val="4070A0"/>
      <w:sz w:val="22"/>
    </w:rPr>
  </w:style>
  <w:style w:type="character" w:customStyle="1" w:styleId="52">
    <w:name w:val="VerbatimStringTok"/>
    <w:basedOn w:val="40"/>
    <w:qFormat/>
    <w:uiPriority w:val="0"/>
    <w:rPr>
      <w:rFonts w:ascii="Consolas" w:hAnsi="Consolas"/>
      <w:color w:val="4070A0"/>
      <w:sz w:val="22"/>
    </w:rPr>
  </w:style>
  <w:style w:type="character" w:customStyle="1" w:styleId="53">
    <w:name w:val="SpecialStringTok"/>
    <w:basedOn w:val="40"/>
    <w:qFormat/>
    <w:uiPriority w:val="0"/>
    <w:rPr>
      <w:rFonts w:ascii="Consolas" w:hAnsi="Consolas"/>
      <w:color w:val="BB6688"/>
      <w:sz w:val="22"/>
    </w:rPr>
  </w:style>
  <w:style w:type="character" w:customStyle="1" w:styleId="54">
    <w:name w:val="ImportTok"/>
    <w:basedOn w:val="40"/>
    <w:qFormat/>
    <w:uiPriority w:val="0"/>
    <w:rPr>
      <w:rFonts w:ascii="Consolas" w:hAnsi="Consolas"/>
      <w:sz w:val="22"/>
    </w:rPr>
  </w:style>
  <w:style w:type="character" w:customStyle="1" w:styleId="55">
    <w:name w:val="CommentTok"/>
    <w:basedOn w:val="40"/>
    <w:qFormat/>
    <w:uiPriority w:val="0"/>
    <w:rPr>
      <w:rFonts w:ascii="Consolas" w:hAnsi="Consolas"/>
      <w:i/>
      <w:color w:val="60A0B0"/>
      <w:sz w:val="22"/>
    </w:rPr>
  </w:style>
  <w:style w:type="character" w:customStyle="1" w:styleId="56">
    <w:name w:val="DocumentationTok"/>
    <w:basedOn w:val="40"/>
    <w:qFormat/>
    <w:uiPriority w:val="0"/>
    <w:rPr>
      <w:rFonts w:ascii="Consolas" w:hAnsi="Consolas"/>
      <w:i/>
      <w:color w:val="BA2121"/>
      <w:sz w:val="22"/>
    </w:rPr>
  </w:style>
  <w:style w:type="character" w:customStyle="1" w:styleId="57">
    <w:name w:val="AnnotationTok"/>
    <w:basedOn w:val="40"/>
    <w:qFormat/>
    <w:uiPriority w:val="0"/>
    <w:rPr>
      <w:rFonts w:ascii="Consolas" w:hAnsi="Consolas"/>
      <w:b/>
      <w:i/>
      <w:color w:val="60A0B0"/>
      <w:sz w:val="22"/>
    </w:rPr>
  </w:style>
  <w:style w:type="character" w:customStyle="1" w:styleId="58">
    <w:name w:val="CommentVarTok"/>
    <w:basedOn w:val="40"/>
    <w:qFormat/>
    <w:uiPriority w:val="0"/>
    <w:rPr>
      <w:rFonts w:ascii="Consolas" w:hAnsi="Consolas"/>
      <w:b/>
      <w:i/>
      <w:color w:val="60A0B0"/>
      <w:sz w:val="22"/>
    </w:rPr>
  </w:style>
  <w:style w:type="character" w:customStyle="1" w:styleId="59">
    <w:name w:val="OtherTok"/>
    <w:basedOn w:val="40"/>
    <w:qFormat/>
    <w:uiPriority w:val="0"/>
    <w:rPr>
      <w:rFonts w:ascii="Consolas" w:hAnsi="Consolas"/>
      <w:color w:val="007020"/>
      <w:sz w:val="22"/>
    </w:rPr>
  </w:style>
  <w:style w:type="character" w:customStyle="1" w:styleId="60">
    <w:name w:val="FunctionTok"/>
    <w:basedOn w:val="40"/>
    <w:qFormat/>
    <w:uiPriority w:val="0"/>
    <w:rPr>
      <w:rFonts w:ascii="Consolas" w:hAnsi="Consolas"/>
      <w:color w:val="06287E"/>
      <w:sz w:val="22"/>
    </w:rPr>
  </w:style>
  <w:style w:type="character" w:customStyle="1" w:styleId="61">
    <w:name w:val="VariableTok"/>
    <w:basedOn w:val="40"/>
    <w:qFormat/>
    <w:uiPriority w:val="0"/>
    <w:rPr>
      <w:rFonts w:ascii="Consolas" w:hAnsi="Consolas"/>
      <w:color w:val="19177C"/>
      <w:sz w:val="22"/>
    </w:rPr>
  </w:style>
  <w:style w:type="character" w:customStyle="1" w:styleId="62">
    <w:name w:val="ControlFlowTok"/>
    <w:basedOn w:val="40"/>
    <w:qFormat/>
    <w:uiPriority w:val="0"/>
    <w:rPr>
      <w:rFonts w:ascii="Consolas" w:hAnsi="Consolas"/>
      <w:b/>
      <w:color w:val="007020"/>
      <w:sz w:val="22"/>
    </w:rPr>
  </w:style>
  <w:style w:type="character" w:customStyle="1" w:styleId="63">
    <w:name w:val="OperatorTok"/>
    <w:basedOn w:val="40"/>
    <w:qFormat/>
    <w:uiPriority w:val="0"/>
    <w:rPr>
      <w:rFonts w:ascii="Consolas" w:hAnsi="Consolas"/>
      <w:color w:val="666666"/>
      <w:sz w:val="22"/>
    </w:rPr>
  </w:style>
  <w:style w:type="character" w:customStyle="1" w:styleId="64">
    <w:name w:val="BuiltInTok"/>
    <w:basedOn w:val="40"/>
    <w:qFormat/>
    <w:uiPriority w:val="0"/>
    <w:rPr>
      <w:rFonts w:ascii="Consolas" w:hAnsi="Consolas"/>
      <w:sz w:val="22"/>
    </w:rPr>
  </w:style>
  <w:style w:type="character" w:customStyle="1" w:styleId="65">
    <w:name w:val="ExtensionTok"/>
    <w:basedOn w:val="40"/>
    <w:qFormat/>
    <w:uiPriority w:val="0"/>
    <w:rPr>
      <w:rFonts w:ascii="Consolas" w:hAnsi="Consolas"/>
      <w:sz w:val="22"/>
    </w:rPr>
  </w:style>
  <w:style w:type="character" w:customStyle="1" w:styleId="66">
    <w:name w:val="PreprocessorTok"/>
    <w:basedOn w:val="40"/>
    <w:qFormat/>
    <w:uiPriority w:val="0"/>
    <w:rPr>
      <w:rFonts w:ascii="Consolas" w:hAnsi="Consolas"/>
      <w:color w:val="BC7A00"/>
      <w:sz w:val="22"/>
    </w:rPr>
  </w:style>
  <w:style w:type="character" w:customStyle="1" w:styleId="67">
    <w:name w:val="AttributeTok"/>
    <w:basedOn w:val="40"/>
    <w:qFormat/>
    <w:uiPriority w:val="0"/>
    <w:rPr>
      <w:rFonts w:ascii="Consolas" w:hAnsi="Consolas"/>
      <w:color w:val="7D9029"/>
      <w:sz w:val="22"/>
    </w:rPr>
  </w:style>
  <w:style w:type="character" w:customStyle="1" w:styleId="68">
    <w:name w:val="RegionMarkerTok"/>
    <w:basedOn w:val="40"/>
    <w:qFormat/>
    <w:uiPriority w:val="0"/>
    <w:rPr>
      <w:rFonts w:ascii="Consolas" w:hAnsi="Consolas"/>
      <w:sz w:val="22"/>
    </w:rPr>
  </w:style>
  <w:style w:type="character" w:customStyle="1" w:styleId="69">
    <w:name w:val="InformationTok"/>
    <w:basedOn w:val="40"/>
    <w:qFormat/>
    <w:uiPriority w:val="0"/>
    <w:rPr>
      <w:rFonts w:ascii="Consolas" w:hAnsi="Consolas"/>
      <w:b/>
      <w:i/>
      <w:color w:val="60A0B0"/>
      <w:sz w:val="22"/>
    </w:rPr>
  </w:style>
  <w:style w:type="character" w:customStyle="1" w:styleId="70">
    <w:name w:val="WarningTok"/>
    <w:basedOn w:val="40"/>
    <w:qFormat/>
    <w:uiPriority w:val="0"/>
    <w:rPr>
      <w:rFonts w:ascii="Consolas" w:hAnsi="Consolas"/>
      <w:b/>
      <w:i/>
      <w:color w:val="60A0B0"/>
      <w:sz w:val="22"/>
    </w:rPr>
  </w:style>
  <w:style w:type="character" w:customStyle="1" w:styleId="71">
    <w:name w:val="AlertTok"/>
    <w:basedOn w:val="40"/>
    <w:qFormat/>
    <w:uiPriority w:val="0"/>
    <w:rPr>
      <w:rFonts w:ascii="Consolas" w:hAnsi="Consolas"/>
      <w:b/>
      <w:color w:val="FF0000"/>
      <w:sz w:val="22"/>
    </w:rPr>
  </w:style>
  <w:style w:type="character" w:customStyle="1" w:styleId="72">
    <w:name w:val="ErrorTok"/>
    <w:basedOn w:val="40"/>
    <w:qFormat/>
    <w:uiPriority w:val="0"/>
    <w:rPr>
      <w:rFonts w:ascii="Consolas" w:hAnsi="Consolas"/>
      <w:b/>
      <w:color w:val="FF0000"/>
      <w:sz w:val="22"/>
    </w:rPr>
  </w:style>
  <w:style w:type="character" w:customStyle="1" w:styleId="73">
    <w:name w:val="NormalTok"/>
    <w:basedOn w:val="40"/>
    <w:qFormat/>
    <w:uiPriority w:val="0"/>
    <w:rPr>
      <w:rFonts w:ascii="Consolas" w:hAnsi="Consolas"/>
      <w:sz w:val="22"/>
    </w:rPr>
  </w:style>
  <w:style w:type="character" w:customStyle="1" w:styleId="74">
    <w:name w:val="标题 2 字符"/>
    <w:basedOn w:val="24"/>
    <w:link w:val="4"/>
    <w:qFormat/>
    <w:uiPriority w:val="9"/>
    <w:rPr>
      <w:rFonts w:asciiTheme="majorHAnsi" w:hAnsiTheme="majorHAnsi" w:eastAsiaTheme="majorEastAsia" w:cstheme="majorBidi"/>
      <w:b/>
      <w:bCs/>
      <w:color w:val="4F81BD" w:themeColor="accent1"/>
      <w:sz w:val="28"/>
      <w:szCs w:val="28"/>
    </w:rPr>
  </w:style>
  <w:style w:type="character" w:customStyle="1" w:styleId="75">
    <w:name w:val="标题 3 字符"/>
    <w:basedOn w:val="24"/>
    <w:link w:val="5"/>
    <w:qFormat/>
    <w:uiPriority w:val="9"/>
    <w:rPr>
      <w:rFonts w:asciiTheme="majorHAnsi" w:hAnsiTheme="majorHAnsi" w:eastAsiaTheme="majorEastAsia" w:cstheme="majorBidi"/>
      <w:b/>
      <w:bCs/>
      <w:color w:val="4F81BD" w:themeColor="accent1"/>
    </w:rPr>
  </w:style>
  <w:style w:type="character" w:customStyle="1" w:styleId="76">
    <w:name w:val="标题 4 字符"/>
    <w:basedOn w:val="24"/>
    <w:link w:val="6"/>
    <w:qFormat/>
    <w:uiPriority w:val="9"/>
    <w:rPr>
      <w:rFonts w:asciiTheme="majorHAnsi" w:hAnsiTheme="majorHAnsi" w:eastAsiaTheme="majorEastAsia" w:cstheme="majorBidi"/>
      <w:bCs/>
      <w:i/>
      <w:color w:val="4F81BD" w:themeColor="accent1"/>
    </w:rPr>
  </w:style>
  <w:style w:type="character" w:customStyle="1" w:styleId="77">
    <w:name w:val="页眉 字符"/>
    <w:basedOn w:val="24"/>
    <w:link w:val="17"/>
    <w:qFormat/>
    <w:uiPriority w:val="0"/>
    <w:rPr>
      <w:sz w:val="18"/>
      <w:szCs w:val="18"/>
    </w:rPr>
  </w:style>
  <w:style w:type="character" w:customStyle="1" w:styleId="78">
    <w:name w:val="页脚 字符"/>
    <w:basedOn w:val="24"/>
    <w:link w:val="16"/>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1283</Words>
  <Characters>7316</Characters>
  <Lines>60</Lines>
  <Paragraphs>17</Paragraphs>
  <TotalTime>78</TotalTime>
  <ScaleCrop>false</ScaleCrop>
  <LinksUpToDate>false</LinksUpToDate>
  <CharactersWithSpaces>8582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2026-08-17T10:49:00Z</dcterms:created>
  <dc:creator>user</dc:creator>
  <cp:lastModifiedBy>user</cp:lastModifiedBy>
  <dcterms:modified xsi:type="dcterms:W3CDTF">2026-08-27T14:44:05Z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1444106031076723_0-data_volume/7660316456885764378-files/所有对话/主对话/大兴区十五五文旅规划_浓缩版.docx","ReservedCode1":"","ContentPropagator":"001191110102MACQD9K64028705","PropagateID":"1444106031076723#1786935210745","ReservedCode2":""}</vt:lpwstr>
  </property>
  <property fmtid="{D5CDD505-2E9C-101B-9397-08002B2CF9AE}" pid="3" name="KSOProductBuildVer">
    <vt:lpwstr>2052-11.8.2.10422</vt:lpwstr>
  </property>
</Properties>
</file>