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9937A">
      <w:pPr>
        <w:autoSpaceDE w:val="0"/>
        <w:autoSpaceDN w:val="0"/>
        <w:snapToGrid w:val="0"/>
        <w:spacing w:line="600" w:lineRule="exact"/>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14:paraId="20A01B2D">
      <w:pPr>
        <w:autoSpaceDE w:val="0"/>
        <w:autoSpaceDN w:val="0"/>
        <w:snapToGrid w:val="0"/>
        <w:spacing w:line="600" w:lineRule="exact"/>
        <w:jc w:val="both"/>
        <w:rPr>
          <w:rFonts w:hint="default" w:ascii="仿宋_GB2312" w:hAnsi="仿宋_GB2312" w:eastAsia="仿宋_GB2312" w:cs="仿宋_GB2312"/>
          <w:sz w:val="32"/>
          <w:szCs w:val="32"/>
          <w:highlight w:val="yellow"/>
          <w:lang w:val="en-US" w:eastAsia="zh-CN"/>
        </w:rPr>
      </w:pPr>
    </w:p>
    <w:p w14:paraId="0DE0CF9C">
      <w:pPr>
        <w:autoSpaceDE w:val="0"/>
        <w:autoSpaceDN w:val="0"/>
        <w:snapToGrid w:val="0"/>
        <w:spacing w:line="600" w:lineRule="exact"/>
        <w:jc w:val="center"/>
        <w:rPr>
          <w:rFonts w:ascii="黑体" w:hAnsi="黑体" w:eastAsia="黑体"/>
          <w:sz w:val="32"/>
          <w:szCs w:val="32"/>
          <w:highlight w:val="none"/>
        </w:rPr>
      </w:pPr>
      <w:bookmarkStart w:id="1" w:name="_GoBack"/>
      <w:r>
        <w:rPr>
          <w:rFonts w:hint="eastAsia" w:ascii="方正小标宋简体" w:eastAsia="方正小标宋简体"/>
          <w:sz w:val="44"/>
          <w:szCs w:val="44"/>
          <w:highlight w:val="none"/>
        </w:rPr>
        <w:t>《北京市昌平区烟草制品零售点合理布局规定（</w:t>
      </w:r>
      <w:r>
        <w:rPr>
          <w:rFonts w:hint="eastAsia" w:ascii="方正小标宋简体" w:eastAsia="方正小标宋简体"/>
          <w:sz w:val="44"/>
          <w:szCs w:val="44"/>
          <w:highlight w:val="none"/>
          <w:lang w:eastAsia="zh-CN"/>
        </w:rPr>
        <w:t>修订</w:t>
      </w:r>
      <w:r>
        <w:rPr>
          <w:rFonts w:hint="eastAsia" w:ascii="方正小标宋简体" w:eastAsia="方正小标宋简体"/>
          <w:sz w:val="44"/>
          <w:szCs w:val="44"/>
          <w:highlight w:val="none"/>
        </w:rPr>
        <w:t>稿）》</w:t>
      </w:r>
      <w:r>
        <w:rPr>
          <w:rFonts w:hint="eastAsia" w:ascii="方正小标宋简体" w:eastAsia="方正小标宋简体"/>
          <w:sz w:val="44"/>
          <w:szCs w:val="44"/>
          <w:highlight w:val="none"/>
          <w:lang w:eastAsia="zh-CN"/>
        </w:rPr>
        <w:t>起草</w:t>
      </w:r>
      <w:r>
        <w:rPr>
          <w:rFonts w:hint="eastAsia" w:ascii="方正小标宋简体" w:eastAsia="方正小标宋简体"/>
          <w:sz w:val="44"/>
          <w:szCs w:val="44"/>
          <w:highlight w:val="none"/>
        </w:rPr>
        <w:t>说明</w:t>
      </w:r>
    </w:p>
    <w:bookmarkEnd w:id="1"/>
    <w:p w14:paraId="0FE63AA1">
      <w:pPr>
        <w:numPr>
          <w:ilvl w:val="0"/>
          <w:numId w:val="1"/>
        </w:num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本次修订是适应辖区发展变化、优化许可资源配置的现实需要</w:t>
      </w:r>
    </w:p>
    <w:p w14:paraId="35C9025C">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现行《北京市昌平区烟草制品零售点合理布局规定》</w:t>
      </w:r>
      <w:r>
        <w:rPr>
          <w:rFonts w:ascii="仿宋_GB2312" w:eastAsia="仿宋_GB2312" w:hAnsiTheme="minorEastAsia"/>
          <w:color w:val="010000"/>
          <w:sz w:val="32"/>
          <w:szCs w:val="32"/>
          <w:shd w:val="clear" w:color="auto" w:fill="FFFFFF"/>
        </w:rPr>
        <w:t>（</w:t>
      </w:r>
      <w:bookmarkStart w:id="0" w:name="wenhao"/>
      <w:r>
        <w:rPr>
          <w:rFonts w:hint="eastAsia" w:ascii="仿宋_GB2312" w:hAnsi="仿宋_GB2312" w:eastAsia="仿宋_GB2312" w:cs="仿宋_GB2312"/>
          <w:color w:val="010000"/>
          <w:sz w:val="32"/>
          <w:szCs w:val="32"/>
        </w:rPr>
        <w:t>京烟昌局〔2023〕17号</w:t>
      </w:r>
      <w:bookmarkEnd w:id="0"/>
      <w:r>
        <w:rPr>
          <w:rFonts w:ascii="仿宋_GB2312" w:eastAsia="仿宋_GB2312" w:hAnsiTheme="minorEastAsia"/>
          <w:color w:val="010000"/>
          <w:sz w:val="32"/>
          <w:szCs w:val="32"/>
          <w:shd w:val="clear" w:color="auto" w:fill="FFFFFF"/>
        </w:rPr>
        <w:t>）</w:t>
      </w:r>
      <w:r>
        <w:rPr>
          <w:rFonts w:hint="eastAsia" w:ascii="仿宋_GB2312" w:hAnsi="宋体" w:eastAsia="仿宋_GB2312" w:cs="Times New Roman"/>
          <w:sz w:val="32"/>
          <w:szCs w:val="32"/>
        </w:rPr>
        <w:t>（下简称原《规定》）自2023年12月31日施行以来，在规范烟草制品零售许可管理、稳定零售点总量、遏制无序办证、维护市场秩序等方面发挥了积极作用，总体上符合当时昌平区零售市场发展实际。</w:t>
      </w:r>
    </w:p>
    <w:p w14:paraId="3BF8472C">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但随着近两年昌平区经济社会持续发展，辖区空间结构、人口分布、商业形态和消费场景发生了较为明显的变化，特别是未来科学城、“两谷一园”、回天地区等重点区域加快发展，轨道站点、产业园区、商业综合体、封闭式居民小区、楼宇商办等新型消费场景不断增多，原有以城乡二分和一般平面区域划分为主的布局方式，在部分区域和场景中已难以充分体现市场需求、空间差异和便利消费要求。</w:t>
      </w:r>
    </w:p>
    <w:p w14:paraId="70E6516E">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综合现行规定运行情况，主要存在以下几个方面需要完善的问题：</w:t>
      </w:r>
    </w:p>
    <w:p w14:paraId="6961E7B6">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一是布局方式相对平面化，难以充分适应昌平区多层次、多场景的空间结构特征。现行规定主要以城镇、乡村及若干有明显边界的单独区域进行分类，能够满足一般情形管理需要，但对重点功能区、封闭园区、轨道站点、商业综合体等复合型消费场景的针对性还不够强。</w:t>
      </w:r>
    </w:p>
    <w:p w14:paraId="50156D28">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二是部分区域许可供给与现实消费需求匹配度有待提高。昌平区南部和重点发展区域人口集聚度高、商业成熟度高、交通可达性强，统一适用较大间距标准，不利于更精准地匹配区域消费需求和市场承载能力。</w:t>
      </w:r>
    </w:p>
    <w:p w14:paraId="3455A7F0">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三是部分特殊单元的设置标准还需进一步细化优化。如市场、商业综合体、楼宇、园区、交通枢纽等场所，内部边界清晰、功能相对独立、消费客群集中，既不同于一般街巷底商，也不同于传统乡村单元，需要通过更有针对性的规则满足消费需求。</w:t>
      </w:r>
    </w:p>
    <w:p w14:paraId="2888E0BF">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四是特殊情形规定仍需进一步精准化。现行规定中的放宽和容缺条款在总体上发挥了积极作用，但部分情形的适用条件仍可进一步明确，以更好统筹扶持特定群体、稳定守法经营预期、维护许可管理公平。</w:t>
      </w:r>
    </w:p>
    <w:p w14:paraId="79ABF77F">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五是部分执行规则需要进一步统一和简化。如经营场所认定、测量规则适用范围、条文结构安排等，还需要进一步明晰，以提升制度的清晰度和执行的一致性。</w:t>
      </w:r>
    </w:p>
    <w:p w14:paraId="4619F0DF">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基于上述情况，有必要在保持政策连续性、稳定性的基础上，对现行规定进行结构性优化和针对性调整。</w:t>
      </w:r>
    </w:p>
    <w:p w14:paraId="5B255640">
      <w:pPr>
        <w:spacing w:line="600" w:lineRule="exact"/>
        <w:ind w:firstLine="640" w:firstLineChars="200"/>
        <w:contextualSpacing/>
        <w:rPr>
          <w:rFonts w:ascii="仿宋_GB2312" w:hAnsi="宋体" w:eastAsia="仿宋_GB2312" w:cs="Times New Roman"/>
          <w:sz w:val="32"/>
          <w:szCs w:val="32"/>
        </w:rPr>
      </w:pPr>
      <w:r>
        <w:rPr>
          <w:rFonts w:hint="eastAsia" w:ascii="黑体" w:hAnsi="黑体" w:eastAsia="黑体"/>
          <w:sz w:val="32"/>
          <w:szCs w:val="32"/>
        </w:rPr>
        <w:t>二、本次修订坚持总体稳定、科学测算、分类施策、动态调整的思路</w:t>
      </w:r>
    </w:p>
    <w:p w14:paraId="34BF8175">
      <w:pPr>
        <w:spacing w:line="600" w:lineRule="exact"/>
        <w:ind w:firstLine="640" w:firstLineChars="200"/>
        <w:contextualSpacing/>
        <w:jc w:val="left"/>
        <w:rPr>
          <w:rFonts w:ascii="仿宋_GB2312" w:hAnsi="宋体" w:eastAsia="仿宋_GB2312" w:cs="Times New Roman"/>
          <w:sz w:val="32"/>
          <w:szCs w:val="32"/>
        </w:rPr>
      </w:pPr>
      <w:r>
        <w:rPr>
          <w:rFonts w:hint="eastAsia" w:ascii="仿宋_GB2312" w:hAnsi="宋体" w:eastAsia="仿宋_GB2312" w:cs="Times New Roman"/>
          <w:sz w:val="32"/>
          <w:szCs w:val="32"/>
        </w:rPr>
        <w:t>本次修订是在坚持依法行政、保护未成年人、维护市场秩序和防止无序过度竞争等基本导向不变的前提下，根据昌平区区域发展特点，对零售点布局方式进行优化完善，主要把握以下思路：</w:t>
      </w:r>
    </w:p>
    <w:p w14:paraId="2E46E303">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一是坚持总体稳定、局部优化。对不予许可情形、学校周边保护、安全底线要求等原则性内容保持稳定，确保制度严肃性和延续性；对与辖区发展变化联系更紧密的布局标准、特殊单元设置、特殊情形规则进行优化，增强适应性。</w:t>
      </w:r>
    </w:p>
    <w:p w14:paraId="122BC316">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二是坚持科学测算、合理配置。将人口分布、经济发展水平、消费能力、现有零售点分布与变化情况、历史申请数量、交通条件、空间边界和场景功能等因素纳入综合分析，科学确定各类市场区域单元的划分和准入标准，避免经验化、主观化设定。</w:t>
      </w:r>
    </w:p>
    <w:p w14:paraId="3BD93BBD">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三是坚持分类施策、空间适配。立足昌平区城乡并存、南北差异明显、功能区集聚发展的实际，不再沿用单一平面化布局逻辑，而是构建“基础保障单元、重点功能单元、特色场景单元”并行的布局体系，实行差异化准入标准。</w:t>
      </w:r>
    </w:p>
    <w:p w14:paraId="4410B891">
      <w:pPr>
        <w:spacing w:line="600" w:lineRule="exact"/>
        <w:ind w:firstLine="640" w:firstLineChars="200"/>
        <w:contextualSpacing/>
        <w:jc w:val="left"/>
        <w:rPr>
          <w:rFonts w:ascii="仿宋_GB2312" w:hAnsi="宋体" w:eastAsia="仿宋_GB2312" w:cs="Times New Roman"/>
          <w:color w:val="000000" w:themeColor="text1"/>
          <w:sz w:val="32"/>
          <w:szCs w:val="32"/>
          <w14:textFill>
            <w14:solidFill>
              <w14:schemeClr w14:val="tx1"/>
            </w14:solidFill>
          </w14:textFill>
        </w:rPr>
      </w:pPr>
      <w:r>
        <w:rPr>
          <w:rFonts w:hint="eastAsia" w:ascii="仿宋_GB2312" w:hAnsi="宋体" w:eastAsia="仿宋_GB2312" w:cs="Times New Roman"/>
          <w:sz w:val="32"/>
          <w:szCs w:val="32"/>
        </w:rPr>
        <w:t>四是坚持动态监测、适时调整</w:t>
      </w:r>
      <w:r>
        <w:rPr>
          <w:rFonts w:hint="eastAsia" w:ascii="仿宋_GB2312" w:hAnsi="宋体" w:eastAsia="仿宋_GB2312" w:cs="Times New Roman"/>
          <w:color w:val="000000" w:themeColor="text1"/>
          <w:sz w:val="32"/>
          <w:szCs w:val="32"/>
          <w14:textFill>
            <w14:solidFill>
              <w14:schemeClr w14:val="tx1"/>
            </w14:solidFill>
          </w14:textFill>
        </w:rPr>
        <w:t>。对重点功能单元设定零售点数量上限并实施月度动态监测，以镇街为单位跟踪零售点数量变化；镇街零售点数量超出数量上限的，自次月起纳入基础保障单元管理。重点功能单元范围、数量上限及相关调整事项通过办公场所公告栏、政务服务窗口等处向社会公告，增强布局规定与区域发展实际的匹配度。</w:t>
      </w:r>
    </w:p>
    <w:p w14:paraId="1770CFBB">
      <w:p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三、制定的依据</w:t>
      </w:r>
    </w:p>
    <w:p w14:paraId="1468DE00">
      <w:pPr>
        <w:spacing w:line="600" w:lineRule="exact"/>
        <w:ind w:firstLine="640" w:firstLineChars="200"/>
        <w:contextualSpacing/>
        <w:rPr>
          <w:rFonts w:ascii="仿宋_GB2312" w:hAnsi="宋体" w:eastAsia="仿宋_GB2312" w:cs="Times New Roman"/>
          <w:sz w:val="32"/>
          <w:szCs w:val="32"/>
        </w:rPr>
      </w:pPr>
      <w:r>
        <w:rPr>
          <w:rFonts w:hint="eastAsia" w:ascii="仿宋_GB2312" w:hAnsi="宋体" w:eastAsia="仿宋_GB2312" w:cs="Times New Roman"/>
          <w:sz w:val="32"/>
          <w:szCs w:val="32"/>
        </w:rPr>
        <w:t>主要依据《中华人民共和国行政许可法》《中华人民共和国未成年人保护法》《中华人民共和国烟草专卖法》及其实施条例、《北京市控制吸烟条例》《烟草专卖许可证管理办法》及实施细则等法律法规规章和规范性文件，结合本辖区人口状况、地理交通条件、经济发展水平、消费能力、城建规划和现有零售点分布等因素制定。</w:t>
      </w:r>
    </w:p>
    <w:p w14:paraId="25721922">
      <w:p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四、修订的主要内容</w:t>
      </w:r>
    </w:p>
    <w:p w14:paraId="0DEEC135">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本次修订的基础是2023年12月31日实施的原《规定》，依据相关法律法规、规章和规范性文件的规定，结合本区实际情况，修订了部分条款和表述，形成新《规定》共四章十六条，主要修订内容及说明如下:</w:t>
      </w:r>
    </w:p>
    <w:p w14:paraId="1FCC7BA7">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（一）布局模式与单元分类的调整</w:t>
      </w:r>
    </w:p>
    <w:p w14:paraId="5478365D">
      <w:pPr>
        <w:widowControl/>
        <w:shd w:val="clear" w:color="auto" w:fill="FFFFFF"/>
        <w:spacing w:line="600" w:lineRule="exact"/>
        <w:ind w:firstLine="640" w:firstLineChars="200"/>
        <w:rPr>
          <w:rFonts w:ascii="仿宋_GB2312" w:hAnsi="宋体" w:eastAsia="仿宋_GB2312" w:cs="Times New Roman"/>
          <w:color w:val="000000" w:themeColor="text1"/>
          <w:sz w:val="32"/>
          <w:szCs w:val="32"/>
          <w14:textFill>
            <w14:solidFill>
              <w14:schemeClr w14:val="tx1"/>
            </w14:solidFill>
          </w14:textFill>
        </w:rPr>
      </w:pPr>
      <w:r>
        <w:rPr>
          <w:rFonts w:hint="eastAsia" w:ascii="仿宋_GB2312" w:hAnsi="宋体" w:eastAsia="仿宋_GB2312" w:cs="Times New Roman"/>
          <w:sz w:val="32"/>
          <w:szCs w:val="32"/>
        </w:rPr>
        <w:t>原《规定》以城市交通道</w:t>
      </w:r>
      <w:r>
        <w:rPr>
          <w:rFonts w:hint="eastAsia" w:ascii="仿宋_GB2312" w:hAnsi="宋体" w:eastAsia="仿宋_GB2312" w:cs="Times New Roman"/>
          <w:color w:val="000000" w:themeColor="text1"/>
          <w:sz w:val="32"/>
          <w:szCs w:val="32"/>
          <w14:textFill>
            <w14:solidFill>
              <w14:schemeClr w14:val="tx1"/>
            </w14:solidFill>
          </w14:textFill>
        </w:rPr>
        <w:t>路、特定参照物、居民社区等自然分割形成的平面区域为基础，分别设立距离限制、总量+距离限制、总量限制三种标准。本次修订将其调整为“依法行政、科学规划、动态调整、空间适配”原则，衔接昌平区“十五五”规划纲要，结合未来科学城“两谷一园”战略布局，构建“基础保障单元、重点功能单元、特色场景单元”三类单元并行的布局体系。同时，将适用范围从“布局”扩大为“准入和管理”，进一步明确规定的功能和定位。</w:t>
      </w:r>
    </w:p>
    <w:p w14:paraId="038ED7C6">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（二）间距标准的优化</w:t>
      </w:r>
    </w:p>
    <w:p w14:paraId="4B7611FA">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1.基础保障单元间距调整。城镇区域最近零售点间距由原规定的100米调整为50米。主要考虑是，现行间距标准与部分区域实际发展水平存在一定差距，适度调整有利于更好平衡市场准入与发展需求。乡村区域以行政村为基本单位，每100户设置1个零售点，不足100户的按100户计算；最近零售点间距不少于100米保持不变。</w:t>
      </w:r>
    </w:p>
    <w:p w14:paraId="63F83E03">
      <w:pPr>
        <w:widowControl/>
        <w:shd w:val="clear" w:color="auto" w:fill="FFFFFF"/>
        <w:spacing w:line="60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2.重点功能单元间距设置及动态管理。依据昌平区人口分布、经济发展水平、消费能力、历史申办数量等因素，结合未来科学城“两谷一园”战略布局，聚力发展产业集群所在核心镇街，确定重点功能单元。城镇区域最近零售点间距不少于30米；乡村区域最近零售点间距不少于50米。</w:t>
      </w:r>
    </w:p>
    <w:p w14:paraId="1FAE9C67">
      <w:pPr>
        <w:widowControl/>
        <w:shd w:val="clear" w:color="auto" w:fill="FFFFFF"/>
        <w:spacing w:line="600" w:lineRule="exact"/>
        <w:ind w:firstLine="640" w:firstLineChars="200"/>
        <w:rPr>
          <w:rFonts w:ascii="仿宋_GB2312" w:hAnsi="宋体" w:eastAsia="仿宋_GB2312" w:cs="Times New Roman"/>
          <w:color w:val="000000" w:themeColor="text1"/>
          <w:sz w:val="32"/>
          <w:szCs w:val="32"/>
          <w14:textFill>
            <w14:solidFill>
              <w14:schemeClr w14:val="tx1"/>
            </w14:solidFill>
          </w14:textFill>
        </w:rPr>
      </w:pPr>
      <w:r>
        <w:rPr>
          <w:rFonts w:hint="eastAsia" w:ascii="仿宋_GB2312" w:hAnsi="宋体" w:eastAsia="仿宋_GB2312" w:cs="Times New Roman"/>
          <w:sz w:val="32"/>
          <w:szCs w:val="32"/>
        </w:rPr>
        <w:t>与原有规则相比，重点功能单元在适度放宽间距标准的同时，实行零售点数量控制和月度动态监测。以镇街为单位，每</w:t>
      </w:r>
      <w:r>
        <w:rPr>
          <w:rFonts w:hint="eastAsia" w:ascii="仿宋_GB2312" w:hAnsi="宋体" w:eastAsia="仿宋_GB2312" w:cs="Times New Roman"/>
          <w:color w:val="000000" w:themeColor="text1"/>
          <w:sz w:val="32"/>
          <w:szCs w:val="32"/>
          <w14:textFill>
            <w14:solidFill>
              <w14:schemeClr w14:val="tx1"/>
            </w14:solidFill>
          </w14:textFill>
        </w:rPr>
        <w:t>月首日对纳入重点功能单元范围的零售点数量实施动态监测，镇街零售点数量超出上限的，自次月起纳入基础保障单元管理。重点功能单元范围、数量上限及相关调整事项定期向社会公告。通过“适度放宽间距+数量控制+月度动态监测+动态调整”的制度安排，既回应重点区域消费需求，也防止零售点无序增长。</w:t>
      </w:r>
    </w:p>
    <w:p w14:paraId="22B381C2">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（三）特色场景单元布局标准的完善</w:t>
      </w:r>
    </w:p>
    <w:p w14:paraId="00B4436C">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将原《规定》第六条“有明显边界的单独区域”优化为“特色场景单元”，明确该类单元是“具有明确物理边界、功能相对独立的特定场所”，并实行“最小市场单元+总量控制”方式，其他零售点申请时不以其为间距参照物。</w:t>
      </w:r>
    </w:p>
    <w:p w14:paraId="08DC1525">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本次调整，既保留了对特殊场景分类管理的基本思路，又进一步突出了场所边界独立性和场景功能独立性，规则更清晰、逻辑更严密。具体来看，主要有以下变化：</w:t>
      </w:r>
    </w:p>
    <w:p w14:paraId="7AE519FC">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1.市场类场所继续按照摊位数量设置零售点，保留每200个摊位设置1个、最多不超过3个的基本规则，摊位不足200个的可设置1个，同时明确批发性质市场内不予设置零售点。</w:t>
      </w:r>
    </w:p>
    <w:p w14:paraId="1CAD4790">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2.大型商业综合体由原来最多设置3个零售点，调整为最多不超过6个，并增加“娱乐服务类零售点不超过3个”的结构性限制，更有利于统筹不同业态需求，防止某一类业态过度占用许可资源。</w:t>
      </w:r>
    </w:p>
    <w:p w14:paraId="701FEE2A">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3.新增封闭式居民小区内部商铺规则，明确对相对独立、设有门岗、院墙或其他隔离障碍的封闭式居民小区，其内部以全开放形式面向小区经营的商铺，零售点总数不超过3个；面向外部经营商铺、开放式住宅小区仍按所在区域一般规则执行。该规定较现行“社区配套商业综合体”表述更加准确，更贴近实际管理对象。</w:t>
      </w:r>
    </w:p>
    <w:p w14:paraId="7E1B2B3E">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4.楼宇类规则进一步细化，明确商用办公楼宇、写字楼内部，位于非办公、住宅区域且已形成实际商品展卖场所的，每栋楼宇可设置1个零售点，解决了现行规定中“楼宇或楼宇群”边界不够清晰的问题。</w:t>
      </w:r>
    </w:p>
    <w:p w14:paraId="2DB230BA">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5.便民型零售业态的面积标准进行了优化，将便利店、超市或烟酒商店可设置零售点的营业面积标准由300平方米调整为200平方米，更符合经营业态实际。</w:t>
      </w:r>
    </w:p>
    <w:p w14:paraId="466A1D8C">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6.餐饮、住宿、娱乐类场所规则进一步明确，对经营面积1000平方米以上的饭店、餐饮酒楼、娱乐场馆，或者客房数量200间以上的宾馆、度假村，在公共区域内经营且设有独立烟草制品陈列区的，可设置1个零售点，并明确烟草制品摆放或标牌面向建筑物外的除外，执行标准更清晰。</w:t>
      </w:r>
    </w:p>
    <w:p w14:paraId="0EF6EF84">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7.交通枢纽类场所分类更细，将汽车客运站、高速公路服务区等公共区域设置标准调整为不超过2个零售点；轨道交通站点则按轨道线路数量区分，单线、双线站点不超过2个，三线及以上站点不超过3个，更能反映不同站点客流规模和消费承载差异。</w:t>
      </w:r>
    </w:p>
    <w:p w14:paraId="351AF7C5">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8.新增园区类场景规则，对产业园、智造园、文化公园等相对独立园区，在公共区域内设置零售点不超过3个，更好适应昌平区产业发展和园区场景增多的实际情况。</w:t>
      </w:r>
    </w:p>
    <w:p w14:paraId="3BFBF887">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9.相对独立场所适用范围进一步优化，将旅游景点、军队大院、高等院校、纪念馆、展览馆等纳入同类场景管理，零售点总数不超过2个。</w:t>
      </w:r>
    </w:p>
    <w:p w14:paraId="5630AE3E">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10.明晰其他业态准入规则。明确不属于便利店、烟草专业店、超市、商场、娱乐服务类五类业态，且与烟草制品零售业务没有直接或者间接互补营销关系的其他业态，其零售点总数不得超过本区持证零售户总数的4%，并应当符合第六条、第七条规定的距离要求。</w:t>
      </w:r>
    </w:p>
    <w:p w14:paraId="4FB3B77A">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（四）调整特殊情形规则。</w:t>
      </w:r>
    </w:p>
    <w:p w14:paraId="6C9CDC27">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本次修订将特殊许可放宽情形分为两类：第一类为在符合总量限制前提下，间距可放宽至不少于30米；第二类为可不受本规定距离、总量限制，对各类特殊情形的适用条件进一步细化，厘清政策边界，兼顾特殊扶持、守法激励与许可审慎管理。</w:t>
      </w:r>
    </w:p>
    <w:p w14:paraId="4AA26855">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针对第九条第（一）</w:t>
      </w:r>
      <w:r>
        <w:rPr>
          <w:rFonts w:hint="eastAsia" w:ascii="仿宋_GB2312" w:hAnsi="宋体" w:eastAsia="仿宋_GB2312" w:cs="Times New Roman"/>
          <w:sz w:val="32"/>
          <w:szCs w:val="32"/>
        </w:rPr>
        <w:t>项</w:t>
      </w:r>
      <w:r>
        <w:rPr>
          <w:rFonts w:ascii="仿宋_GB2312" w:hAnsi="宋体" w:eastAsia="仿宋_GB2312" w:cs="Times New Roman"/>
          <w:sz w:val="32"/>
          <w:szCs w:val="32"/>
        </w:rPr>
        <w:t>，四类情形在符合总量限制基础上，最近零售点间距可放宽至不少于30米。具体变化主要体现在：对残疾人、烈属等特殊群体扶持政策进行了进一步明确，限定为具有自主经营能力和完全民事行为能力的残疾人、烈属等特殊群体，本人注册的营业执照类型为个体工商户，本辖区无有效期内许可证的，可在符合总量限制基础上按30米标准申请1个，并明确不得通过合伙、委托等方式交由他人经营，既体现扶持，也防止政策被不当利用。</w:t>
      </w:r>
    </w:p>
    <w:p w14:paraId="02C67C3E">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对因幼儿园、中小学校、少年宫新（改）建、道路规划、城市建设等客观原因导致原经营地址不再符合办证条件，继续予以政策照顾，明晰适用条件。</w:t>
      </w:r>
    </w:p>
    <w:p w14:paraId="4D4ABB85">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新增对连续三年无涉烟违法记录、信用等级为A及以上的持证户的激励规则，该类主体因经营调整歇业后30日内在原所属社区（行政村）重新申领，可在符合总量前提下适用不少于30米的间距标准，强化对长期守法守信经营主体的正向引导。</w:t>
      </w:r>
    </w:p>
    <w:p w14:paraId="4CB79DB7">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针对第九条第（二）</w:t>
      </w:r>
      <w:r>
        <w:rPr>
          <w:rFonts w:hint="eastAsia" w:ascii="仿宋_GB2312" w:hAnsi="宋体" w:eastAsia="仿宋_GB2312" w:cs="Times New Roman"/>
          <w:sz w:val="32"/>
          <w:szCs w:val="32"/>
        </w:rPr>
        <w:t>项</w:t>
      </w:r>
      <w:r>
        <w:rPr>
          <w:rFonts w:ascii="仿宋_GB2312" w:hAnsi="宋体" w:eastAsia="仿宋_GB2312" w:cs="Times New Roman"/>
          <w:sz w:val="32"/>
          <w:szCs w:val="32"/>
        </w:rPr>
        <w:t>，四类情形可不受本规定距离、总量的限制。具体变化主要体现在：对持证自然人死亡或者丧失民事行为能力，由其直系亲属在原址继续经营；以及因非主观原因许可证未按期延续、在规定期限内原址重新申领的，继续沿用原规定 “两年内无涉烟违法记录” 前置条件不作调整</w:t>
      </w:r>
      <w:r>
        <w:rPr>
          <w:rFonts w:hint="eastAsia" w:ascii="仿宋_GB2312" w:hAnsi="宋体" w:eastAsia="仿宋_GB2312" w:cs="Times New Roman"/>
          <w:sz w:val="32"/>
          <w:szCs w:val="32"/>
        </w:rPr>
        <w:t>，</w:t>
      </w:r>
      <w:r>
        <w:rPr>
          <w:rFonts w:ascii="仿宋_GB2312" w:hAnsi="宋体" w:eastAsia="仿宋_GB2312" w:cs="Times New Roman"/>
          <w:sz w:val="32"/>
          <w:szCs w:val="32"/>
        </w:rPr>
        <w:t>在体现人文关怀、稳定经营预期的同时守住守法底线。</w:t>
      </w:r>
    </w:p>
    <w:p w14:paraId="4EC5A7D2">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将属于国家、市、区乡村振兴战略重点扶持的经营企业，以及在北京市范围内拥有50家以上门店、经审核确认为品牌连锁直营便利店，由原规定距离放宽类条款调整至本项不受距离、总量限制的范畴；区分加盟、合作门店，进一步收紧优待适用对象。</w:t>
      </w:r>
    </w:p>
    <w:p w14:paraId="15826D2D">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新增经营主体类型发生变更、其他条件不变，歇业后30日内在原址重新申领可不受距离、总量限制的规定，保障正常经营主体变更业务平稳接续。</w:t>
      </w:r>
    </w:p>
    <w:p w14:paraId="731F9DAF">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原规定中法院判决、法人分立合并、企业类型变更等原址豁免情形，本次修订不再单独设置条款，进一步压缩例外许可范围，落实从严审慎许可的导向。</w:t>
      </w:r>
    </w:p>
    <w:p w14:paraId="30C60E67">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（五）不予许可情形</w:t>
      </w:r>
    </w:p>
    <w:p w14:paraId="3D485ED4">
      <w:pPr>
        <w:widowControl/>
        <w:shd w:val="clear" w:color="auto" w:fill="FFFFFF"/>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原</w:t>
      </w:r>
      <w:r>
        <w:rPr>
          <w:rFonts w:ascii="仿宋_GB2312" w:hAnsi="宋体" w:eastAsia="仿宋_GB2312" w:cs="Times New Roman"/>
          <w:sz w:val="32"/>
          <w:szCs w:val="32"/>
        </w:rPr>
        <w:t>《规定》将不予发放烟草专卖零售许可证的情形作为第二章的末条规定。《</w:t>
      </w:r>
      <w:r>
        <w:rPr>
          <w:rFonts w:hint="eastAsia" w:ascii="仿宋_GB2312" w:hAnsi="宋体" w:eastAsia="仿宋_GB2312" w:cs="Times New Roman"/>
          <w:sz w:val="32"/>
          <w:szCs w:val="32"/>
        </w:rPr>
        <w:t>规定</w:t>
      </w:r>
      <w:r>
        <w:rPr>
          <w:rFonts w:ascii="仿宋_GB2312" w:hAnsi="宋体" w:eastAsia="仿宋_GB2312" w:cs="Times New Roman"/>
          <w:sz w:val="32"/>
          <w:szCs w:val="32"/>
        </w:rPr>
        <w:t>》将相关内容调整为单独的“第三章</w:t>
      </w:r>
      <w:r>
        <w:rPr>
          <w:rFonts w:hint="eastAsia" w:ascii="仿宋_GB2312" w:hAnsi="宋体" w:eastAsia="仿宋_GB2312" w:cs="Times New Roman"/>
          <w:sz w:val="32"/>
          <w:szCs w:val="32"/>
        </w:rPr>
        <w:t xml:space="preserve"> </w:t>
      </w:r>
      <w:r>
        <w:rPr>
          <w:rFonts w:ascii="仿宋_GB2312" w:hAnsi="宋体" w:eastAsia="仿宋_GB2312" w:cs="Times New Roman"/>
          <w:sz w:val="32"/>
          <w:szCs w:val="32"/>
        </w:rPr>
        <w:t>不予许可的情形”，并基本保留原有法定和政策性底线要求，包括取消资格期限、虚假申请、欺骗贿赂取得许可证、无证经营多次受罚、存在安全隐患、不符合学校周边保护要求以及其他不符合法律法规规章的情形等。</w:t>
      </w:r>
    </w:p>
    <w:p w14:paraId="1086F63E">
      <w:pPr>
        <w:widowControl/>
        <w:shd w:val="clear" w:color="auto" w:fill="FFFFFF"/>
        <w:spacing w:line="600" w:lineRule="exact"/>
        <w:ind w:firstLine="640" w:firstLineChars="200"/>
        <w:rPr>
          <w:rFonts w:ascii="楷体_GB2312" w:hAnsi="宋体" w:eastAsia="楷体_GB2312" w:cs="Times New Roman"/>
          <w:sz w:val="32"/>
          <w:szCs w:val="32"/>
        </w:rPr>
      </w:pPr>
      <w:r>
        <w:rPr>
          <w:rFonts w:hint="eastAsia" w:ascii="楷体_GB2312" w:hAnsi="宋体" w:eastAsia="楷体_GB2312" w:cs="Times New Roman"/>
          <w:sz w:val="32"/>
          <w:szCs w:val="32"/>
        </w:rPr>
        <w:t>（六）优化其他执行规则，提升操作性和统一性</w:t>
      </w:r>
    </w:p>
    <w:p w14:paraId="05C5C08A">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w:t>
      </w:r>
      <w:r>
        <w:rPr>
          <w:rFonts w:hint="eastAsia" w:ascii="仿宋_GB2312" w:hAnsi="宋体" w:eastAsia="仿宋_GB2312" w:cs="Times New Roman"/>
          <w:sz w:val="32"/>
          <w:szCs w:val="32"/>
        </w:rPr>
        <w:t>规定</w:t>
      </w:r>
      <w:r>
        <w:rPr>
          <w:rFonts w:ascii="仿宋_GB2312" w:hAnsi="宋体" w:eastAsia="仿宋_GB2312" w:cs="Times New Roman"/>
          <w:sz w:val="32"/>
          <w:szCs w:val="32"/>
        </w:rPr>
        <w:t>》对经营场所条件、距离测量规则等执行性条款进行了整理和优化，主要体现在：</w:t>
      </w:r>
    </w:p>
    <w:p w14:paraId="6E021BD0">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1.经营场所认定进一步规范。明确申请烟草专卖零售许可证的经营场所应当与营业执照核定的经营地址相一致，并须与住所相独立、对消费者全开放且具有固定性；经营场所不包含住宅、公寓等居住用途建筑，但该建筑内依法规划为商业用途的独立场所除外。</w:t>
      </w:r>
    </w:p>
    <w:p w14:paraId="606E7FA6">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2.测量规则适用范围更加完整。由现行主要针对零售点与学校、幼儿园、少年宫距离测量，调整为同时适用于零售点与幼儿园、中小学校、少年宫、最近零售点之间的距离测量，执行口径更加统一。</w:t>
      </w:r>
    </w:p>
    <w:p w14:paraId="2240BEB8">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3.对特殊情形适用边界继续从严把握。明确涉及特殊情形的，经营场所安全要求和学校、幼儿园、少年宫周边限制规定不得放宽。</w:t>
      </w:r>
    </w:p>
    <w:p w14:paraId="6241BEC3">
      <w:pPr>
        <w:widowControl/>
        <w:shd w:val="clear" w:color="auto" w:fill="FFFFFF"/>
        <w:spacing w:line="600" w:lineRule="exact"/>
        <w:ind w:firstLine="640" w:firstLineChars="200"/>
        <w:rPr>
          <w:rFonts w:ascii="仿宋_GB2312" w:hAnsi="宋体" w:eastAsia="仿宋_GB2312" w:cs="Times New Roman"/>
          <w:sz w:val="32"/>
          <w:szCs w:val="32"/>
        </w:rPr>
      </w:pPr>
      <w:r>
        <w:rPr>
          <w:rFonts w:ascii="仿宋_GB2312" w:hAnsi="宋体" w:eastAsia="仿宋_GB2312" w:cs="Times New Roman"/>
          <w:sz w:val="32"/>
          <w:szCs w:val="32"/>
        </w:rPr>
        <w:t>4.附则内容进一步整合。对数字适用规则、施行时间以及废止旧规定作出统一安排。</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8576761"/>
      <w:docPartObj>
        <w:docPartGallery w:val="autotext"/>
      </w:docPartObj>
    </w:sdtPr>
    <w:sdtEndPr>
      <w:rPr>
        <w:rFonts w:ascii="宋体" w:hAnsi="宋体" w:eastAsia="宋体"/>
        <w:sz w:val="28"/>
        <w:szCs w:val="28"/>
      </w:rPr>
    </w:sdtEndPr>
    <w:sdtContent>
      <w:p w14:paraId="5842DE49">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14:paraId="2ED2E3A2">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E5A5C"/>
    <w:multiLevelType w:val="singleLevel"/>
    <w:tmpl w:val="082E5A5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YTdiNmE4ZjMzM2M5MjVlZjcwNWQ4MmVmNDUzMTIifQ=="/>
  </w:docVars>
  <w:rsids>
    <w:rsidRoot w:val="001B7E8C"/>
    <w:rsid w:val="00001A0F"/>
    <w:rsid w:val="000669C2"/>
    <w:rsid w:val="000D333E"/>
    <w:rsid w:val="000F66EB"/>
    <w:rsid w:val="00144E2E"/>
    <w:rsid w:val="001B7E8C"/>
    <w:rsid w:val="001E5B05"/>
    <w:rsid w:val="002340A9"/>
    <w:rsid w:val="00276AF3"/>
    <w:rsid w:val="003071F9"/>
    <w:rsid w:val="003540B9"/>
    <w:rsid w:val="004C3E33"/>
    <w:rsid w:val="006F4F04"/>
    <w:rsid w:val="00707534"/>
    <w:rsid w:val="008C1F3D"/>
    <w:rsid w:val="008D367F"/>
    <w:rsid w:val="009A7605"/>
    <w:rsid w:val="00AA78DF"/>
    <w:rsid w:val="00AC1163"/>
    <w:rsid w:val="00B30648"/>
    <w:rsid w:val="00E44009"/>
    <w:rsid w:val="00F95EFB"/>
    <w:rsid w:val="00F966CA"/>
    <w:rsid w:val="0155427A"/>
    <w:rsid w:val="02287B0C"/>
    <w:rsid w:val="036363D4"/>
    <w:rsid w:val="0D735465"/>
    <w:rsid w:val="0E1439F0"/>
    <w:rsid w:val="0EBB5316"/>
    <w:rsid w:val="0F043E79"/>
    <w:rsid w:val="0F78AD38"/>
    <w:rsid w:val="142474B9"/>
    <w:rsid w:val="16D94EAE"/>
    <w:rsid w:val="1DAA4ED3"/>
    <w:rsid w:val="21846C2A"/>
    <w:rsid w:val="25B7725E"/>
    <w:rsid w:val="272B0F02"/>
    <w:rsid w:val="2A255F01"/>
    <w:rsid w:val="2C336018"/>
    <w:rsid w:val="32492248"/>
    <w:rsid w:val="325F609D"/>
    <w:rsid w:val="36DFFEA8"/>
    <w:rsid w:val="3EDE4585"/>
    <w:rsid w:val="3FC512A1"/>
    <w:rsid w:val="404B3E9C"/>
    <w:rsid w:val="41365A6F"/>
    <w:rsid w:val="423F533B"/>
    <w:rsid w:val="47152B0E"/>
    <w:rsid w:val="4B840262"/>
    <w:rsid w:val="4E507D60"/>
    <w:rsid w:val="4FC74BC1"/>
    <w:rsid w:val="500555CD"/>
    <w:rsid w:val="5B022F52"/>
    <w:rsid w:val="5D021A67"/>
    <w:rsid w:val="6DB738E8"/>
    <w:rsid w:val="6DC315D6"/>
    <w:rsid w:val="6E2C4815"/>
    <w:rsid w:val="6EA74AAA"/>
    <w:rsid w:val="6FDD6340"/>
    <w:rsid w:val="75EF43A6"/>
    <w:rsid w:val="79305A30"/>
    <w:rsid w:val="7AF4420D"/>
    <w:rsid w:val="7B2C26C9"/>
    <w:rsid w:val="7EE41176"/>
    <w:rsid w:val="7FDA741E"/>
    <w:rsid w:val="BF7CC83D"/>
    <w:rsid w:val="F7F3DB94"/>
    <w:rsid w:val="F8FBEDC4"/>
    <w:rsid w:val="FFBFC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802162a6-dd5c-4a47-bd96-33a3aa17fbfe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7B523B1</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ee74312d-016f-470c-8717-2d68e558c21c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6E21AC00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ee53f3b2-5487-4b4e-9a71-8069eda91d0c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59512535</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c8710d50-e27e-4f4a-937d-ca89e26a8fed</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2EB570F0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7456ff03-b636-44ca-97c8-7efe2a18c8a3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18A57E33</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2f765af8-5cc8-4cc4-90f7-a459a998b6a9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6EFA26D3</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761951ff-7059-41cc-9c8a-9301f0b7f3e2</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18E69EC4</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00dab0b5-9636-45df-8841-e4ba79d267d3</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3C7DD1DD</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4f39d762-6d1f-4a16-9529-3eb9ce78711b</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6C5EA4B9</paraID>
      <start xmlns="http://schemas.wps.cn/vas-ai-hub/contract-review">0</start>
      <end xmlns="http://schemas.wps.cn/vas-ai-hub/contract-review">3</end>
      <status xmlns="http://schemas.wps.cn/vas-ai-hub/contract-review">modified</status>
      <modifiedWord xmlns="http://schemas.wps.cn/vas-ai-hub/contract-review">（一）</modifiedWord>
      <trackRevisions xmlns="http://schemas.wps.cn/vas-ai-hub/contract-review">false</trackRevisions>
    </reviewItem>
    <reviewItem xmlns="http://schemas.wps.cn/vas-ai-hub/contract-review">
      <errorID xmlns="http://schemas.wps.cn/vas-ai-hub/contract-review">03808568-e4de-4e33-804a-e5a0a107683a</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4AC1D44D</paraID>
      <start xmlns="http://schemas.wps.cn/vas-ai-hub/contract-review">0</start>
      <end xmlns="http://schemas.wps.cn/vas-ai-hub/contract-review">3</end>
      <status xmlns="http://schemas.wps.cn/vas-ai-hub/contract-review">modified</status>
      <modifiedWord xmlns="http://schemas.wps.cn/vas-ai-hub/contract-review">（二）</modifiedWord>
      <trackRevisions xmlns="http://schemas.wps.cn/vas-ai-hub/contract-review">false</trackRevisions>
    </reviewItem>
    <reviewItem xmlns="http://schemas.wps.cn/vas-ai-hub/contract-review">
      <errorID xmlns="http://schemas.wps.cn/vas-ai-hub/contract-review">9f9b299b-6b7a-4c6b-ab9c-0a8c6bb38fb1</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1A958BDB</paraID>
      <start xmlns="http://schemas.wps.cn/vas-ai-hub/contract-review">0</start>
      <end xmlns="http://schemas.wps.cn/vas-ai-hub/contract-review">3</end>
      <status xmlns="http://schemas.wps.cn/vas-ai-hub/contract-review">modified</status>
      <modifiedWord xmlns="http://schemas.wps.cn/vas-ai-hub/contract-review">（三）</modifiedWord>
      <trackRevisions xmlns="http://schemas.wps.cn/vas-ai-hub/contract-review">false</trackRevisions>
    </reviewItem>
    <reviewItem xmlns="http://schemas.wps.cn/vas-ai-hub/contract-review">
      <errorID xmlns="http://schemas.wps.cn/vas-ai-hub/contract-review">8411a2eb-e5c5-4729-b7d7-133479144036</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77AA2B3A</paraID>
      <start xmlns="http://schemas.wps.cn/vas-ai-hub/contract-review">0</start>
      <end xmlns="http://schemas.wps.cn/vas-ai-hub/contract-review">3</end>
      <status xmlns="http://schemas.wps.cn/vas-ai-hub/contract-review">modified</status>
      <modifiedWord xmlns="http://schemas.wps.cn/vas-ai-hub/contract-review">（四）</modifiedWord>
      <trackRevisions xmlns="http://schemas.wps.cn/vas-ai-hub/contract-review">false</trackRevisions>
    </reviewItem>
    <reviewItem xmlns="http://schemas.wps.cn/vas-ai-hub/contract-review">
      <errorID xmlns="http://schemas.wps.cn/vas-ai-hub/contract-review">b261a6f3-8be1-49ba-aa00-bef5dae0bb0c</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56B4F9A5</paraID>
      <start xmlns="http://schemas.wps.cn/vas-ai-hub/contract-review">0</start>
      <end xmlns="http://schemas.wps.cn/vas-ai-hub/contract-review">3</end>
      <status xmlns="http://schemas.wps.cn/vas-ai-hub/contract-review">modified</status>
      <modifiedWord xmlns="http://schemas.wps.cn/vas-ai-hub/contract-review">（五）</modifiedWord>
      <trackRevisions xmlns="http://schemas.wps.cn/vas-ai-hub/contract-review">false</trackRevisions>
    </reviewItem>
    <reviewItem xmlns="http://schemas.wps.cn/vas-ai-hub/contract-review">
      <errorID xmlns="http://schemas.wps.cn/vas-ai-hub/contract-review">9f3472e4-e6eb-45c7-a3eb-da026c636095</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2E09F23D</paraID>
      <start xmlns="http://schemas.wps.cn/vas-ai-hub/contract-review">0</start>
      <end xmlns="http://schemas.wps.cn/vas-ai-hub/contract-review">3</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561f2eac-1e41-42e1-9592-ebcaaa9a362c</errorID>
      <errorWord xmlns="http://schemas.wps.cn/vas-ai-hub/contract-review">(七)</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（七）</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6974FF66</paraID>
      <start xmlns="http://schemas.wps.cn/vas-ai-hub/contract-review">0</start>
      <end xmlns="http://schemas.wps.cn/vas-ai-hub/contract-review">3</end>
      <status xmlns="http://schemas.wps.cn/vas-ai-hub/contract-review">modified</status>
      <modifiedWord xmlns="http://schemas.wps.cn/vas-ai-hub/contract-review">（七）</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A86B6C5-6A38-4964-8E88-84F6A2DD7B5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4953</Words>
  <Characters>5018</Characters>
  <Lines>36</Lines>
  <Paragraphs>10</Paragraphs>
  <TotalTime>2</TotalTime>
  <ScaleCrop>false</ScaleCrop>
  <LinksUpToDate>false</LinksUpToDate>
  <CharactersWithSpaces>5021</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2026-08-19T16:34:00Z</dcterms:created>
  <dc:creator>maxin</dc:creator>
  <cp:lastModifiedBy>HIGC</cp:lastModifiedBy>
  <cp:lastPrinted>2026-04-08T15:03:00Z</cp:lastPrinted>
  <dcterms:modified xsi:type="dcterms:W3CDTF">2026-08-20T14:13:50Z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eyJoZGlkIjoiMTFjMzk3MzZjYzRiYWYxYTIxODhhNThiN2FiNmVhNzgiLCJ1c2VySWQiOiIyNzI0OTYyOTMifQ==</vt:lpwstr>
  </property>
  <property fmtid="{D5CDD505-2E9C-101B-9397-08002B2CF9AE}" pid="4" name="ICV">
    <vt:lpwstr>5C9051662F0F45C0BEAC1DEBBFE2AA85_13</vt:lpwstr>
  </property>
</Properties>
</file>