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FBC96">
      <w:pPr>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附件</w:t>
      </w:r>
      <w:r>
        <w:rPr>
          <w:rFonts w:hint="eastAsia" w:ascii="仿宋_GB2312" w:hAnsi="仿宋_GB2312" w:eastAsia="仿宋_GB2312" w:cs="仿宋_GB2312"/>
          <w:sz w:val="32"/>
          <w:szCs w:val="32"/>
          <w:highlight w:val="none"/>
          <w:lang w:val="en-US" w:eastAsia="zh-CN"/>
        </w:rPr>
        <w:t>1</w:t>
      </w:r>
    </w:p>
    <w:p w14:paraId="0CB5428C">
      <w:pPr>
        <w:jc w:val="both"/>
        <w:rPr>
          <w:rFonts w:hint="eastAsia" w:ascii="仿宋_GB2312" w:hAnsi="仿宋_GB2312" w:eastAsia="仿宋_GB2312" w:cs="仿宋_GB2312"/>
          <w:sz w:val="32"/>
          <w:szCs w:val="32"/>
          <w:highlight w:val="none"/>
        </w:rPr>
      </w:pPr>
    </w:p>
    <w:p w14:paraId="400981E5">
      <w:pPr>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北京市昌平区烟草制品零售点合理布局规定</w:t>
      </w:r>
    </w:p>
    <w:p w14:paraId="43382EBA">
      <w:pPr>
        <w:jc w:val="center"/>
        <w:rPr>
          <w:rFonts w:ascii="方正小标宋简体" w:hAnsi="方正小标宋简体" w:eastAsia="方正小标宋简体" w:cs="方正小标宋简体"/>
          <w:sz w:val="44"/>
          <w:szCs w:val="44"/>
          <w:highlight w:val="none"/>
        </w:rPr>
      </w:pPr>
      <w:r>
        <w:rPr>
          <w:rFonts w:hint="eastAsia" w:ascii="楷体_GB2312" w:hAnsi="方正小标宋简体" w:eastAsia="楷体_GB2312" w:cs="方正小标宋简体"/>
          <w:sz w:val="32"/>
          <w:szCs w:val="32"/>
          <w:highlight w:val="none"/>
        </w:rPr>
        <w:t>（</w:t>
      </w:r>
      <w:r>
        <w:rPr>
          <w:rFonts w:hint="eastAsia" w:ascii="楷体_GB2312" w:hAnsi="方正小标宋简体" w:eastAsia="楷体_GB2312" w:cs="方正小标宋简体"/>
          <w:sz w:val="32"/>
          <w:szCs w:val="32"/>
          <w:highlight w:val="none"/>
          <w:lang w:eastAsia="zh-CN"/>
        </w:rPr>
        <w:t>修订</w:t>
      </w:r>
      <w:r>
        <w:rPr>
          <w:rFonts w:hint="eastAsia" w:ascii="楷体_GB2312" w:hAnsi="方正小标宋简体" w:eastAsia="楷体_GB2312" w:cs="方正小标宋简体"/>
          <w:sz w:val="32"/>
          <w:szCs w:val="32"/>
          <w:highlight w:val="none"/>
        </w:rPr>
        <w:t>稿）</w:t>
      </w:r>
    </w:p>
    <w:p w14:paraId="64DD419C">
      <w:pPr>
        <w:jc w:val="center"/>
        <w:rPr>
          <w:rFonts w:ascii="黑体" w:hAnsi="宋体" w:eastAsia="黑体" w:cs="黑体"/>
          <w:sz w:val="32"/>
          <w:szCs w:val="32"/>
          <w:shd w:val="clear" w:color="auto" w:fill="FFFFFF"/>
        </w:rPr>
      </w:pPr>
    </w:p>
    <w:p w14:paraId="53ED7D42">
      <w:pPr>
        <w:jc w:val="center"/>
        <w:rPr>
          <w:rFonts w:ascii="黑体" w:hAnsi="宋体" w:eastAsia="黑体" w:cs="黑体"/>
          <w:sz w:val="32"/>
          <w:szCs w:val="32"/>
          <w:shd w:val="clear" w:color="auto" w:fill="FFFFFF"/>
        </w:rPr>
      </w:pPr>
      <w:r>
        <w:rPr>
          <w:rFonts w:hint="eastAsia" w:ascii="黑体" w:hAnsi="宋体" w:eastAsia="黑体" w:cs="黑体"/>
          <w:sz w:val="32"/>
          <w:szCs w:val="32"/>
          <w:shd w:val="clear" w:color="auto" w:fill="FFFFFF"/>
        </w:rPr>
        <w:t>第一章  总  则</w:t>
      </w:r>
    </w:p>
    <w:p w14:paraId="2E490947">
      <w:pPr>
        <w:rPr>
          <w:rFonts w:ascii="黑体" w:hAnsi="宋体" w:eastAsia="黑体" w:cs="黑体"/>
          <w:sz w:val="37"/>
          <w:szCs w:val="37"/>
          <w:shd w:val="clear" w:color="auto" w:fill="FFFFFF"/>
        </w:rPr>
      </w:pPr>
    </w:p>
    <w:p w14:paraId="67736FCD">
      <w:pPr>
        <w:spacing w:line="560" w:lineRule="exact"/>
        <w:ind w:firstLine="640" w:firstLineChars="200"/>
        <w:rPr>
          <w:rFonts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第一条  </w:t>
      </w:r>
      <w:r>
        <w:rPr>
          <w:rFonts w:hint="eastAsia" w:ascii="仿宋_GB2312" w:hAnsi="仿宋_GB2312" w:eastAsia="仿宋_GB2312" w:cs="仿宋_GB2312"/>
          <w:sz w:val="32"/>
          <w:szCs w:val="32"/>
          <w:shd w:val="clear" w:color="auto" w:fill="FFFFFF"/>
        </w:rPr>
        <w:t>为加强烟草专卖零售许可证管理，规范烟草制品流通秩序，促进烟草市场健康发展，维护经营者、消费者和未成年人的合法权益，根据《中华人民共和国行政许可法》《中华人民共和国未成年人保护法》《中华人民共和国烟草专卖法》及其实施条例、《北京市控制吸烟条例》《烟草专卖许可证管理办法》及其实施细则等法律、法规、规章和其他规范性文件，结合本区实际制定本规定。</w:t>
      </w:r>
    </w:p>
    <w:p w14:paraId="2A236A51">
      <w:pPr>
        <w:spacing w:line="560" w:lineRule="exact"/>
        <w:ind w:firstLine="640" w:firstLineChars="200"/>
        <w:rPr>
          <w:rFonts w:ascii="Times New Roman" w:hAnsi="Times New Roman" w:eastAsia="仿宋_GB2312" w:cs="Times New Roman"/>
          <w:kern w:val="0"/>
          <w:sz w:val="32"/>
          <w:szCs w:val="32"/>
        </w:rPr>
      </w:pPr>
      <w:r>
        <w:rPr>
          <w:rFonts w:hint="eastAsia" w:ascii="黑体" w:hAnsi="黑体" w:eastAsia="黑体" w:cs="黑体"/>
          <w:sz w:val="32"/>
          <w:szCs w:val="32"/>
          <w:shd w:val="clear" w:color="auto" w:fill="FFFFFF"/>
        </w:rPr>
        <w:t xml:space="preserve">第二条  </w:t>
      </w:r>
      <w:r>
        <w:rPr>
          <w:rFonts w:hint="eastAsia" w:ascii="仿宋_GB2312" w:hAnsi="仿宋_GB2312" w:eastAsia="仿宋_GB2312" w:cs="仿宋_GB2312"/>
          <w:sz w:val="32"/>
          <w:szCs w:val="32"/>
          <w:shd w:val="clear" w:color="auto" w:fill="FFFFFF"/>
        </w:rPr>
        <w:t>本规定所称烟草制品零售点（以下简称零售点）是指依法取得烟草专卖零售许可证的公民、法人或其他组织从事烟草制品零售业务的与住所相独立的固定经营场所。</w:t>
      </w:r>
    </w:p>
    <w:p w14:paraId="11EFF6DB">
      <w:pPr>
        <w:spacing w:line="560" w:lineRule="exact"/>
        <w:ind w:firstLine="640" w:firstLineChars="200"/>
        <w:rPr>
          <w:rFonts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第三条  </w:t>
      </w:r>
      <w:r>
        <w:rPr>
          <w:rFonts w:hint="eastAsia" w:ascii="仿宋_GB2312" w:hAnsi="仿宋_GB2312" w:eastAsia="仿宋_GB2312" w:cs="仿宋_GB2312"/>
          <w:sz w:val="32"/>
          <w:szCs w:val="32"/>
          <w:shd w:val="clear" w:color="auto" w:fill="FFFFFF"/>
        </w:rPr>
        <w:t>零售点规划遵循依法行政、科学规划、动态调整、空间适配的原</w:t>
      </w:r>
      <w:r>
        <w:rPr>
          <w:rFonts w:hint="eastAsia" w:ascii="仿宋_GB2312" w:hAnsi="仿宋_GB2312" w:eastAsia="仿宋_GB2312" w:cs="仿宋_GB2312"/>
          <w:color w:val="auto"/>
          <w:sz w:val="32"/>
          <w:szCs w:val="32"/>
          <w:u w:val="none"/>
          <w:shd w:val="clear" w:color="auto" w:fill="FFFFFF"/>
        </w:rPr>
        <w:t>则，</w:t>
      </w:r>
      <w:r>
        <w:rPr>
          <w:rFonts w:hint="eastAsia" w:ascii="仿宋_GB2312" w:hAnsi="仿宋_GB2312" w:eastAsia="仿宋_GB2312" w:cs="仿宋_GB2312"/>
          <w:color w:val="auto"/>
          <w:sz w:val="32"/>
          <w:szCs w:val="32"/>
          <w:u w:val="none"/>
          <w:shd w:val="clear" w:color="auto" w:fill="FFFFFF"/>
          <w:lang w:val="en-US" w:eastAsia="zh-CN"/>
        </w:rPr>
        <w:t>实施</w:t>
      </w:r>
      <w:r>
        <w:rPr>
          <w:rFonts w:hint="eastAsia" w:ascii="仿宋_GB2312" w:hAnsi="仿宋_GB2312" w:eastAsia="仿宋_GB2312" w:cs="仿宋_GB2312"/>
          <w:color w:val="auto"/>
          <w:sz w:val="32"/>
          <w:szCs w:val="32"/>
          <w:u w:val="none"/>
          <w:shd w:val="clear" w:color="auto" w:fill="FFFFFF"/>
        </w:rPr>
        <w:t>差异化准入标准。</w:t>
      </w:r>
    </w:p>
    <w:p w14:paraId="16B0C704">
      <w:pPr>
        <w:spacing w:line="560" w:lineRule="exact"/>
        <w:ind w:firstLine="640" w:firstLineChars="200"/>
        <w:rPr>
          <w:rFonts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第四条  </w:t>
      </w:r>
      <w:r>
        <w:rPr>
          <w:rFonts w:hint="eastAsia" w:ascii="仿宋_GB2312" w:hAnsi="仿宋_GB2312" w:eastAsia="仿宋_GB2312" w:cs="仿宋_GB2312"/>
          <w:sz w:val="32"/>
          <w:szCs w:val="32"/>
          <w:shd w:val="clear" w:color="auto" w:fill="FFFFFF"/>
        </w:rPr>
        <w:t>本规定适用于昌平区行政区域范围内的烟草制品零售点的准入和管理。</w:t>
      </w:r>
    </w:p>
    <w:p w14:paraId="5BDD5F59">
      <w:pPr>
        <w:spacing w:line="560" w:lineRule="exact"/>
        <w:ind w:firstLine="640" w:firstLineChars="200"/>
        <w:rPr>
          <w:rFonts w:ascii="仿宋_GB2312" w:hAnsi="仿宋_GB2312" w:eastAsia="仿宋_GB2312" w:cs="仿宋_GB2312"/>
          <w:sz w:val="32"/>
          <w:szCs w:val="32"/>
          <w:shd w:val="clear" w:color="auto" w:fill="FFFFFF"/>
        </w:rPr>
      </w:pPr>
    </w:p>
    <w:p w14:paraId="17DF4188">
      <w:pPr>
        <w:jc w:val="center"/>
        <w:rPr>
          <w:rFonts w:ascii="黑体" w:hAnsi="宋体" w:eastAsia="黑体" w:cs="黑体"/>
          <w:sz w:val="32"/>
          <w:szCs w:val="32"/>
          <w:shd w:val="clear" w:color="auto" w:fill="FFFFFF"/>
        </w:rPr>
      </w:pPr>
      <w:r>
        <w:rPr>
          <w:rFonts w:hint="eastAsia" w:ascii="黑体" w:hAnsi="宋体" w:eastAsia="黑体" w:cs="黑体"/>
          <w:sz w:val="32"/>
          <w:szCs w:val="32"/>
          <w:shd w:val="clear" w:color="auto" w:fill="FFFFFF"/>
        </w:rPr>
        <w:t>第二章 布局标准</w:t>
      </w:r>
    </w:p>
    <w:p w14:paraId="72B1730D">
      <w:pPr>
        <w:rPr>
          <w:rFonts w:ascii="黑体" w:hAnsi="宋体" w:eastAsia="黑体" w:cs="黑体"/>
          <w:sz w:val="32"/>
          <w:szCs w:val="32"/>
          <w:shd w:val="clear" w:color="auto" w:fill="FFFFFF"/>
        </w:rPr>
      </w:pPr>
    </w:p>
    <w:p w14:paraId="352536DC">
      <w:pPr>
        <w:pStyle w:val="6"/>
        <w:shd w:val="clear" w:color="auto" w:fill="FFFFFF"/>
        <w:spacing w:line="560" w:lineRule="exact"/>
        <w:ind w:firstLine="640" w:firstLineChars="200"/>
        <w:rPr>
          <w:rFonts w:ascii="仿宋_GB2312" w:eastAsia="仿宋_GB2312"/>
          <w:sz w:val="32"/>
          <w:szCs w:val="32"/>
        </w:rPr>
      </w:pPr>
      <w:r>
        <w:rPr>
          <w:rFonts w:hint="eastAsia" w:ascii="黑体" w:hAnsi="黑体" w:eastAsia="黑体" w:cs="黑体"/>
          <w:sz w:val="32"/>
          <w:szCs w:val="32"/>
          <w:shd w:val="clear" w:color="auto" w:fill="FFFFFF"/>
        </w:rPr>
        <w:t>第五条</w:t>
      </w:r>
      <w:r>
        <w:rPr>
          <w:rFonts w:hint="eastAsia" w:ascii="宋体" w:hAnsi="宋体" w:eastAsia="宋体" w:cs="宋体"/>
          <w:sz w:val="32"/>
          <w:szCs w:val="32"/>
          <w:shd w:val="clear" w:color="auto" w:fill="FFFFFF"/>
        </w:rPr>
        <w:t xml:space="preserve">  </w:t>
      </w:r>
      <w:r>
        <w:rPr>
          <w:rFonts w:hint="eastAsia" w:ascii="仿宋_GB2312" w:eastAsia="仿宋_GB2312"/>
          <w:sz w:val="32"/>
          <w:szCs w:val="32"/>
        </w:rPr>
        <w:t>区域划分。结合地理位置和社会功能属性，将辖区划分为若干稳定、相对独立的市场区域单元，分别为基础保障单元、重点功能单元和特色场景单元。</w:t>
      </w:r>
    </w:p>
    <w:p w14:paraId="6C6F4B76">
      <w:pPr>
        <w:pStyle w:val="6"/>
        <w:shd w:val="clear" w:color="auto" w:fill="FFFFFF"/>
        <w:spacing w:line="560" w:lineRule="exact"/>
        <w:ind w:firstLine="640" w:firstLineChars="200"/>
        <w:rPr>
          <w:rFonts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第六条  </w:t>
      </w:r>
      <w:r>
        <w:rPr>
          <w:rFonts w:ascii="仿宋_GB2312" w:hAnsi="仿宋_GB2312" w:eastAsia="仿宋_GB2312" w:cs="仿宋_GB2312"/>
          <w:sz w:val="32"/>
          <w:szCs w:val="32"/>
          <w:shd w:val="clear" w:color="auto" w:fill="FFFFFF"/>
        </w:rPr>
        <w:t>基础保障单元</w:t>
      </w:r>
    </w:p>
    <w:p w14:paraId="593D7709">
      <w:pPr>
        <w:pStyle w:val="6"/>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依据全国统计用区划代码和城乡分类代码，将辖区划分为城镇区域和乡村区域，并分别适用以下布局标准：</w:t>
      </w:r>
    </w:p>
    <w:p w14:paraId="4653550F">
      <w:pPr>
        <w:pStyle w:val="6"/>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（一）城镇区域内，</w:t>
      </w:r>
      <w:r>
        <w:rPr>
          <w:rFonts w:hint="eastAsia" w:ascii="仿宋_GB2312" w:hAnsi="仿宋_GB2312" w:eastAsia="仿宋_GB2312" w:cs="仿宋_GB2312"/>
          <w:sz w:val="32"/>
          <w:szCs w:val="32"/>
          <w:shd w:val="clear" w:color="auto" w:fill="FFFFFF"/>
        </w:rPr>
        <w:t>最近零售点间距不少于</w:t>
      </w:r>
      <w:r>
        <w:rPr>
          <w:rFonts w:hint="eastAsia" w:ascii="仿宋_GB2312" w:eastAsia="仿宋_GB2312"/>
          <w:sz w:val="32"/>
          <w:szCs w:val="32"/>
        </w:rPr>
        <w:t>50米；</w:t>
      </w:r>
    </w:p>
    <w:p w14:paraId="6FE7934B">
      <w:pPr>
        <w:pStyle w:val="6"/>
        <w:shd w:val="clear" w:color="auto" w:fill="FFFFFF"/>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eastAsia="仿宋_GB2312"/>
          <w:sz w:val="32"/>
          <w:szCs w:val="32"/>
        </w:rPr>
        <w:t>（二）乡村区域内，以行政村为基本单位，每100户设置1个零售点，不足100户的按100户计算；同时，</w:t>
      </w:r>
      <w:r>
        <w:rPr>
          <w:rFonts w:hint="eastAsia" w:ascii="仿宋_GB2312" w:hAnsi="仿宋_GB2312" w:eastAsia="仿宋_GB2312" w:cs="仿宋_GB2312"/>
          <w:sz w:val="32"/>
          <w:szCs w:val="32"/>
          <w:shd w:val="clear" w:color="auto" w:fill="FFFFFF"/>
        </w:rPr>
        <w:t>最近零售点间距不少于</w:t>
      </w:r>
      <w:r>
        <w:rPr>
          <w:rFonts w:hint="eastAsia" w:ascii="仿宋_GB2312" w:eastAsia="仿宋_GB2312"/>
          <w:sz w:val="32"/>
          <w:szCs w:val="32"/>
        </w:rPr>
        <w:t>100米。</w:t>
      </w:r>
    </w:p>
    <w:p w14:paraId="2BEB43AA">
      <w:pPr>
        <w:spacing w:line="560" w:lineRule="exact"/>
        <w:ind w:left="-10" w:firstLine="640"/>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 xml:space="preserve">第七条  </w:t>
      </w:r>
      <w:r>
        <w:rPr>
          <w:rFonts w:hint="eastAsia" w:ascii="仿宋_GB2312" w:hAnsi="仿宋_GB2312" w:eastAsia="仿宋_GB2312" w:cs="仿宋_GB2312"/>
          <w:sz w:val="32"/>
          <w:szCs w:val="32"/>
          <w:shd w:val="clear" w:color="auto" w:fill="FFFFFF"/>
        </w:rPr>
        <w:t>重点功能单元</w:t>
      </w:r>
    </w:p>
    <w:p w14:paraId="768FFCF3">
      <w:pPr>
        <w:spacing w:line="560" w:lineRule="exact"/>
        <w:ind w:firstLine="640" w:firstLineChars="200"/>
        <w:rPr>
          <w:rFonts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color w:val="auto"/>
          <w:sz w:val="32"/>
          <w:szCs w:val="32"/>
          <w:u w:val="none"/>
          <w:shd w:val="clear" w:color="auto" w:fill="FFFFFF"/>
          <w:lang w:val="en-US" w:eastAsia="zh-CN"/>
        </w:rPr>
        <w:t>依据昌平区</w:t>
      </w:r>
      <w:r>
        <w:rPr>
          <w:rFonts w:hint="eastAsia" w:ascii="仿宋_GB2312" w:hAnsi="仿宋_GB2312" w:eastAsia="仿宋_GB2312" w:cs="仿宋_GB2312"/>
          <w:color w:val="auto"/>
          <w:sz w:val="32"/>
          <w:szCs w:val="32"/>
          <w:u w:val="none"/>
          <w:shd w:val="clear" w:color="auto" w:fill="FFFFFF"/>
        </w:rPr>
        <w:t>人口分布、经济发展水平、消费能力、历史申办数量等因素，</w:t>
      </w:r>
      <w:r>
        <w:rPr>
          <w:rFonts w:hint="eastAsia" w:ascii="仿宋_GB2312" w:hAnsi="仿宋_GB2312" w:eastAsia="仿宋_GB2312" w:cs="仿宋_GB2312"/>
          <w:color w:val="auto"/>
          <w:sz w:val="32"/>
          <w:szCs w:val="32"/>
          <w:u w:val="none"/>
          <w:shd w:val="clear" w:color="auto" w:fill="FFFFFF"/>
          <w:lang w:val="en-US" w:eastAsia="zh-CN"/>
        </w:rPr>
        <w:t>结合</w:t>
      </w:r>
      <w:r>
        <w:rPr>
          <w:rFonts w:hint="eastAsia" w:ascii="仿宋_GB2312" w:hAnsi="仿宋_GB2312" w:eastAsia="仿宋_GB2312" w:cs="仿宋_GB2312"/>
          <w:strike w:val="0"/>
          <w:dstrike w:val="0"/>
          <w:color w:val="auto"/>
          <w:sz w:val="32"/>
          <w:szCs w:val="32"/>
          <w:u w:val="none"/>
          <w:shd w:val="clear" w:color="auto" w:fill="FFFFFF"/>
        </w:rPr>
        <w:t>未来科学城“两谷一园”战略布局，聚力发展产业集群</w:t>
      </w:r>
      <w:r>
        <w:rPr>
          <w:rFonts w:hint="eastAsia" w:ascii="仿宋_GB2312" w:hAnsi="仿宋_GB2312" w:eastAsia="仿宋_GB2312" w:cs="仿宋_GB2312"/>
          <w:strike w:val="0"/>
          <w:dstrike w:val="0"/>
          <w:color w:val="auto"/>
          <w:sz w:val="32"/>
          <w:szCs w:val="32"/>
          <w:u w:val="none"/>
          <w:shd w:val="clear" w:color="auto" w:fill="FFFFFF"/>
          <w:lang w:val="en-US" w:eastAsia="zh-CN"/>
        </w:rPr>
        <w:t>所在核心镇街,</w:t>
      </w:r>
      <w:r>
        <w:rPr>
          <w:rFonts w:hint="eastAsia" w:ascii="仿宋_GB2312" w:hAnsi="仿宋_GB2312" w:eastAsia="仿宋_GB2312" w:cs="仿宋_GB2312"/>
          <w:strike w:val="0"/>
          <w:color w:val="auto"/>
          <w:sz w:val="32"/>
          <w:szCs w:val="32"/>
          <w:u w:val="none"/>
          <w:shd w:val="clear" w:color="auto" w:fill="FFFFFF"/>
          <w:lang w:val="en-US" w:eastAsia="zh-CN"/>
        </w:rPr>
        <w:t>确定重点功能单元</w:t>
      </w:r>
      <w:r>
        <w:rPr>
          <w:rFonts w:hint="eastAsia" w:ascii="仿宋_GB2312" w:hAnsi="仿宋_GB2312" w:eastAsia="仿宋_GB2312" w:cs="仿宋_GB2312"/>
          <w:color w:val="auto"/>
          <w:sz w:val="32"/>
          <w:szCs w:val="32"/>
          <w:u w:val="none"/>
          <w:shd w:val="clear" w:color="auto" w:fill="FFFFFF"/>
        </w:rPr>
        <w:t>：</w:t>
      </w:r>
    </w:p>
    <w:p w14:paraId="38A5ACEA">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color w:val="auto"/>
          <w:sz w:val="32"/>
          <w:szCs w:val="32"/>
          <w:u w:val="none"/>
          <w:shd w:val="clear" w:color="auto" w:fill="FFFFFF"/>
        </w:rPr>
        <w:t>（一）城镇区域内，最近零售</w:t>
      </w:r>
      <w:r>
        <w:rPr>
          <w:rFonts w:hint="eastAsia" w:ascii="仿宋_GB2312" w:hAnsi="仿宋_GB2312" w:eastAsia="仿宋_GB2312" w:cs="仿宋_GB2312"/>
          <w:sz w:val="32"/>
          <w:szCs w:val="32"/>
          <w:shd w:val="clear" w:color="auto" w:fill="FFFFFF"/>
        </w:rPr>
        <w:t>点间距不少于30米；</w:t>
      </w:r>
    </w:p>
    <w:p w14:paraId="10AE14CF">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w:t>
      </w:r>
      <w:r>
        <w:rPr>
          <w:rFonts w:hint="eastAsia" w:ascii="仿宋_GB2312" w:eastAsia="仿宋_GB2312"/>
          <w:sz w:val="32"/>
          <w:szCs w:val="32"/>
        </w:rPr>
        <w:t>乡村</w:t>
      </w:r>
      <w:r>
        <w:rPr>
          <w:rFonts w:hint="eastAsia" w:ascii="仿宋_GB2312" w:hAnsi="仿宋_GB2312" w:eastAsia="仿宋_GB2312" w:cs="仿宋_GB2312"/>
          <w:sz w:val="32"/>
          <w:szCs w:val="32"/>
          <w:shd w:val="clear" w:color="auto" w:fill="FFFFFF"/>
        </w:rPr>
        <w:t>区域内，最近零售点间距不少于50米。</w:t>
      </w:r>
    </w:p>
    <w:p w14:paraId="2334DCFD">
      <w:pPr>
        <w:spacing w:line="560" w:lineRule="exact"/>
        <w:ind w:firstLine="640" w:firstLineChars="200"/>
        <w:rPr>
          <w:rFonts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设定重点功能单元零售点</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数量</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上限并实施月度监测。镇街零售点</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数量</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超出上限的，</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自次月起</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纳入基础保障单元。</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重点功能单元范围、数量上限及</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相关调</w:t>
      </w:r>
      <w:r>
        <w:rPr>
          <w:rFonts w:hint="eastAsia" w:ascii="仿宋_GB2312" w:hAnsi="仿宋_GB2312" w:eastAsia="仿宋_GB2312" w:cs="仿宋_GB2312"/>
          <w:color w:val="auto"/>
          <w:sz w:val="32"/>
          <w:szCs w:val="32"/>
          <w:u w:val="none"/>
          <w:shd w:val="clear" w:color="auto" w:fill="FFFFFF"/>
        </w:rPr>
        <w:t>整事项</w:t>
      </w:r>
      <w:r>
        <w:rPr>
          <w:rFonts w:hint="eastAsia" w:ascii="仿宋_GB2312" w:hAnsi="仿宋_GB2312" w:eastAsia="仿宋_GB2312" w:cs="仿宋_GB2312"/>
          <w:color w:val="auto"/>
          <w:sz w:val="32"/>
          <w:szCs w:val="32"/>
          <w:u w:val="none"/>
          <w:shd w:val="clear" w:color="auto" w:fill="FFFFFF"/>
          <w:lang w:val="en-US" w:eastAsia="zh-CN"/>
        </w:rPr>
        <w:t>定期</w:t>
      </w:r>
      <w:r>
        <w:rPr>
          <w:rFonts w:hint="eastAsia" w:ascii="仿宋_GB2312" w:hAnsi="仿宋_GB2312" w:eastAsia="仿宋_GB2312" w:cs="仿宋_GB2312"/>
          <w:color w:val="auto"/>
          <w:sz w:val="32"/>
          <w:szCs w:val="32"/>
          <w:u w:val="none"/>
          <w:shd w:val="clear" w:color="auto" w:fill="FFFFFF"/>
        </w:rPr>
        <w:t>通过</w:t>
      </w:r>
      <w:r>
        <w:rPr>
          <w:rFonts w:hint="eastAsia" w:ascii="仿宋_GB2312" w:hAnsi="仿宋_GB2312" w:eastAsia="仿宋_GB2312" w:cs="仿宋_GB2312"/>
          <w:color w:val="auto"/>
          <w:sz w:val="32"/>
          <w:szCs w:val="32"/>
          <w:u w:val="none"/>
          <w:shd w:val="clear" w:color="auto" w:fill="FFFFFF"/>
          <w:lang w:val="en-US" w:eastAsia="zh-CN"/>
        </w:rPr>
        <w:t>办公场所公告栏、</w:t>
      </w:r>
      <w:r>
        <w:rPr>
          <w:rFonts w:hint="eastAsia" w:ascii="仿宋_GB2312" w:hAnsi="仿宋_GB2312" w:eastAsia="仿宋_GB2312" w:cs="仿宋_GB2312"/>
          <w:color w:val="auto"/>
          <w:sz w:val="32"/>
          <w:szCs w:val="32"/>
          <w:u w:val="none"/>
          <w:shd w:val="clear" w:color="auto" w:fill="FFFFFF"/>
        </w:rPr>
        <w:t>政务服务窗口</w:t>
      </w:r>
      <w:r>
        <w:rPr>
          <w:rFonts w:hint="eastAsia" w:ascii="仿宋_GB2312" w:hAnsi="仿宋_GB2312" w:eastAsia="仿宋_GB2312" w:cs="仿宋_GB2312"/>
          <w:color w:val="auto"/>
          <w:sz w:val="32"/>
          <w:szCs w:val="32"/>
          <w:u w:val="none"/>
          <w:shd w:val="clear" w:color="auto" w:fill="FFFFFF"/>
          <w:lang w:val="en-US" w:eastAsia="zh-CN"/>
        </w:rPr>
        <w:t>等处</w:t>
      </w:r>
      <w:r>
        <w:rPr>
          <w:rFonts w:hint="eastAsia" w:ascii="仿宋_GB2312" w:hAnsi="仿宋_GB2312" w:eastAsia="仿宋_GB2312" w:cs="仿宋_GB2312"/>
          <w:color w:val="auto"/>
          <w:sz w:val="32"/>
          <w:szCs w:val="32"/>
          <w:u w:val="none"/>
          <w:shd w:val="clear" w:color="auto" w:fill="FFFFFF"/>
        </w:rPr>
        <w:t>向社会公告。</w:t>
      </w:r>
    </w:p>
    <w:p w14:paraId="20895C1E">
      <w:pPr>
        <w:spacing w:line="560" w:lineRule="exact"/>
        <w:ind w:left="-10" w:firstLine="640"/>
        <w:rPr>
          <w:rFonts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第八条  </w:t>
      </w:r>
      <w:r>
        <w:rPr>
          <w:rFonts w:hint="eastAsia" w:ascii="仿宋_GB2312" w:hAnsi="仿宋_GB2312" w:eastAsia="仿宋_GB2312" w:cs="仿宋_GB2312"/>
          <w:sz w:val="32"/>
          <w:szCs w:val="32"/>
          <w:shd w:val="clear" w:color="auto" w:fill="FFFFFF"/>
        </w:rPr>
        <w:t>特色场景单元</w:t>
      </w:r>
    </w:p>
    <w:p w14:paraId="49CD2554">
      <w:pPr>
        <w:spacing w:line="560" w:lineRule="exact"/>
        <w:ind w:left="-10" w:firstLine="64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特色场景单元为具有明确物理边界、功能相对独立的特定场所，按“最小市场单元+总量控制”设置零售点，其他零售点申请时不以其为间距参照物：</w:t>
      </w:r>
    </w:p>
    <w:p w14:paraId="73568A17">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集贸市场、综合型商品交易市场每200个摊位设置1个零售点，不超过3个零售点；摊位不足200个的可设置1个零售点。</w:t>
      </w:r>
    </w:p>
    <w:p w14:paraId="10E58421">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批发性质的市场内不予设置零售点。</w:t>
      </w:r>
    </w:p>
    <w:p w14:paraId="602E2F3E">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大中型商场、购物中心等大型商业综合体零售点总数不超过6个，其中娱乐服务类零售点不超过3个。</w:t>
      </w:r>
    </w:p>
    <w:p w14:paraId="46085B6F">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封闭式居民小区（相对独立，设有门岗、院墙或其他隔离障碍）内部，以全开放形式面向小区经营的商铺，零售点总数不超过3个。面向外部经营的商铺、开放式住宅小区，参照所在区域类型的设置规定执行。</w:t>
      </w:r>
    </w:p>
    <w:p w14:paraId="78F4C309">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商用办公楼宇、写字楼内部，位</w:t>
      </w:r>
      <w:r>
        <w:rPr>
          <w:rFonts w:hint="eastAsia" w:ascii="仿宋_GB2312" w:hAnsi="仿宋_GB2312" w:eastAsia="仿宋_GB2312" w:cs="仿宋_GB2312"/>
          <w:sz w:val="32"/>
          <w:szCs w:val="32"/>
          <w:u w:val="none"/>
          <w:shd w:val="clear" w:color="auto" w:fill="FFFFFF"/>
        </w:rPr>
        <w:t>于非办</w:t>
      </w:r>
      <w:r>
        <w:rPr>
          <w:rFonts w:hint="eastAsia" w:ascii="仿宋_GB2312" w:hAnsi="仿宋_GB2312" w:eastAsia="仿宋_GB2312" w:cs="仿宋_GB2312"/>
          <w:sz w:val="32"/>
          <w:szCs w:val="32"/>
          <w:shd w:val="clear" w:color="auto" w:fill="FFFFFF"/>
        </w:rPr>
        <w:t>公、住宅区域且已形成实际商品展卖场所的，每栋楼宇可设置1个零售点。</w:t>
      </w:r>
    </w:p>
    <w:p w14:paraId="3285845F">
      <w:pPr>
        <w:numPr>
          <w:ilvl w:val="0"/>
          <w:numId w:val="1"/>
        </w:numPr>
        <w:spacing w:line="560" w:lineRule="exact"/>
        <w:ind w:firstLine="626" w:firstLineChars="200"/>
        <w:rPr>
          <w:rFonts w:ascii="仿宋_GB2312" w:hAnsi="仿宋_GB2312" w:eastAsia="仿宋_GB2312" w:cs="仿宋_GB2312"/>
          <w:sz w:val="32"/>
          <w:szCs w:val="32"/>
          <w:shd w:val="clear" w:color="auto" w:fill="FFFFFF"/>
        </w:rPr>
      </w:pPr>
      <w:r>
        <w:rPr>
          <w:rFonts w:hint="eastAsia" w:ascii="仿宋_GB2312" w:eastAsia="仿宋_GB2312"/>
          <w:w w:val="98"/>
          <w:sz w:val="32"/>
          <w:szCs w:val="32"/>
        </w:rPr>
        <w:t>以满足大众生活需要的便利店、超市或烟酒商店</w:t>
      </w:r>
      <w:r>
        <w:rPr>
          <w:rFonts w:hint="eastAsia" w:ascii="仿宋_GB2312" w:hAnsi="仿宋_GB2312" w:eastAsia="仿宋_GB2312" w:cs="仿宋_GB2312"/>
          <w:sz w:val="32"/>
          <w:szCs w:val="32"/>
          <w:shd w:val="clear" w:color="auto" w:fill="FFFFFF"/>
        </w:rPr>
        <w:t>，经营面积在200平方米以上的，可设置1个零售点。</w:t>
      </w:r>
    </w:p>
    <w:p w14:paraId="2AE9BED1">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经营面积1000平方米以上的饭店、餐饮酒楼、娱乐场馆，或客房数量200间以上的宾馆、度假村，在公共区域内经营且设有独立烟草制品陈列区的，可设置1个零售点。烟草制品摆放或标牌设置面向上述建筑物外的除外。</w:t>
      </w:r>
    </w:p>
    <w:p w14:paraId="5C65D1C3">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汽车客运站、高速公路服务区等对外开放的公共区域，不超过2个零售点。轨道交通站点按轨道线路数量设置零售点：单线、双线轨道站点不超过2个，三线及以上站点不超过3个。</w:t>
      </w:r>
    </w:p>
    <w:p w14:paraId="1F87B351">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产业园、智造园、文化公园等园区（相对独立，设有门岗、院墙或其他隔离障碍），园区内公共区域零售点设置不超过3个。</w:t>
      </w:r>
    </w:p>
    <w:p w14:paraId="31EA53CC">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旅游景点、军队大院、高等院校、纪念馆、展览馆等相对独立的场所，不超过2个零售点。</w:t>
      </w:r>
    </w:p>
    <w:p w14:paraId="22FAC51A">
      <w:pPr>
        <w:numPr>
          <w:ilvl w:val="0"/>
          <w:numId w:val="1"/>
        </w:num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不属于便利店、烟草专业店、超市、商场、娱乐服务类五类业态，经营业态</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与烟草制品零售业务没有直接或者间接互补营销关系的其他业态，其零售点数量不得超过本区持证零售户总数的4%，并应当符合第六条、第</w:t>
      </w:r>
      <w:r>
        <w:rPr>
          <w:rFonts w:hint="eastAsia" w:ascii="仿宋_GB2312" w:hAnsi="仿宋_GB2312" w:eastAsia="仿宋_GB2312" w:cs="仿宋_GB2312"/>
          <w:sz w:val="32"/>
          <w:szCs w:val="32"/>
          <w:u w:val="none"/>
          <w:shd w:val="clear" w:color="auto" w:fill="FFFFFF"/>
        </w:rPr>
        <w:t>七条</w:t>
      </w:r>
      <w:r>
        <w:rPr>
          <w:rFonts w:hint="eastAsia" w:ascii="仿宋_GB2312" w:hAnsi="仿宋_GB2312" w:eastAsia="仿宋_GB2312" w:cs="仿宋_GB2312"/>
          <w:sz w:val="32"/>
          <w:szCs w:val="32"/>
          <w:shd w:val="clear" w:color="auto" w:fill="FFFFFF"/>
        </w:rPr>
        <w:t>规定的距离要求。</w:t>
      </w:r>
    </w:p>
    <w:p w14:paraId="4B74D33D">
      <w:pPr>
        <w:spacing w:line="560" w:lineRule="exact"/>
        <w:ind w:left="-10" w:firstLine="640"/>
        <w:rPr>
          <w:rFonts w:ascii="仿宋_GB2312" w:hAnsi="仿宋_GB2312" w:eastAsia="黑体" w:cs="仿宋_GB2312"/>
          <w:sz w:val="32"/>
          <w:szCs w:val="32"/>
          <w:shd w:val="clear" w:color="auto" w:fill="FFFFFF"/>
        </w:rPr>
      </w:pPr>
      <w:r>
        <w:rPr>
          <w:rFonts w:hint="eastAsia" w:ascii="黑体" w:hAnsi="黑体" w:eastAsia="黑体" w:cs="黑体"/>
          <w:sz w:val="32"/>
          <w:szCs w:val="32"/>
          <w:shd w:val="clear" w:color="auto" w:fill="FFFFFF"/>
        </w:rPr>
        <w:t xml:space="preserve">第九条  </w:t>
      </w:r>
      <w:r>
        <w:rPr>
          <w:rFonts w:hint="eastAsia" w:ascii="仿宋_GB2312" w:hAnsi="仿宋_GB2312" w:eastAsia="仿宋_GB2312" w:cs="仿宋_GB2312"/>
          <w:sz w:val="32"/>
          <w:szCs w:val="32"/>
          <w:shd w:val="clear" w:color="auto" w:fill="FFFFFF"/>
        </w:rPr>
        <w:t>特殊情形规定</w:t>
      </w:r>
    </w:p>
    <w:p w14:paraId="2955C79E">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（一）具有以下情形的，在符合总量限制的基础上，与最近零售点间距不少于30米：</w:t>
      </w:r>
    </w:p>
    <w:p w14:paraId="1BD779AC">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1.具有自主经营能力和完全民事行为能力的残疾人、烈属等特殊群体，本人注册的营业执照类型为个体工商户，本辖区无有效期内烟草</w:t>
      </w:r>
      <w:r>
        <w:rPr>
          <w:rFonts w:hint="eastAsia" w:ascii="仿宋_GB2312" w:hAnsi="仿宋_GB2312" w:eastAsia="仿宋_GB2312" w:cs="仿宋_GB2312"/>
          <w:sz w:val="32"/>
          <w:szCs w:val="32"/>
          <w:shd w:val="clear" w:color="auto" w:fill="FFFFFF"/>
          <w:lang w:val="en-US" w:eastAsia="zh-CN"/>
        </w:rPr>
        <w:t>专卖</w:t>
      </w:r>
      <w:r>
        <w:rPr>
          <w:rFonts w:hint="eastAsia" w:ascii="仿宋_GB2312" w:hAnsi="仿宋_GB2312" w:eastAsia="仿宋_GB2312" w:cs="仿宋_GB2312"/>
          <w:sz w:val="32"/>
          <w:szCs w:val="32"/>
          <w:shd w:val="clear" w:color="auto" w:fill="FFFFFF"/>
        </w:rPr>
        <w:t>零售许可证可办理1个。申请人不得以合伙经营、委托经营等方式交由他人经营。</w:t>
      </w:r>
    </w:p>
    <w:p w14:paraId="63658B4C">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ascii="仿宋_GB2312" w:hAnsi="仿宋_GB2312" w:eastAsia="仿宋_GB2312" w:cs="仿宋_GB2312"/>
          <w:sz w:val="32"/>
          <w:szCs w:val="32"/>
          <w:shd w:val="clear" w:color="auto" w:fill="FFFFFF"/>
        </w:rPr>
        <w:t>因幼儿园、中小学校、少年宫新（改）</w:t>
      </w:r>
      <w:r>
        <w:rPr>
          <w:rFonts w:hint="eastAsia" w:ascii="仿宋_GB2312" w:hAnsi="仿宋_GB2312" w:eastAsia="仿宋_GB2312" w:cs="仿宋_GB2312"/>
          <w:sz w:val="32"/>
          <w:szCs w:val="32"/>
          <w:shd w:val="clear" w:color="auto" w:fill="FFFFFF"/>
        </w:rPr>
        <w:t>建导致零售点不再符合本规定要求</w:t>
      </w:r>
      <w:r>
        <w:rPr>
          <w:rFonts w:ascii="仿宋_GB2312" w:hAnsi="仿宋_GB2312" w:eastAsia="仿宋_GB2312" w:cs="仿宋_GB2312"/>
          <w:sz w:val="32"/>
          <w:szCs w:val="32"/>
          <w:shd w:val="clear" w:color="auto" w:fill="FFFFFF"/>
        </w:rPr>
        <w:t>，持证人在本辖区内其他地址申请经营的</w:t>
      </w:r>
      <w:r>
        <w:rPr>
          <w:rFonts w:hint="eastAsia" w:ascii="仿宋_GB2312" w:hAnsi="仿宋_GB2312" w:eastAsia="仿宋_GB2312" w:cs="仿宋_GB2312"/>
          <w:sz w:val="32"/>
          <w:szCs w:val="32"/>
          <w:shd w:val="clear" w:color="auto" w:fill="FFFFFF"/>
        </w:rPr>
        <w:t>。</w:t>
      </w:r>
    </w:p>
    <w:p w14:paraId="3330AFE8">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w:t>
      </w:r>
      <w:r>
        <w:rPr>
          <w:rFonts w:ascii="仿宋_GB2312" w:hAnsi="仿宋_GB2312" w:eastAsia="仿宋_GB2312" w:cs="仿宋_GB2312"/>
          <w:sz w:val="32"/>
          <w:szCs w:val="32"/>
          <w:shd w:val="clear" w:color="auto" w:fill="FFFFFF"/>
        </w:rPr>
        <w:t>因道路规划、城市建设等客观原因造成无法在核定经营地址经营，持证人申请变更到辖区内其他地址经营的</w:t>
      </w:r>
      <w:r>
        <w:rPr>
          <w:rFonts w:hint="eastAsia" w:ascii="仿宋_GB2312" w:hAnsi="仿宋_GB2312" w:eastAsia="仿宋_GB2312" w:cs="仿宋_GB2312"/>
          <w:sz w:val="32"/>
          <w:szCs w:val="32"/>
          <w:shd w:val="clear" w:color="auto" w:fill="FFFFFF"/>
        </w:rPr>
        <w:t>。</w:t>
      </w:r>
    </w:p>
    <w:p w14:paraId="785DFC34">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4.连续三年无涉烟违法记录、信用等级为A及以上的持证户，因经营调整需要办理歇业后30日内，在原所属社区（行政村）内，重新申领烟草专卖零售许可证，经营主体及经营业态未发生改变的。</w:t>
      </w:r>
    </w:p>
    <w:p w14:paraId="252C50DC">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（二）具有以下情形的，可不受本规定中距离、总量的限制：</w:t>
      </w:r>
    </w:p>
    <w:p w14:paraId="1E1DEF4F">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1.持证主体为自然人，两年内无涉烟违法记录，因自然人死亡或丧失民事行为能力，其直系亲属申请在原经营地址继续经营的。</w:t>
      </w:r>
    </w:p>
    <w:p w14:paraId="19D49E64">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2.两年内无涉烟违法记录的持证户，符合延续条件，因非主观原因导致烟草专卖零售许可证到期未延续，在有效期届满后六个月内，原持证人申请在原经营地址继续经营的。</w:t>
      </w:r>
    </w:p>
    <w:p w14:paraId="661D6449">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3.属于国家、市、区乡村振兴战略重点扶持的经营企业，或者在北京市范围内拥有50家以上门店、品牌连锁直营便利店的。</w:t>
      </w:r>
    </w:p>
    <w:p w14:paraId="13606CD3">
      <w:pPr>
        <w:spacing w:line="56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4.经营主体类型发生变更、其他事项不变，因经营调整需要办理歇业后30日内，需在原经营地址重新申领的。</w:t>
      </w:r>
    </w:p>
    <w:p w14:paraId="4D43277D">
      <w:pPr>
        <w:spacing w:line="560" w:lineRule="exact"/>
        <w:ind w:firstLine="640" w:firstLineChars="200"/>
        <w:rPr>
          <w:rFonts w:ascii="仿宋_GB2312" w:hAnsi="仿宋_GB2312" w:eastAsia="仿宋_GB2312" w:cs="仿宋_GB2312"/>
          <w:sz w:val="32"/>
          <w:szCs w:val="32"/>
          <w:shd w:val="clear" w:color="auto" w:fill="FFFFFF"/>
        </w:rPr>
      </w:pPr>
    </w:p>
    <w:p w14:paraId="06275F74">
      <w:pPr>
        <w:jc w:val="center"/>
        <w:rPr>
          <w:rFonts w:ascii="黑体" w:hAnsi="宋体" w:eastAsia="黑体" w:cs="黑体"/>
          <w:sz w:val="32"/>
          <w:szCs w:val="32"/>
          <w:shd w:val="clear" w:color="auto" w:fill="FFFFFF"/>
        </w:rPr>
      </w:pPr>
      <w:r>
        <w:rPr>
          <w:rFonts w:hint="eastAsia" w:ascii="黑体" w:hAnsi="宋体" w:eastAsia="黑体" w:cs="黑体"/>
          <w:sz w:val="32"/>
          <w:szCs w:val="32"/>
          <w:shd w:val="clear" w:color="auto" w:fill="FFFFFF"/>
        </w:rPr>
        <w:t>第三章 不予许可的情形</w:t>
      </w:r>
    </w:p>
    <w:p w14:paraId="368890FE">
      <w:pPr>
        <w:rPr>
          <w:rFonts w:ascii="黑体" w:hAnsi="宋体" w:eastAsia="黑体" w:cs="黑体"/>
          <w:sz w:val="32"/>
          <w:szCs w:val="32"/>
          <w:shd w:val="clear" w:color="auto" w:fill="FFFFFF"/>
        </w:rPr>
      </w:pPr>
    </w:p>
    <w:p w14:paraId="39550238">
      <w:pPr>
        <w:spacing w:line="560" w:lineRule="exact"/>
        <w:ind w:firstLine="640" w:firstLineChars="200"/>
        <w:rPr>
          <w:rFonts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第十条  </w:t>
      </w:r>
      <w:r>
        <w:rPr>
          <w:rFonts w:hint="eastAsia" w:ascii="仿宋_GB2312" w:hAnsi="仿宋_GB2312" w:eastAsia="仿宋_GB2312" w:cs="仿宋_GB2312"/>
          <w:sz w:val="32"/>
          <w:szCs w:val="32"/>
          <w:shd w:val="clear" w:color="auto" w:fill="FFFFFF"/>
        </w:rPr>
        <w:t>具有下列情形之一的，不予发放烟草专卖零售许可证：</w:t>
      </w:r>
    </w:p>
    <w:p w14:paraId="69A9E7FF">
      <w:pPr>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（一）取消从事烟草专卖业务资格不满三年的；</w:t>
      </w:r>
    </w:p>
    <w:p w14:paraId="29D13967">
      <w:pPr>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（二）因申请人隐瞒有关情况或者提供虚假材料，烟草专卖行政主管部门作出不予受理或者不予发证决定后，申请人一年内再次提出申请的；</w:t>
      </w:r>
    </w:p>
    <w:p w14:paraId="0F612BFF">
      <w:pPr>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（三）因申请人以欺骗、贿赂等不正当手段取得的烟草专卖许可证被撤销后，申请人三年内再次提出申请的；</w:t>
      </w:r>
    </w:p>
    <w:p w14:paraId="7148B692">
      <w:pPr>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（四）未领取烟草专卖零售许可证经营烟草专卖品业务，并且一年内被执法机关处罚两次以上，在三年内申请领取烟草专卖零售许可证的；</w:t>
      </w:r>
    </w:p>
    <w:p w14:paraId="40B9C1E2">
      <w:pPr>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（五）经营场所存在安全隐患，且不具备安全措施保障，不适宜经营卷烟的；</w:t>
      </w:r>
    </w:p>
    <w:p w14:paraId="6CAA4ADE">
      <w:pPr>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（六）经营场所位于中小学、幼儿园、少年宫及其周边100米范围内的；</w:t>
      </w:r>
    </w:p>
    <w:p w14:paraId="417CD11C">
      <w:pPr>
        <w:spacing w:line="560" w:lineRule="exact"/>
        <w:ind w:firstLine="640"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七</w:t>
      </w:r>
      <w:r>
        <w:rPr>
          <w:rFonts w:ascii="仿宋_GB2312" w:hAnsi="仿宋_GB2312" w:eastAsia="仿宋_GB2312" w:cs="仿宋_GB2312"/>
          <w:sz w:val="32"/>
          <w:szCs w:val="32"/>
          <w:shd w:val="clear" w:color="auto" w:fill="FFFFFF"/>
        </w:rPr>
        <w:t>）其他不符合相关法律、法规或者规章规定的情形。</w:t>
      </w:r>
    </w:p>
    <w:p w14:paraId="0AAD7B4B">
      <w:pPr>
        <w:rPr>
          <w:rFonts w:ascii="黑体" w:hAnsi="宋体" w:eastAsia="黑体" w:cs="黑体"/>
          <w:sz w:val="32"/>
          <w:szCs w:val="32"/>
          <w:shd w:val="clear" w:color="auto" w:fill="FFFFFF"/>
        </w:rPr>
      </w:pPr>
    </w:p>
    <w:p w14:paraId="2A413AE8">
      <w:pPr>
        <w:jc w:val="center"/>
        <w:rPr>
          <w:rFonts w:ascii="黑体" w:hAnsi="宋体" w:eastAsia="黑体" w:cs="黑体"/>
          <w:sz w:val="32"/>
          <w:szCs w:val="32"/>
          <w:shd w:val="clear" w:color="auto" w:fill="FFFFFF"/>
        </w:rPr>
      </w:pPr>
      <w:r>
        <w:rPr>
          <w:rFonts w:hint="eastAsia" w:ascii="黑体" w:hAnsi="宋体" w:eastAsia="黑体" w:cs="黑体"/>
          <w:sz w:val="32"/>
          <w:szCs w:val="32"/>
          <w:shd w:val="clear" w:color="auto" w:fill="FFFFFF"/>
        </w:rPr>
        <w:t xml:space="preserve">第四章 </w:t>
      </w:r>
      <w:r>
        <w:rPr>
          <w:rFonts w:ascii="黑体" w:hAnsi="宋体" w:eastAsia="黑体" w:cs="黑体"/>
          <w:sz w:val="32"/>
          <w:szCs w:val="32"/>
          <w:shd w:val="clear" w:color="auto" w:fill="FFFFFF"/>
        </w:rPr>
        <w:t>其他规定</w:t>
      </w:r>
    </w:p>
    <w:p w14:paraId="1D6ABD4A">
      <w:pPr>
        <w:jc w:val="center"/>
        <w:rPr>
          <w:rFonts w:ascii="黑体" w:hAnsi="宋体" w:eastAsia="黑体" w:cs="黑体"/>
          <w:sz w:val="32"/>
          <w:szCs w:val="32"/>
          <w:shd w:val="clear" w:color="auto" w:fill="FFFFFF"/>
        </w:rPr>
      </w:pPr>
    </w:p>
    <w:p w14:paraId="5C2523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仿宋_GB2312" w:eastAsia="仿宋_GB2312"/>
          <w:color w:val="000000" w:themeColor="text1"/>
          <w:sz w:val="32"/>
          <w:szCs w:val="32"/>
          <w:u w:val="none"/>
          <w14:textFill>
            <w14:solidFill>
              <w14:schemeClr w14:val="tx1"/>
            </w14:solidFill>
          </w14:textFill>
        </w:rPr>
      </w:pPr>
      <w:r>
        <w:rPr>
          <w:rFonts w:hint="eastAsia" w:ascii="黑体" w:hAnsi="黑体" w:eastAsia="黑体" w:cs="黑体"/>
          <w:sz w:val="32"/>
          <w:szCs w:val="32"/>
          <w:shd w:val="clear" w:color="auto" w:fill="FFFFFF"/>
          <w:lang w:val="en-US" w:eastAsia="zh-CN"/>
        </w:rPr>
        <w:t xml:space="preserve">   </w:t>
      </w:r>
      <w:r>
        <w:rPr>
          <w:rFonts w:hint="eastAsia" w:ascii="黑体" w:hAnsi="黑体" w:eastAsia="黑体" w:cs="黑体"/>
          <w:sz w:val="32"/>
          <w:szCs w:val="32"/>
          <w:shd w:val="clear" w:color="auto" w:fill="FFFFFF"/>
        </w:rPr>
        <w:t xml:space="preserve"> 第十</w:t>
      </w:r>
      <w:r>
        <w:rPr>
          <w:rFonts w:hint="eastAsia" w:ascii="黑体" w:hAnsi="黑体" w:eastAsia="黑体" w:cs="黑体"/>
          <w:sz w:val="32"/>
          <w:szCs w:val="32"/>
          <w:shd w:val="clear" w:color="auto" w:fill="FFFFFF"/>
          <w:lang w:val="en-US" w:eastAsia="zh-CN"/>
        </w:rPr>
        <w:t>一</w:t>
      </w:r>
      <w:r>
        <w:rPr>
          <w:rFonts w:hint="eastAsia" w:ascii="黑体" w:hAnsi="黑体" w:eastAsia="黑体" w:cs="黑体"/>
          <w:sz w:val="32"/>
          <w:szCs w:val="32"/>
          <w:shd w:val="clear" w:color="auto" w:fill="FFFFFF"/>
        </w:rPr>
        <w:t>条</w:t>
      </w:r>
      <w:r>
        <w:rPr>
          <w:rFonts w:hint="eastAsia" w:ascii="黑体" w:hAnsi="黑体" w:eastAsia="黑体" w:cs="黑体"/>
          <w:sz w:val="32"/>
          <w:szCs w:val="32"/>
          <w:shd w:val="clear" w:color="auto" w:fill="FFFFFF"/>
          <w:lang w:val="en-US" w:eastAsia="zh-CN"/>
        </w:rPr>
        <w:t xml:space="preserve">  </w:t>
      </w:r>
      <w:r>
        <w:rPr>
          <w:rFonts w:ascii="仿宋_GB2312" w:eastAsia="仿宋_GB2312"/>
          <w:color w:val="000000" w:themeColor="text1"/>
          <w:sz w:val="32"/>
          <w:szCs w:val="32"/>
          <w:u w:val="none"/>
          <w14:textFill>
            <w14:solidFill>
              <w14:schemeClr w14:val="tx1"/>
            </w14:solidFill>
          </w14:textFill>
        </w:rPr>
        <w:t>经营场所的认定</w:t>
      </w:r>
    </w:p>
    <w:p w14:paraId="0BED1A8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申请烟草专卖零售许可证的经营场所，应当与营业执照上核定的经营地址相一致。</w:t>
      </w:r>
    </w:p>
    <w:p w14:paraId="06E1A9F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（二）前</w:t>
      </w:r>
      <w:r>
        <w:rPr>
          <w:rFonts w:hint="eastAsia" w:ascii="仿宋_GB2312" w:eastAsia="仿宋_GB2312"/>
          <w:color w:val="000000" w:themeColor="text1"/>
          <w:sz w:val="32"/>
          <w:szCs w:val="32"/>
          <w:u w:val="none"/>
          <w:lang w:val="en-US" w:eastAsia="zh-CN"/>
          <w14:textFill>
            <w14:solidFill>
              <w14:schemeClr w14:val="tx1"/>
            </w14:solidFill>
          </w14:textFill>
        </w:rPr>
        <w:t>项</w:t>
      </w:r>
      <w:r>
        <w:rPr>
          <w:rFonts w:hint="eastAsia" w:ascii="仿宋_GB2312" w:eastAsia="仿宋_GB2312"/>
          <w:color w:val="000000" w:themeColor="text1"/>
          <w:sz w:val="32"/>
          <w:szCs w:val="32"/>
          <w:u w:val="none"/>
          <w14:textFill>
            <w14:solidFill>
              <w14:schemeClr w14:val="tx1"/>
            </w14:solidFill>
          </w14:textFill>
        </w:rPr>
        <w:t>所称经营场所，是指与住所相独立、对消费者全开放且具有固定性的经营场所。经营场所不包含住宅、公寓等居住用途建筑，但该建筑内依法规划为商业用途的独立场所除外。</w:t>
      </w:r>
    </w:p>
    <w:p w14:paraId="6F5D537A">
      <w:pPr>
        <w:spacing w:line="594" w:lineRule="exact"/>
        <w:ind w:firstLine="640" w:firstLineChars="200"/>
        <w:rPr>
          <w:rFonts w:ascii="仿宋_GB2312" w:hAnsi="仿宋_GB2312" w:eastAsia="仿宋_GB2312" w:cs="仿宋_GB2312"/>
          <w:color w:val="000000" w:themeColor="text1"/>
          <w:sz w:val="32"/>
          <w:szCs w:val="32"/>
          <w:u w:val="none"/>
          <w:shd w:val="clear" w:color="auto" w:fill="FFFFFF"/>
          <w14:textFill>
            <w14:solidFill>
              <w14:schemeClr w14:val="tx1"/>
            </w14:solidFill>
          </w14:textFill>
        </w:rPr>
      </w:pPr>
      <w:r>
        <w:rPr>
          <w:rFonts w:hint="eastAsia" w:ascii="黑体" w:hAnsi="黑体" w:eastAsia="黑体" w:cs="黑体"/>
          <w:color w:val="000000" w:themeColor="text1"/>
          <w:sz w:val="32"/>
          <w:szCs w:val="32"/>
          <w:u w:val="none"/>
          <w:shd w:val="clear" w:color="auto" w:fill="FFFFFF"/>
          <w14:textFill>
            <w14:solidFill>
              <w14:schemeClr w14:val="tx1"/>
            </w14:solidFill>
          </w14:textFill>
        </w:rPr>
        <w:t>第十二条</w:t>
      </w:r>
      <w:r>
        <w:rPr>
          <w:rFonts w:ascii="仿宋_GB2312" w:hAnsi="仿宋_GB2312" w:eastAsia="仿宋_GB2312" w:cs="仿宋_GB2312"/>
          <w:color w:val="000000" w:themeColor="text1"/>
          <w:sz w:val="32"/>
          <w:szCs w:val="32"/>
          <w:u w:val="none"/>
          <w:shd w:val="clear" w:color="auto" w:fill="FFFFFF"/>
          <w14:textFill>
            <w14:solidFill>
              <w14:schemeClr w14:val="tx1"/>
            </w14:solidFill>
          </w14:textFill>
        </w:rPr>
        <w:t xml:space="preserve">  </w:t>
      </w:r>
      <w:r>
        <w:rPr>
          <w:rFonts w:hint="eastAsia" w:ascii="仿宋_GB2312" w:eastAsia="仿宋_GB2312"/>
          <w:color w:val="000000" w:themeColor="text1"/>
          <w:sz w:val="32"/>
          <w:szCs w:val="32"/>
          <w:u w:val="none"/>
          <w14:textFill>
            <w14:solidFill>
              <w14:schemeClr w14:val="tx1"/>
            </w14:solidFill>
          </w14:textFill>
        </w:rPr>
        <w:t>距离测量规则</w:t>
      </w:r>
    </w:p>
    <w:p w14:paraId="72E9B4BA">
      <w:pPr>
        <w:spacing w:line="594" w:lineRule="exact"/>
        <w:ind w:firstLine="640" w:firstLineChars="200"/>
        <w:rPr>
          <w:rFonts w:ascii="仿宋_GB2312" w:eastAsia="仿宋_GB2312"/>
          <w:color w:val="000000" w:themeColor="text1"/>
          <w:sz w:val="32"/>
          <w:szCs w:val="32"/>
          <w:u w:val="none"/>
          <w14:textFill>
            <w14:solidFill>
              <w14:schemeClr w14:val="tx1"/>
            </w14:solidFill>
          </w14:textFill>
        </w:rPr>
      </w:pPr>
      <w:r>
        <w:rPr>
          <w:rFonts w:ascii="仿宋_GB2312" w:eastAsia="仿宋_GB2312"/>
          <w:color w:val="000000" w:themeColor="text1"/>
          <w:sz w:val="32"/>
          <w:szCs w:val="32"/>
          <w:u w:val="none"/>
          <w14:textFill>
            <w14:solidFill>
              <w14:schemeClr w14:val="tx1"/>
            </w14:solidFill>
          </w14:textFill>
        </w:rPr>
        <w:t>本规定中各零售点之间、零售点与中小学校、幼儿园、少年宫之间的距离测量，遵循以下规则：</w:t>
      </w:r>
    </w:p>
    <w:p w14:paraId="3F76705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lang w:eastAsia="zh-CN"/>
          <w14:textFill>
            <w14:solidFill>
              <w14:schemeClr w14:val="tx1"/>
            </w14:solidFill>
          </w14:textFill>
        </w:rPr>
        <w:t>（</w:t>
      </w:r>
      <w:r>
        <w:rPr>
          <w:rFonts w:hint="eastAsia" w:ascii="仿宋_GB2312" w:eastAsia="仿宋_GB2312"/>
          <w:color w:val="000000" w:themeColor="text1"/>
          <w:sz w:val="32"/>
          <w:szCs w:val="32"/>
          <w:u w:val="none"/>
          <w:lang w:val="en-US" w:eastAsia="zh-CN"/>
          <w14:textFill>
            <w14:solidFill>
              <w14:schemeClr w14:val="tx1"/>
            </w14:solidFill>
          </w14:textFill>
        </w:rPr>
        <w:t>一</w:t>
      </w:r>
      <w:r>
        <w:rPr>
          <w:rFonts w:hint="eastAsia" w:ascii="仿宋_GB2312" w:eastAsia="仿宋_GB2312"/>
          <w:color w:val="000000" w:themeColor="text1"/>
          <w:sz w:val="32"/>
          <w:szCs w:val="32"/>
          <w:u w:val="none"/>
          <w:lang w:eastAsia="zh-CN"/>
          <w14:textFill>
            <w14:solidFill>
              <w14:schemeClr w14:val="tx1"/>
            </w14:solidFill>
          </w14:textFill>
        </w:rPr>
        <w:t>）</w:t>
      </w:r>
      <w:r>
        <w:rPr>
          <w:rFonts w:ascii="仿宋_GB2312" w:eastAsia="仿宋_GB2312"/>
          <w:color w:val="000000" w:themeColor="text1"/>
          <w:sz w:val="32"/>
          <w:szCs w:val="32"/>
          <w:u w:val="none"/>
          <w14:textFill>
            <w14:solidFill>
              <w14:schemeClr w14:val="tx1"/>
            </w14:solidFill>
          </w14:textFill>
        </w:rPr>
        <w:t>零售点的测量起始点为消费者正常出入通道口的中间点。经营场所有多个出入口的，以距离测量目标最近的一个出入口为准。</w:t>
      </w:r>
      <w:r>
        <w:rPr>
          <w:rFonts w:ascii="仿宋_GB2312" w:eastAsia="仿宋_GB2312"/>
          <w:color w:val="000000" w:themeColor="text1"/>
          <w:sz w:val="32"/>
          <w:szCs w:val="32"/>
          <w:u w:val="none"/>
          <w14:textFill>
            <w14:solidFill>
              <w14:schemeClr w14:val="tx1"/>
            </w14:solidFill>
          </w14:textFill>
        </w:rPr>
        <w:br w:type="textWrapping"/>
      </w:r>
      <w:r>
        <w:rPr>
          <w:rFonts w:hint="eastAsia" w:ascii="仿宋_GB2312" w:eastAsia="仿宋_GB2312"/>
          <w:color w:val="000000" w:themeColor="text1"/>
          <w:sz w:val="32"/>
          <w:szCs w:val="32"/>
          <w:u w:val="none"/>
          <w:lang w:val="en-US" w:eastAsia="zh-CN"/>
          <w14:textFill>
            <w14:solidFill>
              <w14:schemeClr w14:val="tx1"/>
            </w14:solidFill>
          </w14:textFill>
        </w:rPr>
        <w:t xml:space="preserve">    </w:t>
      </w:r>
      <w:r>
        <w:rPr>
          <w:rFonts w:ascii="仿宋_GB2312" w:eastAsia="仿宋_GB2312"/>
          <w:color w:val="000000" w:themeColor="text1"/>
          <w:sz w:val="32"/>
          <w:szCs w:val="32"/>
          <w:u w:val="none"/>
          <w14:textFill>
            <w14:solidFill>
              <w14:schemeClr w14:val="tx1"/>
            </w14:solidFill>
          </w14:textFill>
        </w:rPr>
        <w:t>（二）中小学校、幼儿园、少年宫的测量起始点为未成年人进出通道口的中间点，有多个进出通道口的，以距离零售点最近的一个为准。</w:t>
      </w:r>
      <w:r>
        <w:rPr>
          <w:rFonts w:ascii="仿宋_GB2312" w:eastAsia="仿宋_GB2312"/>
          <w:color w:val="000000" w:themeColor="text1"/>
          <w:sz w:val="32"/>
          <w:szCs w:val="32"/>
          <w:u w:val="none"/>
          <w14:textFill>
            <w14:solidFill>
              <w14:schemeClr w14:val="tx1"/>
            </w14:solidFill>
          </w14:textFill>
        </w:rPr>
        <w:br w:type="textWrapping"/>
      </w:r>
      <w:r>
        <w:rPr>
          <w:rFonts w:hint="eastAsia" w:ascii="仿宋_GB2312" w:eastAsia="仿宋_GB2312"/>
          <w:color w:val="000000" w:themeColor="text1"/>
          <w:sz w:val="32"/>
          <w:szCs w:val="32"/>
          <w:u w:val="none"/>
          <w:lang w:val="en-US" w:eastAsia="zh-CN"/>
          <w14:textFill>
            <w14:solidFill>
              <w14:schemeClr w14:val="tx1"/>
            </w14:solidFill>
          </w14:textFill>
        </w:rPr>
        <w:t xml:space="preserve">    </w:t>
      </w:r>
      <w:r>
        <w:rPr>
          <w:rFonts w:ascii="仿宋_GB2312" w:eastAsia="仿宋_GB2312"/>
          <w:color w:val="000000" w:themeColor="text1"/>
          <w:sz w:val="32"/>
          <w:szCs w:val="32"/>
          <w:u w:val="none"/>
          <w14:textFill>
            <w14:solidFill>
              <w14:schemeClr w14:val="tx1"/>
            </w14:solidFill>
          </w14:textFill>
        </w:rPr>
        <w:t>（三）测量路径以符合道路交通安全相关规定且可安全通行的最短行走距离为准。横过道路时有行人过街设施或人行横道的，应当由此通行；无上述设施的，应在确认安全后按最短路径通行。 </w:t>
      </w:r>
      <w:r>
        <w:rPr>
          <w:rFonts w:ascii="仿宋_GB2312" w:eastAsia="仿宋_GB2312"/>
          <w:color w:val="000000" w:themeColor="text1"/>
          <w:sz w:val="32"/>
          <w:szCs w:val="32"/>
          <w:u w:val="none"/>
          <w14:textFill>
            <w14:solidFill>
              <w14:schemeClr w14:val="tx1"/>
            </w14:solidFill>
          </w14:textFill>
        </w:rPr>
        <w:br w:type="textWrapping"/>
      </w:r>
      <w:r>
        <w:rPr>
          <w:rFonts w:hint="eastAsia" w:ascii="仿宋_GB2312" w:eastAsia="仿宋_GB2312"/>
          <w:color w:val="000000" w:themeColor="text1"/>
          <w:sz w:val="32"/>
          <w:szCs w:val="32"/>
          <w:u w:val="none"/>
          <w:lang w:val="en-US" w:eastAsia="zh-CN"/>
          <w14:textFill>
            <w14:solidFill>
              <w14:schemeClr w14:val="tx1"/>
            </w14:solidFill>
          </w14:textFill>
        </w:rPr>
        <w:t xml:space="preserve">    </w:t>
      </w:r>
      <w:r>
        <w:rPr>
          <w:rFonts w:ascii="仿宋_GB2312" w:eastAsia="仿宋_GB2312"/>
          <w:color w:val="000000" w:themeColor="text1"/>
          <w:sz w:val="32"/>
          <w:szCs w:val="32"/>
          <w:u w:val="none"/>
          <w14:textFill>
            <w14:solidFill>
              <w14:schemeClr w14:val="tx1"/>
            </w14:solidFill>
          </w14:textFill>
        </w:rPr>
        <w:t>（四）测量中遇有固定障碍物，应当绕行，绕行距离计入测量结果；遇有临时障碍物，绕行增加的距离不予计算。</w:t>
      </w:r>
    </w:p>
    <w:p w14:paraId="0E289B44">
      <w:pPr>
        <w:numPr>
          <w:ilvl w:val="0"/>
          <w:numId w:val="0"/>
        </w:numPr>
        <w:spacing w:line="560" w:lineRule="exact"/>
        <w:ind w:firstLine="640" w:firstLineChars="200"/>
        <w:rPr>
          <w:rFonts w:ascii="仿宋_GB2312" w:hAnsi="仿宋_GB2312" w:eastAsia="仿宋_GB2312" w:cs="仿宋_GB2312"/>
          <w:sz w:val="32"/>
          <w:szCs w:val="32"/>
          <w:u w:val="none"/>
          <w:shd w:val="clear" w:color="auto" w:fill="FFFFFF"/>
        </w:rPr>
      </w:pPr>
      <w:r>
        <w:rPr>
          <w:rFonts w:ascii="黑体" w:hAnsi="黑体" w:eastAsia="黑体" w:cs="黑体"/>
          <w:sz w:val="32"/>
          <w:szCs w:val="32"/>
          <w:u w:val="none"/>
          <w:shd w:val="clear" w:color="auto" w:fill="FFFFFF"/>
        </w:rPr>
        <w:t>第十</w:t>
      </w:r>
      <w:r>
        <w:rPr>
          <w:rFonts w:hint="eastAsia" w:ascii="黑体" w:hAnsi="黑体" w:eastAsia="黑体" w:cs="黑体"/>
          <w:sz w:val="32"/>
          <w:szCs w:val="32"/>
          <w:u w:val="none"/>
          <w:shd w:val="clear" w:color="auto" w:fill="FFFFFF"/>
        </w:rPr>
        <w:t>三</w:t>
      </w:r>
      <w:r>
        <w:rPr>
          <w:rFonts w:ascii="黑体" w:hAnsi="黑体" w:eastAsia="黑体" w:cs="黑体"/>
          <w:sz w:val="32"/>
          <w:szCs w:val="32"/>
          <w:u w:val="none"/>
          <w:shd w:val="clear" w:color="auto" w:fill="FFFFFF"/>
        </w:rPr>
        <w:t>条</w:t>
      </w:r>
      <w:r>
        <w:rPr>
          <w:rFonts w:ascii="仿宋_GB2312" w:hAnsi="仿宋_GB2312" w:eastAsia="仿宋_GB2312" w:cs="仿宋_GB2312"/>
          <w:sz w:val="32"/>
          <w:szCs w:val="32"/>
          <w:u w:val="none"/>
          <w:shd w:val="clear" w:color="auto" w:fill="FFFFFF"/>
        </w:rPr>
        <w:t xml:space="preserve">  涉及第</w:t>
      </w:r>
      <w:r>
        <w:rPr>
          <w:rFonts w:hint="eastAsia" w:ascii="仿宋_GB2312" w:hAnsi="仿宋_GB2312" w:eastAsia="仿宋_GB2312" w:cs="仿宋_GB2312"/>
          <w:sz w:val="32"/>
          <w:szCs w:val="32"/>
          <w:u w:val="none"/>
          <w:shd w:val="clear" w:color="auto" w:fill="FFFFFF"/>
        </w:rPr>
        <w:t>九</w:t>
      </w:r>
      <w:r>
        <w:rPr>
          <w:rFonts w:ascii="仿宋_GB2312" w:hAnsi="仿宋_GB2312" w:eastAsia="仿宋_GB2312" w:cs="仿宋_GB2312"/>
          <w:sz w:val="32"/>
          <w:szCs w:val="32"/>
          <w:u w:val="none"/>
          <w:shd w:val="clear" w:color="auto" w:fill="FFFFFF"/>
        </w:rPr>
        <w:t>条</w:t>
      </w:r>
      <w:r>
        <w:rPr>
          <w:rFonts w:hint="eastAsia" w:ascii="仿宋_GB2312" w:hAnsi="仿宋_GB2312" w:eastAsia="仿宋_GB2312" w:cs="仿宋_GB2312"/>
          <w:sz w:val="32"/>
          <w:szCs w:val="32"/>
          <w:u w:val="none"/>
          <w:shd w:val="clear" w:color="auto" w:fill="FFFFFF"/>
        </w:rPr>
        <w:t>特殊</w:t>
      </w:r>
      <w:r>
        <w:rPr>
          <w:rFonts w:ascii="仿宋_GB2312" w:hAnsi="仿宋_GB2312" w:eastAsia="仿宋_GB2312" w:cs="仿宋_GB2312"/>
          <w:sz w:val="32"/>
          <w:szCs w:val="32"/>
          <w:u w:val="none"/>
          <w:shd w:val="clear" w:color="auto" w:fill="FFFFFF"/>
        </w:rPr>
        <w:t>情形的，经营场所的安全要求和中小学、幼儿园、少年宫周围的限制规定等不得放宽。</w:t>
      </w:r>
    </w:p>
    <w:p w14:paraId="32F84A05">
      <w:pPr>
        <w:spacing w:line="560" w:lineRule="exact"/>
        <w:ind w:firstLine="640" w:firstLineChars="200"/>
        <w:rPr>
          <w:rFonts w:ascii="仿宋_GB2312" w:hAnsi="仿宋_GB2312" w:eastAsia="仿宋_GB2312" w:cs="仿宋_GB2312"/>
          <w:color w:val="000000" w:themeColor="text1"/>
          <w:sz w:val="32"/>
          <w:szCs w:val="32"/>
          <w:u w:val="none"/>
          <w:shd w:val="clear" w:color="auto" w:fill="FFFFFF"/>
          <w14:textFill>
            <w14:solidFill>
              <w14:schemeClr w14:val="tx1"/>
            </w14:solidFill>
          </w14:textFill>
        </w:rPr>
      </w:pPr>
      <w:r>
        <w:rPr>
          <w:rFonts w:ascii="黑体" w:hAnsi="黑体" w:eastAsia="黑体" w:cs="黑体"/>
          <w:sz w:val="32"/>
          <w:szCs w:val="32"/>
          <w:u w:val="none"/>
          <w:shd w:val="clear" w:color="auto" w:fill="FFFFFF"/>
        </w:rPr>
        <w:t>第十</w:t>
      </w:r>
      <w:r>
        <w:rPr>
          <w:rFonts w:hint="eastAsia" w:ascii="黑体" w:hAnsi="黑体" w:eastAsia="黑体" w:cs="黑体"/>
          <w:sz w:val="32"/>
          <w:szCs w:val="32"/>
          <w:u w:val="none"/>
          <w:shd w:val="clear" w:color="auto" w:fill="FFFFFF"/>
        </w:rPr>
        <w:t>四</w:t>
      </w:r>
      <w:r>
        <w:rPr>
          <w:rFonts w:ascii="黑体" w:hAnsi="黑体" w:eastAsia="黑体" w:cs="黑体"/>
          <w:sz w:val="32"/>
          <w:szCs w:val="32"/>
          <w:u w:val="none"/>
          <w:shd w:val="clear" w:color="auto" w:fill="FFFFFF"/>
        </w:rPr>
        <w:t xml:space="preserve">条 </w:t>
      </w:r>
      <w:r>
        <w:rPr>
          <w:rFonts w:ascii="仿宋_GB2312" w:hAnsi="仿宋_GB2312" w:eastAsia="仿宋_GB2312" w:cs="仿宋_GB2312"/>
          <w:sz w:val="32"/>
          <w:szCs w:val="32"/>
          <w:u w:val="none"/>
          <w:shd w:val="clear" w:color="auto" w:fill="FFFFFF"/>
        </w:rPr>
        <w:t xml:space="preserve"> </w:t>
      </w:r>
      <w:r>
        <w:rPr>
          <w:rFonts w:ascii="仿宋_GB2312" w:hAnsi="仿宋_GB2312" w:eastAsia="仿宋_GB2312" w:cs="仿宋_GB2312"/>
          <w:color w:val="000000" w:themeColor="text1"/>
          <w:sz w:val="32"/>
          <w:szCs w:val="32"/>
          <w:u w:val="none"/>
          <w:shd w:val="clear" w:color="auto" w:fill="FFFFFF"/>
          <w14:textFill>
            <w14:solidFill>
              <w14:schemeClr w14:val="tx1"/>
            </w14:solidFill>
          </w14:textFill>
        </w:rPr>
        <w:t>本规定中的“以上”数字包括本数。</w:t>
      </w:r>
    </w:p>
    <w:p w14:paraId="368E4D3A">
      <w:pPr>
        <w:ind w:firstLine="640" w:firstLineChars="200"/>
        <w:rPr>
          <w:rFonts w:ascii="仿宋_GB2312" w:eastAsia="仿宋_GB2312"/>
          <w:sz w:val="32"/>
          <w:szCs w:val="32"/>
          <w:u w:val="none"/>
        </w:rPr>
      </w:pPr>
      <w:r>
        <w:rPr>
          <w:rFonts w:hint="eastAsia" w:ascii="黑体" w:hAnsi="黑体" w:eastAsia="黑体"/>
          <w:color w:val="000000" w:themeColor="text1"/>
          <w:sz w:val="32"/>
          <w:szCs w:val="32"/>
          <w:u w:val="none"/>
          <w14:textFill>
            <w14:solidFill>
              <w14:schemeClr w14:val="tx1"/>
            </w14:solidFill>
          </w14:textFill>
        </w:rPr>
        <w:t>第十五条</w:t>
      </w:r>
      <w:r>
        <w:rPr>
          <w:rFonts w:ascii="仿宋_GB2312" w:eastAsia="仿宋_GB2312"/>
          <w:color w:val="000000" w:themeColor="text1"/>
          <w:sz w:val="32"/>
          <w:szCs w:val="32"/>
          <w:u w:val="none"/>
          <w14:textFill>
            <w14:solidFill>
              <w14:schemeClr w14:val="tx1"/>
            </w14:solidFill>
          </w14:textFill>
        </w:rPr>
        <w:t xml:space="preserve"> </w:t>
      </w:r>
      <w:r>
        <w:rPr>
          <w:rFonts w:hint="eastAsia" w:ascii="仿宋_GB2312" w:eastAsia="仿宋_GB2312"/>
          <w:color w:val="000000" w:themeColor="text1"/>
          <w:sz w:val="32"/>
          <w:szCs w:val="32"/>
          <w:u w:val="none"/>
          <w14:textFill>
            <w14:solidFill>
              <w14:schemeClr w14:val="tx1"/>
            </w14:solidFill>
          </w14:textFill>
        </w:rPr>
        <w:t xml:space="preserve"> 本规定由北京市昌平区烟草专卖局负责</w:t>
      </w:r>
      <w:r>
        <w:rPr>
          <w:rFonts w:hint="eastAsia" w:ascii="仿宋_GB2312" w:eastAsia="仿宋_GB2312"/>
          <w:sz w:val="32"/>
          <w:szCs w:val="32"/>
          <w:u w:val="none"/>
        </w:rPr>
        <w:t>解释实施。</w:t>
      </w:r>
    </w:p>
    <w:p w14:paraId="6B33C8B3">
      <w:pPr>
        <w:ind w:firstLine="640" w:firstLineChars="200"/>
        <w:rPr>
          <w:rFonts w:hint="eastAsia" w:ascii="仿宋_GB2312" w:eastAsia="仿宋_GB2312"/>
          <w:sz w:val="32"/>
          <w:szCs w:val="32"/>
        </w:rPr>
      </w:pPr>
      <w:r>
        <w:rPr>
          <w:rFonts w:hint="eastAsia" w:ascii="黑体" w:hAnsi="黑体" w:eastAsia="黑体"/>
          <w:sz w:val="32"/>
          <w:szCs w:val="32"/>
        </w:rPr>
        <w:t>第十六条</w:t>
      </w:r>
      <w:r>
        <w:rPr>
          <w:rFonts w:ascii="仿宋_GB2312" w:eastAsia="仿宋_GB2312"/>
          <w:sz w:val="32"/>
          <w:szCs w:val="32"/>
        </w:rPr>
        <w:t xml:space="preserve"> </w:t>
      </w:r>
      <w:r>
        <w:rPr>
          <w:rFonts w:hint="eastAsia" w:ascii="仿宋_GB2312" w:eastAsia="仿宋_GB2312"/>
          <w:sz w:val="32"/>
          <w:szCs w:val="32"/>
        </w:rPr>
        <w:t xml:space="preserve"> </w:t>
      </w:r>
      <w:r>
        <w:rPr>
          <w:rFonts w:hint="eastAsia" w:ascii="仿宋_GB2312" w:eastAsia="仿宋_GB2312"/>
          <w:kern w:val="0"/>
          <w:sz w:val="32"/>
          <w:szCs w:val="32"/>
        </w:rPr>
        <w:t>本规定自发布之日起30日后，即</w:t>
      </w:r>
      <w:r>
        <w:rPr>
          <w:rFonts w:hint="eastAsia" w:ascii="仿宋_GB2312" w:eastAsia="仿宋_GB2312"/>
          <w:sz w:val="32"/>
          <w:szCs w:val="32"/>
        </w:rPr>
        <w:t>×年×月×日起施行。原《北京市昌平区烟草制品零售点合理布局规定》(京烟昌局〔2023〕17号)同时废止。</w:t>
      </w:r>
    </w:p>
    <w:p w14:paraId="18C620EF">
      <w:pPr>
        <w:ind w:firstLine="640" w:firstLineChars="200"/>
        <w:rPr>
          <w:rFonts w:hint="eastAsia" w:ascii="仿宋_GB2312" w:eastAsia="仿宋_GB2312"/>
          <w:sz w:val="32"/>
          <w:szCs w:val="32"/>
        </w:rPr>
      </w:pPr>
    </w:p>
    <w:p w14:paraId="50E6B921">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附件：公告</w:t>
      </w:r>
    </w:p>
    <w:p w14:paraId="10223205">
      <w:pPr>
        <w:ind w:firstLine="640" w:firstLineChars="200"/>
        <w:rPr>
          <w:rFonts w:ascii="仿宋_GB2312" w:hAnsi="仿宋_GB2312" w:eastAsia="仿宋_GB2312" w:cs="仿宋_GB2312"/>
          <w:sz w:val="32"/>
          <w:szCs w:val="32"/>
          <w:shd w:val="clear" w:color="auto" w:fill="FFFFFF"/>
        </w:rPr>
      </w:pPr>
    </w:p>
    <w:p w14:paraId="0FF68B12">
      <w:pPr>
        <w:ind w:firstLine="640" w:firstLineChars="200"/>
        <w:rPr>
          <w:rFonts w:ascii="仿宋_GB2312" w:hAnsi="仿宋_GB2312" w:eastAsia="仿宋_GB2312" w:cs="仿宋_GB2312"/>
          <w:sz w:val="32"/>
          <w:szCs w:val="32"/>
          <w:shd w:val="clear" w:color="auto" w:fill="FFFFFF"/>
        </w:rPr>
      </w:pPr>
    </w:p>
    <w:p w14:paraId="16C8D740">
      <w:pPr>
        <w:ind w:firstLine="640" w:firstLineChars="200"/>
        <w:rPr>
          <w:rFonts w:ascii="仿宋_GB2312" w:hAnsi="仿宋_GB2312" w:eastAsia="仿宋_GB2312" w:cs="仿宋_GB2312"/>
          <w:sz w:val="32"/>
          <w:szCs w:val="32"/>
          <w:shd w:val="clear" w:color="auto" w:fill="FFFFFF"/>
        </w:rPr>
      </w:pPr>
    </w:p>
    <w:p w14:paraId="66E4C191">
      <w:pPr>
        <w:ind w:firstLine="640" w:firstLineChars="200"/>
        <w:rPr>
          <w:rFonts w:ascii="仿宋_GB2312" w:hAnsi="仿宋_GB2312" w:eastAsia="仿宋_GB2312" w:cs="仿宋_GB2312"/>
          <w:sz w:val="32"/>
          <w:szCs w:val="32"/>
          <w:shd w:val="clear" w:color="auto" w:fill="FFFFFF"/>
        </w:rPr>
      </w:pPr>
    </w:p>
    <w:p w14:paraId="61F05A42">
      <w:pPr>
        <w:ind w:firstLine="640" w:firstLineChars="200"/>
        <w:rPr>
          <w:rFonts w:ascii="仿宋_GB2312" w:hAnsi="仿宋_GB2312" w:eastAsia="仿宋_GB2312" w:cs="仿宋_GB2312"/>
          <w:sz w:val="32"/>
          <w:szCs w:val="32"/>
          <w:shd w:val="clear" w:color="auto" w:fill="FFFFFF"/>
        </w:rPr>
      </w:pPr>
    </w:p>
    <w:p w14:paraId="6F7412EE">
      <w:pPr>
        <w:ind w:firstLine="640" w:firstLineChars="200"/>
        <w:rPr>
          <w:rFonts w:ascii="仿宋_GB2312" w:hAnsi="仿宋_GB2312" w:eastAsia="仿宋_GB2312" w:cs="仿宋_GB2312"/>
          <w:sz w:val="32"/>
          <w:szCs w:val="32"/>
          <w:shd w:val="clear" w:color="auto" w:fill="FFFFFF"/>
        </w:rPr>
      </w:pPr>
    </w:p>
    <w:p w14:paraId="644A42A4">
      <w:pPr>
        <w:ind w:firstLine="640" w:firstLineChars="200"/>
        <w:rPr>
          <w:rFonts w:ascii="仿宋_GB2312" w:hAnsi="仿宋_GB2312" w:eastAsia="仿宋_GB2312" w:cs="仿宋_GB2312"/>
          <w:sz w:val="32"/>
          <w:szCs w:val="32"/>
          <w:shd w:val="clear" w:color="auto" w:fill="FFFFFF"/>
        </w:rPr>
      </w:pPr>
    </w:p>
    <w:p w14:paraId="0B83B5F6">
      <w:pPr>
        <w:ind w:firstLine="640" w:firstLineChars="200"/>
        <w:rPr>
          <w:rFonts w:ascii="仿宋_GB2312" w:hAnsi="仿宋_GB2312" w:eastAsia="仿宋_GB2312" w:cs="仿宋_GB2312"/>
          <w:sz w:val="32"/>
          <w:szCs w:val="32"/>
          <w:shd w:val="clear" w:color="auto" w:fill="FFFFFF"/>
        </w:rPr>
      </w:pPr>
    </w:p>
    <w:p w14:paraId="2D43E3D8">
      <w:pPr>
        <w:ind w:firstLine="640" w:firstLineChars="200"/>
        <w:rPr>
          <w:rFonts w:ascii="仿宋_GB2312" w:hAnsi="仿宋_GB2312" w:eastAsia="仿宋_GB2312" w:cs="仿宋_GB2312"/>
          <w:sz w:val="32"/>
          <w:szCs w:val="32"/>
          <w:shd w:val="clear" w:color="auto" w:fill="FFFFFF"/>
        </w:rPr>
      </w:pPr>
    </w:p>
    <w:p w14:paraId="20E6E56F">
      <w:pPr>
        <w:ind w:firstLine="640" w:firstLineChars="200"/>
        <w:rPr>
          <w:rFonts w:ascii="仿宋_GB2312" w:hAnsi="仿宋_GB2312" w:eastAsia="仿宋_GB2312" w:cs="仿宋_GB2312"/>
          <w:sz w:val="32"/>
          <w:szCs w:val="32"/>
          <w:shd w:val="clear" w:color="auto" w:fill="FFFFFF"/>
        </w:rPr>
      </w:pPr>
    </w:p>
    <w:p w14:paraId="588C1935">
      <w:pPr>
        <w:ind w:firstLine="640" w:firstLineChars="200"/>
        <w:rPr>
          <w:rFonts w:ascii="仿宋_GB2312" w:hAnsi="仿宋_GB2312" w:eastAsia="仿宋_GB2312" w:cs="仿宋_GB2312"/>
          <w:sz w:val="32"/>
          <w:szCs w:val="32"/>
          <w:shd w:val="clear" w:color="auto" w:fill="FFFFFF"/>
        </w:rPr>
      </w:pPr>
    </w:p>
    <w:p w14:paraId="1FF535BA">
      <w:pPr>
        <w:ind w:firstLine="640" w:firstLineChars="200"/>
        <w:rPr>
          <w:rFonts w:ascii="仿宋_GB2312" w:hAnsi="仿宋_GB2312" w:eastAsia="仿宋_GB2312" w:cs="仿宋_GB2312"/>
          <w:sz w:val="32"/>
          <w:szCs w:val="32"/>
          <w:shd w:val="clear" w:color="auto" w:fill="FFFFFF"/>
        </w:rPr>
      </w:pPr>
    </w:p>
    <w:p w14:paraId="18AD76BD">
      <w:pPr>
        <w:ind w:firstLine="640" w:firstLineChars="200"/>
        <w:rPr>
          <w:rFonts w:ascii="仿宋_GB2312" w:hAnsi="仿宋_GB2312" w:eastAsia="仿宋_GB2312" w:cs="仿宋_GB2312"/>
          <w:sz w:val="32"/>
          <w:szCs w:val="32"/>
          <w:shd w:val="clear" w:color="auto" w:fill="FFFFFF"/>
        </w:rPr>
      </w:pPr>
    </w:p>
    <w:p w14:paraId="73703E57">
      <w:pPr>
        <w:ind w:firstLine="640" w:firstLineChars="200"/>
        <w:rPr>
          <w:rFonts w:ascii="仿宋_GB2312" w:hAnsi="仿宋_GB2312" w:eastAsia="仿宋_GB2312" w:cs="仿宋_GB2312"/>
          <w:sz w:val="32"/>
          <w:szCs w:val="32"/>
          <w:shd w:val="clear" w:color="auto" w:fill="FFFFFF"/>
        </w:rPr>
      </w:pPr>
    </w:p>
    <w:p w14:paraId="3FE63C4E">
      <w:pPr>
        <w:ind w:firstLine="640" w:firstLineChars="200"/>
        <w:rPr>
          <w:rFonts w:ascii="仿宋_GB2312" w:hAnsi="仿宋_GB2312" w:eastAsia="仿宋_GB2312" w:cs="仿宋_GB2312"/>
          <w:sz w:val="32"/>
          <w:szCs w:val="32"/>
          <w:shd w:val="clear" w:color="auto" w:fill="FFFFFF"/>
        </w:rPr>
      </w:pPr>
    </w:p>
    <w:p w14:paraId="7F8B97BB">
      <w:pPr>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bookmarkStart w:id="0" w:name="_GoBack"/>
      <w:bookmarkEnd w:id="0"/>
    </w:p>
    <w:p w14:paraId="6410DAB7">
      <w:pPr>
        <w:jc w:val="center"/>
        <w:rPr>
          <w:rFonts w:ascii="方正小标宋简体" w:eastAsia="方正小标宋简体"/>
          <w:sz w:val="44"/>
          <w:szCs w:val="44"/>
        </w:rPr>
      </w:pPr>
      <w:r>
        <w:rPr>
          <w:rFonts w:hint="eastAsia" w:ascii="方正小标宋简体" w:eastAsia="方正小标宋简体"/>
          <w:sz w:val="44"/>
          <w:szCs w:val="44"/>
        </w:rPr>
        <w:t>公  告</w:t>
      </w:r>
    </w:p>
    <w:p w14:paraId="09895A84">
      <w:pPr>
        <w:ind w:firstLine="640"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sz w:val="32"/>
          <w:szCs w:val="32"/>
          <w:shd w:val="clear" w:color="auto" w:fill="FFFFFF"/>
        </w:rPr>
        <w:t>为持续优化辖区烟草制品零售点布局，统筹平衡市场供给与零售资源配置，依据《中华人民共和国烟草专卖法》《烟草专卖许可证管理办法》及《北京市昌平区烟草制品零售点合理布局</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规</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定</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相关规定，衔接《北京市昌平区国民经济和社会发展第十五个五年规划纲要》，综合辖区人口分布、经济发展水平、消费能力、零售点空间分布变动趋势、历史申办数量及各类销售数据等因素，现就辖区2026年—2027年度重点功能单元核定及动态管理规则公告如下：</w:t>
      </w:r>
    </w:p>
    <w:p w14:paraId="7F283C75">
      <w:pPr>
        <w:ind w:firstLine="640" w:firstLineChars="200"/>
        <w:rPr>
          <w:rFonts w:hint="default" w:ascii="黑体" w:hAnsi="黑体" w:eastAsia="黑体" w:cs="仿宋_GB2312"/>
          <w:color w:val="000000" w:themeColor="text1"/>
          <w:sz w:val="32"/>
          <w:szCs w:val="32"/>
          <w:shd w:val="clear" w:color="auto" w:fill="FFFFFF"/>
          <w:lang w:val="en-US" w:eastAsia="zh-CN"/>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一、核定范围</w:t>
      </w:r>
      <w:r>
        <w:rPr>
          <w:rFonts w:hint="eastAsia" w:ascii="黑体" w:hAnsi="黑体" w:eastAsia="黑体" w:cs="仿宋_GB2312"/>
          <w:color w:val="000000" w:themeColor="text1"/>
          <w:sz w:val="32"/>
          <w:szCs w:val="32"/>
          <w:u w:val="none"/>
          <w:shd w:val="clear" w:color="auto" w:fill="FFFFFF"/>
          <w14:textFill>
            <w14:solidFill>
              <w14:schemeClr w14:val="tx1"/>
            </w14:solidFill>
          </w14:textFill>
        </w:rPr>
        <w:t>及</w:t>
      </w:r>
      <w:r>
        <w:rPr>
          <w:rFonts w:hint="eastAsia" w:ascii="黑体" w:hAnsi="黑体" w:eastAsia="黑体" w:cs="仿宋_GB2312"/>
          <w:color w:val="000000" w:themeColor="text1"/>
          <w:sz w:val="32"/>
          <w:szCs w:val="32"/>
          <w:u w:val="none"/>
          <w:shd w:val="clear" w:color="auto" w:fill="FFFFFF"/>
          <w:lang w:val="en-US" w:eastAsia="zh-CN"/>
          <w14:textFill>
            <w14:solidFill>
              <w14:schemeClr w14:val="tx1"/>
            </w14:solidFill>
          </w14:textFill>
        </w:rPr>
        <w:t>数量上限</w:t>
      </w:r>
    </w:p>
    <w:p w14:paraId="3B1EC1AF">
      <w:pPr>
        <w:ind w:firstLine="640" w:firstLineChars="200"/>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重点功能单元范围为：</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沙河镇、北七家镇</w:t>
      </w:r>
      <w:r>
        <w:rPr>
          <w:rFonts w:hint="eastAsia" w:ascii="仿宋_GB2312" w:hAnsi="仿宋_GB2312" w:eastAsia="仿宋_GB2312" w:cs="仿宋_GB2312"/>
          <w:color w:val="000000" w:themeColor="text1"/>
          <w:sz w:val="32"/>
          <w:szCs w:val="32"/>
          <w:u w:val="none"/>
          <w:shd w:val="clear" w:color="auto" w:fill="FFFFFF"/>
          <w:lang w:eastAsia="zh-CN"/>
          <w14:textFill>
            <w14:solidFill>
              <w14:schemeClr w14:val="tx1"/>
            </w14:solidFill>
          </w14:textFill>
        </w:rPr>
        <w:t>。</w:t>
      </w:r>
    </w:p>
    <w:p w14:paraId="0D733BAA">
      <w:pPr>
        <w:ind w:firstLine="640" w:firstLineChars="200"/>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沙河镇零售点数量上限为371个，北七家镇零售点数量上限为498个。</w:t>
      </w:r>
    </w:p>
    <w:p w14:paraId="5A37456D">
      <w:pPr>
        <w:ind w:firstLine="640" w:firstLineChars="200"/>
        <w:rPr>
          <w:rFonts w:ascii="黑体" w:hAnsi="黑体" w:eastAsia="黑体" w:cs="仿宋_GB2312"/>
          <w:color w:val="000000" w:themeColor="text1"/>
          <w:sz w:val="32"/>
          <w:szCs w:val="32"/>
          <w:shd w:val="clear" w:color="auto" w:fill="FFFFFF"/>
          <w14:textFill>
            <w14:solidFill>
              <w14:schemeClr w14:val="tx1"/>
            </w14:solidFill>
          </w14:textFill>
        </w:rPr>
      </w:pPr>
      <w:r>
        <w:rPr>
          <w:rFonts w:hint="eastAsia" w:ascii="黑体" w:hAnsi="黑体" w:eastAsia="黑体" w:cs="仿宋_GB2312"/>
          <w:color w:val="000000" w:themeColor="text1"/>
          <w:sz w:val="32"/>
          <w:szCs w:val="32"/>
          <w:shd w:val="clear" w:color="auto" w:fill="FFFFFF"/>
          <w14:textFill>
            <w14:solidFill>
              <w14:schemeClr w14:val="tx1"/>
            </w14:solidFill>
          </w14:textFill>
        </w:rPr>
        <w:t>二、动态监测及调整规则</w:t>
      </w:r>
    </w:p>
    <w:p w14:paraId="2941A906">
      <w:pPr>
        <w:ind w:firstLine="640" w:firstLineChars="200"/>
        <w:rPr>
          <w:rFonts w:hint="eastAsia" w:ascii="仿宋_GB2312" w:hAnsi="仿宋_GB2312" w:eastAsia="仿宋_GB2312" w:cs="仿宋_GB2312"/>
          <w:color w:val="000000" w:themeColor="text1"/>
          <w:sz w:val="32"/>
          <w:szCs w:val="32"/>
          <w:u w:val="none"/>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按照《北京市昌平区烟草制品零售点合理布局</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规</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定</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》第七条</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规定，以镇街为单位，每月首日对纳入重点功能单元范围的零售</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点</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数</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量</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实施动态监测。零售</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点</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数</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量</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超过上限的</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镇街，</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相关调整事项通过</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办公场所公告栏、</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政务服务窗口</w:t>
      </w:r>
      <w:r>
        <w:rPr>
          <w:rFonts w:hint="eastAsia" w:ascii="仿宋_GB2312" w:hAnsi="仿宋_GB2312" w:eastAsia="仿宋_GB2312" w:cs="仿宋_GB2312"/>
          <w:color w:val="000000" w:themeColor="text1"/>
          <w:sz w:val="32"/>
          <w:szCs w:val="32"/>
          <w:u w:val="none"/>
          <w:shd w:val="clear" w:color="auto" w:fill="FFFFFF"/>
          <w:lang w:val="en-US" w:eastAsia="zh-CN"/>
          <w14:textFill>
            <w14:solidFill>
              <w14:schemeClr w14:val="tx1"/>
            </w14:solidFill>
          </w14:textFill>
        </w:rPr>
        <w:t>等处</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向社会公告</w:t>
      </w:r>
      <w:r>
        <w:rPr>
          <w:rFonts w:hint="eastAsia" w:ascii="仿宋_GB2312" w:hAnsi="仿宋_GB2312" w:eastAsia="仿宋_GB2312" w:cs="仿宋_GB2312"/>
          <w:color w:val="000000" w:themeColor="text1"/>
          <w:sz w:val="32"/>
          <w:szCs w:val="32"/>
          <w:u w:val="none"/>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shd w:val="clear" w:color="auto" w:fill="FFFFFF"/>
          <w14:textFill>
            <w14:solidFill>
              <w14:schemeClr w14:val="tx1"/>
            </w14:solidFill>
          </w14:textFill>
        </w:rPr>
        <w:t>自次月起退出重点功能单元，纳入基础保障单元管理</w:t>
      </w:r>
      <w:r>
        <w:rPr>
          <w:rFonts w:hint="eastAsia" w:ascii="仿宋_GB2312" w:hAnsi="仿宋_GB2312" w:eastAsia="仿宋_GB2312" w:cs="仿宋_GB2312"/>
          <w:color w:val="000000" w:themeColor="text1"/>
          <w:sz w:val="32"/>
          <w:szCs w:val="32"/>
          <w:u w:val="none"/>
          <w:shd w:val="clear" w:color="auto" w:fill="FFFFFF"/>
          <w:lang w:eastAsia="zh-CN"/>
          <w14:textFill>
            <w14:solidFill>
              <w14:schemeClr w14:val="tx1"/>
            </w14:solidFill>
          </w14:textFill>
        </w:rPr>
        <w:t>。</w:t>
      </w:r>
    </w:p>
    <w:p w14:paraId="0DF3602A">
      <w:pPr>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特此公告。</w:t>
      </w:r>
    </w:p>
    <w:p w14:paraId="64D33464">
      <w:pPr>
        <w:ind w:firstLine="640" w:firstLineChars="200"/>
        <w:rPr>
          <w:rFonts w:ascii="仿宋_GB2312" w:hAnsi="仿宋_GB2312" w:eastAsia="仿宋_GB2312" w:cs="仿宋_GB2312"/>
          <w:color w:val="000000"/>
          <w:sz w:val="32"/>
          <w:szCs w:val="32"/>
          <w:shd w:val="clear" w:color="auto" w:fill="FFFFFF"/>
        </w:rPr>
      </w:pPr>
    </w:p>
    <w:p w14:paraId="59D00B13">
      <w:pPr>
        <w:wordWrap w:val="0"/>
        <w:ind w:firstLine="640" w:firstLineChars="200"/>
        <w:jc w:val="right"/>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xml:space="preserve">北京市昌平区烟草专卖局  </w:t>
      </w:r>
    </w:p>
    <w:p w14:paraId="50546BD0">
      <w:pPr>
        <w:ind w:firstLine="6080" w:firstLineChars="1900"/>
        <w:rPr>
          <w:rFonts w:ascii="仿宋_GB2312" w:hAnsi="仿宋_GB2312" w:eastAsia="仿宋_GB2312" w:cs="仿宋_GB2312"/>
          <w:sz w:val="32"/>
          <w:szCs w:val="32"/>
          <w:shd w:val="clear" w:color="auto" w:fill="FFFFFF"/>
        </w:rPr>
      </w:pPr>
      <w:r>
        <w:rPr>
          <w:rFonts w:hint="eastAsia" w:ascii="仿宋_GB2312" w:hAnsi="仿宋_GB2312" w:eastAsia="仿宋_GB2312" w:cs="仿宋_GB2312"/>
          <w:color w:val="000000"/>
          <w:sz w:val="32"/>
          <w:szCs w:val="32"/>
          <w:shd w:val="clear" w:color="auto" w:fill="FFFFFF"/>
        </w:rPr>
        <w:t>X年X月X日</w:t>
      </w:r>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Noto Music">
    <w:panose1 w:val="020B0502040504020204"/>
    <w:charset w:val="00"/>
    <w:family w:val="auto"/>
    <w:pitch w:val="default"/>
    <w:sig w:usb0="00000003" w:usb1="02006000" w:usb2="01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70DE9E78">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3 -</w:t>
        </w:r>
        <w:r>
          <w:rPr>
            <w:rFonts w:ascii="宋体" w:hAns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F1961"/>
    <w:multiLevelType w:val="singleLevel"/>
    <w:tmpl w:val="933F1961"/>
    <w:lvl w:ilvl="0" w:tentative="0">
      <w:start w:val="1"/>
      <w:numFmt w:val="chineseCounting"/>
      <w:suff w:val="nothing"/>
      <w:lvlText w:val="（%1）"/>
      <w:lvlJc w:val="left"/>
      <w:rPr>
        <w:rFonts w:hint="eastAsia"/>
      </w:rPr>
    </w:lvl>
  </w:abstractNum>
  <w:abstractNum w:abstractNumId="1">
    <w:nsid w:val="CFB7A1F4"/>
    <w:multiLevelType w:val="singleLevel"/>
    <w:tmpl w:val="CFB7A1F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mMDU3NzY1YmIxODY2OTJkYmU3YTYxMDc2MzI4OTUifQ=="/>
  </w:docVars>
  <w:rsids>
    <w:rsidRoot w:val="007C6856"/>
    <w:rsid w:val="00013718"/>
    <w:rsid w:val="00021347"/>
    <w:rsid w:val="00021619"/>
    <w:rsid w:val="000332D5"/>
    <w:rsid w:val="00036973"/>
    <w:rsid w:val="00073D7D"/>
    <w:rsid w:val="00091830"/>
    <w:rsid w:val="00103124"/>
    <w:rsid w:val="00140A06"/>
    <w:rsid w:val="0014105B"/>
    <w:rsid w:val="00142D54"/>
    <w:rsid w:val="00193056"/>
    <w:rsid w:val="001A478E"/>
    <w:rsid w:val="001C139E"/>
    <w:rsid w:val="001D0811"/>
    <w:rsid w:val="001D456A"/>
    <w:rsid w:val="00243C26"/>
    <w:rsid w:val="002564D4"/>
    <w:rsid w:val="00292F6E"/>
    <w:rsid w:val="002B3F74"/>
    <w:rsid w:val="002D4DB6"/>
    <w:rsid w:val="002F1389"/>
    <w:rsid w:val="003171AC"/>
    <w:rsid w:val="00343040"/>
    <w:rsid w:val="00376A23"/>
    <w:rsid w:val="003C017C"/>
    <w:rsid w:val="003C1034"/>
    <w:rsid w:val="003C35DA"/>
    <w:rsid w:val="003C5265"/>
    <w:rsid w:val="003E2A51"/>
    <w:rsid w:val="003F05B3"/>
    <w:rsid w:val="003F44B6"/>
    <w:rsid w:val="00404698"/>
    <w:rsid w:val="00427A4E"/>
    <w:rsid w:val="004436DB"/>
    <w:rsid w:val="00451660"/>
    <w:rsid w:val="00455CB7"/>
    <w:rsid w:val="0047340A"/>
    <w:rsid w:val="0048242B"/>
    <w:rsid w:val="00496CEB"/>
    <w:rsid w:val="004A5025"/>
    <w:rsid w:val="004E6CC4"/>
    <w:rsid w:val="00504C27"/>
    <w:rsid w:val="0051456B"/>
    <w:rsid w:val="00514631"/>
    <w:rsid w:val="005302ED"/>
    <w:rsid w:val="00531768"/>
    <w:rsid w:val="0053342F"/>
    <w:rsid w:val="00546462"/>
    <w:rsid w:val="00555934"/>
    <w:rsid w:val="00587C28"/>
    <w:rsid w:val="005A0C1D"/>
    <w:rsid w:val="005A3DDC"/>
    <w:rsid w:val="00603A0E"/>
    <w:rsid w:val="00616B63"/>
    <w:rsid w:val="006300D0"/>
    <w:rsid w:val="00666371"/>
    <w:rsid w:val="006744F0"/>
    <w:rsid w:val="006C4902"/>
    <w:rsid w:val="007459C9"/>
    <w:rsid w:val="0079338A"/>
    <w:rsid w:val="00794374"/>
    <w:rsid w:val="007C6856"/>
    <w:rsid w:val="007D10E9"/>
    <w:rsid w:val="007E717E"/>
    <w:rsid w:val="007F6EC8"/>
    <w:rsid w:val="0080056D"/>
    <w:rsid w:val="00820BA5"/>
    <w:rsid w:val="00821C99"/>
    <w:rsid w:val="008323BC"/>
    <w:rsid w:val="008C6628"/>
    <w:rsid w:val="00921C50"/>
    <w:rsid w:val="00935B8B"/>
    <w:rsid w:val="009545AB"/>
    <w:rsid w:val="0096707A"/>
    <w:rsid w:val="00981384"/>
    <w:rsid w:val="00990A08"/>
    <w:rsid w:val="009A18D1"/>
    <w:rsid w:val="009C1443"/>
    <w:rsid w:val="00A30283"/>
    <w:rsid w:val="00A30899"/>
    <w:rsid w:val="00A33847"/>
    <w:rsid w:val="00A8350F"/>
    <w:rsid w:val="00AB5EE3"/>
    <w:rsid w:val="00AC0B38"/>
    <w:rsid w:val="00AC4F9E"/>
    <w:rsid w:val="00AC599B"/>
    <w:rsid w:val="00B0633B"/>
    <w:rsid w:val="00B33437"/>
    <w:rsid w:val="00B36F1A"/>
    <w:rsid w:val="00B93B5C"/>
    <w:rsid w:val="00BA69E5"/>
    <w:rsid w:val="00BB0313"/>
    <w:rsid w:val="00BD366F"/>
    <w:rsid w:val="00BE7958"/>
    <w:rsid w:val="00BF1902"/>
    <w:rsid w:val="00BF43F3"/>
    <w:rsid w:val="00C0720D"/>
    <w:rsid w:val="00C21F4F"/>
    <w:rsid w:val="00C379D6"/>
    <w:rsid w:val="00C379F1"/>
    <w:rsid w:val="00C37DFA"/>
    <w:rsid w:val="00C413F1"/>
    <w:rsid w:val="00C4169B"/>
    <w:rsid w:val="00C475FE"/>
    <w:rsid w:val="00C76242"/>
    <w:rsid w:val="00C8679B"/>
    <w:rsid w:val="00C90B0D"/>
    <w:rsid w:val="00C95120"/>
    <w:rsid w:val="00C97DCC"/>
    <w:rsid w:val="00CA290E"/>
    <w:rsid w:val="00CD5CDC"/>
    <w:rsid w:val="00CE35C2"/>
    <w:rsid w:val="00CF18DC"/>
    <w:rsid w:val="00D15F11"/>
    <w:rsid w:val="00D17212"/>
    <w:rsid w:val="00D46F1A"/>
    <w:rsid w:val="00D52922"/>
    <w:rsid w:val="00D86F96"/>
    <w:rsid w:val="00D93FE8"/>
    <w:rsid w:val="00D9728B"/>
    <w:rsid w:val="00D97B93"/>
    <w:rsid w:val="00DB63DB"/>
    <w:rsid w:val="00DD495B"/>
    <w:rsid w:val="00DE5D54"/>
    <w:rsid w:val="00E00816"/>
    <w:rsid w:val="00E03EF9"/>
    <w:rsid w:val="00E22CFD"/>
    <w:rsid w:val="00E3254D"/>
    <w:rsid w:val="00E326F3"/>
    <w:rsid w:val="00E331BE"/>
    <w:rsid w:val="00E331FE"/>
    <w:rsid w:val="00E35B96"/>
    <w:rsid w:val="00E454FB"/>
    <w:rsid w:val="00E5273E"/>
    <w:rsid w:val="00E545B6"/>
    <w:rsid w:val="00E67D14"/>
    <w:rsid w:val="00ED2422"/>
    <w:rsid w:val="00ED5DB1"/>
    <w:rsid w:val="00F27426"/>
    <w:rsid w:val="00F77846"/>
    <w:rsid w:val="00FA6540"/>
    <w:rsid w:val="00FC5E43"/>
    <w:rsid w:val="00FD1CEB"/>
    <w:rsid w:val="00FD558B"/>
    <w:rsid w:val="00FD569E"/>
    <w:rsid w:val="00FD73DD"/>
    <w:rsid w:val="012F1A4A"/>
    <w:rsid w:val="02A82FFE"/>
    <w:rsid w:val="066C3DE7"/>
    <w:rsid w:val="06BA630B"/>
    <w:rsid w:val="06D53A50"/>
    <w:rsid w:val="09A45B66"/>
    <w:rsid w:val="09C94AB7"/>
    <w:rsid w:val="09E74206"/>
    <w:rsid w:val="0A2C39C3"/>
    <w:rsid w:val="0BCB106E"/>
    <w:rsid w:val="0C5A4D20"/>
    <w:rsid w:val="105A47CC"/>
    <w:rsid w:val="13C20EF5"/>
    <w:rsid w:val="149106E6"/>
    <w:rsid w:val="14F15716"/>
    <w:rsid w:val="153320AA"/>
    <w:rsid w:val="184617E8"/>
    <w:rsid w:val="18901BCB"/>
    <w:rsid w:val="189237DD"/>
    <w:rsid w:val="18E12EAF"/>
    <w:rsid w:val="1A753EF5"/>
    <w:rsid w:val="1AEF6C50"/>
    <w:rsid w:val="1B51043C"/>
    <w:rsid w:val="1CF532DB"/>
    <w:rsid w:val="1DAA14AE"/>
    <w:rsid w:val="1F564138"/>
    <w:rsid w:val="209470A0"/>
    <w:rsid w:val="250550E5"/>
    <w:rsid w:val="26657D8B"/>
    <w:rsid w:val="267C0514"/>
    <w:rsid w:val="28863637"/>
    <w:rsid w:val="2907735C"/>
    <w:rsid w:val="2AD0185F"/>
    <w:rsid w:val="2C4604BD"/>
    <w:rsid w:val="2DC0703A"/>
    <w:rsid w:val="2EF4314C"/>
    <w:rsid w:val="302D2F10"/>
    <w:rsid w:val="325E1771"/>
    <w:rsid w:val="32B62FD1"/>
    <w:rsid w:val="36B8219E"/>
    <w:rsid w:val="37C523C3"/>
    <w:rsid w:val="39AD1A14"/>
    <w:rsid w:val="3AB254EE"/>
    <w:rsid w:val="3C2B4FD9"/>
    <w:rsid w:val="3CF400DF"/>
    <w:rsid w:val="3FE57079"/>
    <w:rsid w:val="404E1296"/>
    <w:rsid w:val="40D52392"/>
    <w:rsid w:val="40E51BFB"/>
    <w:rsid w:val="424B0183"/>
    <w:rsid w:val="44313278"/>
    <w:rsid w:val="456545AB"/>
    <w:rsid w:val="456B7001"/>
    <w:rsid w:val="46437E49"/>
    <w:rsid w:val="46A922CB"/>
    <w:rsid w:val="4A1B043B"/>
    <w:rsid w:val="4A6B0C97"/>
    <w:rsid w:val="4AAE5276"/>
    <w:rsid w:val="4AD52BAE"/>
    <w:rsid w:val="4C914A2C"/>
    <w:rsid w:val="4C917AF2"/>
    <w:rsid w:val="4CC304D3"/>
    <w:rsid w:val="4DAE15C6"/>
    <w:rsid w:val="4DCE0FFB"/>
    <w:rsid w:val="4EB04235"/>
    <w:rsid w:val="4ED30B92"/>
    <w:rsid w:val="50936591"/>
    <w:rsid w:val="516E3547"/>
    <w:rsid w:val="53D00BED"/>
    <w:rsid w:val="542D1063"/>
    <w:rsid w:val="5445084F"/>
    <w:rsid w:val="56B9622D"/>
    <w:rsid w:val="599C52A8"/>
    <w:rsid w:val="5B41169B"/>
    <w:rsid w:val="5B7A4EC6"/>
    <w:rsid w:val="5D055D7B"/>
    <w:rsid w:val="5D2C35E9"/>
    <w:rsid w:val="5DB13FC8"/>
    <w:rsid w:val="5DB9025F"/>
    <w:rsid w:val="5DCA7D57"/>
    <w:rsid w:val="5DFEA262"/>
    <w:rsid w:val="5E652175"/>
    <w:rsid w:val="5E6EFD34"/>
    <w:rsid w:val="5F4E6098"/>
    <w:rsid w:val="64384DA7"/>
    <w:rsid w:val="666A3850"/>
    <w:rsid w:val="66996F7D"/>
    <w:rsid w:val="67D2B6AF"/>
    <w:rsid w:val="68531C91"/>
    <w:rsid w:val="692165FF"/>
    <w:rsid w:val="69F66377"/>
    <w:rsid w:val="6AB029CA"/>
    <w:rsid w:val="6B1444A7"/>
    <w:rsid w:val="6D220982"/>
    <w:rsid w:val="6D5B17B0"/>
    <w:rsid w:val="6D64508B"/>
    <w:rsid w:val="6D9F6A54"/>
    <w:rsid w:val="6F8141EA"/>
    <w:rsid w:val="702A4FC3"/>
    <w:rsid w:val="70984E6B"/>
    <w:rsid w:val="71282F5C"/>
    <w:rsid w:val="71782674"/>
    <w:rsid w:val="71940C37"/>
    <w:rsid w:val="724D1F13"/>
    <w:rsid w:val="735008A6"/>
    <w:rsid w:val="73ED07EB"/>
    <w:rsid w:val="741713C4"/>
    <w:rsid w:val="74420232"/>
    <w:rsid w:val="74F811F5"/>
    <w:rsid w:val="76424E1E"/>
    <w:rsid w:val="76EB7264"/>
    <w:rsid w:val="79A4194C"/>
    <w:rsid w:val="7B6273C9"/>
    <w:rsid w:val="7BF40FE1"/>
    <w:rsid w:val="7C9E7D0F"/>
    <w:rsid w:val="7E3D6981"/>
    <w:rsid w:val="7EEEB915"/>
    <w:rsid w:val="7F763E38"/>
    <w:rsid w:val="7F9B40E4"/>
    <w:rsid w:val="BFE72E0E"/>
    <w:rsid w:val="DF5FC29B"/>
    <w:rsid w:val="DFDBB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character" w:styleId="9">
    <w:name w:val="Strong"/>
    <w:basedOn w:val="8"/>
    <w:qFormat/>
    <w:uiPriority w:val="0"/>
    <w:rPr>
      <w:b/>
    </w:rPr>
  </w:style>
  <w:style w:type="character" w:styleId="10">
    <w:name w:val="annotation reference"/>
    <w:basedOn w:val="8"/>
    <w:qFormat/>
    <w:uiPriority w:val="0"/>
    <w:rPr>
      <w:sz w:val="21"/>
      <w:szCs w:val="21"/>
    </w:rPr>
  </w:style>
  <w:style w:type="character" w:customStyle="1" w:styleId="11">
    <w:name w:val="页眉 Char"/>
    <w:basedOn w:val="8"/>
    <w:link w:val="5"/>
    <w:qFormat/>
    <w:uiPriority w:val="0"/>
    <w:rPr>
      <w:rFonts w:asciiTheme="minorHAnsi" w:hAnsiTheme="minorHAnsi" w:eastAsiaTheme="minorEastAsia" w:cstheme="minorBidi"/>
      <w:kern w:val="2"/>
      <w:sz w:val="18"/>
      <w:szCs w:val="18"/>
    </w:rPr>
  </w:style>
  <w:style w:type="character" w:customStyle="1" w:styleId="12">
    <w:name w:val="页脚 Char"/>
    <w:basedOn w:val="8"/>
    <w:link w:val="4"/>
    <w:qFormat/>
    <w:uiPriority w:val="99"/>
    <w:rPr>
      <w:rFonts w:asciiTheme="minorHAnsi" w:hAnsiTheme="minorHAnsi" w:eastAsiaTheme="minorEastAsia" w:cstheme="minorBidi"/>
      <w:kern w:val="2"/>
      <w:sz w:val="18"/>
      <w:szCs w:val="18"/>
    </w:rPr>
  </w:style>
  <w:style w:type="character" w:customStyle="1" w:styleId="13">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2AF71355-2BBF-48A9-9563-7F2C9AFD336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916</Words>
  <Characters>931</Characters>
  <Lines>22</Lines>
  <Paragraphs>6</Paragraphs>
  <TotalTime>0</TotalTime>
  <ScaleCrop>false</ScaleCrop>
  <LinksUpToDate>false</LinksUpToDate>
  <CharactersWithSpaces>952</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2026-07-17T19:08:00Z</dcterms:created>
  <dc:creator>a</dc:creator>
  <cp:lastModifiedBy>HIGC</cp:lastModifiedBy>
  <cp:lastPrinted>2026-08-14T17:19:00Z</cp:lastPrinted>
  <dcterms:modified xsi:type="dcterms:W3CDTF">2026-08-20T14:29:30Z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D7921044A1334DC18C9DA42635D6B543_13</vt:lpwstr>
  </property>
  <property fmtid="{D5CDD505-2E9C-101B-9397-08002B2CF9AE}" pid="4" name="KSOTemplateDocerSaveRecord">
    <vt:lpwstr>eyJoZGlkIjoiMTFjMzk3MzZjYzRiYWYxYTIxODhhNThiN2FiNmVhNzgiLCJ1c2VySWQiOiIyNzI0OTYyOTMifQ==</vt:lpwstr>
  </property>
</Properties>
</file>