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0" w:leftChars="0" w:right="-57" w:rightChars="-27" w:hanging="9" w:firstLineChars="0"/>
        <w:jc w:val="center"/>
        <w:rPr>
          <w:rFonts w:hint="eastAsia" w:eastAsia="方正小标宋简体"/>
          <w:spacing w:val="-6"/>
          <w:sz w:val="44"/>
          <w:szCs w:val="44"/>
          <w:lang w:val="en-US" w:eastAsia="zh-CN"/>
        </w:rPr>
      </w:pPr>
      <w:bookmarkStart w:id="0" w:name="OLE_LINK2"/>
      <w:bookmarkStart w:id="1" w:name="_Toc211881318_WPSOffice_Level1"/>
      <w:r>
        <w:rPr>
          <w:rFonts w:eastAsia="方正小标宋简体"/>
          <w:spacing w:val="-6"/>
          <w:sz w:val="44"/>
          <w:szCs w:val="44"/>
        </w:rPr>
        <w:t>关于《</w:t>
      </w:r>
      <w:r>
        <w:rPr>
          <w:rFonts w:hint="eastAsia" w:eastAsia="方正小标宋简体"/>
          <w:spacing w:val="-6"/>
          <w:sz w:val="44"/>
          <w:szCs w:val="44"/>
          <w:lang w:eastAsia="zh-CN"/>
        </w:rPr>
        <w:t>北京市朝阳区退役军人事务局</w:t>
      </w:r>
      <w:r>
        <w:rPr>
          <w:rFonts w:hint="default" w:ascii="Times New Roman" w:hAnsi="Times New Roman" w:eastAsia="方正小标宋简体" w:cs="Times New Roman"/>
          <w:b/>
          <w:bCs/>
          <w:spacing w:val="-6"/>
          <w:sz w:val="44"/>
          <w:szCs w:val="44"/>
          <w:lang w:eastAsia="zh-CN"/>
        </w:rPr>
        <w:t>等</w:t>
      </w:r>
      <w:r>
        <w:rPr>
          <w:rFonts w:hint="default" w:ascii="Times New Roman" w:hAnsi="Times New Roman" w:eastAsia="方正小标宋简体" w:cs="Times New Roman"/>
          <w:b/>
          <w:bCs/>
          <w:spacing w:val="-6"/>
          <w:sz w:val="44"/>
          <w:szCs w:val="44"/>
          <w:lang w:val="en-US" w:eastAsia="zh-CN"/>
        </w:rPr>
        <w:t>4</w:t>
      </w:r>
      <w:r>
        <w:rPr>
          <w:rFonts w:hint="eastAsia" w:eastAsia="方正小标宋简体"/>
          <w:spacing w:val="-6"/>
          <w:sz w:val="44"/>
          <w:szCs w:val="44"/>
          <w:lang w:val="en-US" w:eastAsia="zh-CN"/>
        </w:rPr>
        <w:t>部门关于全面做好朝阳区退役士兵教育培训</w:t>
      </w:r>
    </w:p>
    <w:p>
      <w:pPr>
        <w:spacing w:line="560" w:lineRule="exact"/>
        <w:ind w:left="0" w:leftChars="0" w:right="-57" w:rightChars="-27" w:hanging="9" w:firstLineChars="0"/>
        <w:jc w:val="center"/>
        <w:rPr>
          <w:rFonts w:eastAsia="方正小标宋简体"/>
          <w:spacing w:val="-6"/>
          <w:sz w:val="44"/>
          <w:szCs w:val="44"/>
        </w:rPr>
      </w:pPr>
      <w:r>
        <w:rPr>
          <w:rFonts w:hint="eastAsia" w:eastAsia="方正小标宋简体"/>
          <w:spacing w:val="-6"/>
          <w:sz w:val="44"/>
          <w:szCs w:val="44"/>
          <w:lang w:val="en-US" w:eastAsia="zh-CN"/>
        </w:rPr>
        <w:t>工作的实施方案</w:t>
      </w:r>
      <w:r>
        <w:rPr>
          <w:rFonts w:hint="eastAsia" w:eastAsia="方正小标宋简体"/>
          <w:spacing w:val="-6"/>
          <w:sz w:val="44"/>
          <w:szCs w:val="44"/>
          <w:lang w:eastAsia="zh-CN"/>
        </w:rPr>
        <w:t>（征求意见稿）</w:t>
      </w:r>
      <w:bookmarkEnd w:id="0"/>
      <w:r>
        <w:rPr>
          <w:rFonts w:eastAsia="方正小标宋简体"/>
          <w:spacing w:val="-6"/>
          <w:sz w:val="44"/>
          <w:szCs w:val="44"/>
        </w:rPr>
        <w:t>》</w:t>
      </w:r>
    </w:p>
    <w:p>
      <w:pPr>
        <w:spacing w:line="560" w:lineRule="exact"/>
        <w:ind w:left="21" w:leftChars="0" w:right="-57" w:rightChars="-27" w:hanging="21" w:hangingChars="5"/>
        <w:jc w:val="center"/>
        <w:rPr>
          <w:rFonts w:eastAsia="方正小标宋简体"/>
          <w:sz w:val="44"/>
          <w:szCs w:val="44"/>
        </w:rPr>
      </w:pPr>
      <w:r>
        <w:rPr>
          <w:rFonts w:eastAsia="方正小标宋简体"/>
          <w:spacing w:val="-6"/>
          <w:sz w:val="44"/>
          <w:szCs w:val="44"/>
        </w:rPr>
        <w:t>的起草说明</w:t>
      </w:r>
      <w:bookmarkEnd w:id="1"/>
    </w:p>
    <w:p>
      <w:pPr>
        <w:spacing w:line="560" w:lineRule="exact"/>
        <w:ind w:firstLine="640" w:firstLineChars="200"/>
        <w:rPr>
          <w:rFonts w:ascii="Times New Roman" w:hAnsi="Times New Roman" w:eastAsia="黑体" w:cs="Times New Roman"/>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Times New Roman" w:hAnsi="Times New Roman" w:eastAsia="黑体" w:cs="Times New Roman"/>
          <w:sz w:val="32"/>
          <w:szCs w:val="32"/>
        </w:rPr>
      </w:pPr>
      <w:r>
        <w:rPr>
          <w:rFonts w:ascii="Times New Roman" w:hAnsi="Times New Roman" w:eastAsia="黑体" w:cs="Times New Roman"/>
          <w:sz w:val="32"/>
          <w:szCs w:val="32"/>
        </w:rPr>
        <w:t>一、起草背景及过程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sz w:val="32"/>
          <w:szCs w:val="32"/>
        </w:rPr>
      </w:pPr>
      <w:bookmarkStart w:id="2" w:name="OLE_LINK11"/>
      <w:bookmarkStart w:id="3" w:name="OLE_LINK9"/>
      <w:r>
        <w:rPr>
          <w:rFonts w:hint="eastAsia" w:ascii="Times New Roman" w:hAnsi="Times New Roman" w:eastAsia="仿宋_GB2312" w:cs="仿宋_GB2312"/>
          <w:sz w:val="32"/>
          <w:szCs w:val="32"/>
          <w:lang w:eastAsia="zh-CN"/>
        </w:rPr>
        <w:t>为深入学习贯彻习近平总书记关于退役军人工作重要论述，进一步加大退役士兵教育培训力度，提升其能力素质和就业创业能力，更好服务经济社会发展，</w:t>
      </w:r>
      <w:r>
        <w:rPr>
          <w:rFonts w:hint="eastAsia" w:ascii="Times New Roman" w:hAnsi="Times New Roman" w:eastAsia="仿宋_GB2312" w:cs="仿宋_GB2312"/>
          <w:sz w:val="32"/>
          <w:szCs w:val="32"/>
          <w:lang w:val="en-US" w:eastAsia="zh-CN"/>
        </w:rPr>
        <w:t>根据</w:t>
      </w:r>
      <w:r>
        <w:rPr>
          <w:rFonts w:hint="eastAsia" w:ascii="Times New Roman" w:hAnsi="Times New Roman" w:eastAsia="仿宋_GB2312" w:cs="仿宋_GB2312"/>
          <w:color w:val="auto"/>
          <w:sz w:val="32"/>
          <w:szCs w:val="32"/>
          <w:lang w:val="en-US" w:eastAsia="zh-CN"/>
        </w:rPr>
        <w:t>《退役军人就业创业促进条例》 （中华人民共和国国务院令第840号）</w:t>
      </w:r>
      <w:r>
        <w:rPr>
          <w:rFonts w:hint="eastAsia" w:eastAsia="仿宋_GB2312" w:cs="仿宋_GB2312"/>
          <w:color w:val="auto"/>
          <w:sz w:val="32"/>
          <w:szCs w:val="32"/>
          <w:lang w:val="en-US" w:eastAsia="zh-CN"/>
        </w:rPr>
        <w:t>、</w:t>
      </w:r>
      <w:r>
        <w:rPr>
          <w:rFonts w:hint="eastAsia" w:ascii="Times New Roman" w:hAnsi="Times New Roman" w:eastAsia="仿宋_GB2312" w:cs="仿宋_GB2312"/>
          <w:sz w:val="32"/>
          <w:szCs w:val="32"/>
          <w:lang w:eastAsia="zh-CN"/>
        </w:rPr>
        <w:t>退役军人事务部等</w:t>
      </w: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lang w:eastAsia="zh-CN"/>
        </w:rPr>
        <w:t>部门《关于全面做好退役士兵教育培训工作的指导意见》（退役军人部发〔2021〕53号）及</w:t>
      </w:r>
      <w:r>
        <w:rPr>
          <w:rFonts w:hint="eastAsia" w:ascii="Times New Roman" w:hAnsi="Times New Roman" w:eastAsia="仿宋_GB2312" w:cs="仿宋_GB2312"/>
          <w:sz w:val="32"/>
          <w:szCs w:val="32"/>
          <w:lang w:val="en-US" w:eastAsia="zh-CN"/>
        </w:rPr>
        <w:t>北京市</w:t>
      </w:r>
      <w:r>
        <w:rPr>
          <w:rFonts w:hint="eastAsia" w:ascii="Times New Roman" w:hAnsi="Times New Roman" w:eastAsia="仿宋_GB2312" w:cs="仿宋_GB2312"/>
          <w:sz w:val="32"/>
          <w:szCs w:val="32"/>
          <w:u w:val="none"/>
          <w:lang w:val="en-US" w:eastAsia="zh-CN"/>
        </w:rPr>
        <w:t>退役军人事务局</w:t>
      </w:r>
      <w:r>
        <w:rPr>
          <w:rFonts w:hint="eastAsia" w:ascii="Times New Roman" w:hAnsi="Times New Roman" w:eastAsia="仿宋_GB2312" w:cs="仿宋_GB2312"/>
          <w:sz w:val="32"/>
          <w:szCs w:val="32"/>
          <w:lang w:val="en-US" w:eastAsia="zh-CN"/>
        </w:rPr>
        <w:t>等6部门《关于全面做好北京市退役士兵教育培训工作的实施意见》（京退役军人局发</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2023</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4号），</w:t>
      </w:r>
      <w:bookmarkEnd w:id="2"/>
      <w:bookmarkEnd w:id="3"/>
      <w:r>
        <w:rPr>
          <w:rFonts w:hint="eastAsia" w:ascii="Times New Roman" w:hAnsi="Times New Roman" w:eastAsia="仿宋_GB2312" w:cs="Times New Roman"/>
          <w:sz w:val="32"/>
          <w:szCs w:val="32"/>
        </w:rPr>
        <w:t>结合本区工作实际，在征求相关部门意见并反复研究修改的基础上，我局牵头起草了《</w:t>
      </w:r>
      <w:r>
        <w:rPr>
          <w:rFonts w:hint="eastAsia" w:ascii="Times New Roman" w:hAnsi="Times New Roman" w:eastAsia="仿宋_GB2312" w:cs="Times New Roman"/>
          <w:sz w:val="32"/>
          <w:szCs w:val="32"/>
          <w:lang w:val="en-US" w:eastAsia="zh-CN"/>
        </w:rPr>
        <w:t>北京市朝阳区退役军人事务局等4部门关于全面做好朝阳区退役士兵教育培训工作的实施方案（征求意见稿）</w:t>
      </w:r>
      <w:r>
        <w:rPr>
          <w:rFonts w:hint="eastAsia" w:ascii="Times New Roman" w:hAnsi="Times New Roman" w:eastAsia="仿宋_GB2312" w:cs="Times New Roman"/>
          <w:sz w:val="32"/>
          <w:szCs w:val="32"/>
        </w:rPr>
        <w:t>》（以下简称《</w:t>
      </w:r>
      <w:r>
        <w:rPr>
          <w:rFonts w:hint="eastAsia" w:ascii="Times New Roman" w:hAnsi="Times New Roman" w:eastAsia="仿宋_GB2312" w:cs="Times New Roman"/>
          <w:sz w:val="32"/>
          <w:szCs w:val="32"/>
          <w:lang w:eastAsia="zh-CN"/>
        </w:rPr>
        <w:t>实施方案</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Times New Roman" w:hAnsi="Times New Roman" w:eastAsia="黑体" w:cs="Times New Roman"/>
          <w:sz w:val="32"/>
          <w:szCs w:val="32"/>
        </w:rPr>
      </w:pPr>
      <w:r>
        <w:rPr>
          <w:rFonts w:ascii="Times New Roman" w:hAnsi="Times New Roman" w:eastAsia="黑体" w:cs="Times New Roman"/>
          <w:sz w:val="32"/>
          <w:szCs w:val="32"/>
        </w:rPr>
        <w:t>二、起草文件的主要考虑</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仿宋_GB2312" w:cs="Times New Roman"/>
          <w:color w:val="auto"/>
          <w:sz w:val="32"/>
          <w:szCs w:val="32"/>
          <w:lang w:eastAsia="zh-CN"/>
        </w:rPr>
      </w:pPr>
      <w:r>
        <w:rPr>
          <w:rFonts w:hint="eastAsia" w:ascii="楷体_GB2312" w:hAnsi="楷体_GB2312" w:eastAsia="楷体_GB2312" w:cs="楷体_GB2312"/>
          <w:color w:val="auto"/>
          <w:sz w:val="32"/>
          <w:szCs w:val="32"/>
          <w:lang w:eastAsia="zh-CN"/>
        </w:rPr>
        <w:t>一是落实政策衔接与配套的迫切需要。</w:t>
      </w:r>
      <w:r>
        <w:rPr>
          <w:rFonts w:hint="eastAsia" w:ascii="Times New Roman" w:hAnsi="Times New Roman" w:eastAsia="仿宋_GB2312" w:cs="Times New Roman"/>
          <w:color w:val="auto"/>
          <w:sz w:val="32"/>
          <w:szCs w:val="32"/>
          <w:lang w:eastAsia="zh-CN"/>
        </w:rPr>
        <w:t>《中华人民共和国退役军人保障法》颁布实施后，国家和市级层面相继出台了退役士兵教育培训配套政策，对相关工作提出了系统、明确的新要求。为全面对接上级部署，做好我区政策的衔接配套，确保各项规定落地见效，亟需完善本区退役士兵教育培训政策文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仿宋_GB2312" w:cs="Times New Roman"/>
          <w:color w:val="auto"/>
          <w:sz w:val="32"/>
          <w:szCs w:val="32"/>
          <w:lang w:eastAsia="zh-CN"/>
        </w:rPr>
      </w:pPr>
      <w:r>
        <w:rPr>
          <w:rFonts w:hint="eastAsia" w:ascii="楷体_GB2312" w:hAnsi="楷体_GB2312" w:eastAsia="楷体_GB2312" w:cs="楷体_GB2312"/>
          <w:color w:val="auto"/>
          <w:sz w:val="32"/>
          <w:szCs w:val="32"/>
        </w:rPr>
        <w:t>二是</w:t>
      </w:r>
      <w:r>
        <w:rPr>
          <w:rFonts w:hint="eastAsia" w:ascii="楷体_GB2312" w:hAnsi="楷体_GB2312" w:eastAsia="楷体_GB2312" w:cs="楷体_GB2312"/>
          <w:color w:val="auto"/>
          <w:sz w:val="32"/>
          <w:szCs w:val="32"/>
          <w:lang w:val="en-US" w:eastAsia="zh-CN"/>
        </w:rPr>
        <w:t>健全</w:t>
      </w:r>
      <w:r>
        <w:rPr>
          <w:rFonts w:hint="eastAsia" w:ascii="楷体_GB2312" w:hAnsi="楷体_GB2312" w:eastAsia="楷体_GB2312" w:cs="楷体_GB2312"/>
          <w:color w:val="auto"/>
          <w:sz w:val="32"/>
          <w:szCs w:val="32"/>
          <w:lang w:eastAsia="zh-CN"/>
        </w:rPr>
        <w:t>退役士兵教育培训体系的内在要求</w:t>
      </w:r>
      <w:r>
        <w:rPr>
          <w:rFonts w:hint="eastAsia" w:ascii="楷体_GB2312" w:hAnsi="楷体_GB2312" w:eastAsia="楷体_GB2312" w:cs="楷体_GB2312"/>
          <w:color w:val="auto"/>
          <w:sz w:val="32"/>
          <w:szCs w:val="32"/>
        </w:rPr>
        <w:t>。</w:t>
      </w:r>
      <w:r>
        <w:rPr>
          <w:rFonts w:hint="eastAsia" w:ascii="Times New Roman" w:hAnsi="Times New Roman" w:eastAsia="仿宋_GB2312" w:cs="Times New Roman"/>
          <w:color w:val="auto"/>
          <w:sz w:val="32"/>
          <w:szCs w:val="32"/>
        </w:rPr>
        <w:t>立足退役士兵实际需求</w:t>
      </w:r>
      <w:r>
        <w:rPr>
          <w:rFonts w:hint="eastAsia" w:ascii="楷体_GB2312" w:hAnsi="楷体_GB2312" w:eastAsia="楷体_GB2312" w:cs="楷体_GB2312"/>
          <w:color w:val="auto"/>
          <w:sz w:val="32"/>
          <w:szCs w:val="32"/>
        </w:rPr>
        <w:t>，</w:t>
      </w:r>
      <w:r>
        <w:rPr>
          <w:rFonts w:hint="eastAsia" w:ascii="Times New Roman" w:hAnsi="Times New Roman" w:eastAsia="仿宋_GB2312" w:cs="Times New Roman"/>
          <w:color w:val="auto"/>
          <w:sz w:val="32"/>
          <w:szCs w:val="32"/>
        </w:rPr>
        <w:t>建立</w:t>
      </w:r>
      <w:r>
        <w:rPr>
          <w:rFonts w:hint="eastAsia" w:ascii="Times New Roman" w:hAnsi="Times New Roman" w:eastAsia="仿宋_GB2312" w:cs="Times New Roman"/>
          <w:color w:val="auto"/>
          <w:sz w:val="32"/>
          <w:szCs w:val="32"/>
          <w:lang w:eastAsia="zh-CN"/>
        </w:rPr>
        <w:t>健全</w:t>
      </w:r>
      <w:r>
        <w:rPr>
          <w:rFonts w:hint="eastAsia" w:ascii="Times New Roman" w:hAnsi="Times New Roman" w:eastAsia="仿宋_GB2312" w:cs="Times New Roman"/>
          <w:color w:val="auto"/>
          <w:sz w:val="32"/>
          <w:szCs w:val="32"/>
        </w:rPr>
        <w:t>适应性培训、职业技能培训、学历教育和终身学习</w:t>
      </w:r>
      <w:r>
        <w:rPr>
          <w:rFonts w:hint="eastAsia" w:ascii="Times New Roman" w:hAnsi="Times New Roman" w:eastAsia="仿宋_GB2312" w:cs="Times New Roman"/>
          <w:color w:val="auto"/>
          <w:sz w:val="32"/>
          <w:szCs w:val="32"/>
          <w:lang w:eastAsia="zh-CN"/>
        </w:rPr>
        <w:t>相结合</w:t>
      </w:r>
      <w:r>
        <w:rPr>
          <w:rFonts w:hint="eastAsia" w:ascii="Times New Roman" w:hAnsi="Times New Roman" w:eastAsia="仿宋_GB2312" w:cs="Times New Roman"/>
          <w:color w:val="auto"/>
          <w:sz w:val="32"/>
          <w:szCs w:val="32"/>
        </w:rPr>
        <w:t>的教育培训体系</w:t>
      </w:r>
      <w:r>
        <w:rPr>
          <w:rFonts w:hint="eastAsia" w:ascii="Times New Roman" w:hAnsi="Times New Roman" w:eastAsia="仿宋_GB2312" w:cs="Times New Roman"/>
          <w:color w:val="auto"/>
          <w:sz w:val="32"/>
          <w:szCs w:val="32"/>
          <w:lang w:eastAsia="zh-CN"/>
        </w:rPr>
        <w:t>，帮助退役士兵优化知识结构、提高思想政治水平、职业技能水平和综合职业素养，促进更加充分、更高质量</w:t>
      </w:r>
      <w:r>
        <w:rPr>
          <w:rFonts w:hint="eastAsia" w:ascii="Times New Roman" w:hAnsi="Times New Roman" w:eastAsia="仿宋_GB2312" w:cs="Times New Roman"/>
          <w:color w:val="auto"/>
          <w:sz w:val="32"/>
          <w:szCs w:val="32"/>
          <w:lang w:eastAsia="zh-CN"/>
        </w:rPr>
        <w:t>就业。</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三、主要内容说明</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Times New Roman" w:hAnsi="Times New Roman" w:eastAsia="仿宋_GB2312" w:cs="Times New Roman"/>
          <w:color w:val="auto"/>
          <w:sz w:val="32"/>
          <w:szCs w:val="32"/>
        </w:rPr>
      </w:pPr>
      <w:r>
        <w:rPr>
          <w:rFonts w:hint="eastAsia" w:eastAsia="仿宋_GB2312"/>
          <w:color w:val="auto"/>
          <w:sz w:val="32"/>
          <w:szCs w:val="32"/>
          <w:lang w:eastAsia="zh-CN"/>
        </w:rPr>
        <w:t>《实施方案》主要包括适应性培训、</w:t>
      </w:r>
      <w:bookmarkStart w:id="4" w:name="OLE_LINK3"/>
      <w:r>
        <w:rPr>
          <w:rFonts w:hint="eastAsia" w:eastAsia="仿宋_GB2312"/>
          <w:color w:val="auto"/>
          <w:sz w:val="32"/>
          <w:szCs w:val="32"/>
          <w:lang w:eastAsia="zh-CN"/>
        </w:rPr>
        <w:t>职业技能培训</w:t>
      </w:r>
      <w:bookmarkEnd w:id="4"/>
      <w:r>
        <w:rPr>
          <w:rFonts w:hint="eastAsia" w:eastAsia="仿宋_GB2312"/>
          <w:color w:val="auto"/>
          <w:sz w:val="32"/>
          <w:szCs w:val="32"/>
          <w:lang w:eastAsia="zh-CN"/>
        </w:rPr>
        <w:t>、非全日制学历提升、终身教育培训、工作要求五个部分</w:t>
      </w:r>
      <w:r>
        <w:rPr>
          <w:rFonts w:ascii="Times New Roman" w:hAnsi="Times New Roman" w:eastAsia="仿宋_GB2312" w:cs="Times New Roman"/>
          <w:color w:val="auto"/>
          <w:sz w:val="32"/>
          <w:szCs w:val="32"/>
        </w:rPr>
        <w:t>，主要内容如下：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Times New Roman" w:hAnsi="Times New Roman" w:eastAsia="仿宋_GB2312" w:cs="仿宋_GB2312"/>
          <w:color w:val="auto"/>
          <w:sz w:val="32"/>
          <w:szCs w:val="32"/>
          <w:lang w:eastAsia="zh-CN"/>
        </w:rPr>
      </w:pPr>
      <w:bookmarkStart w:id="5" w:name="_Toc1590620335_WPSOffice_Level1"/>
      <w:r>
        <w:rPr>
          <w:rFonts w:hint="eastAsia" w:ascii="仿宋_GB2312" w:hAnsi="仿宋_GB2312" w:eastAsia="仿宋_GB2312" w:cs="仿宋_GB2312"/>
          <w:b/>
          <w:bCs/>
          <w:color w:val="auto"/>
          <w:sz w:val="32"/>
          <w:szCs w:val="32"/>
          <w:lang w:eastAsia="zh-CN"/>
        </w:rPr>
        <w:t>（一）适应性培训。</w:t>
      </w:r>
      <w:r>
        <w:rPr>
          <w:rFonts w:hint="eastAsia" w:ascii="楷体_GB2312" w:hAnsi="楷体_GB2312" w:eastAsia="楷体_GB2312" w:cs="楷体_GB2312"/>
          <w:b w:val="0"/>
          <w:bCs w:val="0"/>
          <w:color w:val="auto"/>
          <w:sz w:val="32"/>
          <w:szCs w:val="32"/>
          <w:lang w:eastAsia="zh-CN"/>
        </w:rPr>
        <w:t>一是配合开展离队前教育。</w:t>
      </w:r>
      <w:r>
        <w:rPr>
          <w:rFonts w:hint="eastAsia" w:ascii="Times New Roman" w:hAnsi="Times New Roman" w:eastAsia="仿宋_GB2312" w:cs="仿宋_GB2312"/>
          <w:b w:val="0"/>
          <w:bCs w:val="0"/>
          <w:color w:val="auto"/>
          <w:sz w:val="32"/>
          <w:szCs w:val="32"/>
          <w:lang w:val="en-US" w:eastAsia="zh-CN"/>
        </w:rPr>
        <w:t>区</w:t>
      </w:r>
      <w:r>
        <w:rPr>
          <w:rFonts w:hint="eastAsia" w:ascii="Times New Roman" w:hAnsi="Times New Roman" w:eastAsia="仿宋_GB2312" w:cs="仿宋_GB2312"/>
          <w:color w:val="auto"/>
          <w:sz w:val="32"/>
          <w:szCs w:val="32"/>
          <w:lang w:eastAsia="zh-CN"/>
        </w:rPr>
        <w:t>退役军人事务局配合驻区部队，按需开展职业技能储备培训和离队前教育，帮助退役士兵提前储备职业技能。</w:t>
      </w:r>
      <w:r>
        <w:rPr>
          <w:rFonts w:hint="eastAsia" w:ascii="楷体_GB2312" w:hAnsi="楷体_GB2312" w:eastAsia="楷体_GB2312" w:cs="楷体_GB2312"/>
          <w:b w:val="0"/>
          <w:bCs w:val="0"/>
          <w:color w:val="auto"/>
          <w:sz w:val="32"/>
          <w:szCs w:val="32"/>
          <w:lang w:eastAsia="zh-CN"/>
        </w:rPr>
        <w:t>二是组织全员适应性培训。</w:t>
      </w:r>
      <w:r>
        <w:rPr>
          <w:rFonts w:hint="eastAsia" w:ascii="Times New Roman" w:hAnsi="Times New Roman" w:eastAsia="仿宋_GB2312" w:cs="仿宋_GB2312"/>
          <w:color w:val="auto"/>
          <w:sz w:val="32"/>
          <w:szCs w:val="32"/>
          <w:lang w:eastAsia="zh-CN"/>
        </w:rPr>
        <w:t>面向本区接收的自主就业退役士兵，</w:t>
      </w:r>
      <w:r>
        <w:rPr>
          <w:rFonts w:hint="eastAsia" w:ascii="Times New Roman" w:hAnsi="Times New Roman" w:eastAsia="仿宋_GB2312" w:cs="仿宋_GB2312"/>
          <w:color w:val="auto"/>
          <w:sz w:val="32"/>
          <w:szCs w:val="32"/>
          <w:highlight w:val="none"/>
          <w:lang w:eastAsia="zh-CN"/>
        </w:rPr>
        <w:t>在返乡报到后及时组织实施</w:t>
      </w:r>
      <w:r>
        <w:rPr>
          <w:rFonts w:hint="eastAsia" w:ascii="Times New Roman" w:hAnsi="Times New Roman" w:eastAsia="仿宋_GB2312" w:cs="仿宋_GB2312"/>
          <w:color w:val="auto"/>
          <w:sz w:val="32"/>
          <w:szCs w:val="32"/>
          <w:lang w:eastAsia="zh-CN"/>
        </w:rPr>
        <w:t>适应性培训，做到</w:t>
      </w:r>
      <w:r>
        <w:rPr>
          <w:rFonts w:hint="eastAsia" w:ascii="Times New Roman" w:hAnsi="Times New Roman" w:eastAsia="仿宋_GB2312" w:cs="仿宋_GB2312"/>
          <w:color w:val="auto"/>
          <w:sz w:val="32"/>
          <w:szCs w:val="32"/>
          <w:highlight w:val="none"/>
          <w:lang w:eastAsia="zh-CN"/>
        </w:rPr>
        <w:t>即退即训、全员参与，培训</w:t>
      </w:r>
      <w:r>
        <w:rPr>
          <w:rFonts w:hint="eastAsia" w:ascii="Times New Roman" w:hAnsi="Times New Roman" w:eastAsia="仿宋_GB2312" w:cs="仿宋_GB2312"/>
          <w:color w:val="auto"/>
          <w:sz w:val="32"/>
          <w:szCs w:val="32"/>
          <w:lang w:eastAsia="zh-CN"/>
        </w:rPr>
        <w:t>时长不少于80学时，帮助其尽快转变角色、融入社会。每年按照不低于每人500元的标准和本年接收自主就业退役士兵计划人数，安排适应性培训经费预算，纳入区财政年度预算保障。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Times New Roman" w:hAnsi="Times New Roman"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lang w:eastAsia="zh-CN"/>
        </w:rPr>
        <w:t>（二）职业技能培训。</w:t>
      </w:r>
      <w:r>
        <w:rPr>
          <w:rFonts w:hint="eastAsia" w:ascii="楷体_GB2312" w:hAnsi="楷体_GB2312" w:eastAsia="楷体_GB2312" w:cs="楷体_GB2312"/>
          <w:b w:val="0"/>
          <w:bCs w:val="0"/>
          <w:color w:val="auto"/>
          <w:sz w:val="32"/>
          <w:szCs w:val="32"/>
          <w:lang w:val="en-US" w:eastAsia="zh-CN"/>
        </w:rPr>
        <w:t>一是明确培训对象。</w:t>
      </w:r>
      <w:r>
        <w:rPr>
          <w:rFonts w:hint="eastAsia" w:ascii="Times New Roman" w:hAnsi="Times New Roman" w:eastAsia="仿宋_GB2312" w:cs="仿宋_GB2312"/>
          <w:color w:val="auto"/>
          <w:sz w:val="32"/>
          <w:szCs w:val="32"/>
          <w:lang w:val="en-US" w:eastAsia="zh-CN"/>
        </w:rPr>
        <w:t>2011年11月1日以后由朝阳</w:t>
      </w:r>
      <w:r>
        <w:rPr>
          <w:rFonts w:hint="eastAsia" w:ascii="Times New Roman" w:hAnsi="Times New Roman" w:eastAsia="仿宋_GB2312" w:cs="仿宋_GB2312"/>
          <w:color w:val="auto"/>
          <w:sz w:val="32"/>
          <w:szCs w:val="32"/>
          <w:lang w:eastAsia="zh-CN"/>
        </w:rPr>
        <w:t>区接收的</w:t>
      </w:r>
      <w:r>
        <w:rPr>
          <w:rFonts w:hint="eastAsia" w:ascii="Times New Roman" w:hAnsi="Times New Roman" w:eastAsia="仿宋_GB2312" w:cs="仿宋_GB2312"/>
          <w:color w:val="auto"/>
          <w:sz w:val="32"/>
          <w:szCs w:val="32"/>
          <w:lang w:val="en-US" w:eastAsia="zh-CN"/>
        </w:rPr>
        <w:t>自主就业退役士兵，</w:t>
      </w:r>
      <w:r>
        <w:rPr>
          <w:rFonts w:hint="eastAsia" w:ascii="Times New Roman" w:hAnsi="Times New Roman" w:eastAsia="仿宋_GB2312" w:cs="仿宋_GB2312"/>
          <w:color w:val="auto"/>
          <w:sz w:val="32"/>
          <w:szCs w:val="32"/>
          <w:lang w:eastAsia="zh-CN"/>
        </w:rPr>
        <w:t>可在达到法定退休年龄前接受一次免费职业技能培训，</w:t>
      </w:r>
      <w:r>
        <w:rPr>
          <w:rFonts w:hint="eastAsia" w:ascii="仿宋_GB2312" w:hAnsi="仿宋_GB2312" w:eastAsia="仿宋_GB2312" w:cs="仿宋_GB2312"/>
          <w:color w:val="auto"/>
          <w:sz w:val="32"/>
          <w:szCs w:val="32"/>
          <w:u w:val="none"/>
          <w:shd w:val="clear" w:color="auto" w:fill="auto"/>
          <w:lang w:val="en-US" w:eastAsia="zh-CN"/>
        </w:rPr>
        <w:t>已享受过免费职业技能培训的，不再重复享受该政策。</w:t>
      </w:r>
      <w:r>
        <w:rPr>
          <w:rFonts w:hint="eastAsia" w:ascii="楷体_GB2312" w:hAnsi="楷体_GB2312" w:eastAsia="楷体_GB2312" w:cs="楷体_GB2312"/>
          <w:b w:val="0"/>
          <w:bCs w:val="0"/>
          <w:color w:val="auto"/>
          <w:sz w:val="32"/>
          <w:szCs w:val="32"/>
          <w:lang w:val="en-US" w:eastAsia="zh-CN"/>
        </w:rPr>
        <w:t>二是拓宽承训机构范围。</w:t>
      </w:r>
      <w:r>
        <w:rPr>
          <w:rFonts w:hint="eastAsia" w:ascii="Times New Roman" w:hAnsi="Times New Roman" w:eastAsia="仿宋_GB2312" w:cs="仿宋_GB2312"/>
          <w:color w:val="auto"/>
          <w:sz w:val="32"/>
          <w:szCs w:val="32"/>
          <w:lang w:eastAsia="zh-CN"/>
        </w:rPr>
        <w:t>退役士兵除在</w:t>
      </w:r>
      <w:r>
        <w:rPr>
          <w:rFonts w:hint="eastAsia" w:eastAsia="仿宋_GB2312" w:cs="仿宋_GB2312"/>
          <w:color w:val="auto"/>
          <w:sz w:val="32"/>
          <w:szCs w:val="32"/>
          <w:lang w:val="en-US" w:eastAsia="zh-CN" w:bidi="ar-SA"/>
        </w:rPr>
        <w:t>本区退役士兵职业技能培训机构目录选择培训机构外，还可以</w:t>
      </w:r>
      <w:r>
        <w:rPr>
          <w:rFonts w:hint="eastAsia" w:ascii="Times New Roman" w:hAnsi="Times New Roman" w:eastAsia="仿宋_GB2312" w:cs="仿宋_GB2312"/>
          <w:color w:val="auto"/>
          <w:sz w:val="32"/>
          <w:szCs w:val="32"/>
          <w:highlight w:val="none"/>
          <w:lang w:val="en-US" w:eastAsia="zh-CN"/>
        </w:rPr>
        <w:t>根据个人意愿和需求</w:t>
      </w:r>
      <w:r>
        <w:rPr>
          <w:rFonts w:hint="eastAsia" w:eastAsia="仿宋_GB2312" w:cs="仿宋_GB2312"/>
          <w:color w:val="auto"/>
          <w:sz w:val="32"/>
          <w:szCs w:val="32"/>
          <w:highlight w:val="none"/>
          <w:lang w:val="en-US" w:eastAsia="zh-CN"/>
        </w:rPr>
        <w:t>在本区培训机构目录以外的培训机构参加培训，北京市行政区域内</w:t>
      </w:r>
      <w:r>
        <w:rPr>
          <w:rFonts w:hint="eastAsia" w:eastAsia="仿宋_GB2312" w:cs="仿宋_GB2312"/>
          <w:color w:val="auto"/>
          <w:sz w:val="32"/>
          <w:szCs w:val="32"/>
          <w:lang w:val="en-US" w:eastAsia="zh-CN" w:bidi="ar-SA"/>
        </w:rPr>
        <w:t>取得人力资源和社会保障行政部门或教育行政部门颁发的办学许可证、具有职业技能培训资质的社会培训机构，技工学校（院）和普通高等学校、高等职业学校继续教育机构，</w:t>
      </w:r>
      <w:r>
        <w:rPr>
          <w:rFonts w:hint="eastAsia" w:ascii="Times New Roman" w:hAnsi="Times New Roman" w:eastAsia="仿宋_GB2312" w:cs="仿宋_GB2312"/>
          <w:color w:val="auto"/>
          <w:sz w:val="32"/>
          <w:szCs w:val="32"/>
          <w:highlight w:val="none"/>
          <w:lang w:val="en-US" w:eastAsia="zh-CN"/>
        </w:rPr>
        <w:t>全国退役军人就业创业信息管理系统教育培训管理模块内的培训机构均纳入职业技能培训机构范围</w:t>
      </w:r>
      <w:r>
        <w:rPr>
          <w:rFonts w:hint="eastAsia" w:eastAsia="仿宋_GB2312" w:cs="仿宋_GB2312"/>
          <w:color w:val="auto"/>
          <w:sz w:val="32"/>
          <w:szCs w:val="32"/>
          <w:highlight w:val="none"/>
          <w:lang w:val="en-US" w:eastAsia="zh-CN"/>
        </w:rPr>
        <w:t>。</w:t>
      </w:r>
      <w:r>
        <w:rPr>
          <w:rFonts w:hint="eastAsia" w:ascii="楷体_GB2312" w:hAnsi="楷体_GB2312" w:eastAsia="楷体_GB2312" w:cs="楷体_GB2312"/>
          <w:b w:val="0"/>
          <w:bCs w:val="0"/>
          <w:color w:val="auto"/>
          <w:sz w:val="32"/>
          <w:szCs w:val="32"/>
          <w:lang w:val="en-US" w:eastAsia="zh-CN"/>
        </w:rPr>
        <w:t>三是明确经费保障标准。</w:t>
      </w:r>
      <w:r>
        <w:rPr>
          <w:rFonts w:hint="eastAsia" w:ascii="Times New Roman" w:hAnsi="Times New Roman" w:eastAsia="仿宋_GB2312" w:cs="仿宋_GB2312"/>
          <w:color w:val="auto"/>
          <w:sz w:val="32"/>
          <w:szCs w:val="32"/>
          <w:highlight w:val="none"/>
          <w:lang w:val="en-US" w:eastAsia="zh-CN"/>
        </w:rPr>
        <w:t>职业技能培训经费由中央、市、区财政共同负担</w:t>
      </w:r>
      <w:r>
        <w:rPr>
          <w:rFonts w:hint="eastAsia" w:eastAsia="仿宋_GB2312" w:cs="仿宋_GB2312"/>
          <w:color w:val="auto"/>
          <w:sz w:val="32"/>
          <w:szCs w:val="32"/>
          <w:highlight w:val="none"/>
          <w:lang w:val="en-US" w:eastAsia="zh-CN"/>
        </w:rPr>
        <w:t>，区级补助标准按照市级标准</w:t>
      </w:r>
      <w:r>
        <w:rPr>
          <w:rFonts w:hint="default" w:ascii="Times New Roman" w:hAnsi="Times New Roman" w:eastAsia="仿宋_GB2312" w:cs="Times New Roman"/>
          <w:color w:val="auto"/>
          <w:sz w:val="32"/>
          <w:szCs w:val="32"/>
          <w:highlight w:val="none"/>
          <w:lang w:val="en-US" w:eastAsia="zh-CN"/>
        </w:rPr>
        <w:t>1:1</w:t>
      </w:r>
      <w:r>
        <w:rPr>
          <w:rFonts w:hint="eastAsia" w:eastAsia="仿宋_GB2312" w:cs="仿宋_GB2312"/>
          <w:color w:val="auto"/>
          <w:sz w:val="32"/>
          <w:szCs w:val="32"/>
          <w:highlight w:val="none"/>
          <w:lang w:val="en-US" w:eastAsia="zh-CN"/>
        </w:rPr>
        <w:t>配套补助，优先使用转移支付资金，</w:t>
      </w:r>
      <w:r>
        <w:rPr>
          <w:rFonts w:hint="eastAsia" w:ascii="FangSong_GB2312" w:hAnsi="FangSong_GB2312" w:eastAsia="FangSong_GB2312"/>
          <w:color w:val="auto"/>
          <w:sz w:val="32"/>
          <w:lang w:eastAsia="zh-CN"/>
        </w:rPr>
        <w:t>如转移支付资金标准调整，则职业技能培训补助标</w:t>
      </w:r>
      <w:r>
        <w:rPr>
          <w:rFonts w:hint="eastAsia" w:ascii="FangSong_GB2312" w:hAnsi="FangSong_GB2312" w:eastAsia="FangSong_GB2312"/>
          <w:color w:val="auto"/>
          <w:sz w:val="32"/>
          <w:highlight w:val="none"/>
          <w:lang w:eastAsia="zh-CN"/>
        </w:rPr>
        <w:t>准随之调整。</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bCs/>
          <w:color w:val="auto"/>
          <w:sz w:val="32"/>
          <w:szCs w:val="32"/>
          <w:lang w:val="en-US" w:eastAsia="zh-CN"/>
        </w:rPr>
        <w:t>（三）非全日制学历提升。</w:t>
      </w:r>
      <w:r>
        <w:rPr>
          <w:rFonts w:hint="eastAsia" w:ascii="楷体_GB2312" w:hAnsi="楷体_GB2312" w:eastAsia="楷体_GB2312" w:cs="楷体_GB2312"/>
          <w:b w:val="0"/>
          <w:bCs w:val="0"/>
          <w:color w:val="auto"/>
          <w:sz w:val="32"/>
          <w:szCs w:val="32"/>
          <w:lang w:val="en-US" w:eastAsia="zh-CN"/>
        </w:rPr>
        <w:t>一是明确院校范围。</w:t>
      </w:r>
      <w:r>
        <w:rPr>
          <w:rFonts w:hint="eastAsia" w:ascii="仿宋_GB2312" w:hAnsi="仿宋_GB2312" w:eastAsia="仿宋_GB2312" w:cs="仿宋_GB2312"/>
          <w:color w:val="auto"/>
          <w:kern w:val="2"/>
          <w:sz w:val="32"/>
          <w:szCs w:val="32"/>
          <w:highlight w:val="none"/>
          <w:lang w:val="en-US" w:eastAsia="zh-CN" w:bidi="ar-SA"/>
        </w:rPr>
        <w:t>自主就业退役士兵在退役</w:t>
      </w:r>
      <w:r>
        <w:rPr>
          <w:rFonts w:hint="eastAsia" w:ascii="Times New Roman" w:hAnsi="Times New Roman" w:eastAsia="仿宋_GB2312" w:cs="仿宋_GB2312"/>
          <w:color w:val="auto"/>
          <w:kern w:val="2"/>
          <w:sz w:val="32"/>
          <w:szCs w:val="32"/>
          <w:highlight w:val="none"/>
          <w:lang w:val="en-US" w:eastAsia="zh-CN" w:bidi="ar-SA"/>
        </w:rPr>
        <w:t>1</w:t>
      </w:r>
      <w:r>
        <w:rPr>
          <w:rFonts w:hint="eastAsia" w:ascii="仿宋_GB2312" w:hAnsi="仿宋_GB2312" w:eastAsia="仿宋_GB2312" w:cs="仿宋_GB2312"/>
          <w:color w:val="auto"/>
          <w:kern w:val="2"/>
          <w:sz w:val="32"/>
          <w:szCs w:val="32"/>
          <w:highlight w:val="none"/>
          <w:lang w:val="en-US" w:eastAsia="zh-CN" w:bidi="ar-SA"/>
        </w:rPr>
        <w:t>年内，可参加本区指定院校</w:t>
      </w:r>
      <w:r>
        <w:rPr>
          <w:rFonts w:hint="eastAsia" w:ascii="仿宋_GB2312" w:hAnsi="仿宋_GB2312" w:eastAsia="仿宋_GB2312" w:cs="仿宋_GB2312"/>
          <w:color w:val="auto"/>
          <w:sz w:val="32"/>
          <w:szCs w:val="32"/>
          <w:lang w:eastAsia="zh-CN"/>
        </w:rPr>
        <w:t>朝阳区职工大学（北京开放大学朝阳分校）</w:t>
      </w:r>
      <w:r>
        <w:rPr>
          <w:rFonts w:hint="eastAsia" w:ascii="仿宋_GB2312" w:hAnsi="仿宋_GB2312" w:eastAsia="仿宋_GB2312" w:cs="仿宋_GB2312"/>
          <w:color w:val="auto"/>
          <w:kern w:val="2"/>
          <w:sz w:val="32"/>
          <w:szCs w:val="32"/>
          <w:highlight w:val="none"/>
          <w:lang w:val="en-US" w:eastAsia="zh-CN" w:bidi="ar-SA"/>
        </w:rPr>
        <w:t>非全日制本专科学历教育；</w:t>
      </w:r>
      <w:r>
        <w:rPr>
          <w:rFonts w:hint="eastAsia" w:eastAsia="仿宋_GB2312" w:cs="仿宋_GB2312"/>
          <w:color w:val="auto"/>
          <w:sz w:val="32"/>
          <w:szCs w:val="32"/>
          <w:lang w:val="en-US" w:eastAsia="zh-CN" w:bidi="ar-SA"/>
        </w:rPr>
        <w:t>也可</w:t>
      </w:r>
      <w:r>
        <w:rPr>
          <w:rFonts w:hint="eastAsia" w:ascii="Times New Roman" w:hAnsi="Times New Roman" w:eastAsia="仿宋_GB2312" w:cs="仿宋_GB2312"/>
          <w:color w:val="auto"/>
          <w:sz w:val="32"/>
          <w:szCs w:val="32"/>
          <w:highlight w:val="none"/>
          <w:lang w:val="en-US" w:eastAsia="zh-CN"/>
        </w:rPr>
        <w:t>根据个人意愿和需求，</w:t>
      </w:r>
      <w:r>
        <w:rPr>
          <w:rFonts w:hint="eastAsia" w:ascii="仿宋_GB2312" w:hAnsi="仿宋_GB2312" w:eastAsia="仿宋_GB2312" w:cs="仿宋_GB2312"/>
          <w:color w:val="auto"/>
          <w:kern w:val="2"/>
          <w:sz w:val="32"/>
          <w:szCs w:val="32"/>
          <w:highlight w:val="none"/>
          <w:lang w:val="en-US" w:eastAsia="zh-CN" w:bidi="ar-SA"/>
        </w:rPr>
        <w:t>在本市范围内其他具有非全日制学历教育招生资格的院校参加非全日制本专科学历教育。</w:t>
      </w:r>
      <w:r>
        <w:rPr>
          <w:rFonts w:hint="eastAsia" w:ascii="楷体_GB2312" w:hAnsi="楷体_GB2312" w:eastAsia="楷体_GB2312" w:cs="楷体_GB2312"/>
          <w:b w:val="0"/>
          <w:bCs w:val="0"/>
          <w:color w:val="auto"/>
          <w:sz w:val="32"/>
          <w:szCs w:val="32"/>
          <w:lang w:val="en-US" w:eastAsia="zh-CN"/>
        </w:rPr>
        <w:t>二是明确经费保障标准。</w:t>
      </w:r>
      <w:r>
        <w:rPr>
          <w:rFonts w:hint="eastAsia" w:ascii="FangSong_GB2312" w:hAnsi="FangSong_GB2312" w:eastAsia="FangSong_GB2312"/>
          <w:color w:val="auto"/>
          <w:sz w:val="32"/>
          <w:highlight w:val="none"/>
        </w:rPr>
        <w:t>非全日制学历提升</w:t>
      </w:r>
      <w:r>
        <w:rPr>
          <w:rFonts w:hint="eastAsia" w:eastAsia="仿宋_GB2312" w:cs="仿宋_GB2312"/>
          <w:color w:val="auto"/>
          <w:sz w:val="32"/>
          <w:szCs w:val="32"/>
          <w:highlight w:val="none"/>
          <w:lang w:val="en-US" w:eastAsia="zh-CN"/>
        </w:rPr>
        <w:t>经费由市财政通过专项转移支付补助保障，</w:t>
      </w:r>
      <w:r>
        <w:rPr>
          <w:rFonts w:hint="eastAsia" w:ascii="仿宋_GB2312" w:hAnsi="仿宋_GB2312" w:eastAsia="仿宋_GB2312" w:cs="仿宋_GB2312"/>
          <w:color w:val="auto"/>
          <w:kern w:val="2"/>
          <w:sz w:val="32"/>
          <w:szCs w:val="32"/>
          <w:highlight w:val="none"/>
          <w:lang w:val="en-US" w:eastAsia="zh-CN" w:bidi="ar-SA"/>
        </w:rPr>
        <w:t>自主就业退役士兵</w:t>
      </w:r>
      <w:r>
        <w:rPr>
          <w:rFonts w:hint="eastAsia" w:eastAsia="仿宋_GB2312" w:cs="仿宋_GB2312"/>
          <w:color w:val="auto"/>
          <w:sz w:val="32"/>
          <w:szCs w:val="32"/>
          <w:highlight w:val="none"/>
          <w:lang w:val="en-US" w:eastAsia="zh-CN"/>
        </w:rPr>
        <w:t>在</w:t>
      </w:r>
      <w:r>
        <w:rPr>
          <w:rFonts w:hint="eastAsia" w:ascii="仿宋_GB2312" w:hAnsi="仿宋_GB2312" w:eastAsia="仿宋_GB2312" w:cs="仿宋_GB2312"/>
          <w:b w:val="0"/>
          <w:bCs w:val="0"/>
          <w:color w:val="auto"/>
          <w:sz w:val="32"/>
          <w:szCs w:val="32"/>
          <w:u w:val="none"/>
          <w:lang w:eastAsia="zh-CN"/>
        </w:rPr>
        <w:t>区退役军人事务部门申请备案后，于</w:t>
      </w:r>
      <w:r>
        <w:rPr>
          <w:rFonts w:hint="eastAsia" w:ascii="Times New Roman" w:hAnsi="Times New Roman" w:eastAsia="仿宋_GB2312" w:cs="仿宋_GB2312"/>
          <w:color w:val="auto"/>
          <w:sz w:val="32"/>
          <w:szCs w:val="32"/>
          <w:highlight w:val="none"/>
          <w:u w:val="none"/>
          <w:lang w:val="en-US" w:eastAsia="zh-CN"/>
        </w:rPr>
        <w:t>毕业1年内可申请报销学费补助，标准为每人每年不超过5000元。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Times New Roman" w:hAnsi="Times New Roman" w:eastAsia="仿宋_GB2312" w:cs="仿宋_GB2312"/>
          <w:sz w:val="32"/>
          <w:szCs w:val="32"/>
          <w:highlight w:val="none"/>
          <w:lang w:val="en-US" w:eastAsia="zh-CN"/>
        </w:rPr>
      </w:pPr>
      <w:r>
        <w:rPr>
          <w:rFonts w:hint="eastAsia" w:ascii="仿宋_GB2312" w:hAnsi="仿宋_GB2312" w:eastAsia="仿宋_GB2312" w:cs="仿宋_GB2312"/>
          <w:b/>
          <w:bCs/>
          <w:color w:val="auto"/>
          <w:sz w:val="32"/>
          <w:szCs w:val="32"/>
          <w:lang w:val="en-US" w:eastAsia="zh-CN"/>
        </w:rPr>
        <w:t>（四）建立终身教育培训体系。</w:t>
      </w:r>
      <w:r>
        <w:rPr>
          <w:rFonts w:hint="eastAsia" w:ascii="楷体_GB2312" w:hAnsi="楷体_GB2312" w:eastAsia="楷体_GB2312" w:cs="楷体_GB2312"/>
          <w:b w:val="0"/>
          <w:bCs w:val="0"/>
          <w:color w:val="auto"/>
          <w:sz w:val="32"/>
          <w:szCs w:val="32"/>
          <w:lang w:val="en-US" w:eastAsia="zh-CN"/>
        </w:rPr>
        <w:t>一是纳入制度体系。</w:t>
      </w:r>
      <w:r>
        <w:rPr>
          <w:rFonts w:hint="eastAsia" w:ascii="Times New Roman" w:hAnsi="Times New Roman" w:eastAsia="仿宋_GB2312" w:cs="仿宋_GB2312"/>
          <w:color w:val="auto"/>
          <w:sz w:val="32"/>
          <w:szCs w:val="32"/>
          <w:highlight w:val="none"/>
          <w:lang w:val="en-US" w:eastAsia="zh-CN"/>
        </w:rPr>
        <w:t>将退役士兵培训纳入终身职业技能培训制度体系</w:t>
      </w:r>
      <w:r>
        <w:rPr>
          <w:rFonts w:hint="eastAsia" w:ascii="Times New Roman" w:hAnsi="Times New Roman" w:eastAsia="仿宋_GB2312" w:cs="仿宋_GB2312"/>
          <w:sz w:val="32"/>
          <w:szCs w:val="32"/>
          <w:highlight w:val="none"/>
          <w:lang w:val="en-US" w:eastAsia="zh-CN"/>
        </w:rPr>
        <w:t>，实现培训常态化、长效化。</w:t>
      </w:r>
      <w:r>
        <w:rPr>
          <w:rFonts w:hint="eastAsia" w:ascii="楷体_GB2312" w:hAnsi="楷体_GB2312" w:eastAsia="楷体_GB2312" w:cs="楷体_GB2312"/>
          <w:b w:val="0"/>
          <w:bCs w:val="0"/>
          <w:color w:val="auto"/>
          <w:sz w:val="32"/>
          <w:szCs w:val="32"/>
          <w:lang w:val="en-US" w:eastAsia="zh-CN"/>
        </w:rPr>
        <w:t>二是落实单位责任。</w:t>
      </w:r>
      <w:r>
        <w:rPr>
          <w:rFonts w:hint="eastAsia" w:ascii="Times New Roman" w:hAnsi="Times New Roman" w:eastAsia="仿宋_GB2312" w:cs="仿宋_GB2312"/>
          <w:color w:val="auto"/>
          <w:sz w:val="32"/>
          <w:szCs w:val="32"/>
          <w:highlight w:val="none"/>
          <w:lang w:val="en-US" w:eastAsia="zh-CN"/>
        </w:rPr>
        <w:t>鼓励用人单位定期组织退役士兵参加岗位技能提升和知识更新培训，帮助其拓展职业上升空间</w:t>
      </w:r>
      <w:r>
        <w:rPr>
          <w:rFonts w:hint="eastAsia" w:ascii="Times New Roman" w:hAnsi="Times New Roman" w:eastAsia="仿宋_GB2312" w:cs="仿宋_GB2312"/>
          <w:sz w:val="32"/>
          <w:szCs w:val="32"/>
          <w:highlight w:val="none"/>
          <w:lang w:val="en-US" w:eastAsia="zh-CN"/>
        </w:rPr>
        <w:t>。</w:t>
      </w:r>
      <w:r>
        <w:rPr>
          <w:rFonts w:hint="eastAsia" w:ascii="楷体_GB2312" w:hAnsi="楷体_GB2312" w:eastAsia="楷体_GB2312" w:cs="楷体_GB2312"/>
          <w:b w:val="0"/>
          <w:bCs w:val="0"/>
          <w:color w:val="auto"/>
          <w:sz w:val="32"/>
          <w:szCs w:val="32"/>
          <w:lang w:val="en-US" w:eastAsia="zh-CN"/>
        </w:rPr>
        <w:t>三是强化企业协同。</w:t>
      </w:r>
      <w:r>
        <w:rPr>
          <w:rFonts w:hint="eastAsia" w:ascii="Times New Roman" w:hAnsi="Times New Roman" w:eastAsia="仿宋_GB2312" w:cs="仿宋_GB2312"/>
          <w:color w:val="auto"/>
          <w:sz w:val="32"/>
          <w:szCs w:val="32"/>
          <w:highlight w:val="none"/>
          <w:lang w:val="en-US" w:eastAsia="zh-CN"/>
        </w:rPr>
        <w:t>支持合作企业为受聘退役士兵提供多渠道、多层级、多频次的教育培训。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eastAsia="仿宋_GB2312"/>
          <w:sz w:val="32"/>
          <w:szCs w:val="32"/>
          <w:lang w:eastAsia="zh-CN"/>
        </w:rPr>
      </w:pPr>
      <w:r>
        <w:rPr>
          <w:rFonts w:hint="eastAsia" w:ascii="仿宋_GB2312" w:hAnsi="仿宋_GB2312" w:eastAsia="仿宋_GB2312" w:cs="仿宋_GB2312"/>
          <w:b/>
          <w:bCs/>
          <w:color w:val="auto"/>
          <w:sz w:val="32"/>
          <w:szCs w:val="32"/>
          <w:lang w:val="en-US" w:eastAsia="zh-CN"/>
        </w:rPr>
        <w:t>（五）工作要求。</w:t>
      </w:r>
      <w:r>
        <w:rPr>
          <w:rFonts w:hint="eastAsia" w:ascii="楷体_GB2312" w:hAnsi="楷体_GB2312" w:eastAsia="楷体_GB2312" w:cs="楷体_GB2312"/>
          <w:b w:val="0"/>
          <w:bCs w:val="0"/>
          <w:color w:val="auto"/>
          <w:sz w:val="32"/>
          <w:szCs w:val="32"/>
          <w:lang w:val="en-US" w:eastAsia="zh-CN"/>
        </w:rPr>
        <w:t>一是明确部门职责。</w:t>
      </w:r>
      <w:r>
        <w:rPr>
          <w:rFonts w:hint="eastAsia" w:ascii="Times New Roman" w:hAnsi="Times New Roman" w:eastAsia="仿宋_GB2312" w:cs="仿宋_GB2312"/>
          <w:sz w:val="32"/>
          <w:szCs w:val="32"/>
          <w:highlight w:val="none"/>
          <w:lang w:val="en-US" w:eastAsia="zh-CN"/>
        </w:rPr>
        <w:t>《实施方案》</w:t>
      </w:r>
      <w:r>
        <w:rPr>
          <w:rFonts w:hint="eastAsia" w:ascii="Times New Roman" w:hAnsi="Times New Roman" w:eastAsia="仿宋_GB2312" w:cs="仿宋_GB2312"/>
          <w:sz w:val="32"/>
          <w:szCs w:val="32"/>
          <w:highlight w:val="none"/>
          <w:lang w:val="en-US" w:eastAsia="zh-CN"/>
        </w:rPr>
        <w:t>对各相关部门在退役士兵教育培训工作中的职责分工予以明确，确保责任落实到位。</w:t>
      </w:r>
      <w:r>
        <w:rPr>
          <w:rFonts w:hint="eastAsia" w:ascii="楷体_GB2312" w:hAnsi="楷体_GB2312" w:eastAsia="楷体_GB2312" w:cs="楷体_GB2312"/>
          <w:b w:val="0"/>
          <w:bCs w:val="0"/>
          <w:color w:val="auto"/>
          <w:sz w:val="32"/>
          <w:szCs w:val="32"/>
          <w:lang w:val="en-US" w:eastAsia="zh-CN"/>
        </w:rPr>
        <w:t>二是加强组织管理。</w:t>
      </w:r>
      <w:r>
        <w:rPr>
          <w:rFonts w:hint="eastAsia" w:eastAsia="仿宋_GB2312" w:cs="仿宋_GB2312"/>
          <w:sz w:val="32"/>
          <w:szCs w:val="32"/>
          <w:highlight w:val="none"/>
          <w:lang w:val="en-US" w:eastAsia="zh-CN"/>
        </w:rPr>
        <w:t>严格执行保密规定，加强教育培训信息管理，确保退役士兵个人信息安全。</w:t>
      </w:r>
      <w:r>
        <w:rPr>
          <w:rFonts w:hint="eastAsia" w:ascii="楷体_GB2312" w:hAnsi="楷体_GB2312" w:eastAsia="楷体_GB2312" w:cs="楷体_GB2312"/>
          <w:b w:val="0"/>
          <w:bCs w:val="0"/>
          <w:color w:val="auto"/>
          <w:sz w:val="32"/>
          <w:szCs w:val="32"/>
          <w:lang w:val="en-US" w:eastAsia="zh-CN"/>
        </w:rPr>
        <w:t>三是注重宣传引导。</w:t>
      </w:r>
      <w:r>
        <w:rPr>
          <w:rFonts w:hint="eastAsia" w:ascii="Times New Roman" w:hAnsi="Times New Roman" w:eastAsia="仿宋_GB2312" w:cs="仿宋_GB2312"/>
          <w:sz w:val="32"/>
          <w:szCs w:val="32"/>
          <w:highlight w:val="none"/>
          <w:lang w:val="en-US" w:eastAsia="zh-CN"/>
        </w:rPr>
        <w:t>充分发挥</w:t>
      </w:r>
      <w:r>
        <w:rPr>
          <w:rFonts w:hint="eastAsia" w:ascii="Times New Roman" w:hAnsi="Times New Roman" w:eastAsia="仿宋_GB2312" w:cs="仿宋_GB2312"/>
          <w:sz w:val="32"/>
          <w:szCs w:val="32"/>
          <w:lang w:val="en-US" w:eastAsia="zh-CN"/>
        </w:rPr>
        <w:t>退役军人三级服务保障体系作用</w:t>
      </w:r>
      <w:r>
        <w:rPr>
          <w:rFonts w:hint="eastAsia" w:ascii="Times New Roman" w:hAnsi="Times New Roman" w:eastAsia="仿宋_GB2312" w:cs="仿宋_GB2312"/>
          <w:sz w:val="32"/>
          <w:szCs w:val="32"/>
          <w:highlight w:val="none"/>
          <w:lang w:val="en-US" w:eastAsia="zh-CN"/>
        </w:rPr>
        <w:t>，广泛宣传教育培训政策，鼓励和引导广大退役士兵积极参与，切实维护其合法权益。</w:t>
      </w:r>
    </w:p>
    <w:bookmarkEnd w:id="5"/>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四、其他需要说明的问题</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无</w:t>
      </w:r>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汉仪大宋简">
    <w:altName w:val="宋体"/>
    <w:panose1 w:val="02010609000101010101"/>
    <w:charset w:val="86"/>
    <w:family w:val="modern"/>
    <w:pitch w:val="default"/>
    <w:sig w:usb0="00000000" w:usb1="00000000" w:usb2="00000012" w:usb3="00000000" w:csb0="00040000"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0000000000000000000"/>
    <w:charset w:val="86"/>
    <w:family w:val="auto"/>
    <w:pitch w:val="default"/>
    <w:sig w:usb0="00000000" w:usb1="0000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 w:name="华文彩云">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Liberation Sans">
    <w:altName w:val="宋体"/>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Arial">
    <w:panose1 w:val="020B0604020202020204"/>
    <w:charset w:val="00"/>
    <w:family w:val="auto"/>
    <w:pitch w:val="default"/>
    <w:sig w:usb0="E0002AFF" w:usb1="C0007843" w:usb2="00000009" w:usb3="00000000" w:csb0="400001FF" w:csb1="FFFF0000"/>
  </w:font>
  <w:font w:name="Segoe UI">
    <w:panose1 w:val="020B0502040204020203"/>
    <w:charset w:val="00"/>
    <w:family w:val="auto"/>
    <w:pitch w:val="default"/>
    <w:sig w:usb0="E10022FF" w:usb1="C000E47F" w:usb2="00000029" w:usb3="00000000" w:csb0="200001DF" w:csb1="20000000"/>
  </w:font>
  <w:font w:name="CESI仿宋-GB2312">
    <w:altName w:val="仿宋"/>
    <w:panose1 w:val="02000500000000000000"/>
    <w:charset w:val="86"/>
    <w:family w:val="auto"/>
    <w:pitch w:val="default"/>
    <w:sig w:usb0="00000000" w:usb1="00000000"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GQ3YWMzMTUyY2ViZjIxYzg2NDE0OTViMzViNjY4YmMifQ=="/>
  </w:docVars>
  <w:rsids>
    <w:rsidRoot w:val="00207C4F"/>
    <w:rsid w:val="00027366"/>
    <w:rsid w:val="0007228B"/>
    <w:rsid w:val="00082C25"/>
    <w:rsid w:val="000950AD"/>
    <w:rsid w:val="000B0EED"/>
    <w:rsid w:val="000B3B54"/>
    <w:rsid w:val="000D4019"/>
    <w:rsid w:val="000E0BDB"/>
    <w:rsid w:val="00107075"/>
    <w:rsid w:val="0012617B"/>
    <w:rsid w:val="00146DF2"/>
    <w:rsid w:val="00154724"/>
    <w:rsid w:val="00160858"/>
    <w:rsid w:val="001621F0"/>
    <w:rsid w:val="001672E5"/>
    <w:rsid w:val="0017748D"/>
    <w:rsid w:val="00177EF4"/>
    <w:rsid w:val="001B2A1F"/>
    <w:rsid w:val="001B52F0"/>
    <w:rsid w:val="001C15ED"/>
    <w:rsid w:val="001C65EE"/>
    <w:rsid w:val="001E08C6"/>
    <w:rsid w:val="001E0E0E"/>
    <w:rsid w:val="001E1C78"/>
    <w:rsid w:val="001E57BA"/>
    <w:rsid w:val="002023F1"/>
    <w:rsid w:val="002032A5"/>
    <w:rsid w:val="002050F5"/>
    <w:rsid w:val="00207C4F"/>
    <w:rsid w:val="0021084D"/>
    <w:rsid w:val="002139B4"/>
    <w:rsid w:val="00213B48"/>
    <w:rsid w:val="00234BC3"/>
    <w:rsid w:val="002413C4"/>
    <w:rsid w:val="00247D54"/>
    <w:rsid w:val="002A2DC1"/>
    <w:rsid w:val="002A6CC8"/>
    <w:rsid w:val="002A7AFD"/>
    <w:rsid w:val="002B3E88"/>
    <w:rsid w:val="002D1810"/>
    <w:rsid w:val="002D7457"/>
    <w:rsid w:val="002F6897"/>
    <w:rsid w:val="00322D33"/>
    <w:rsid w:val="00325E79"/>
    <w:rsid w:val="00337CF4"/>
    <w:rsid w:val="0043391E"/>
    <w:rsid w:val="004556EA"/>
    <w:rsid w:val="00481A52"/>
    <w:rsid w:val="00483DFB"/>
    <w:rsid w:val="004B1573"/>
    <w:rsid w:val="004B6CF8"/>
    <w:rsid w:val="004C3AE2"/>
    <w:rsid w:val="004C6973"/>
    <w:rsid w:val="004F0E38"/>
    <w:rsid w:val="004F3BE9"/>
    <w:rsid w:val="005532F9"/>
    <w:rsid w:val="0057073B"/>
    <w:rsid w:val="00581805"/>
    <w:rsid w:val="00584AD8"/>
    <w:rsid w:val="005A1994"/>
    <w:rsid w:val="005B29FD"/>
    <w:rsid w:val="005B37CC"/>
    <w:rsid w:val="005C075A"/>
    <w:rsid w:val="005D4C02"/>
    <w:rsid w:val="005E3A76"/>
    <w:rsid w:val="005E3C67"/>
    <w:rsid w:val="005F099C"/>
    <w:rsid w:val="0060684C"/>
    <w:rsid w:val="00612F9C"/>
    <w:rsid w:val="00615795"/>
    <w:rsid w:val="00624718"/>
    <w:rsid w:val="00661F9F"/>
    <w:rsid w:val="00691D05"/>
    <w:rsid w:val="006979DB"/>
    <w:rsid w:val="006E6D65"/>
    <w:rsid w:val="006E7242"/>
    <w:rsid w:val="006E7A71"/>
    <w:rsid w:val="00707607"/>
    <w:rsid w:val="00732344"/>
    <w:rsid w:val="00740592"/>
    <w:rsid w:val="00750F5A"/>
    <w:rsid w:val="00760B88"/>
    <w:rsid w:val="00781E57"/>
    <w:rsid w:val="00787CC9"/>
    <w:rsid w:val="00796B88"/>
    <w:rsid w:val="007A206E"/>
    <w:rsid w:val="007D0614"/>
    <w:rsid w:val="007D2ED9"/>
    <w:rsid w:val="007E4FF8"/>
    <w:rsid w:val="00804195"/>
    <w:rsid w:val="0080706A"/>
    <w:rsid w:val="00807D0E"/>
    <w:rsid w:val="0084456F"/>
    <w:rsid w:val="008A582A"/>
    <w:rsid w:val="008A5F59"/>
    <w:rsid w:val="008A6ED8"/>
    <w:rsid w:val="008E0434"/>
    <w:rsid w:val="008E1BF0"/>
    <w:rsid w:val="008E3E73"/>
    <w:rsid w:val="008E3ED8"/>
    <w:rsid w:val="00915256"/>
    <w:rsid w:val="00915B69"/>
    <w:rsid w:val="0094151D"/>
    <w:rsid w:val="00950448"/>
    <w:rsid w:val="00953CFA"/>
    <w:rsid w:val="00954A60"/>
    <w:rsid w:val="009578F8"/>
    <w:rsid w:val="00960E23"/>
    <w:rsid w:val="0096428C"/>
    <w:rsid w:val="009B654A"/>
    <w:rsid w:val="009D7C04"/>
    <w:rsid w:val="009F22CA"/>
    <w:rsid w:val="00A363BD"/>
    <w:rsid w:val="00A513ED"/>
    <w:rsid w:val="00A66B24"/>
    <w:rsid w:val="00A9128A"/>
    <w:rsid w:val="00A922DB"/>
    <w:rsid w:val="00A94572"/>
    <w:rsid w:val="00AB05C3"/>
    <w:rsid w:val="00AC1E35"/>
    <w:rsid w:val="00AC6990"/>
    <w:rsid w:val="00AD2FB8"/>
    <w:rsid w:val="00AE0621"/>
    <w:rsid w:val="00AE53F5"/>
    <w:rsid w:val="00B024FE"/>
    <w:rsid w:val="00B04E72"/>
    <w:rsid w:val="00B40589"/>
    <w:rsid w:val="00B45874"/>
    <w:rsid w:val="00B540CF"/>
    <w:rsid w:val="00B57A11"/>
    <w:rsid w:val="00B760DA"/>
    <w:rsid w:val="00B92BDF"/>
    <w:rsid w:val="00BA1203"/>
    <w:rsid w:val="00BE4953"/>
    <w:rsid w:val="00C13D85"/>
    <w:rsid w:val="00C70BFF"/>
    <w:rsid w:val="00C7405D"/>
    <w:rsid w:val="00C81929"/>
    <w:rsid w:val="00C940DB"/>
    <w:rsid w:val="00CB67EB"/>
    <w:rsid w:val="00CF044D"/>
    <w:rsid w:val="00CF45BB"/>
    <w:rsid w:val="00D0426C"/>
    <w:rsid w:val="00D16CE6"/>
    <w:rsid w:val="00D403B2"/>
    <w:rsid w:val="00D40640"/>
    <w:rsid w:val="00D95524"/>
    <w:rsid w:val="00DB71E2"/>
    <w:rsid w:val="00DE6ED9"/>
    <w:rsid w:val="00DE75A4"/>
    <w:rsid w:val="00DF4DC4"/>
    <w:rsid w:val="00DF7F4E"/>
    <w:rsid w:val="00E039CA"/>
    <w:rsid w:val="00E25FBA"/>
    <w:rsid w:val="00E35A6E"/>
    <w:rsid w:val="00E94423"/>
    <w:rsid w:val="00EA6452"/>
    <w:rsid w:val="00EB56E7"/>
    <w:rsid w:val="00EE2684"/>
    <w:rsid w:val="00EF763C"/>
    <w:rsid w:val="00F07365"/>
    <w:rsid w:val="00F17C17"/>
    <w:rsid w:val="00F24283"/>
    <w:rsid w:val="00F30A08"/>
    <w:rsid w:val="00F3756A"/>
    <w:rsid w:val="00F52323"/>
    <w:rsid w:val="00F60FC3"/>
    <w:rsid w:val="00F920AD"/>
    <w:rsid w:val="00F92299"/>
    <w:rsid w:val="00F954BB"/>
    <w:rsid w:val="00FB2E3C"/>
    <w:rsid w:val="00FE3B4D"/>
    <w:rsid w:val="00FE721E"/>
    <w:rsid w:val="057C44D8"/>
    <w:rsid w:val="1210219D"/>
    <w:rsid w:val="13A759AA"/>
    <w:rsid w:val="144B3E1D"/>
    <w:rsid w:val="144B4D47"/>
    <w:rsid w:val="14D01352"/>
    <w:rsid w:val="19DB0B11"/>
    <w:rsid w:val="25025210"/>
    <w:rsid w:val="28A51B02"/>
    <w:rsid w:val="2A63072C"/>
    <w:rsid w:val="2BE76A7D"/>
    <w:rsid w:val="37671C41"/>
    <w:rsid w:val="3C93200D"/>
    <w:rsid w:val="3CF32171"/>
    <w:rsid w:val="449B4FFF"/>
    <w:rsid w:val="45C97976"/>
    <w:rsid w:val="4EBB4EEC"/>
    <w:rsid w:val="5A5A0AB1"/>
    <w:rsid w:val="61B93862"/>
    <w:rsid w:val="61C31A41"/>
    <w:rsid w:val="620501F1"/>
    <w:rsid w:val="62B5506B"/>
    <w:rsid w:val="63595DFA"/>
    <w:rsid w:val="67145597"/>
    <w:rsid w:val="673A2DC5"/>
    <w:rsid w:val="68BA2CFC"/>
    <w:rsid w:val="6DA813C2"/>
    <w:rsid w:val="6E356EE4"/>
    <w:rsid w:val="71F048C4"/>
    <w:rsid w:val="77FD084E"/>
    <w:rsid w:val="7A7A6714"/>
    <w:rsid w:val="7D595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cs="宋体"/>
      <w:kern w:val="0"/>
      <w:sz w:val="20"/>
      <w:szCs w:val="20"/>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5"/>
    <w:link w:val="4"/>
    <w:qFormat/>
    <w:uiPriority w:val="99"/>
    <w:rPr>
      <w:sz w:val="18"/>
      <w:szCs w:val="18"/>
    </w:rPr>
  </w:style>
  <w:style w:type="character" w:customStyle="1" w:styleId="8">
    <w:name w:val="页脚 字符"/>
    <w:basedOn w:val="5"/>
    <w:link w:val="3"/>
    <w:qFormat/>
    <w:uiPriority w:val="99"/>
    <w:rPr>
      <w:sz w:val="18"/>
      <w:szCs w:val="18"/>
    </w:rPr>
  </w:style>
  <w:style w:type="paragraph" w:customStyle="1" w:styleId="9">
    <w:name w:val="Quote"/>
    <w:basedOn w:val="1"/>
    <w:next w:val="1"/>
    <w:link w:val="10"/>
    <w:qFormat/>
    <w:uiPriority w:val="29"/>
    <w:rPr>
      <w:i/>
      <w:iCs/>
      <w:color w:val="000000" w:themeColor="text1"/>
    </w:rPr>
  </w:style>
  <w:style w:type="character" w:customStyle="1" w:styleId="10">
    <w:name w:val="引用 字符"/>
    <w:basedOn w:val="5"/>
    <w:link w:val="9"/>
    <w:qFormat/>
    <w:uiPriority w:val="29"/>
    <w:rPr>
      <w:i/>
      <w:iCs/>
      <w:color w:val="000000" w:themeColor="text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769</Words>
  <Characters>780</Characters>
  <Lines>5</Lines>
  <Paragraphs>1</Paragraphs>
  <ScaleCrop>false</ScaleCrop>
  <LinksUpToDate>false</LinksUpToDate>
  <CharactersWithSpaces>782</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2024-08-16T08:25:00Z</dcterms:created>
  <dc:creator>A</dc:creator>
  <cp:lastModifiedBy>yjaz1</cp:lastModifiedBy>
  <dcterms:modified xsi:type="dcterms:W3CDTF">2026-08-14T03:12:15Z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C51A41D666724C56952362E82418E866_12</vt:lpwstr>
  </property>
  <property fmtid="{D5CDD505-2E9C-101B-9397-08002B2CF9AE}" pid="4" name="KSOTemplateDocerSaveRecord">
    <vt:lpwstr>eyJoZGlkIjoiYzZhOTc0YzE4MWUxYjQ1ZTIyNGM2NTZkNjUzYjQxOGQiLCJ1c2VySWQiOiIzMjQwNzExODYifQ==</vt:lpwstr>
  </property>
</Properties>
</file>