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B65DE" w14:textId="77777777" w:rsidR="0049431D" w:rsidRDefault="00000000">
      <w:pPr>
        <w:jc w:val="center"/>
        <w:rPr>
          <w:rFonts w:ascii="黑体" w:eastAsia="黑体" w:hAnsi="黑体"/>
          <w:sz w:val="44"/>
          <w:lang w:eastAsia="zh-CN"/>
        </w:rPr>
      </w:pPr>
      <w:r>
        <w:rPr>
          <w:rFonts w:ascii="黑体" w:eastAsia="黑体" w:hAnsi="黑体"/>
          <w:sz w:val="44"/>
          <w:lang w:eastAsia="zh-CN"/>
        </w:rPr>
        <w:t>关于《</w:t>
      </w:r>
      <w:r w:rsidR="0049431D">
        <w:rPr>
          <w:rFonts w:ascii="黑体" w:eastAsia="黑体" w:hAnsi="黑体" w:hint="eastAsia"/>
          <w:sz w:val="44"/>
          <w:lang w:eastAsia="zh-CN"/>
        </w:rPr>
        <w:t>大兴区</w:t>
      </w:r>
      <w:r>
        <w:rPr>
          <w:rFonts w:ascii="黑体" w:eastAsia="黑体" w:hAnsi="黑体"/>
          <w:sz w:val="44"/>
          <w:lang w:eastAsia="zh-CN"/>
        </w:rPr>
        <w:t>西红门镇支持人工智能OPC创新发展若干措施</w:t>
      </w:r>
      <w:r w:rsidR="0049431D">
        <w:rPr>
          <w:rFonts w:ascii="黑体" w:eastAsia="黑体" w:hAnsi="黑体" w:hint="eastAsia"/>
          <w:sz w:val="44"/>
          <w:lang w:eastAsia="zh-CN"/>
        </w:rPr>
        <w:t>（征求意见稿）</w:t>
      </w:r>
      <w:r>
        <w:rPr>
          <w:rFonts w:ascii="黑体" w:eastAsia="黑体" w:hAnsi="黑体"/>
          <w:sz w:val="44"/>
          <w:lang w:eastAsia="zh-CN"/>
        </w:rPr>
        <w:t>》的</w:t>
      </w:r>
    </w:p>
    <w:p w14:paraId="240B51FE" w14:textId="17FCDD1D" w:rsidR="004D1AC2" w:rsidRDefault="00000000">
      <w:pPr>
        <w:jc w:val="center"/>
        <w:rPr>
          <w:rFonts w:hint="eastAsia"/>
          <w:lang w:eastAsia="zh-CN"/>
        </w:rPr>
      </w:pPr>
      <w:r>
        <w:rPr>
          <w:rFonts w:ascii="黑体" w:eastAsia="黑体" w:hAnsi="黑体"/>
          <w:sz w:val="44"/>
          <w:lang w:eastAsia="zh-CN"/>
        </w:rPr>
        <w:t>起草说明</w:t>
      </w:r>
    </w:p>
    <w:p w14:paraId="61553A1D" w14:textId="77777777" w:rsidR="004D1AC2" w:rsidRDefault="004D1AC2">
      <w:pPr>
        <w:spacing w:after="80" w:line="560" w:lineRule="exact"/>
        <w:rPr>
          <w:rFonts w:hint="eastAsia"/>
          <w:lang w:eastAsia="zh-CN"/>
        </w:rPr>
      </w:pPr>
    </w:p>
    <w:p w14:paraId="1DA35742" w14:textId="77777777" w:rsidR="004D1AC2" w:rsidRPr="003B71E9" w:rsidRDefault="00000000" w:rsidP="003B71E9">
      <w:pPr>
        <w:pStyle w:val="a8"/>
        <w:spacing w:after="0" w:line="560" w:lineRule="exact"/>
        <w:ind w:leftChars="0" w:left="0" w:rightChars="0" w:right="0"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3B71E9">
        <w:rPr>
          <w:rFonts w:ascii="黑体" w:eastAsia="黑体" w:hAnsi="黑体" w:cs="黑体"/>
          <w:sz w:val="32"/>
          <w:szCs w:val="32"/>
        </w:rPr>
        <w:t>一、起草背景</w:t>
      </w:r>
    </w:p>
    <w:p w14:paraId="1E5747F6" w14:textId="77777777" w:rsidR="004D1AC2" w:rsidRDefault="00000000">
      <w:pPr>
        <w:spacing w:line="560" w:lineRule="exact"/>
        <w:ind w:firstLine="641"/>
        <w:jc w:val="both"/>
        <w:rPr>
          <w:rFonts w:hint="eastAsia"/>
          <w:lang w:eastAsia="zh-CN"/>
        </w:rPr>
      </w:pPr>
      <w:r>
        <w:rPr>
          <w:lang w:eastAsia="zh-CN"/>
        </w:rPr>
        <w:t>人工智能大模型、智能体和云端工具的发展，使单一创始人或小型团队能够以较低成本完成产品研发、内容生产、市场营销和企业运营，催生了人工智能一人公司等新型创新主体。为落实《北京市支持人工智能OPC创新发展行动方案（试行）》及大兴区“6+5+3”产业发展部署，发挥西红门镇区位、商业和服务资源优势，打造南中轴OPC创业首选地，起草本文件。</w:t>
      </w:r>
    </w:p>
    <w:p w14:paraId="157058B3" w14:textId="77777777" w:rsidR="004D1AC2" w:rsidRPr="003B71E9" w:rsidRDefault="00000000" w:rsidP="003B71E9">
      <w:pPr>
        <w:pStyle w:val="a8"/>
        <w:spacing w:after="0" w:line="560" w:lineRule="exact"/>
        <w:ind w:leftChars="0" w:left="0" w:rightChars="0" w:right="0"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3B71E9">
        <w:rPr>
          <w:rFonts w:ascii="黑体" w:eastAsia="黑体" w:hAnsi="黑体" w:cs="黑体"/>
          <w:sz w:val="32"/>
          <w:szCs w:val="32"/>
        </w:rPr>
        <w:t>二、起草过程</w:t>
      </w:r>
    </w:p>
    <w:p w14:paraId="12078493" w14:textId="27E86A84" w:rsidR="004D1AC2" w:rsidRDefault="00000000">
      <w:pPr>
        <w:spacing w:line="560" w:lineRule="exact"/>
        <w:ind w:firstLine="641"/>
        <w:jc w:val="both"/>
        <w:rPr>
          <w:rFonts w:hint="eastAsia"/>
          <w:lang w:eastAsia="zh-CN"/>
        </w:rPr>
      </w:pPr>
      <w:r>
        <w:rPr>
          <w:lang w:eastAsia="zh-CN"/>
        </w:rPr>
        <w:t>由镇经济发展部门牵头，在梳理上级政策、调研企业需求和研究区域承载条件的基础上形成初稿。2026年</w:t>
      </w:r>
      <w:r w:rsidR="003B71E9">
        <w:rPr>
          <w:rFonts w:hint="eastAsia"/>
          <w:lang w:eastAsia="zh-CN"/>
        </w:rPr>
        <w:t>7</w:t>
      </w:r>
      <w:r>
        <w:rPr>
          <w:lang w:eastAsia="zh-CN"/>
        </w:rPr>
        <w:t>月</w:t>
      </w:r>
      <w:r w:rsidR="003B71E9">
        <w:rPr>
          <w:rFonts w:hint="eastAsia"/>
          <w:lang w:eastAsia="zh-CN"/>
        </w:rPr>
        <w:t>28</w:t>
      </w:r>
      <w:r>
        <w:rPr>
          <w:lang w:eastAsia="zh-CN"/>
        </w:rPr>
        <w:t>日组织相关部门召开政策研讨会，根据会议意见对企业认定、资金支持、审核管理和政策衔接等内容进行修改完善。2026年</w:t>
      </w:r>
      <w:r w:rsidR="003B71E9">
        <w:rPr>
          <w:rFonts w:hint="eastAsia"/>
          <w:lang w:eastAsia="zh-CN"/>
        </w:rPr>
        <w:t>8</w:t>
      </w:r>
      <w:r>
        <w:rPr>
          <w:lang w:eastAsia="zh-CN"/>
        </w:rPr>
        <w:t>月</w:t>
      </w:r>
      <w:r w:rsidR="003B71E9">
        <w:rPr>
          <w:rFonts w:hint="eastAsia"/>
          <w:lang w:eastAsia="zh-CN"/>
        </w:rPr>
        <w:t>4</w:t>
      </w:r>
      <w:r>
        <w:rPr>
          <w:lang w:eastAsia="zh-CN"/>
        </w:rPr>
        <w:t>日至</w:t>
      </w:r>
      <w:r w:rsidR="003B71E9">
        <w:rPr>
          <w:rFonts w:hint="eastAsia"/>
          <w:lang w:eastAsia="zh-CN"/>
        </w:rPr>
        <w:t>8</w:t>
      </w:r>
      <w:r>
        <w:rPr>
          <w:lang w:eastAsia="zh-CN"/>
        </w:rPr>
        <w:t>月</w:t>
      </w:r>
      <w:r w:rsidR="003B71E9">
        <w:rPr>
          <w:rFonts w:hint="eastAsia"/>
          <w:lang w:eastAsia="zh-CN"/>
        </w:rPr>
        <w:t>12</w:t>
      </w:r>
      <w:r>
        <w:rPr>
          <w:lang w:eastAsia="zh-CN"/>
        </w:rPr>
        <w:t>日</w:t>
      </w:r>
      <w:r w:rsidR="0049431D">
        <w:rPr>
          <w:rFonts w:hint="eastAsia"/>
          <w:lang w:eastAsia="zh-CN"/>
        </w:rPr>
        <w:t>于西红门镇</w:t>
      </w:r>
      <w:r>
        <w:rPr>
          <w:lang w:eastAsia="zh-CN"/>
        </w:rPr>
        <w:t>公开征求意见，共收到意见</w:t>
      </w:r>
      <w:r w:rsidR="003B71E9">
        <w:rPr>
          <w:rFonts w:hint="eastAsia"/>
          <w:lang w:eastAsia="zh-CN"/>
        </w:rPr>
        <w:t>0</w:t>
      </w:r>
      <w:r>
        <w:rPr>
          <w:lang w:eastAsia="zh-CN"/>
        </w:rPr>
        <w:t>条，采纳</w:t>
      </w:r>
      <w:r w:rsidR="003B71E9">
        <w:rPr>
          <w:rFonts w:hint="eastAsia"/>
          <w:lang w:eastAsia="zh-CN"/>
        </w:rPr>
        <w:t>0</w:t>
      </w:r>
      <w:r>
        <w:rPr>
          <w:lang w:eastAsia="zh-CN"/>
        </w:rPr>
        <w:t>条，部分采纳</w:t>
      </w:r>
      <w:r w:rsidR="003B71E9">
        <w:rPr>
          <w:rFonts w:hint="eastAsia"/>
          <w:lang w:eastAsia="zh-CN"/>
        </w:rPr>
        <w:t>0</w:t>
      </w:r>
      <w:r>
        <w:rPr>
          <w:lang w:eastAsia="zh-CN"/>
        </w:rPr>
        <w:t>条，未采纳</w:t>
      </w:r>
      <w:r w:rsidR="003B71E9">
        <w:rPr>
          <w:rFonts w:hint="eastAsia"/>
          <w:lang w:eastAsia="zh-CN"/>
        </w:rPr>
        <w:t>0</w:t>
      </w:r>
      <w:r>
        <w:rPr>
          <w:lang w:eastAsia="zh-CN"/>
        </w:rPr>
        <w:t>条。此后，按程序开展公平竞争审查、合法性审核、风险评估和集体审议。</w:t>
      </w:r>
    </w:p>
    <w:p w14:paraId="4575C20F" w14:textId="77777777" w:rsidR="004D1AC2" w:rsidRPr="003B71E9" w:rsidRDefault="00000000" w:rsidP="003B71E9">
      <w:pPr>
        <w:pStyle w:val="a8"/>
        <w:spacing w:after="0" w:line="560" w:lineRule="exact"/>
        <w:ind w:leftChars="0" w:left="0" w:rightChars="0" w:right="0"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3B71E9">
        <w:rPr>
          <w:rFonts w:ascii="黑体" w:eastAsia="黑体" w:hAnsi="黑体" w:cs="黑体"/>
          <w:sz w:val="32"/>
          <w:szCs w:val="32"/>
        </w:rPr>
        <w:t>三、主要内容</w:t>
      </w:r>
    </w:p>
    <w:p w14:paraId="51A29E4D" w14:textId="77777777" w:rsidR="004D1AC2" w:rsidRDefault="00000000">
      <w:pPr>
        <w:spacing w:line="560" w:lineRule="exact"/>
        <w:ind w:firstLine="641"/>
        <w:jc w:val="both"/>
        <w:rPr>
          <w:rFonts w:hint="eastAsia"/>
          <w:lang w:eastAsia="zh-CN"/>
        </w:rPr>
      </w:pPr>
      <w:r>
        <w:rPr>
          <w:lang w:eastAsia="zh-CN"/>
        </w:rPr>
        <w:t>《若干措施》共三部分。</w:t>
      </w:r>
    </w:p>
    <w:p w14:paraId="669FDC8B" w14:textId="77777777" w:rsidR="004D1AC2" w:rsidRDefault="00000000">
      <w:pPr>
        <w:spacing w:line="560" w:lineRule="exact"/>
        <w:ind w:firstLine="641"/>
        <w:jc w:val="both"/>
        <w:rPr>
          <w:rFonts w:hint="eastAsia"/>
          <w:lang w:eastAsia="zh-CN"/>
        </w:rPr>
      </w:pPr>
      <w:r>
        <w:rPr>
          <w:lang w:eastAsia="zh-CN"/>
        </w:rPr>
        <w:t>第一部分为OPC企业认定标准。明确OPC企业应在西红门镇依法注册登记，成立时间原则上不超过3年，无违法违规</w:t>
      </w:r>
      <w:r>
        <w:rPr>
          <w:lang w:eastAsia="zh-CN"/>
        </w:rPr>
        <w:lastRenderedPageBreak/>
        <w:t>和不良信用记录；员工总数原则上不超过10人，单一创始人合计持股比例超过50%并在技术创新、战略决策和主要业务执行中发挥主导作用；以人工智能技术作为核心生产工具和关键驱动力，具备与业务规模相适应的人工智能设施使用能力。</w:t>
      </w:r>
    </w:p>
    <w:p w14:paraId="1DDCA1E8" w14:textId="77777777" w:rsidR="004D1AC2" w:rsidRDefault="00000000">
      <w:pPr>
        <w:spacing w:line="560" w:lineRule="exact"/>
        <w:ind w:firstLine="641"/>
        <w:jc w:val="both"/>
        <w:rPr>
          <w:rFonts w:hint="eastAsia"/>
          <w:lang w:eastAsia="zh-CN"/>
        </w:rPr>
      </w:pPr>
      <w:r>
        <w:rPr>
          <w:lang w:eastAsia="zh-CN"/>
        </w:rPr>
        <w:t>第二部分为核心支持措施。一是依托OPC创业社区提供人均不超过2平方米的轻量化办公空间及共享会议室、路演厅、直播间等公共设施，并提供工商注册、政策对接和创业辅导服务。二是支持优质创赛项目转化，对国家级、市级、区级创新创业大赛获奖并注册落地的项目，单家企业最高给予20万元专项落地资金支持。三是设置商业化突破激励，覆盖首单、成长、融资和知识产权等关键节点，单家企业最高给予10万元资金奖励。四是常态化开展投融资对接和“西红门OPC路演日”活动。五是提供人才公寓、政务代办、创业培训和行业交流等服务。</w:t>
      </w:r>
    </w:p>
    <w:p w14:paraId="343BF9DA" w14:textId="77777777" w:rsidR="004D1AC2" w:rsidRDefault="00000000">
      <w:pPr>
        <w:spacing w:line="560" w:lineRule="exact"/>
        <w:ind w:firstLine="641"/>
        <w:jc w:val="both"/>
        <w:rPr>
          <w:rFonts w:hint="eastAsia"/>
          <w:lang w:eastAsia="zh-CN"/>
        </w:rPr>
      </w:pPr>
      <w:r>
        <w:rPr>
          <w:lang w:eastAsia="zh-CN"/>
        </w:rPr>
        <w:t>第三部分为附则。明确文件自发布之日起施行，有效期3年，由西红门镇人民政府负责解释；同一企业同一事项按照“就高不重复”原则执行。</w:t>
      </w:r>
    </w:p>
    <w:p w14:paraId="7BECFF5A" w14:textId="77777777" w:rsidR="004D1AC2" w:rsidRPr="003B71E9" w:rsidRDefault="00000000" w:rsidP="003B71E9">
      <w:pPr>
        <w:pStyle w:val="a8"/>
        <w:spacing w:after="0" w:line="560" w:lineRule="exact"/>
        <w:ind w:leftChars="0" w:left="0" w:rightChars="0" w:right="0"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3B71E9">
        <w:rPr>
          <w:rFonts w:ascii="黑体" w:eastAsia="黑体" w:hAnsi="黑体" w:cs="黑体"/>
          <w:sz w:val="32"/>
          <w:szCs w:val="32"/>
        </w:rPr>
        <w:t>四、主要特点</w:t>
      </w:r>
    </w:p>
    <w:p w14:paraId="4E0D13C2" w14:textId="77777777" w:rsidR="004D1AC2" w:rsidRDefault="00000000">
      <w:pPr>
        <w:spacing w:line="560" w:lineRule="exact"/>
        <w:ind w:firstLine="641"/>
        <w:jc w:val="both"/>
        <w:rPr>
          <w:rFonts w:hint="eastAsia"/>
          <w:lang w:eastAsia="zh-CN"/>
        </w:rPr>
      </w:pPr>
      <w:r>
        <w:rPr>
          <w:lang w:eastAsia="zh-CN"/>
        </w:rPr>
        <w:t>一是突出精准识别。将组织结构特征与人工智能技术使用特征相结合，避免将一般小微企业简单等同于OPC企业。二是突出创业全周期支持。政策既降低办公和服务成本，又关注项目落地、首单突破、融资和知识产权等成长节点。三是突出资源协同。统筹空间、资本、人才和政务服务，形成</w:t>
      </w:r>
      <w:r>
        <w:rPr>
          <w:lang w:eastAsia="zh-CN"/>
        </w:rPr>
        <w:lastRenderedPageBreak/>
        <w:t>非资金支持与资金激励相结合的政策体系。四是突出规范管理。通过最高支持额度、有效期限和“就高不重复”原则，明确政策边界，并拟通过配套申报指南强化审核、绩效和信用管理。</w:t>
      </w:r>
    </w:p>
    <w:p w14:paraId="66BBE140" w14:textId="77777777" w:rsidR="004D1AC2" w:rsidRDefault="00000000" w:rsidP="003B71E9">
      <w:pPr>
        <w:pStyle w:val="a8"/>
        <w:spacing w:after="0" w:line="560" w:lineRule="exact"/>
        <w:ind w:leftChars="0" w:left="0" w:rightChars="0" w:right="0" w:firstLineChars="200" w:firstLine="640"/>
      </w:pPr>
      <w:r w:rsidRPr="003B71E9">
        <w:rPr>
          <w:rFonts w:ascii="黑体" w:eastAsia="黑体" w:hAnsi="黑体" w:cs="黑体"/>
          <w:sz w:val="32"/>
          <w:szCs w:val="32"/>
        </w:rPr>
        <w:t>五、需要说明的事项</w:t>
      </w:r>
    </w:p>
    <w:p w14:paraId="0D2DE577" w14:textId="53C35DF2" w:rsidR="004D1AC2" w:rsidRDefault="00000000" w:rsidP="005B341A">
      <w:pPr>
        <w:spacing w:line="560" w:lineRule="exact"/>
        <w:ind w:firstLine="641"/>
        <w:jc w:val="both"/>
        <w:rPr>
          <w:rFonts w:hint="eastAsia"/>
          <w:lang w:eastAsia="zh-CN"/>
        </w:rPr>
      </w:pPr>
      <w:r>
        <w:rPr>
          <w:lang w:eastAsia="zh-CN"/>
        </w:rPr>
        <w:t>政策涉及的具体申报时间、材料清单、认定程序、评价标准和资金拨付要求，拟在配套</w:t>
      </w:r>
      <w:r w:rsidR="0049431D">
        <w:rPr>
          <w:rFonts w:hint="eastAsia"/>
          <w:lang w:eastAsia="zh-CN"/>
        </w:rPr>
        <w:t>实施细则</w:t>
      </w:r>
      <w:r>
        <w:rPr>
          <w:lang w:eastAsia="zh-CN"/>
        </w:rPr>
        <w:t>中进一步明确。财政资金支持事项根据年度预算安排组织实施；人才公寓、产业基金推荐等事项按照现行政策和有关部门管理要求办理。</w:t>
      </w:r>
    </w:p>
    <w:sectPr w:rsidR="004D1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BF898" w14:textId="77777777" w:rsidR="00E4092A" w:rsidRDefault="00E4092A">
      <w:pPr>
        <w:rPr>
          <w:rFonts w:hint="eastAsia"/>
        </w:rPr>
      </w:pPr>
      <w:r>
        <w:separator/>
      </w:r>
    </w:p>
  </w:endnote>
  <w:endnote w:type="continuationSeparator" w:id="0">
    <w:p w14:paraId="3EE86B5E" w14:textId="77777777" w:rsidR="00E4092A" w:rsidRDefault="00E409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3CEFF" w14:textId="77777777" w:rsidR="00E4092A" w:rsidRDefault="00E4092A">
      <w:pPr>
        <w:rPr>
          <w:rFonts w:hint="eastAsia"/>
        </w:rPr>
      </w:pPr>
      <w:r>
        <w:separator/>
      </w:r>
    </w:p>
  </w:footnote>
  <w:footnote w:type="continuationSeparator" w:id="0">
    <w:p w14:paraId="06370B8B" w14:textId="77777777" w:rsidR="00E4092A" w:rsidRDefault="00E4092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c2YWY3YzhjMWYwNDIzNzZkMDhkNWZiMjM4YjA3M2EifQ=="/>
  </w:docVars>
  <w:rsids>
    <w:rsidRoot w:val="25AE7961"/>
    <w:rsid w:val="000E2538"/>
    <w:rsid w:val="003B71E9"/>
    <w:rsid w:val="0049431D"/>
    <w:rsid w:val="004D1AC2"/>
    <w:rsid w:val="005B341A"/>
    <w:rsid w:val="00736662"/>
    <w:rsid w:val="00E4092A"/>
    <w:rsid w:val="00E85C9E"/>
    <w:rsid w:val="25AE7961"/>
    <w:rsid w:val="69CB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320EC0"/>
  <w15:docId w15:val="{7D7DF417-73F2-4A2E-8E7F-F53DAB56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lock Tex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仿宋_GB2312" w:eastAsia="仿宋_GB2312" w:hAnsi="仿宋_GB2312" w:cs="Arial"/>
      <w:snapToGrid w:val="0"/>
      <w:color w:val="000000"/>
      <w:sz w:val="32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="Arial" w:eastAsia="Arial" w:hAnsi="Arial"/>
      <w:sz w:val="21"/>
    </w:rPr>
  </w:style>
  <w:style w:type="paragraph" w:styleId="a4">
    <w:name w:val="header"/>
    <w:basedOn w:val="a"/>
    <w:link w:val="a5"/>
    <w:rsid w:val="003B71E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B71E9"/>
    <w:rPr>
      <w:rFonts w:ascii="仿宋_GB2312" w:eastAsia="仿宋_GB2312" w:hAnsi="仿宋_GB2312" w:cs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3B71E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B71E9"/>
    <w:rPr>
      <w:rFonts w:ascii="仿宋_GB2312" w:eastAsia="仿宋_GB2312" w:hAnsi="仿宋_GB2312" w:cs="Arial"/>
      <w:snapToGrid w:val="0"/>
      <w:color w:val="000000"/>
      <w:sz w:val="18"/>
      <w:szCs w:val="18"/>
      <w:lang w:eastAsia="en-US"/>
    </w:rPr>
  </w:style>
  <w:style w:type="paragraph" w:styleId="a8">
    <w:name w:val="Block Text"/>
    <w:basedOn w:val="a"/>
    <w:uiPriority w:val="99"/>
    <w:qFormat/>
    <w:rsid w:val="003B71E9"/>
    <w:pPr>
      <w:widowControl w:val="0"/>
      <w:kinsoku/>
      <w:autoSpaceDE/>
      <w:autoSpaceDN/>
      <w:adjustRightInd/>
      <w:snapToGrid/>
      <w:spacing w:after="120"/>
      <w:ind w:leftChars="700" w:left="1440" w:rightChars="700" w:right="1440"/>
      <w:jc w:val="both"/>
      <w:textAlignment w:val="auto"/>
    </w:pPr>
    <w:rPr>
      <w:rFonts w:ascii="Calibri" w:eastAsia="宋体" w:hAnsi="Calibri" w:cs="Times New Roman"/>
      <w:snapToGrid/>
      <w:color w:val="auto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608</Words>
  <Characters>628</Characters>
  <Application>Microsoft Office Word</Application>
  <DocSecurity>0</DocSecurity>
  <Lines>31</Lines>
  <Paragraphs>16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红珊瑚</dc:creator>
  <cp:lastModifiedBy>柳 王</cp:lastModifiedBy>
  <cp:revision>4</cp:revision>
  <dcterms:created xsi:type="dcterms:W3CDTF">2023-12-07T05:41:00Z</dcterms:created>
  <dcterms:modified xsi:type="dcterms:W3CDTF">2026-08-14T02:25:00Z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B309FC3B383D472E8FD31BC431669A79_11</vt:lpwstr>
  </property>
</Properties>
</file>