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8671F">
      <w:pPr>
        <w:autoSpaceDE w:val="0"/>
        <w:autoSpaceDN w:val="0"/>
        <w:adjustRightInd w:val="0"/>
        <w:snapToGrid w:val="0"/>
        <w:spacing w:line="360" w:lineRule="auto"/>
        <w:jc w:val="both"/>
        <w:rPr>
          <w:rFonts w:hint="default" w:ascii="黑体" w:hAnsi="黑体" w:eastAsia="黑体" w:cs="黑体"/>
          <w:bCs/>
          <w:sz w:val="32"/>
          <w:szCs w:val="32"/>
          <w:lang w:val="en-US" w:eastAsia="zh-CN" w:bidi="bo-CN"/>
        </w:rPr>
      </w:pPr>
      <w:bookmarkStart w:id="0" w:name="_Toc14041"/>
      <w:bookmarkStart w:id="1" w:name="_Toc2983"/>
      <w:r>
        <w:rPr>
          <w:rFonts w:hint="eastAsia" w:ascii="黑体" w:hAnsi="黑体" w:eastAsia="黑体" w:cs="黑体"/>
          <w:bCs/>
          <w:sz w:val="32"/>
          <w:szCs w:val="32"/>
          <w:lang w:val="en-US" w:eastAsia="zh-CN" w:bidi="bo-CN"/>
        </w:rPr>
        <w:t>附件1</w:t>
      </w:r>
    </w:p>
    <w:p w14:paraId="214991C3">
      <w:pPr>
        <w:autoSpaceDE w:val="0"/>
        <w:autoSpaceDN w:val="0"/>
        <w:adjustRightInd w:val="0"/>
        <w:snapToGrid w:val="0"/>
        <w:spacing w:line="360" w:lineRule="auto"/>
        <w:jc w:val="center"/>
        <w:rPr>
          <w:rFonts w:hint="eastAsia" w:ascii="方正小标宋简体" w:hAnsi="宋体" w:eastAsia="方正小标宋简体"/>
          <w:bCs/>
          <w:sz w:val="44"/>
          <w:szCs w:val="44"/>
          <w:lang w:bidi="bo-CN"/>
        </w:rPr>
      </w:pPr>
    </w:p>
    <w:p w14:paraId="0AA6795A">
      <w:pPr>
        <w:autoSpaceDE w:val="0"/>
        <w:autoSpaceDN w:val="0"/>
        <w:adjustRightInd w:val="0"/>
        <w:snapToGrid w:val="0"/>
        <w:spacing w:line="560" w:lineRule="exact"/>
        <w:jc w:val="center"/>
        <w:outlineLvl w:val="0"/>
        <w:rPr>
          <w:rFonts w:hint="eastAsia" w:ascii="方正小标宋简体" w:hAnsi="宋体" w:eastAsia="方正小标宋简体"/>
          <w:bCs/>
          <w:sz w:val="44"/>
          <w:szCs w:val="44"/>
          <w:lang w:bidi="bo-CN"/>
        </w:rPr>
      </w:pPr>
      <w:bookmarkStart w:id="2" w:name="_Toc9113"/>
      <w:bookmarkStart w:id="3" w:name="_Toc24697"/>
      <w:bookmarkStart w:id="4" w:name="_Toc15996"/>
      <w:r>
        <w:rPr>
          <w:rFonts w:hint="eastAsia" w:ascii="方正小标宋简体" w:hAnsi="宋体" w:eastAsia="方正小标宋简体"/>
          <w:bCs/>
          <w:sz w:val="44"/>
          <w:szCs w:val="44"/>
          <w:lang w:bidi="bo-CN"/>
        </w:rPr>
        <w:t>大兴区“十五五”时期人力资源和社会保障</w:t>
      </w:r>
      <w:bookmarkEnd w:id="2"/>
      <w:bookmarkEnd w:id="3"/>
      <w:bookmarkEnd w:id="4"/>
    </w:p>
    <w:p w14:paraId="364D5DEE">
      <w:pPr>
        <w:pStyle w:val="6"/>
      </w:pPr>
    </w:p>
    <w:p w14:paraId="5EA8FD97">
      <w:pPr>
        <w:autoSpaceDE w:val="0"/>
        <w:autoSpaceDN w:val="0"/>
        <w:adjustRightInd w:val="0"/>
        <w:snapToGrid w:val="0"/>
        <w:spacing w:line="560" w:lineRule="exact"/>
        <w:jc w:val="center"/>
        <w:outlineLvl w:val="0"/>
        <w:rPr>
          <w:rFonts w:hint="eastAsia" w:ascii="方正小标宋简体" w:hAnsi="宋体" w:eastAsia="方正小标宋简体"/>
          <w:bCs/>
          <w:sz w:val="44"/>
          <w:szCs w:val="44"/>
          <w:lang w:bidi="bo-CN"/>
        </w:rPr>
      </w:pPr>
      <w:bookmarkStart w:id="5" w:name="_Toc14848"/>
      <w:bookmarkStart w:id="6" w:name="_Toc4857"/>
      <w:bookmarkStart w:id="7" w:name="_Toc5725"/>
      <w:r>
        <w:rPr>
          <w:rFonts w:hint="eastAsia" w:ascii="方正小标宋简体" w:hAnsi="宋体" w:eastAsia="方正小标宋简体"/>
          <w:bCs/>
          <w:sz w:val="44"/>
          <w:szCs w:val="44"/>
          <w:lang w:bidi="bo-CN"/>
        </w:rPr>
        <w:t>事业发展规划</w:t>
      </w:r>
      <w:bookmarkEnd w:id="0"/>
      <w:bookmarkEnd w:id="1"/>
      <w:bookmarkEnd w:id="5"/>
      <w:bookmarkEnd w:id="6"/>
      <w:bookmarkEnd w:id="7"/>
    </w:p>
    <w:p w14:paraId="4AD687DD">
      <w:pPr>
        <w:pStyle w:val="6"/>
        <w:spacing w:line="560" w:lineRule="exact"/>
        <w:ind w:firstLine="0" w:firstLineChars="0"/>
        <w:jc w:val="center"/>
        <w:rPr>
          <w:rFonts w:hint="eastAsia" w:ascii="方正小标宋简体" w:hAnsi="宋体" w:eastAsia="方正小标宋简体"/>
          <w:bCs/>
          <w:sz w:val="44"/>
          <w:szCs w:val="44"/>
          <w:lang w:bidi="bo-CN"/>
        </w:rPr>
      </w:pPr>
    </w:p>
    <w:p w14:paraId="47D3BBE8">
      <w:pPr>
        <w:pStyle w:val="6"/>
        <w:spacing w:line="560" w:lineRule="exact"/>
        <w:ind w:firstLine="0" w:firstLineChars="0"/>
        <w:jc w:val="center"/>
        <w:rPr>
          <w:rFonts w:hint="eastAsia" w:ascii="楷体_GB2312" w:hAnsi="楷体_GB2312" w:eastAsia="楷体_GB2312" w:cs="楷体_GB2312"/>
          <w:sz w:val="44"/>
          <w:szCs w:val="44"/>
        </w:rPr>
      </w:pPr>
      <w:r>
        <w:rPr>
          <w:rFonts w:hint="eastAsia" w:ascii="楷体_GB2312" w:hAnsi="楷体_GB2312" w:eastAsia="楷体_GB2312" w:cs="楷体_GB2312"/>
          <w:bCs/>
          <w:sz w:val="44"/>
          <w:szCs w:val="44"/>
          <w:lang w:bidi="bo-CN"/>
        </w:rPr>
        <w:t>（</w:t>
      </w:r>
      <w:r>
        <w:rPr>
          <w:rFonts w:hint="eastAsia" w:ascii="楷体_GB2312" w:hAnsi="楷体_GB2312" w:eastAsia="楷体_GB2312" w:cs="楷体_GB2312"/>
          <w:bCs/>
          <w:sz w:val="44"/>
          <w:szCs w:val="44"/>
          <w:lang w:val="en-US" w:eastAsia="zh-CN" w:bidi="bo-CN"/>
        </w:rPr>
        <w:t>征求意见</w:t>
      </w:r>
      <w:r>
        <w:rPr>
          <w:rFonts w:hint="eastAsia" w:ascii="楷体_GB2312" w:hAnsi="楷体_GB2312" w:eastAsia="楷体_GB2312" w:cs="楷体_GB2312"/>
          <w:bCs/>
          <w:sz w:val="44"/>
          <w:szCs w:val="44"/>
          <w:lang w:bidi="bo-CN"/>
        </w:rPr>
        <w:t>稿）</w:t>
      </w:r>
    </w:p>
    <w:p w14:paraId="7CB229FA">
      <w:pPr>
        <w:autoSpaceDE w:val="0"/>
        <w:autoSpaceDN w:val="0"/>
        <w:adjustRightInd w:val="0"/>
        <w:snapToGrid w:val="0"/>
        <w:spacing w:line="360" w:lineRule="auto"/>
        <w:jc w:val="center"/>
        <w:rPr>
          <w:rFonts w:hint="eastAsia" w:ascii="宋体" w:hAnsi="宋体"/>
          <w:b/>
          <w:bCs/>
          <w:sz w:val="32"/>
          <w:szCs w:val="32"/>
          <w:lang w:bidi="bo-CN"/>
        </w:rPr>
      </w:pPr>
    </w:p>
    <w:p w14:paraId="1EA4B379">
      <w:pPr>
        <w:autoSpaceDE w:val="0"/>
        <w:autoSpaceDN w:val="0"/>
        <w:adjustRightInd w:val="0"/>
        <w:snapToGrid w:val="0"/>
        <w:spacing w:line="360" w:lineRule="auto"/>
        <w:jc w:val="center"/>
        <w:rPr>
          <w:rFonts w:hint="eastAsia" w:ascii="宋体" w:hAnsi="宋体"/>
          <w:b/>
          <w:bCs/>
          <w:sz w:val="28"/>
          <w:szCs w:val="28"/>
          <w:lang w:bidi="bo-CN"/>
        </w:rPr>
      </w:pPr>
    </w:p>
    <w:p w14:paraId="0031D1CA">
      <w:pPr>
        <w:autoSpaceDE w:val="0"/>
        <w:autoSpaceDN w:val="0"/>
        <w:adjustRightInd w:val="0"/>
        <w:snapToGrid w:val="0"/>
        <w:spacing w:line="360" w:lineRule="auto"/>
        <w:jc w:val="center"/>
        <w:rPr>
          <w:rFonts w:hint="eastAsia" w:ascii="宋体" w:hAnsi="宋体"/>
          <w:b/>
          <w:bCs/>
          <w:sz w:val="28"/>
          <w:szCs w:val="28"/>
          <w:lang w:bidi="bo-CN"/>
        </w:rPr>
      </w:pPr>
    </w:p>
    <w:p w14:paraId="4920C50E">
      <w:pPr>
        <w:autoSpaceDE w:val="0"/>
        <w:autoSpaceDN w:val="0"/>
        <w:adjustRightInd w:val="0"/>
        <w:snapToGrid w:val="0"/>
        <w:spacing w:line="360" w:lineRule="auto"/>
        <w:jc w:val="center"/>
        <w:rPr>
          <w:rFonts w:hint="eastAsia" w:ascii="宋体" w:hAnsi="宋体"/>
          <w:b/>
          <w:bCs/>
          <w:sz w:val="28"/>
          <w:szCs w:val="28"/>
          <w:lang w:bidi="bo-CN"/>
        </w:rPr>
      </w:pPr>
      <w:bookmarkStart w:id="65" w:name="_GoBack"/>
      <w:bookmarkEnd w:id="65"/>
    </w:p>
    <w:p w14:paraId="26F1AFAF">
      <w:pPr>
        <w:autoSpaceDE w:val="0"/>
        <w:autoSpaceDN w:val="0"/>
        <w:adjustRightInd w:val="0"/>
        <w:snapToGrid w:val="0"/>
        <w:spacing w:line="360" w:lineRule="auto"/>
        <w:jc w:val="center"/>
        <w:rPr>
          <w:rFonts w:hint="eastAsia" w:ascii="宋体" w:hAnsi="宋体"/>
          <w:b/>
          <w:bCs/>
          <w:sz w:val="28"/>
          <w:szCs w:val="28"/>
          <w:lang w:bidi="bo-CN"/>
        </w:rPr>
      </w:pPr>
    </w:p>
    <w:p w14:paraId="720F29C2">
      <w:pPr>
        <w:autoSpaceDE w:val="0"/>
        <w:autoSpaceDN w:val="0"/>
        <w:adjustRightInd w:val="0"/>
        <w:snapToGrid w:val="0"/>
        <w:spacing w:line="360" w:lineRule="auto"/>
        <w:jc w:val="center"/>
        <w:rPr>
          <w:rFonts w:hint="eastAsia" w:ascii="宋体" w:hAnsi="宋体"/>
          <w:b/>
          <w:bCs/>
          <w:sz w:val="28"/>
          <w:szCs w:val="28"/>
          <w:lang w:bidi="bo-CN"/>
        </w:rPr>
      </w:pPr>
    </w:p>
    <w:p w14:paraId="55D2C94D">
      <w:pPr>
        <w:rPr>
          <w:rFonts w:ascii="Calibri" w:hAnsi="Calibri"/>
          <w:szCs w:val="32"/>
          <w:lang w:bidi="bo-CN"/>
        </w:rPr>
      </w:pPr>
    </w:p>
    <w:p w14:paraId="60A7EA99">
      <w:pPr>
        <w:pStyle w:val="10"/>
        <w:rPr>
          <w:rFonts w:ascii="Calibri" w:hAnsi="Calibri"/>
          <w:szCs w:val="32"/>
          <w:lang w:bidi="bo-CN"/>
        </w:rPr>
      </w:pPr>
    </w:p>
    <w:p w14:paraId="4F58504F">
      <w:pPr>
        <w:pStyle w:val="11"/>
        <w:rPr>
          <w:rFonts w:ascii="Calibri" w:hAnsi="Calibri"/>
          <w:szCs w:val="32"/>
          <w:lang w:bidi="bo-CN"/>
        </w:rPr>
      </w:pPr>
    </w:p>
    <w:p w14:paraId="088E363B">
      <w:pPr>
        <w:pStyle w:val="12"/>
      </w:pPr>
    </w:p>
    <w:p w14:paraId="3A9343C7"/>
    <w:p w14:paraId="10EDC5BD">
      <w:pPr>
        <w:pStyle w:val="6"/>
      </w:pPr>
    </w:p>
    <w:p w14:paraId="0CF42C4F">
      <w:pPr>
        <w:pStyle w:val="6"/>
      </w:pPr>
    </w:p>
    <w:p w14:paraId="0F27A918">
      <w:pPr>
        <w:pStyle w:val="11"/>
      </w:pPr>
    </w:p>
    <w:p w14:paraId="0948C683">
      <w:pPr>
        <w:pStyle w:val="12"/>
      </w:pPr>
    </w:p>
    <w:p w14:paraId="64B8CC3B">
      <w:pPr>
        <w:autoSpaceDE w:val="0"/>
        <w:autoSpaceDN w:val="0"/>
        <w:adjustRightInd w:val="0"/>
        <w:snapToGrid w:val="0"/>
        <w:spacing w:line="360" w:lineRule="auto"/>
        <w:rPr>
          <w:rFonts w:hint="eastAsia" w:ascii="宋体" w:hAnsi="宋体"/>
          <w:b/>
          <w:bCs/>
          <w:sz w:val="28"/>
          <w:szCs w:val="28"/>
          <w:lang w:bidi="bo-CN"/>
        </w:rPr>
      </w:pPr>
    </w:p>
    <w:p w14:paraId="3EB72FF9">
      <w:pPr>
        <w:jc w:val="center"/>
        <w:rPr>
          <w:rFonts w:hint="eastAsia" w:ascii="黑体" w:hAnsi="黑体" w:eastAsia="黑体"/>
          <w:sz w:val="32"/>
          <w:szCs w:val="32"/>
          <w:lang w:bidi="bo-CN"/>
        </w:rPr>
      </w:pPr>
      <w:r>
        <w:rPr>
          <w:rFonts w:hint="eastAsia" w:ascii="黑体" w:hAnsi="黑体" w:eastAsia="黑体"/>
          <w:sz w:val="32"/>
          <w:szCs w:val="32"/>
          <w:lang w:bidi="bo-CN"/>
        </w:rPr>
        <w:t>二〇二</w:t>
      </w:r>
      <w:r>
        <w:rPr>
          <w:rFonts w:hint="eastAsia" w:ascii="黑体" w:hAnsi="黑体" w:eastAsia="黑体"/>
          <w:sz w:val="32"/>
          <w:szCs w:val="32"/>
          <w:lang w:val="en-US" w:eastAsia="zh-CN" w:bidi="bo-CN"/>
        </w:rPr>
        <w:t>六</w:t>
      </w:r>
      <w:r>
        <w:rPr>
          <w:rFonts w:hint="eastAsia" w:ascii="黑体" w:hAnsi="黑体" w:eastAsia="黑体"/>
          <w:sz w:val="32"/>
          <w:szCs w:val="32"/>
          <w:lang w:bidi="bo-CN"/>
        </w:rPr>
        <w:t>年</w:t>
      </w:r>
      <w:r>
        <w:rPr>
          <w:rFonts w:hint="eastAsia" w:ascii="黑体" w:hAnsi="黑体" w:eastAsia="黑体"/>
          <w:sz w:val="32"/>
          <w:szCs w:val="32"/>
          <w:lang w:val="en-US" w:eastAsia="zh-CN" w:bidi="bo-CN"/>
        </w:rPr>
        <w:t>八</w:t>
      </w:r>
      <w:r>
        <w:rPr>
          <w:rFonts w:hint="eastAsia" w:ascii="黑体" w:hAnsi="黑体" w:eastAsia="黑体"/>
          <w:sz w:val="32"/>
          <w:szCs w:val="32"/>
          <w:lang w:bidi="bo-CN"/>
        </w:rPr>
        <w:t>月</w:t>
      </w:r>
    </w:p>
    <w:p w14:paraId="7C1646A0">
      <w:pPr>
        <w:autoSpaceDE w:val="0"/>
        <w:autoSpaceDN w:val="0"/>
        <w:adjustRightInd w:val="0"/>
        <w:snapToGrid w:val="0"/>
        <w:spacing w:line="360" w:lineRule="auto"/>
        <w:rPr>
          <w:rFonts w:hint="eastAsia" w:ascii="方正小标宋简体" w:hAnsi="方正小标宋简体" w:eastAsia="方正小标宋简体" w:cs="方正小标宋简体"/>
          <w:sz w:val="40"/>
          <w:szCs w:val="48"/>
        </w:rPr>
      </w:pPr>
    </w:p>
    <w:p w14:paraId="6B0FFD75">
      <w:pPr>
        <w:pStyle w:val="6"/>
        <w:spacing w:line="560" w:lineRule="exact"/>
        <w:ind w:left="0" w:leftChars="0" w:firstLine="0" w:firstLineChars="0"/>
        <w:jc w:val="center"/>
        <w:rPr>
          <w:rFonts w:hint="eastAsia" w:ascii="方正小标宋简体" w:hAnsi="方正小标宋简体" w:eastAsia="方正小标宋简体" w:cs="方正小标宋简体"/>
          <w:bCs/>
          <w:kern w:val="0"/>
          <w:sz w:val="44"/>
          <w:szCs w:val="44"/>
          <w:lang w:val="en-US" w:eastAsia="zh-CN"/>
        </w:rPr>
        <w:sectPr>
          <w:footerReference r:id="rId4" w:type="default"/>
          <w:pgSz w:w="11906" w:h="16838"/>
          <w:pgMar w:top="2098" w:right="1474" w:bottom="1984" w:left="1587" w:header="851" w:footer="992" w:gutter="0"/>
          <w:pgNumType w:fmt="numberInDash" w:start="1"/>
          <w:cols w:space="720" w:num="1"/>
          <w:docGrid w:type="lines" w:linePitch="312" w:charSpace="0"/>
        </w:sectPr>
      </w:pPr>
      <w:bookmarkStart w:id="8" w:name="_Toc12499"/>
    </w:p>
    <w:p w14:paraId="3CE2FF5E">
      <w:pPr>
        <w:pStyle w:val="6"/>
        <w:spacing w:line="560" w:lineRule="exact"/>
        <w:ind w:left="0" w:leftChars="0" w:firstLine="0" w:firstLineChars="0"/>
        <w:jc w:val="center"/>
        <w:rPr>
          <w:rFonts w:hint="eastAsia" w:ascii="方正小标宋简体" w:hAnsi="方正小标宋简体" w:eastAsia="方正小标宋简体" w:cs="方正小标宋简体"/>
          <w:bCs/>
          <w:kern w:val="0"/>
          <w:sz w:val="44"/>
          <w:szCs w:val="44"/>
          <w:lang w:val="en-US" w:eastAsia="zh-CN"/>
        </w:rPr>
      </w:pPr>
      <w:r>
        <w:rPr>
          <w:rFonts w:hint="eastAsia" w:ascii="方正小标宋简体" w:hAnsi="方正小标宋简体" w:eastAsia="方正小标宋简体" w:cs="方正小标宋简体"/>
          <w:bCs/>
          <w:kern w:val="0"/>
          <w:sz w:val="44"/>
          <w:szCs w:val="44"/>
          <w:lang w:val="en-US" w:eastAsia="zh-CN"/>
        </w:rPr>
        <w:t>目录</w:t>
      </w:r>
    </w:p>
    <w:p w14:paraId="4BE5B862">
      <w:pPr>
        <w:pStyle w:val="6"/>
        <w:spacing w:line="560" w:lineRule="exact"/>
        <w:ind w:left="0" w:leftChars="0" w:firstLine="0" w:firstLineChars="0"/>
        <w:jc w:val="center"/>
        <w:rPr>
          <w:rFonts w:hint="eastAsia" w:ascii="方正小标宋简体" w:hAnsi="方正小标宋简体" w:eastAsia="方正小标宋简体" w:cs="方正小标宋简体"/>
          <w:bCs/>
          <w:kern w:val="0"/>
          <w:sz w:val="44"/>
          <w:szCs w:val="44"/>
          <w:lang w:val="en-US" w:eastAsia="zh-CN"/>
        </w:rPr>
      </w:pPr>
    </w:p>
    <w:p w14:paraId="09C5429B">
      <w:pPr>
        <w:pStyle w:val="6"/>
        <w:numPr>
          <w:ilvl w:val="0"/>
          <w:numId w:val="0"/>
        </w:numPr>
        <w:spacing w:line="560" w:lineRule="exact"/>
        <w:ind w:leftChars="-200" w:firstLine="560" w:firstLineChars="200"/>
        <w:jc w:val="left"/>
        <w:rPr>
          <w:rFonts w:hint="eastAsia" w:ascii="楷体_GB2312" w:hAnsi="楷体_GB2312" w:eastAsia="楷体_GB2312" w:cs="楷体_GB2312"/>
          <w:bCs/>
          <w:kern w:val="0"/>
          <w:sz w:val="28"/>
          <w:szCs w:val="28"/>
        </w:rPr>
      </w:pPr>
      <w:r>
        <w:rPr>
          <w:rFonts w:hint="eastAsia" w:ascii="黑体" w:hAnsi="黑体" w:eastAsia="黑体" w:cs="黑体"/>
          <w:bCs/>
          <w:kern w:val="0"/>
          <w:sz w:val="28"/>
          <w:szCs w:val="28"/>
          <w:lang w:val="en-US" w:eastAsia="zh-CN"/>
        </w:rPr>
        <w:t>一、</w:t>
      </w:r>
      <w:r>
        <w:rPr>
          <w:rFonts w:hint="eastAsia" w:ascii="黑体" w:hAnsi="黑体" w:eastAsia="黑体" w:cs="黑体"/>
          <w:bCs/>
          <w:kern w:val="0"/>
          <w:sz w:val="28"/>
          <w:szCs w:val="28"/>
        </w:rPr>
        <w:t>“十四五”时期发展回顾</w:t>
      </w:r>
      <w:r>
        <w:rPr>
          <w:rFonts w:hint="eastAsia" w:ascii="黑体" w:hAnsi="黑体" w:eastAsia="黑体" w:cs="黑体"/>
          <w:bCs/>
          <w:kern w:val="0"/>
          <w:sz w:val="28"/>
          <w:szCs w:val="28"/>
          <w:lang w:val="en-US" w:eastAsia="zh-CN"/>
        </w:rPr>
        <w:t xml:space="preserve"> </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bCs/>
          <w:kern w:val="0"/>
          <w:sz w:val="28"/>
          <w:szCs w:val="28"/>
          <w:lang w:val="en-US" w:eastAsia="zh-CN"/>
        </w:rPr>
        <w:t xml:space="preserve"> 1 </w:t>
      </w:r>
      <w:r>
        <w:rPr>
          <w:rFonts w:hint="eastAsia" w:ascii="楷体_GB2312" w:hAnsi="楷体_GB2312" w:eastAsia="楷体_GB2312" w:cs="楷体_GB2312"/>
          <w:bCs/>
          <w:kern w:val="0"/>
          <w:sz w:val="28"/>
          <w:szCs w:val="28"/>
        </w:rPr>
        <w:t>-</w:t>
      </w:r>
    </w:p>
    <w:p w14:paraId="2B84C7B5">
      <w:pPr>
        <w:pStyle w:val="6"/>
        <w:numPr>
          <w:ilvl w:val="0"/>
          <w:numId w:val="0"/>
        </w:numPr>
        <w:spacing w:line="560" w:lineRule="exact"/>
        <w:ind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（一）高质量充分就业基础更加牢固</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- 2 -</w:t>
      </w:r>
    </w:p>
    <w:p w14:paraId="4926E954">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（二）社会保障水平不断提高</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- 2 -</w:t>
      </w:r>
    </w:p>
    <w:p w14:paraId="6E42A7A1">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（三）人才质量稳步提升</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- 3 -</w:t>
      </w:r>
    </w:p>
    <w:p w14:paraId="59A2F915">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（四）劳动权益维护更加有力</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xml:space="preserve">- </w:t>
      </w:r>
      <w:r>
        <w:rPr>
          <w:rFonts w:hint="eastAsia" w:ascii="楷体_GB2312" w:hAnsi="楷体_GB2312" w:eastAsia="楷体_GB2312" w:cs="楷体_GB2312"/>
          <w:bCs/>
          <w:kern w:val="0"/>
          <w:sz w:val="28"/>
          <w:szCs w:val="28"/>
          <w:lang w:val="en-US" w:eastAsia="zh-CN"/>
        </w:rPr>
        <w:t>4</w:t>
      </w:r>
      <w:r>
        <w:rPr>
          <w:rFonts w:hint="eastAsia" w:ascii="楷体_GB2312" w:hAnsi="楷体_GB2312" w:eastAsia="楷体_GB2312" w:cs="楷体_GB2312"/>
          <w:bCs/>
          <w:kern w:val="0"/>
          <w:sz w:val="28"/>
          <w:szCs w:val="28"/>
        </w:rPr>
        <w:t xml:space="preserve"> -</w:t>
      </w:r>
    </w:p>
    <w:p w14:paraId="76BE91AB">
      <w:pPr>
        <w:pStyle w:val="6"/>
        <w:spacing w:line="560" w:lineRule="exact"/>
        <w:ind w:left="0" w:leftChars="0" w:firstLine="0" w:firstLineChars="0"/>
        <w:jc w:val="left"/>
        <w:rPr>
          <w:rFonts w:hint="eastAsia" w:ascii="楷体_GB2312" w:hAnsi="楷体_GB2312" w:eastAsia="楷体_GB2312" w:cs="楷体_GB2312"/>
          <w:bCs/>
          <w:kern w:val="0"/>
          <w:sz w:val="28"/>
          <w:szCs w:val="28"/>
        </w:rPr>
      </w:pPr>
      <w:r>
        <w:rPr>
          <w:rFonts w:hint="eastAsia" w:ascii="黑体" w:hAnsi="黑体" w:eastAsia="黑体" w:cs="黑体"/>
          <w:bCs/>
          <w:kern w:val="0"/>
          <w:sz w:val="28"/>
          <w:szCs w:val="28"/>
        </w:rPr>
        <w:t>二、“十五五”时期发展面临的形势</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xml:space="preserve">- </w:t>
      </w:r>
      <w:r>
        <w:rPr>
          <w:rFonts w:hint="eastAsia" w:ascii="楷体_GB2312" w:hAnsi="楷体_GB2312" w:eastAsia="楷体_GB2312" w:cs="楷体_GB2312"/>
          <w:bCs/>
          <w:kern w:val="0"/>
          <w:sz w:val="28"/>
          <w:szCs w:val="28"/>
          <w:lang w:val="en-US" w:eastAsia="zh-CN"/>
        </w:rPr>
        <w:t>6</w:t>
      </w:r>
      <w:r>
        <w:rPr>
          <w:rFonts w:hint="eastAsia" w:ascii="楷体_GB2312" w:hAnsi="楷体_GB2312" w:eastAsia="楷体_GB2312" w:cs="楷体_GB2312"/>
          <w:bCs/>
          <w:kern w:val="0"/>
          <w:sz w:val="28"/>
          <w:szCs w:val="28"/>
        </w:rPr>
        <w:t xml:space="preserve"> -</w:t>
      </w:r>
    </w:p>
    <w:p w14:paraId="33B6C4D4">
      <w:pPr>
        <w:pStyle w:val="6"/>
        <w:spacing w:line="560" w:lineRule="exact"/>
        <w:ind w:left="0" w:leftChars="0" w:firstLine="0" w:firstLineChars="0"/>
        <w:jc w:val="left"/>
        <w:rPr>
          <w:rFonts w:hint="eastAsia" w:ascii="仿宋_GB2312" w:hAnsi="黑体" w:eastAsia="仿宋_GB2312"/>
          <w:bCs/>
          <w:kern w:val="0"/>
          <w:sz w:val="32"/>
          <w:szCs w:val="32"/>
        </w:rPr>
      </w:pPr>
      <w:r>
        <w:rPr>
          <w:rFonts w:hint="eastAsia" w:ascii="黑体" w:hAnsi="黑体" w:eastAsia="黑体" w:cs="黑体"/>
          <w:bCs/>
          <w:kern w:val="0"/>
          <w:sz w:val="28"/>
          <w:szCs w:val="28"/>
        </w:rPr>
        <w:t>三、“十五五”专项规划的指导思想和发展目标</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xml:space="preserve">- </w:t>
      </w:r>
      <w:r>
        <w:rPr>
          <w:rFonts w:hint="eastAsia" w:ascii="楷体_GB2312" w:hAnsi="楷体_GB2312" w:eastAsia="楷体_GB2312" w:cs="楷体_GB2312"/>
          <w:bCs/>
          <w:kern w:val="0"/>
          <w:sz w:val="28"/>
          <w:szCs w:val="28"/>
          <w:lang w:val="en-US" w:eastAsia="zh-CN"/>
        </w:rPr>
        <w:t>8</w:t>
      </w:r>
      <w:r>
        <w:rPr>
          <w:rFonts w:hint="eastAsia" w:ascii="楷体_GB2312" w:hAnsi="楷体_GB2312" w:eastAsia="楷体_GB2312" w:cs="楷体_GB2312"/>
          <w:bCs/>
          <w:kern w:val="0"/>
          <w:sz w:val="28"/>
          <w:szCs w:val="28"/>
        </w:rPr>
        <w:t xml:space="preserve"> -</w:t>
      </w:r>
    </w:p>
    <w:p w14:paraId="49A89B4D">
      <w:pPr>
        <w:pStyle w:val="6"/>
        <w:spacing w:line="560" w:lineRule="exact"/>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（一） 指导思想…………………………………………………</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bCs/>
          <w:kern w:val="0"/>
          <w:sz w:val="28"/>
          <w:szCs w:val="28"/>
          <w:lang w:val="en-US" w:eastAsia="zh-CN"/>
        </w:rPr>
        <w:t>8</w:t>
      </w:r>
      <w:r>
        <w:rPr>
          <w:rFonts w:hint="eastAsia" w:ascii="楷体_GB2312" w:hAnsi="楷体_GB2312" w:eastAsia="楷体_GB2312" w:cs="楷体_GB2312"/>
          <w:bCs/>
          <w:kern w:val="0"/>
          <w:sz w:val="28"/>
          <w:szCs w:val="28"/>
        </w:rPr>
        <w:t xml:space="preserve"> -</w:t>
      </w:r>
    </w:p>
    <w:p w14:paraId="29FD3B28">
      <w:pPr>
        <w:pStyle w:val="6"/>
        <w:spacing w:line="560" w:lineRule="exact"/>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（二） 发展目标…………………………………………………</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xml:space="preserve">- </w:t>
      </w:r>
      <w:r>
        <w:rPr>
          <w:rFonts w:hint="eastAsia" w:ascii="楷体_GB2312" w:hAnsi="楷体_GB2312" w:eastAsia="楷体_GB2312" w:cs="楷体_GB2312"/>
          <w:bCs/>
          <w:kern w:val="0"/>
          <w:sz w:val="28"/>
          <w:szCs w:val="28"/>
          <w:lang w:val="en-US" w:eastAsia="zh-CN"/>
        </w:rPr>
        <w:t>9</w:t>
      </w:r>
      <w:r>
        <w:rPr>
          <w:rFonts w:hint="eastAsia" w:ascii="楷体_GB2312" w:hAnsi="楷体_GB2312" w:eastAsia="楷体_GB2312" w:cs="楷体_GB2312"/>
          <w:bCs/>
          <w:kern w:val="0"/>
          <w:sz w:val="28"/>
          <w:szCs w:val="28"/>
        </w:rPr>
        <w:t xml:space="preserve"> -</w:t>
      </w:r>
    </w:p>
    <w:p w14:paraId="76E3AE41">
      <w:pPr>
        <w:pStyle w:val="6"/>
        <w:spacing w:line="560" w:lineRule="exact"/>
        <w:ind w:left="560" w:leftChars="0" w:hanging="560" w:hangingChars="200"/>
        <w:jc w:val="left"/>
        <w:rPr>
          <w:rFonts w:hint="eastAsia" w:ascii="楷体_GB2312" w:hAnsi="楷体_GB2312" w:eastAsia="楷体_GB2312" w:cs="楷体_GB2312"/>
          <w:bCs/>
          <w:kern w:val="0"/>
          <w:sz w:val="28"/>
          <w:szCs w:val="28"/>
        </w:rPr>
      </w:pPr>
      <w:r>
        <w:rPr>
          <w:rFonts w:hint="eastAsia" w:ascii="黑体" w:hAnsi="黑体" w:eastAsia="黑体" w:cs="黑体"/>
          <w:bCs/>
          <w:kern w:val="0"/>
          <w:sz w:val="28"/>
          <w:szCs w:val="28"/>
        </w:rPr>
        <w:t>四、“十五五”时期重</w:t>
      </w:r>
      <w:r>
        <w:rPr>
          <w:rFonts w:hint="eastAsia" w:ascii="黑体" w:hAnsi="黑体" w:eastAsia="黑体" w:cs="黑体"/>
          <w:bCs/>
          <w:kern w:val="0"/>
          <w:sz w:val="28"/>
          <w:szCs w:val="28"/>
          <w:lang w:eastAsia="zh-CN"/>
        </w:rPr>
        <w:t>点任</w:t>
      </w:r>
      <w:r>
        <w:rPr>
          <w:rFonts w:hint="eastAsia" w:ascii="黑体" w:hAnsi="黑体" w:eastAsia="黑体" w:cs="黑体"/>
          <w:bCs/>
          <w:kern w:val="0"/>
          <w:sz w:val="28"/>
          <w:szCs w:val="28"/>
        </w:rPr>
        <w:t>务</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bCs/>
          <w:kern w:val="0"/>
          <w:sz w:val="28"/>
          <w:szCs w:val="28"/>
          <w:lang w:val="en-US" w:eastAsia="zh-CN"/>
        </w:rPr>
        <w:t xml:space="preserve"> 12 </w:t>
      </w:r>
      <w:r>
        <w:rPr>
          <w:rFonts w:hint="eastAsia" w:ascii="楷体_GB2312" w:hAnsi="楷体_GB2312" w:eastAsia="楷体_GB2312" w:cs="楷体_GB2312"/>
          <w:bCs/>
          <w:kern w:val="0"/>
          <w:sz w:val="28"/>
          <w:szCs w:val="28"/>
        </w:rPr>
        <w:t>-</w:t>
      </w:r>
    </w:p>
    <w:p w14:paraId="6F53A32F">
      <w:pPr>
        <w:pStyle w:val="6"/>
        <w:spacing w:line="560" w:lineRule="exact"/>
        <w:ind w:left="559" w:leftChars="266" w:firstLine="0" w:firstLineChars="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（一）坚持经济发展导向，推动劳动者就业质量稳步提升…</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- 1</w:t>
      </w:r>
      <w:r>
        <w:rPr>
          <w:rFonts w:hint="eastAsia" w:ascii="楷体_GB2312" w:hAnsi="楷体_GB2312" w:eastAsia="楷体_GB2312" w:cs="楷体_GB2312"/>
          <w:bCs/>
          <w:kern w:val="0"/>
          <w:sz w:val="28"/>
          <w:szCs w:val="28"/>
          <w:lang w:val="en-US" w:eastAsia="zh-CN"/>
        </w:rPr>
        <w:t>2</w:t>
      </w:r>
      <w:r>
        <w:rPr>
          <w:rFonts w:hint="eastAsia" w:ascii="楷体_GB2312" w:hAnsi="楷体_GB2312" w:eastAsia="楷体_GB2312" w:cs="楷体_GB2312"/>
          <w:bCs/>
          <w:kern w:val="0"/>
          <w:sz w:val="28"/>
          <w:szCs w:val="28"/>
        </w:rPr>
        <w:t xml:space="preserve"> -</w:t>
      </w:r>
    </w:p>
    <w:p w14:paraId="213133B0">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（二）健全多层次保障体系，筑牢全方位民生保障新格局</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…- 1</w:t>
      </w:r>
      <w:r>
        <w:rPr>
          <w:rFonts w:hint="eastAsia" w:ascii="楷体_GB2312" w:hAnsi="楷体_GB2312" w:eastAsia="楷体_GB2312" w:cs="楷体_GB2312"/>
          <w:bCs/>
          <w:kern w:val="0"/>
          <w:sz w:val="28"/>
          <w:szCs w:val="28"/>
          <w:lang w:val="en-US" w:eastAsia="zh-CN"/>
        </w:rPr>
        <w:t>9</w:t>
      </w:r>
      <w:r>
        <w:rPr>
          <w:rFonts w:hint="eastAsia" w:ascii="楷体_GB2312" w:hAnsi="楷体_GB2312" w:eastAsia="楷体_GB2312" w:cs="楷体_GB2312"/>
          <w:bCs/>
          <w:kern w:val="0"/>
          <w:sz w:val="28"/>
          <w:szCs w:val="28"/>
        </w:rPr>
        <w:t xml:space="preserve"> -</w:t>
      </w:r>
    </w:p>
    <w:p w14:paraId="39F92068">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（三）聚焦高质量发展，构建人才发展一体化格局…………</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- 2</w:t>
      </w:r>
      <w:r>
        <w:rPr>
          <w:rFonts w:hint="eastAsia" w:ascii="楷体_GB2312" w:hAnsi="楷体_GB2312" w:eastAsia="楷体_GB2312" w:cs="楷体_GB2312"/>
          <w:bCs/>
          <w:kern w:val="0"/>
          <w:sz w:val="28"/>
          <w:szCs w:val="28"/>
          <w:lang w:val="en-US" w:eastAsia="zh-CN"/>
        </w:rPr>
        <w:t>4</w:t>
      </w:r>
      <w:r>
        <w:rPr>
          <w:rFonts w:hint="eastAsia" w:ascii="楷体_GB2312" w:hAnsi="楷体_GB2312" w:eastAsia="楷体_GB2312" w:cs="楷体_GB2312"/>
          <w:bCs/>
          <w:kern w:val="0"/>
          <w:sz w:val="28"/>
          <w:szCs w:val="28"/>
        </w:rPr>
        <w:t xml:space="preserve"> -</w:t>
      </w:r>
    </w:p>
    <w:p w14:paraId="7D796677">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（四）深化多元协同治理，维护劳动关系和谐稳定…………</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- 2</w:t>
      </w:r>
      <w:r>
        <w:rPr>
          <w:rFonts w:hint="eastAsia" w:ascii="楷体_GB2312" w:hAnsi="楷体_GB2312" w:eastAsia="楷体_GB2312" w:cs="楷体_GB2312"/>
          <w:bCs/>
          <w:kern w:val="0"/>
          <w:sz w:val="28"/>
          <w:szCs w:val="28"/>
          <w:lang w:val="en-US" w:eastAsia="zh-CN"/>
        </w:rPr>
        <w:t>8</w:t>
      </w:r>
      <w:r>
        <w:rPr>
          <w:rFonts w:hint="eastAsia" w:ascii="楷体_GB2312" w:hAnsi="楷体_GB2312" w:eastAsia="楷体_GB2312" w:cs="楷体_GB2312"/>
          <w:bCs/>
          <w:kern w:val="0"/>
          <w:sz w:val="28"/>
          <w:szCs w:val="28"/>
        </w:rPr>
        <w:t xml:space="preserve"> -</w:t>
      </w:r>
    </w:p>
    <w:p w14:paraId="4C82F294">
      <w:pPr>
        <w:pStyle w:val="6"/>
        <w:spacing w:line="560" w:lineRule="exact"/>
        <w:ind w:left="0" w:leftChars="0" w:firstLine="0" w:firstLineChars="0"/>
        <w:jc w:val="left"/>
        <w:rPr>
          <w:rFonts w:hint="eastAsia" w:ascii="仿宋_GB2312" w:hAnsi="黑体" w:eastAsia="仿宋_GB2312"/>
          <w:bCs/>
          <w:kern w:val="0"/>
          <w:sz w:val="32"/>
          <w:szCs w:val="32"/>
        </w:rPr>
      </w:pPr>
      <w:r>
        <w:rPr>
          <w:rFonts w:hint="eastAsia" w:ascii="黑体" w:hAnsi="黑体" w:eastAsia="黑体" w:cs="黑体"/>
          <w:bCs/>
          <w:kern w:val="0"/>
          <w:sz w:val="28"/>
          <w:szCs w:val="28"/>
        </w:rPr>
        <w:t>五、保障措施</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bCs/>
          <w:kern w:val="0"/>
          <w:sz w:val="28"/>
          <w:szCs w:val="28"/>
          <w:lang w:val="en-US" w:eastAsia="zh-CN"/>
        </w:rPr>
        <w:t xml:space="preserve"> </w:t>
      </w:r>
      <w:r>
        <w:rPr>
          <w:rFonts w:hint="eastAsia" w:ascii="楷体_GB2312" w:hAnsi="楷体_GB2312" w:eastAsia="楷体_GB2312" w:cs="楷体_GB2312"/>
          <w:bCs/>
          <w:kern w:val="0"/>
          <w:sz w:val="28"/>
          <w:szCs w:val="28"/>
        </w:rPr>
        <w:t>3</w:t>
      </w:r>
      <w:r>
        <w:rPr>
          <w:rFonts w:hint="eastAsia" w:ascii="楷体_GB2312" w:hAnsi="楷体_GB2312" w:eastAsia="楷体_GB2312" w:cs="楷体_GB2312"/>
          <w:bCs/>
          <w:kern w:val="0"/>
          <w:sz w:val="28"/>
          <w:szCs w:val="28"/>
          <w:lang w:val="en-US" w:eastAsia="zh-CN"/>
        </w:rPr>
        <w:t xml:space="preserve">2 </w:t>
      </w:r>
      <w:r>
        <w:rPr>
          <w:rFonts w:hint="eastAsia" w:ascii="楷体_GB2312" w:hAnsi="楷体_GB2312" w:eastAsia="楷体_GB2312" w:cs="楷体_GB2312"/>
          <w:bCs/>
          <w:kern w:val="0"/>
          <w:sz w:val="28"/>
          <w:szCs w:val="28"/>
        </w:rPr>
        <w:t>-</w:t>
      </w:r>
    </w:p>
    <w:p w14:paraId="16D6F9DA">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（一）强化组织领导……………………………………………</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bCs/>
          <w:kern w:val="0"/>
          <w:sz w:val="28"/>
          <w:szCs w:val="28"/>
          <w:lang w:val="en-US" w:eastAsia="zh-CN"/>
        </w:rPr>
        <w:t xml:space="preserve"> </w:t>
      </w:r>
      <w:r>
        <w:rPr>
          <w:rFonts w:hint="eastAsia" w:ascii="楷体_GB2312" w:hAnsi="楷体_GB2312" w:eastAsia="楷体_GB2312" w:cs="楷体_GB2312"/>
          <w:bCs/>
          <w:kern w:val="0"/>
          <w:sz w:val="28"/>
          <w:szCs w:val="28"/>
        </w:rPr>
        <w:t>3</w:t>
      </w:r>
      <w:r>
        <w:rPr>
          <w:rFonts w:hint="eastAsia" w:ascii="楷体_GB2312" w:hAnsi="楷体_GB2312" w:eastAsia="楷体_GB2312" w:cs="楷体_GB2312"/>
          <w:bCs/>
          <w:kern w:val="0"/>
          <w:sz w:val="28"/>
          <w:szCs w:val="28"/>
          <w:lang w:val="en-US" w:eastAsia="zh-CN"/>
        </w:rPr>
        <w:t xml:space="preserve">2 </w:t>
      </w:r>
      <w:r>
        <w:rPr>
          <w:rFonts w:hint="eastAsia" w:ascii="楷体_GB2312" w:hAnsi="楷体_GB2312" w:eastAsia="楷体_GB2312" w:cs="楷体_GB2312"/>
          <w:bCs/>
          <w:kern w:val="0"/>
          <w:sz w:val="28"/>
          <w:szCs w:val="28"/>
        </w:rPr>
        <w:t>-</w:t>
      </w:r>
    </w:p>
    <w:p w14:paraId="5B5871AF">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（二）强化资金保障……………………………………………</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w:t>
      </w:r>
      <w:r>
        <w:rPr>
          <w:rFonts w:hint="eastAsia" w:ascii="楷体_GB2312" w:hAnsi="楷体_GB2312" w:eastAsia="楷体_GB2312" w:cs="楷体_GB2312"/>
          <w:bCs/>
          <w:kern w:val="0"/>
          <w:sz w:val="28"/>
          <w:szCs w:val="28"/>
          <w:lang w:val="en-US" w:eastAsia="zh-CN"/>
        </w:rPr>
        <w:t xml:space="preserve"> </w:t>
      </w:r>
      <w:r>
        <w:rPr>
          <w:rFonts w:hint="eastAsia" w:ascii="楷体_GB2312" w:hAnsi="楷体_GB2312" w:eastAsia="楷体_GB2312" w:cs="楷体_GB2312"/>
          <w:bCs/>
          <w:kern w:val="0"/>
          <w:sz w:val="28"/>
          <w:szCs w:val="28"/>
        </w:rPr>
        <w:t>3</w:t>
      </w:r>
      <w:r>
        <w:rPr>
          <w:rFonts w:hint="eastAsia" w:ascii="楷体_GB2312" w:hAnsi="楷体_GB2312" w:eastAsia="楷体_GB2312" w:cs="楷体_GB2312"/>
          <w:bCs/>
          <w:kern w:val="0"/>
          <w:sz w:val="28"/>
          <w:szCs w:val="28"/>
          <w:lang w:val="en-US" w:eastAsia="zh-CN"/>
        </w:rPr>
        <w:t xml:space="preserve">3 </w:t>
      </w:r>
      <w:r>
        <w:rPr>
          <w:rFonts w:hint="eastAsia" w:ascii="楷体_GB2312" w:hAnsi="楷体_GB2312" w:eastAsia="楷体_GB2312" w:cs="楷体_GB2312"/>
          <w:bCs/>
          <w:kern w:val="0"/>
          <w:sz w:val="28"/>
          <w:szCs w:val="28"/>
        </w:rPr>
        <w:t>-</w:t>
      </w:r>
    </w:p>
    <w:p w14:paraId="7612FA56">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（三）强化监测评估……………………………………………</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- 3</w:t>
      </w:r>
      <w:r>
        <w:rPr>
          <w:rFonts w:hint="eastAsia" w:ascii="楷体_GB2312" w:hAnsi="楷体_GB2312" w:eastAsia="楷体_GB2312" w:cs="楷体_GB2312"/>
          <w:bCs/>
          <w:kern w:val="0"/>
          <w:sz w:val="28"/>
          <w:szCs w:val="28"/>
          <w:lang w:val="en-US" w:eastAsia="zh-CN"/>
        </w:rPr>
        <w:t>3</w:t>
      </w:r>
      <w:r>
        <w:rPr>
          <w:rFonts w:hint="eastAsia" w:ascii="楷体_GB2312" w:hAnsi="楷体_GB2312" w:eastAsia="楷体_GB2312" w:cs="楷体_GB2312"/>
          <w:bCs/>
          <w:kern w:val="0"/>
          <w:sz w:val="28"/>
          <w:szCs w:val="28"/>
        </w:rPr>
        <w:t xml:space="preserve"> -</w:t>
      </w:r>
    </w:p>
    <w:p w14:paraId="6F70001F">
      <w:pPr>
        <w:pStyle w:val="6"/>
        <w:spacing w:line="560" w:lineRule="exact"/>
        <w:ind w:left="0" w:leftChars="0" w:firstLine="560" w:firstLineChars="200"/>
        <w:jc w:val="left"/>
        <w:rPr>
          <w:rFonts w:hint="eastAsia" w:ascii="楷体_GB2312" w:hAnsi="楷体_GB2312" w:eastAsia="楷体_GB2312" w:cs="楷体_GB2312"/>
          <w:bCs/>
          <w:kern w:val="0"/>
          <w:sz w:val="28"/>
          <w:szCs w:val="28"/>
        </w:rPr>
      </w:pPr>
      <w:r>
        <w:rPr>
          <w:rFonts w:hint="eastAsia" w:ascii="楷体_GB2312" w:hAnsi="楷体_GB2312" w:eastAsia="楷体_GB2312" w:cs="楷体_GB2312"/>
          <w:bCs/>
          <w:kern w:val="0"/>
          <w:sz w:val="28"/>
          <w:szCs w:val="28"/>
        </w:rPr>
        <w:t>（四）强化宣传引导……………………………………………</w:t>
      </w:r>
      <w:r>
        <w:rPr>
          <w:rFonts w:hint="eastAsia" w:ascii="楷体_GB2312" w:hAnsi="楷体_GB2312" w:eastAsia="楷体_GB2312" w:cs="楷体_GB2312"/>
          <w:sz w:val="28"/>
          <w:szCs w:val="28"/>
        </w:rPr>
        <w:t>…</w:t>
      </w:r>
      <w:r>
        <w:rPr>
          <w:rFonts w:hint="eastAsia" w:ascii="楷体_GB2312" w:hAnsi="楷体_GB2312" w:eastAsia="楷体_GB2312" w:cs="楷体_GB2312"/>
          <w:bCs/>
          <w:kern w:val="0"/>
          <w:sz w:val="28"/>
          <w:szCs w:val="28"/>
        </w:rPr>
        <w:t>- 3</w:t>
      </w:r>
      <w:r>
        <w:rPr>
          <w:rFonts w:hint="eastAsia" w:ascii="楷体_GB2312" w:hAnsi="楷体_GB2312" w:eastAsia="楷体_GB2312" w:cs="楷体_GB2312"/>
          <w:bCs/>
          <w:kern w:val="0"/>
          <w:sz w:val="28"/>
          <w:szCs w:val="28"/>
          <w:lang w:val="en-US" w:eastAsia="zh-CN"/>
        </w:rPr>
        <w:t>3</w:t>
      </w:r>
      <w:r>
        <w:rPr>
          <w:rFonts w:hint="eastAsia" w:ascii="楷体_GB2312" w:hAnsi="楷体_GB2312" w:eastAsia="楷体_GB2312" w:cs="楷体_GB2312"/>
          <w:bCs/>
          <w:kern w:val="0"/>
          <w:sz w:val="28"/>
          <w:szCs w:val="28"/>
        </w:rPr>
        <w:t xml:space="preserve"> -</w:t>
      </w:r>
    </w:p>
    <w:p w14:paraId="23C546F4">
      <w:pPr>
        <w:pStyle w:val="6"/>
        <w:spacing w:line="560" w:lineRule="exact"/>
        <w:ind w:firstLine="640"/>
        <w:jc w:val="left"/>
        <w:rPr>
          <w:rFonts w:hint="eastAsia" w:ascii="仿宋_GB2312" w:hAnsi="黑体" w:eastAsia="仿宋_GB2312"/>
          <w:bCs/>
          <w:kern w:val="0"/>
          <w:sz w:val="32"/>
          <w:szCs w:val="32"/>
        </w:rPr>
      </w:pPr>
    </w:p>
    <w:p w14:paraId="24BE7D6C">
      <w:pPr>
        <w:pStyle w:val="6"/>
        <w:spacing w:line="560" w:lineRule="exact"/>
        <w:ind w:left="0" w:leftChars="0" w:firstLine="640" w:firstLineChars="200"/>
        <w:jc w:val="left"/>
        <w:rPr>
          <w:rFonts w:hint="eastAsia" w:ascii="仿宋_GB2312" w:hAnsi="黑体" w:eastAsia="仿宋_GB2312"/>
          <w:bCs/>
          <w:kern w:val="0"/>
          <w:sz w:val="32"/>
          <w:szCs w:val="32"/>
        </w:rPr>
        <w:sectPr>
          <w:footerReference r:id="rId5" w:type="default"/>
          <w:pgSz w:w="11906" w:h="16838"/>
          <w:pgMar w:top="2098" w:right="1474" w:bottom="1984" w:left="1587" w:header="851" w:footer="992" w:gutter="0"/>
          <w:pgNumType w:fmt="numberInDash" w:start="1"/>
          <w:cols w:space="720" w:num="1"/>
          <w:docGrid w:type="lines" w:linePitch="312" w:charSpace="0"/>
        </w:sectPr>
      </w:pPr>
    </w:p>
    <w:p w14:paraId="2B0A4497">
      <w:pPr>
        <w:pStyle w:val="6"/>
        <w:spacing w:line="560" w:lineRule="exact"/>
        <w:ind w:left="0" w:leftChars="0" w:firstLine="640" w:firstLineChars="200"/>
        <w:jc w:val="left"/>
        <w:rPr>
          <w:rFonts w:hint="eastAsia" w:ascii="仿宋_GB2312" w:hAnsi="黑体" w:eastAsia="仿宋_GB2312"/>
          <w:bCs/>
          <w:kern w:val="0"/>
          <w:sz w:val="32"/>
          <w:szCs w:val="32"/>
          <w:highlight w:val="yellow"/>
        </w:rPr>
      </w:pPr>
      <w:r>
        <w:rPr>
          <w:rFonts w:hint="eastAsia" w:ascii="仿宋_GB2312" w:hAnsi="黑体" w:eastAsia="仿宋_GB2312"/>
          <w:bCs/>
          <w:kern w:val="0"/>
          <w:sz w:val="32"/>
          <w:szCs w:val="32"/>
        </w:rPr>
        <w:t>“十五五”时期是我国</w:t>
      </w:r>
      <w:r>
        <w:rPr>
          <w:rFonts w:hint="eastAsia" w:ascii="仿宋_GB2312" w:hAnsi="仿宋_GB2312" w:eastAsia="仿宋_GB2312" w:cs="仿宋_GB2312"/>
          <w:sz w:val="32"/>
          <w:szCs w:val="32"/>
        </w:rPr>
        <w:t>向着第二个百年奋斗目标加速迈进，全面推进社会主义现代化建设的关键阶段，也是大兴区抢抓发展主动权，聚焦开放改革示范，</w:t>
      </w:r>
      <w:r>
        <w:rPr>
          <w:rFonts w:hint="eastAsia" w:ascii="仿宋_GB2312" w:hAnsi="仿宋_GB2312" w:eastAsia="仿宋_GB2312" w:cs="仿宋_GB2312"/>
          <w:sz w:val="32"/>
          <w:szCs w:val="32"/>
          <w:lang w:val="en-US" w:eastAsia="zh-CN"/>
        </w:rPr>
        <w:t>重点</w:t>
      </w:r>
      <w:r>
        <w:rPr>
          <w:rFonts w:hint="eastAsia" w:ascii="仿宋_GB2312" w:hAnsi="仿宋_GB2312" w:eastAsia="仿宋_GB2312" w:cs="仿宋_GB2312"/>
          <w:sz w:val="32"/>
          <w:szCs w:val="32"/>
        </w:rPr>
        <w:t>建设协同发展示范区、繁荣开放国门新城的重要五年</w:t>
      </w:r>
      <w:r>
        <w:rPr>
          <w:rFonts w:hint="eastAsia" w:ascii="仿宋_GB2312" w:hAnsi="黑体" w:eastAsia="仿宋_GB2312"/>
          <w:bCs/>
          <w:kern w:val="0"/>
          <w:sz w:val="32"/>
          <w:szCs w:val="32"/>
        </w:rPr>
        <w:t>，人力资源和社会保障事业作为经济发展和民生保障的坚实基础，要紧抓机遇、踔厉奋发，立足新的历史起点，全面谱写</w:t>
      </w:r>
      <w:r>
        <w:rPr>
          <w:rFonts w:hint="eastAsia" w:ascii="仿宋_GB2312" w:hAnsi="黑体" w:eastAsia="仿宋_GB2312"/>
          <w:bCs/>
          <w:kern w:val="0"/>
          <w:sz w:val="32"/>
          <w:szCs w:val="32"/>
          <w:lang w:eastAsia="zh-CN"/>
        </w:rPr>
        <w:t>人力资源和社会保障</w:t>
      </w:r>
      <w:r>
        <w:rPr>
          <w:rFonts w:hint="eastAsia" w:ascii="仿宋_GB2312" w:hAnsi="黑体" w:eastAsia="仿宋_GB2312"/>
          <w:bCs/>
          <w:kern w:val="0"/>
          <w:sz w:val="32"/>
          <w:szCs w:val="32"/>
        </w:rPr>
        <w:t>事业新篇章。</w:t>
      </w:r>
    </w:p>
    <w:p w14:paraId="0535D517">
      <w:pPr>
        <w:spacing w:line="560" w:lineRule="exact"/>
        <w:ind w:firstLine="640" w:firstLineChars="200"/>
        <w:rPr>
          <w:rFonts w:hint="eastAsia" w:ascii="黑体" w:hAnsi="黑体" w:eastAsia="黑体" w:cs="黑体"/>
          <w:bCs/>
          <w:caps/>
          <w:kern w:val="0"/>
          <w:sz w:val="32"/>
          <w:szCs w:val="32"/>
          <w:lang w:bidi="bo-CN"/>
        </w:rPr>
      </w:pPr>
      <w:r>
        <w:rPr>
          <w:rFonts w:hint="eastAsia" w:ascii="仿宋_GB2312" w:hAnsi="黑体" w:eastAsia="仿宋_GB2312"/>
          <w:bCs/>
          <w:kern w:val="0"/>
          <w:sz w:val="32"/>
          <w:szCs w:val="32"/>
        </w:rPr>
        <w:t>本规划以习近平新时代中国特色社会主义思想为指导，</w:t>
      </w:r>
      <w:r>
        <w:rPr>
          <w:rFonts w:hint="eastAsia" w:ascii="仿宋_GB2312" w:hAnsi="仿宋_GB2312" w:eastAsia="仿宋_GB2312" w:cs="仿宋_GB2312"/>
          <w:sz w:val="32"/>
          <w:szCs w:val="32"/>
        </w:rPr>
        <w:t>深入贯彻党的二十大和二十届历次全会精神</w:t>
      </w:r>
      <w:r>
        <w:rPr>
          <w:rFonts w:hint="eastAsia" w:ascii="仿宋_GB2312" w:hAnsi="黑体" w:eastAsia="仿宋_GB2312"/>
          <w:bCs/>
          <w:kern w:val="0"/>
          <w:sz w:val="32"/>
          <w:szCs w:val="32"/>
        </w:rPr>
        <w:t>，依</w:t>
      </w:r>
      <w:r>
        <w:rPr>
          <w:rFonts w:hint="eastAsia" w:ascii="仿宋_GB2312" w:hAnsi="黑体" w:eastAsia="仿宋_GB2312"/>
          <w:b w:val="0"/>
          <w:bCs/>
          <w:kern w:val="0"/>
          <w:sz w:val="32"/>
          <w:szCs w:val="32"/>
          <w:highlight w:val="none"/>
        </w:rPr>
        <w:t>据《北京市“十五五”时期</w:t>
      </w:r>
      <w:r>
        <w:rPr>
          <w:rFonts w:hint="eastAsia" w:ascii="仿宋_GB2312" w:hAnsi="黑体" w:eastAsia="仿宋_GB2312"/>
          <w:b w:val="0"/>
          <w:bCs/>
          <w:kern w:val="0"/>
          <w:sz w:val="32"/>
          <w:szCs w:val="32"/>
          <w:highlight w:val="none"/>
          <w:lang w:val="en-US" w:eastAsia="zh-CN"/>
        </w:rPr>
        <w:t>促进高质量充分就业</w:t>
      </w:r>
      <w:r>
        <w:rPr>
          <w:rFonts w:hint="eastAsia" w:ascii="仿宋_GB2312" w:hAnsi="黑体" w:eastAsia="仿宋_GB2312"/>
          <w:b w:val="0"/>
          <w:bCs/>
          <w:kern w:val="0"/>
          <w:sz w:val="32"/>
          <w:szCs w:val="32"/>
          <w:highlight w:val="none"/>
        </w:rPr>
        <w:t>规划》《北京市“十五五”时期社会保障</w:t>
      </w:r>
      <w:r>
        <w:rPr>
          <w:rFonts w:hint="eastAsia" w:ascii="仿宋_GB2312" w:hAnsi="黑体" w:eastAsia="仿宋_GB2312"/>
          <w:b w:val="0"/>
          <w:bCs/>
          <w:kern w:val="0"/>
          <w:sz w:val="32"/>
          <w:szCs w:val="32"/>
          <w:highlight w:val="none"/>
          <w:lang w:val="en-US" w:eastAsia="zh-CN"/>
        </w:rPr>
        <w:t>事业</w:t>
      </w:r>
      <w:r>
        <w:rPr>
          <w:rFonts w:hint="eastAsia" w:ascii="仿宋_GB2312" w:hAnsi="黑体" w:eastAsia="仿宋_GB2312"/>
          <w:b w:val="0"/>
          <w:bCs/>
          <w:kern w:val="0"/>
          <w:sz w:val="32"/>
          <w:szCs w:val="32"/>
          <w:highlight w:val="none"/>
        </w:rPr>
        <w:t>发展规划》和</w:t>
      </w:r>
      <w:r>
        <w:rPr>
          <w:rFonts w:hint="eastAsia" w:ascii="仿宋_GB2312" w:hAnsi="仿宋_GB2312" w:eastAsia="仿宋_GB2312" w:cs="仿宋_GB2312"/>
          <w:b w:val="0"/>
          <w:bCs/>
          <w:sz w:val="32"/>
          <w:szCs w:val="32"/>
          <w:highlight w:val="none"/>
        </w:rPr>
        <w:t>《北京市大兴区国民</w:t>
      </w:r>
      <w:r>
        <w:rPr>
          <w:rFonts w:hint="eastAsia" w:ascii="仿宋_GB2312" w:hAnsi="仿宋_GB2312" w:eastAsia="仿宋_GB2312" w:cs="仿宋_GB2312"/>
          <w:sz w:val="32"/>
          <w:szCs w:val="32"/>
          <w:highlight w:val="none"/>
        </w:rPr>
        <w:t>经济和社会发展第十五个五年规划纲要》</w:t>
      </w:r>
      <w:r>
        <w:rPr>
          <w:rFonts w:hint="eastAsia" w:ascii="仿宋_GB2312" w:hAnsi="仿宋_GB2312" w:eastAsia="仿宋_GB2312" w:cs="仿宋_GB2312"/>
          <w:sz w:val="32"/>
          <w:szCs w:val="32"/>
        </w:rPr>
        <w:t>编制，明确了“十五五”时期大兴区</w:t>
      </w:r>
      <w:r>
        <w:rPr>
          <w:rFonts w:hint="eastAsia" w:ascii="仿宋_GB2312" w:hAnsi="仿宋_GB2312" w:eastAsia="仿宋_GB2312" w:cs="仿宋_GB2312"/>
          <w:sz w:val="32"/>
          <w:szCs w:val="32"/>
          <w:lang w:eastAsia="zh-CN"/>
        </w:rPr>
        <w:t>人力资源和社会保障</w:t>
      </w:r>
      <w:r>
        <w:rPr>
          <w:rFonts w:hint="eastAsia" w:ascii="仿宋_GB2312" w:hAnsi="仿宋_GB2312" w:eastAsia="仿宋_GB2312" w:cs="仿宋_GB2312"/>
          <w:sz w:val="32"/>
          <w:szCs w:val="32"/>
        </w:rPr>
        <w:t>事业发展的主要目标和任务路径，将有力推动全区人力资源和社会保障事业向前发展，不断满足全区人民群众对美好生活的向往，增强广大劳动者的获得感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幸福感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安全感。</w:t>
      </w:r>
    </w:p>
    <w:p w14:paraId="77ACF4FB">
      <w:pPr>
        <w:tabs>
          <w:tab w:val="left" w:pos="1526"/>
        </w:tabs>
        <w:spacing w:line="560" w:lineRule="exact"/>
        <w:ind w:firstLine="640" w:firstLineChars="200"/>
        <w:jc w:val="left"/>
        <w:outlineLvl w:val="0"/>
        <w:rPr>
          <w:rFonts w:hint="eastAsia" w:ascii="黑体" w:hAnsi="黑体" w:eastAsia="黑体" w:cs="黑体"/>
          <w:bCs/>
          <w:caps/>
          <w:kern w:val="0"/>
          <w:sz w:val="32"/>
          <w:szCs w:val="32"/>
          <w:lang w:bidi="bo-CN"/>
        </w:rPr>
      </w:pPr>
      <w:bookmarkStart w:id="9" w:name="_Toc3696"/>
      <w:bookmarkStart w:id="10" w:name="_Toc9558"/>
      <w:r>
        <w:rPr>
          <w:rFonts w:hint="eastAsia" w:ascii="黑体" w:hAnsi="黑体" w:eastAsia="黑体" w:cs="黑体"/>
          <w:bCs/>
          <w:caps/>
          <w:kern w:val="0"/>
          <w:sz w:val="32"/>
          <w:szCs w:val="32"/>
          <w:lang w:bidi="bo-CN"/>
        </w:rPr>
        <w:t>一、“十四五”时期发展回顾</w:t>
      </w:r>
      <w:bookmarkEnd w:id="8"/>
      <w:bookmarkEnd w:id="9"/>
      <w:bookmarkEnd w:id="10"/>
    </w:p>
    <w:p w14:paraId="54D1A253">
      <w:pPr>
        <w:pStyle w:val="6"/>
        <w:spacing w:line="560" w:lineRule="exact"/>
        <w:ind w:firstLine="480" w:firstLineChars="150"/>
        <w:rPr>
          <w:rFonts w:hint="eastAsia" w:ascii="仿宋_GB2312" w:hAnsi="仿宋_GB2312" w:eastAsia="仿宋_GB2312" w:cs="仿宋_GB2312"/>
          <w:color w:val="000000" w:themeColor="text1"/>
          <w:sz w:val="32"/>
          <w:szCs w:val="32"/>
          <w14:textFill>
            <w14:solidFill>
              <w14:schemeClr w14:val="tx1"/>
            </w14:solidFill>
          </w14:textFill>
        </w:rPr>
      </w:pPr>
      <w:bookmarkStart w:id="11" w:name="OLE_LINK13"/>
      <w:bookmarkStart w:id="12" w:name="OLE_LINK12"/>
      <w:bookmarkStart w:id="13" w:name="OLE_LINK28"/>
      <w:bookmarkStart w:id="14" w:name="_Toc26537"/>
      <w:r>
        <w:rPr>
          <w:rFonts w:hint="eastAsia" w:ascii="仿宋_GB2312" w:hAnsi="仿宋_GB2312" w:eastAsia="仿宋_GB2312" w:cs="仿宋_GB2312"/>
          <w:color w:val="000000" w:themeColor="text1"/>
          <w:sz w:val="32"/>
          <w:szCs w:val="32"/>
          <w14:textFill>
            <w14:solidFill>
              <w14:schemeClr w14:val="tx1"/>
            </w14:solidFill>
          </w14:textFill>
        </w:rPr>
        <w:t>“十四五”时期，面临复杂多变的环境，大兴区立足高质量发展要求，坚持就业优先战略，聚焦民生保障，深化机制改革，推进人力资源和社会保障事业取得新突破、新成效，高质量充分就业</w:t>
      </w:r>
      <w:r>
        <w:rPr>
          <w:rStyle w:val="29"/>
          <w:rFonts w:hint="eastAsia" w:ascii="仿宋_GB2312" w:hAnsi="仿宋_GB2312" w:eastAsia="仿宋_GB2312" w:cs="仿宋_GB2312"/>
          <w:color w:val="000000" w:themeColor="text1"/>
          <w:sz w:val="32"/>
          <w:szCs w:val="32"/>
          <w14:textFill>
            <w14:solidFill>
              <w14:schemeClr w14:val="tx1"/>
            </w14:solidFill>
          </w14:textFill>
        </w:rPr>
        <w:footnoteReference w:id="0"/>
      </w:r>
      <w:r>
        <w:rPr>
          <w:rFonts w:hint="eastAsia" w:ascii="仿宋_GB2312" w:hAnsi="仿宋_GB2312" w:eastAsia="仿宋_GB2312" w:cs="仿宋_GB2312"/>
          <w:color w:val="000000" w:themeColor="text1"/>
          <w:sz w:val="32"/>
          <w:szCs w:val="32"/>
          <w14:textFill>
            <w14:solidFill>
              <w14:schemeClr w14:val="tx1"/>
            </w14:solidFill>
          </w14:textFill>
        </w:rPr>
        <w:t>基础更加牢固，社会保障水平不断提高，人才质量稳步提升，劳动关系形势整体稳定，“十四五”时期设定的各项指标任务全部圆满完成。</w:t>
      </w:r>
    </w:p>
    <w:bookmarkEnd w:id="11"/>
    <w:bookmarkEnd w:id="12"/>
    <w:bookmarkEnd w:id="13"/>
    <w:p w14:paraId="21F091EB">
      <w:pPr>
        <w:pStyle w:val="10"/>
        <w:spacing w:line="560" w:lineRule="exact"/>
        <w:ind w:firstLine="640" w:firstLineChars="200"/>
        <w:outlineLvl w:val="1"/>
        <w:rPr>
          <w:rFonts w:hint="eastAsia" w:ascii="楷体_GB2312" w:hAnsi="楷体_GB2312" w:eastAsia="楷体_GB2312" w:cs="楷体_GB2312"/>
          <w:sz w:val="32"/>
          <w:szCs w:val="32"/>
        </w:rPr>
      </w:pPr>
      <w:bookmarkStart w:id="15" w:name="_Toc32503"/>
      <w:bookmarkStart w:id="16" w:name="_Toc22917"/>
      <w:r>
        <w:rPr>
          <w:rFonts w:hint="eastAsia" w:ascii="楷体_GB2312" w:hAnsi="楷体_GB2312" w:eastAsia="楷体_GB2312" w:cs="楷体_GB2312"/>
          <w:sz w:val="32"/>
          <w:szCs w:val="32"/>
        </w:rPr>
        <w:t>（一）高质量充分就业基础更加牢固</w:t>
      </w:r>
      <w:bookmarkEnd w:id="14"/>
      <w:bookmarkEnd w:id="15"/>
      <w:bookmarkEnd w:id="16"/>
    </w:p>
    <w:p w14:paraId="6F237C9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建立大兴区就业促进和劳动保护工作联席会议制度，制定实施人力资源产业发展、创业带动就业等就业支持政策，兑现资金16.47亿元。支持市场化人力资源机构发展，全区人力资源服务机构数量增至421家，增幅为26.33%，建成全市首个市级人力资源服务产业园，建立旧宫镇零工市场和榆垡镇零工驿站。公共服务机构与市场化机构联合举办招聘活动1574场。推行告知承诺制改革，支持服务“两区”及“五新”领域优质企业设立23家职业技能培训机构。探索“高校+机构+企业”三方合作产教融合育人模式，以氢能、商业服务业为试点，推动院校签订校企合作协议，累计开展职业技能培训15.67万人次。出台重点群体分级分类服务规范，在全市率先建成“家门口智慧就业服务”平台，高校毕业生就业率始终保持在95%以上。鼓励劳动者创新创业，新增参保创业单位1.67万户、带动就业岗位5.3万个。</w:t>
      </w:r>
      <w:r>
        <w:rPr>
          <w:rFonts w:hint="eastAsia" w:ascii="仿宋_GB2312" w:hAnsi="仿宋_GB2312" w:eastAsia="仿宋_GB2312" w:cs="仿宋_GB2312"/>
          <w:sz w:val="32"/>
          <w:szCs w:val="32"/>
          <w:lang w:val="en-US" w:eastAsia="zh-CN"/>
        </w:rPr>
        <w:t>城镇登记失业率始终低于5%，在平原新城中处于较低水平</w:t>
      </w:r>
      <w:r>
        <w:rPr>
          <w:rFonts w:hint="eastAsia" w:ascii="仿宋_GB2312" w:hAnsi="仿宋_GB2312" w:eastAsia="仿宋_GB2312" w:cs="仿宋_GB2312"/>
          <w:sz w:val="32"/>
          <w:szCs w:val="32"/>
        </w:rPr>
        <w:t>。</w:t>
      </w:r>
    </w:p>
    <w:p w14:paraId="1455E84F">
      <w:pPr>
        <w:pStyle w:val="3"/>
        <w:keepNext w:val="0"/>
        <w:keepLines w:val="0"/>
        <w:widowControl/>
        <w:spacing w:before="0" w:after="0" w:line="560" w:lineRule="exact"/>
        <w:ind w:firstLine="640" w:firstLineChars="200"/>
        <w:rPr>
          <w:rFonts w:hint="eastAsia" w:ascii="楷体_GB2312" w:hAnsi="楷体_GB2312" w:eastAsia="楷体_GB2312" w:cs="楷体_GB2312"/>
          <w:b w:val="0"/>
          <w:bCs w:val="0"/>
          <w:kern w:val="0"/>
          <w:lang w:val="en-US" w:eastAsia="zh-CN"/>
        </w:rPr>
      </w:pPr>
      <w:bookmarkStart w:id="17" w:name="_Toc7371"/>
      <w:bookmarkStart w:id="18" w:name="_Toc16216"/>
      <w:bookmarkStart w:id="19" w:name="_Toc8330"/>
      <w:r>
        <w:rPr>
          <w:rFonts w:hint="eastAsia" w:ascii="楷体_GB2312" w:hAnsi="楷体_GB2312" w:eastAsia="楷体_GB2312" w:cs="楷体_GB2312"/>
          <w:b w:val="0"/>
          <w:bCs w:val="0"/>
          <w:kern w:val="0"/>
        </w:rPr>
        <w:t>（二）社会保障水平不断提高</w:t>
      </w:r>
      <w:bookmarkEnd w:id="17"/>
      <w:bookmarkEnd w:id="18"/>
    </w:p>
    <w:p w14:paraId="14EFE6BC">
      <w:pPr>
        <w:widowControl/>
        <w:spacing w:line="560" w:lineRule="exact"/>
        <w:ind w:firstLine="640" w:firstLineChars="200"/>
        <w:rPr>
          <w:rFonts w:hint="eastAsia" w:ascii="仿宋_GB2312" w:hAnsi="宋体" w:eastAsia="仿宋_GB2312"/>
          <w:sz w:val="32"/>
          <w:highlight w:val="none"/>
        </w:rPr>
      </w:pPr>
      <w:bookmarkStart w:id="20" w:name="_Toc974"/>
      <w:bookmarkStart w:id="21" w:name="_Toc1603"/>
      <w:bookmarkStart w:id="22" w:name="_Toc14635"/>
      <w:r>
        <w:rPr>
          <w:rFonts w:hint="eastAsia" w:ascii="仿宋_GB2312" w:hAnsi="宋体" w:eastAsia="仿宋_GB2312"/>
          <w:sz w:val="32"/>
          <w:highlight w:val="none"/>
        </w:rPr>
        <w:t>全区参保缴费单位</w:t>
      </w:r>
      <w:r>
        <w:rPr>
          <w:rFonts w:hint="eastAsia" w:ascii="仿宋_GB2312" w:hAnsi="仿宋_GB2312" w:eastAsia="仿宋_GB2312"/>
          <w:sz w:val="32"/>
          <w:szCs w:val="32"/>
          <w:highlight w:val="none"/>
          <w:lang w:val="en-US" w:eastAsia="zh-CN"/>
        </w:rPr>
        <w:t>4.56</w:t>
      </w:r>
      <w:r>
        <w:rPr>
          <w:rFonts w:hint="eastAsia" w:ascii="仿宋_GB2312" w:hAnsi="宋体" w:eastAsia="仿宋_GB2312"/>
          <w:sz w:val="32"/>
          <w:highlight w:val="none"/>
        </w:rPr>
        <w:t>万家，较 “十三五” 期末新增 1.21 万家，增长 36.12%，参保覆盖面持续扩大</w:t>
      </w:r>
      <w:r>
        <w:rPr>
          <w:rFonts w:hint="eastAsia" w:ascii="仿宋_GB2312" w:hAnsi="宋体" w:eastAsia="仿宋_GB2312"/>
          <w:sz w:val="32"/>
          <w:highlight w:val="none"/>
          <w:lang w:eastAsia="zh-CN"/>
        </w:rPr>
        <w:t>，养老、医疗等各项社会保险</w:t>
      </w:r>
      <w:r>
        <w:rPr>
          <w:rFonts w:hint="eastAsia" w:ascii="仿宋_GB2312" w:hAnsi="宋体" w:eastAsia="仿宋_GB2312"/>
          <w:sz w:val="32"/>
          <w:highlight w:val="none"/>
        </w:rPr>
        <w:t>参保人数</w:t>
      </w:r>
      <w:r>
        <w:rPr>
          <w:rFonts w:hint="default" w:ascii="仿宋_GB2312" w:hAnsi="宋体" w:eastAsia="仿宋_GB2312"/>
          <w:sz w:val="32"/>
          <w:highlight w:val="none"/>
        </w:rPr>
        <w:t>93.43</w:t>
      </w:r>
      <w:r>
        <w:rPr>
          <w:rFonts w:hint="eastAsia" w:ascii="仿宋_GB2312" w:hAnsi="宋体" w:eastAsia="仿宋_GB2312"/>
          <w:sz w:val="32"/>
          <w:highlight w:val="none"/>
        </w:rPr>
        <w:t>万人。社</w:t>
      </w:r>
      <w:r>
        <w:rPr>
          <w:rFonts w:hint="eastAsia" w:ascii="仿宋_GB2312" w:hAnsi="宋体" w:eastAsia="仿宋_GB2312"/>
          <w:sz w:val="32"/>
        </w:rPr>
        <w:t>会保险</w:t>
      </w:r>
      <w:r>
        <w:rPr>
          <w:rFonts w:hint="eastAsia" w:ascii="仿宋_GB2312" w:hAnsi="宋体" w:eastAsia="仿宋_GB2312"/>
          <w:sz w:val="32"/>
          <w:lang w:eastAsia="zh-CN"/>
        </w:rPr>
        <w:t>费</w:t>
      </w:r>
      <w:r>
        <w:rPr>
          <w:rFonts w:hint="eastAsia" w:ascii="仿宋_GB2312" w:hAnsi="宋体" w:eastAsia="仿宋_GB2312"/>
          <w:sz w:val="32"/>
        </w:rPr>
        <w:t>收缴</w:t>
      </w:r>
      <w:r>
        <w:rPr>
          <w:rFonts w:hint="eastAsia" w:ascii="仿宋_GB2312" w:hAnsi="宋体" w:eastAsia="仿宋_GB2312"/>
          <w:sz w:val="32"/>
          <w:highlight w:val="none"/>
        </w:rPr>
        <w:t>942.15亿元，支出683.03亿元</w:t>
      </w:r>
      <w:r>
        <w:rPr>
          <w:rFonts w:hint="eastAsia" w:ascii="仿宋_GB2312" w:hAnsi="宋体" w:eastAsia="仿宋_GB2312"/>
          <w:sz w:val="32"/>
        </w:rPr>
        <w:t>。全民参保意识增强，基本医疗保险参保覆盖面稳定在95%以上。完成医疗保险分立、全险种社保费征收划转、城乡居民养老保险市级统筹等改革事项，推进渐进式延迟法定退休年龄、第三代社会保障卡换发等重点改革任务，落实三项社保费延期缓缴政策，</w:t>
      </w:r>
      <w:r>
        <w:rPr>
          <w:rFonts w:hint="eastAsia" w:ascii="仿宋_GB2312" w:hAnsi="宋体" w:eastAsia="仿宋_GB2312"/>
          <w:sz w:val="32"/>
          <w:highlight w:val="none"/>
        </w:rPr>
        <w:t>缓缴金额9.91亿元。</w:t>
      </w:r>
      <w:r>
        <w:rPr>
          <w:rFonts w:hint="eastAsia" w:ascii="仿宋_GB2312" w:hAnsi="仿宋_GB2312" w:eastAsia="仿宋_GB2312" w:cs="仿宋_GB2312"/>
          <w:sz w:val="32"/>
          <w:szCs w:val="32"/>
          <w:highlight w:val="none"/>
        </w:rPr>
        <w:t>扩大京津冀社保公共服务“同事同标”</w:t>
      </w:r>
      <w:r>
        <w:rPr>
          <w:rStyle w:val="29"/>
          <w:rFonts w:hint="eastAsia" w:ascii="仿宋_GB2312" w:hAnsi="仿宋_GB2312" w:eastAsia="仿宋_GB2312" w:cs="仿宋_GB2312"/>
          <w:sz w:val="32"/>
          <w:szCs w:val="32"/>
          <w:highlight w:val="none"/>
        </w:rPr>
        <w:footnoteReference w:id="1"/>
      </w:r>
      <w:r>
        <w:rPr>
          <w:rFonts w:hint="eastAsia" w:ascii="仿宋_GB2312" w:hAnsi="仿宋_GB2312" w:eastAsia="仿宋_GB2312" w:cs="仿宋_GB2312"/>
          <w:sz w:val="32"/>
          <w:szCs w:val="32"/>
          <w:highlight w:val="none"/>
        </w:rPr>
        <w:t>事</w:t>
      </w:r>
      <w:r>
        <w:rPr>
          <w:rFonts w:hint="eastAsia" w:ascii="仿宋_GB2312" w:hAnsi="仿宋_GB2312" w:eastAsia="仿宋_GB2312" w:cs="仿宋_GB2312"/>
          <w:sz w:val="32"/>
          <w:szCs w:val="32"/>
        </w:rPr>
        <w:t>项21项。优化线上转移接续申请途径，</w:t>
      </w:r>
      <w:r>
        <w:rPr>
          <w:rFonts w:hint="eastAsia" w:ascii="仿宋_GB2312" w:hAnsi="仿宋_GB2312" w:eastAsia="仿宋_GB2312" w:cs="仿宋_GB2312"/>
          <w:sz w:val="32"/>
          <w:szCs w:val="32"/>
          <w:highlight w:val="none"/>
          <w:lang w:val="zh-CN"/>
        </w:rPr>
        <w:t>办结城镇职工养老、医疗保险跨省转移接续业务</w:t>
      </w:r>
      <w:r>
        <w:rPr>
          <w:rFonts w:hint="eastAsia" w:ascii="仿宋_GB2312" w:hAnsi="仿宋_GB2312" w:eastAsia="仿宋_GB2312" w:cs="仿宋_GB2312"/>
          <w:sz w:val="32"/>
          <w:szCs w:val="32"/>
          <w:highlight w:val="none"/>
        </w:rPr>
        <w:t>6.67万</w:t>
      </w:r>
      <w:r>
        <w:rPr>
          <w:rFonts w:hint="eastAsia" w:ascii="仿宋_GB2312" w:hAnsi="仿宋_GB2312" w:eastAsia="仿宋_GB2312" w:cs="仿宋_GB2312"/>
          <w:sz w:val="32"/>
          <w:szCs w:val="32"/>
          <w:highlight w:val="none"/>
          <w:lang w:val="zh-CN"/>
        </w:rPr>
        <w:t>人次，涉及基金</w:t>
      </w:r>
      <w:r>
        <w:rPr>
          <w:rFonts w:hint="eastAsia" w:ascii="仿宋_GB2312" w:hAnsi="仿宋_GB2312" w:eastAsia="仿宋_GB2312" w:cs="仿宋_GB2312"/>
          <w:sz w:val="32"/>
          <w:szCs w:val="32"/>
          <w:highlight w:val="none"/>
        </w:rPr>
        <w:t>17.59</w:t>
      </w:r>
      <w:r>
        <w:rPr>
          <w:rFonts w:hint="eastAsia" w:ascii="仿宋_GB2312" w:hAnsi="仿宋_GB2312" w:eastAsia="仿宋_GB2312" w:cs="仿宋_GB2312"/>
          <w:sz w:val="32"/>
          <w:szCs w:val="32"/>
          <w:highlight w:val="none"/>
          <w:lang w:val="zh-CN"/>
        </w:rPr>
        <w:t>亿元。</w:t>
      </w:r>
      <w:r>
        <w:rPr>
          <w:rFonts w:hint="eastAsia" w:ascii="仿宋_GB2312" w:hAnsi="仿宋_GB2312" w:eastAsia="仿宋_GB2312" w:cs="仿宋_GB2312"/>
          <w:sz w:val="32"/>
          <w:szCs w:val="32"/>
          <w:highlight w:val="none"/>
        </w:rPr>
        <w:t>推行职工退休业务“打包一件事”办理，完成退休审批3万余件。</w:t>
      </w:r>
      <w:r>
        <w:rPr>
          <w:rFonts w:hint="eastAsia" w:ascii="仿宋_GB2312" w:hAnsi="仿宋_GB2312" w:eastAsia="仿宋_GB2312" w:cs="仿宋_GB2312"/>
          <w:sz w:val="32"/>
          <w:szCs w:val="32"/>
          <w:highlight w:val="none"/>
          <w:lang w:eastAsia="zh-CN"/>
        </w:rPr>
        <w:t>转非安置保障能力不断提高，“十四五”期间</w:t>
      </w:r>
      <w:r>
        <w:rPr>
          <w:rFonts w:hint="eastAsia" w:ascii="仿宋_GB2312" w:hAnsi="宋体" w:eastAsia="仿宋_GB2312"/>
          <w:sz w:val="32"/>
          <w:lang w:eastAsia="zh-CN"/>
        </w:rPr>
        <w:t>接收</w:t>
      </w:r>
      <w:r>
        <w:rPr>
          <w:rFonts w:hint="eastAsia" w:ascii="仿宋_GB2312" w:hAnsi="宋体" w:eastAsia="仿宋_GB2312"/>
          <w:sz w:val="32"/>
          <w:lang w:val="en-US" w:eastAsia="zh-CN"/>
        </w:rPr>
        <w:t>578名超转人员，</w:t>
      </w:r>
      <w:r>
        <w:rPr>
          <w:rFonts w:hint="eastAsia" w:ascii="仿宋_GB2312" w:hAnsi="仿宋_GB2312" w:eastAsia="仿宋_GB2312" w:cs="仿宋_GB2312"/>
          <w:sz w:val="32"/>
          <w:szCs w:val="32"/>
          <w:lang w:val="en-US" w:eastAsia="zh-CN"/>
        </w:rPr>
        <w:t>为旧宫镇</w:t>
      </w:r>
      <w:r>
        <w:rPr>
          <w:rFonts w:hint="eastAsia" w:ascii="仿宋_GB2312" w:hAnsi="宋体" w:eastAsia="仿宋_GB2312"/>
          <w:sz w:val="32"/>
        </w:rPr>
        <w:t>17</w:t>
      </w:r>
      <w:r>
        <w:rPr>
          <w:rFonts w:hint="eastAsia" w:ascii="仿宋_GB2312" w:hAnsi="宋体" w:eastAsia="仿宋_GB2312"/>
          <w:sz w:val="32"/>
          <w:lang w:val="en-US" w:eastAsia="zh-CN"/>
        </w:rPr>
        <w:t>00余</w:t>
      </w:r>
      <w:r>
        <w:rPr>
          <w:rFonts w:hint="eastAsia" w:ascii="仿宋_GB2312" w:hAnsi="宋体" w:eastAsia="仿宋_GB2312"/>
          <w:sz w:val="32"/>
        </w:rPr>
        <w:t>名征地转非劳动力补缴2.3亿元社会保险费</w:t>
      </w:r>
      <w:r>
        <w:rPr>
          <w:rFonts w:hint="eastAsia" w:ascii="仿宋_GB2312" w:hAnsi="宋体" w:eastAsia="仿宋_GB2312"/>
          <w:sz w:val="32"/>
          <w:lang w:eastAsia="zh-CN"/>
        </w:rPr>
        <w:t>。</w:t>
      </w:r>
      <w:r>
        <w:rPr>
          <w:rFonts w:hint="eastAsia" w:ascii="仿宋_GB2312" w:hAnsi="仿宋_GB2312" w:eastAsia="仿宋_GB2312" w:cs="仿宋_GB2312"/>
          <w:sz w:val="32"/>
          <w:szCs w:val="32"/>
          <w:highlight w:val="none"/>
        </w:rPr>
        <w:t>实现企业职工病退劳动能力鉴定全城通办，工伤认定9863件、劳动能力鉴定4219件。</w:t>
      </w:r>
      <w:r>
        <w:rPr>
          <w:rFonts w:hint="eastAsia" w:ascii="仿宋_GB2312" w:hAnsi="仿宋_GB2312" w:eastAsia="仿宋_GB2312" w:cs="仿宋_GB2312"/>
          <w:sz w:val="32"/>
          <w:szCs w:val="32"/>
        </w:rPr>
        <w:t>深化社银合作</w:t>
      </w:r>
      <w:r>
        <w:rPr>
          <w:rStyle w:val="29"/>
          <w:rFonts w:hint="eastAsia" w:ascii="仿宋_GB2312" w:hAnsi="仿宋_GB2312" w:eastAsia="仿宋_GB2312" w:cs="仿宋_GB2312"/>
          <w:sz w:val="32"/>
          <w:szCs w:val="32"/>
        </w:rPr>
        <w:footnoteReference w:id="2"/>
      </w:r>
      <w:r>
        <w:rPr>
          <w:rFonts w:hint="eastAsia" w:ascii="仿宋_GB2312" w:hAnsi="仿宋_GB2312" w:eastAsia="仿宋_GB2312" w:cs="仿宋_GB2312"/>
          <w:sz w:val="32"/>
          <w:szCs w:val="32"/>
        </w:rPr>
        <w:t>，63项人社业务进入7家银行服务网点。</w:t>
      </w:r>
      <w:r>
        <w:rPr>
          <w:rFonts w:hint="eastAsia" w:ascii="仿宋_GB2312" w:hAnsi="仿宋_GB2312" w:eastAsia="仿宋_GB2312" w:cs="仿宋_GB2312"/>
          <w:b w:val="0"/>
          <w:bCs w:val="0"/>
          <w:color w:val="auto"/>
          <w:sz w:val="32"/>
          <w:szCs w:val="32"/>
          <w:highlight w:val="none"/>
          <w:lang w:val="en-US" w:eastAsia="zh-CN"/>
        </w:rPr>
        <w:t>优化待遇追缴模式，追回各项待遇5514.16万元。</w:t>
      </w:r>
      <w:r>
        <w:rPr>
          <w:rFonts w:hint="eastAsia" w:ascii="仿宋_GB2312" w:hAnsi="仿宋_GB2312" w:eastAsia="仿宋_GB2312" w:cs="仿宋_GB2312"/>
          <w:sz w:val="32"/>
          <w:szCs w:val="32"/>
          <w:highlight w:val="none"/>
        </w:rPr>
        <w:t>完善社会保险费追缴流程，</w:t>
      </w:r>
      <w:r>
        <w:rPr>
          <w:rFonts w:hint="eastAsia" w:ascii="仿宋_GB2312" w:hAnsi="仿宋_GB2312" w:eastAsia="仿宋_GB2312" w:cs="仿宋_GB2312"/>
          <w:sz w:val="32"/>
          <w:szCs w:val="32"/>
          <w:highlight w:val="none"/>
          <w:lang w:eastAsia="zh-CN"/>
        </w:rPr>
        <w:t>累计</w:t>
      </w:r>
      <w:r>
        <w:rPr>
          <w:rFonts w:hint="eastAsia" w:ascii="仿宋_GB2312" w:hAnsi="仿宋_GB2312" w:eastAsia="仿宋_GB2312" w:cs="仿宋_GB2312"/>
          <w:sz w:val="32"/>
          <w:szCs w:val="32"/>
          <w:highlight w:val="none"/>
        </w:rPr>
        <w:t>追缴1.1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亿元。</w:t>
      </w:r>
    </w:p>
    <w:bookmarkEnd w:id="20"/>
    <w:bookmarkEnd w:id="21"/>
    <w:bookmarkEnd w:id="22"/>
    <w:p w14:paraId="2708C07F">
      <w:pPr>
        <w:pStyle w:val="3"/>
        <w:keepNext w:val="0"/>
        <w:keepLines w:val="0"/>
        <w:widowControl/>
        <w:spacing w:before="0" w:after="0" w:line="560" w:lineRule="exact"/>
        <w:ind w:firstLine="640" w:firstLineChars="200"/>
        <w:rPr>
          <w:rFonts w:hint="eastAsia" w:ascii="楷体_GB2312" w:hAnsi="楷体_GB2312" w:eastAsia="楷体_GB2312" w:cs="楷体_GB2312"/>
          <w:b w:val="0"/>
          <w:bCs w:val="0"/>
        </w:rPr>
      </w:pPr>
      <w:bookmarkStart w:id="23" w:name="_Toc22552"/>
      <w:bookmarkStart w:id="24" w:name="_Toc11354"/>
      <w:r>
        <w:rPr>
          <w:rFonts w:hint="eastAsia" w:ascii="楷体_GB2312" w:hAnsi="楷体_GB2312" w:eastAsia="楷体_GB2312" w:cs="楷体_GB2312"/>
          <w:b w:val="0"/>
          <w:bCs w:val="0"/>
        </w:rPr>
        <w:t>（三）人才质量稳步提升</w:t>
      </w:r>
      <w:bookmarkEnd w:id="23"/>
      <w:bookmarkEnd w:id="24"/>
    </w:p>
    <w:p w14:paraId="7AE6EC07">
      <w:pPr>
        <w:pStyle w:val="3"/>
        <w:keepNext w:val="0"/>
        <w:keepLines w:val="0"/>
        <w:widowControl/>
        <w:spacing w:before="0" w:after="0" w:line="560" w:lineRule="exact"/>
        <w:ind w:firstLine="640" w:firstLineChars="200"/>
        <w:rPr>
          <w:rFonts w:hint="eastAsia" w:ascii="仿宋_GB2312" w:hAnsi="仿宋_GB2312" w:eastAsia="仿宋_GB2312" w:cs="仿宋_GB2312"/>
          <w:b w:val="0"/>
          <w:bCs w:val="0"/>
        </w:rPr>
      </w:pPr>
      <w:bookmarkStart w:id="25" w:name="_Toc31522"/>
      <w:bookmarkStart w:id="26" w:name="_Toc23737"/>
      <w:r>
        <w:rPr>
          <w:rFonts w:hint="eastAsia" w:ascii="仿宋_GB2312" w:hAnsi="仿宋_GB2312" w:eastAsia="仿宋_GB2312" w:cs="仿宋_GB2312"/>
          <w:b w:val="0"/>
          <w:bCs w:val="0"/>
        </w:rPr>
        <w:t>坚持刚性引才与柔性引才协同发力，积极落实引进非京生源毕业生、积分落户等人才政策，引进优秀高校毕业生、博士后青年科技人才、公共服务人才等1万余人。深化职称评审、事业单位职员等级制度改革，在教育、卫生、工程技术、社会公益等领域实行职称评审“代表作”和“举荐制”，评审高级教师947人、医疗卫生高级职称人才601人、助理工程师1275人、副研究员及以上57人，晋升事业单位职员等级1033人。印发《大兴区博士后管理工作办法（试行）》，博士后科研工作站</w:t>
      </w:r>
      <w:r>
        <w:rPr>
          <w:rStyle w:val="29"/>
          <w:rFonts w:hint="eastAsia" w:ascii="仿宋_GB2312" w:hAnsi="仿宋_GB2312" w:eastAsia="仿宋_GB2312" w:cs="仿宋_GB2312"/>
          <w:b w:val="0"/>
          <w:bCs w:val="0"/>
        </w:rPr>
        <w:footnoteReference w:id="3"/>
      </w:r>
      <w:r>
        <w:rPr>
          <w:rFonts w:hint="eastAsia" w:ascii="仿宋_GB2312" w:hAnsi="仿宋_GB2312" w:eastAsia="仿宋_GB2312" w:cs="仿宋_GB2312"/>
          <w:b w:val="0"/>
          <w:bCs w:val="0"/>
        </w:rPr>
        <w:t>达到55家，向11家工作站、15名博士后人才拨付政策资金108万元。更新完善《大兴区技能大师工作室建设管理办法》，累计建成区级技能大师工作室</w:t>
      </w:r>
      <w:r>
        <w:rPr>
          <w:rStyle w:val="29"/>
          <w:rFonts w:hint="eastAsia" w:ascii="仿宋_GB2312" w:hAnsi="仿宋_GB2312" w:eastAsia="仿宋_GB2312" w:cs="仿宋_GB2312"/>
          <w:b w:val="0"/>
          <w:bCs w:val="0"/>
        </w:rPr>
        <w:footnoteReference w:id="4"/>
      </w:r>
      <w:r>
        <w:rPr>
          <w:rFonts w:hint="eastAsia" w:ascii="仿宋_GB2312" w:hAnsi="仿宋_GB2312" w:eastAsia="仿宋_GB2312" w:cs="仿宋_GB2312"/>
          <w:b w:val="0"/>
          <w:bCs w:val="0"/>
        </w:rPr>
        <w:t>41家，32人次获得市级以上荣誉表彰。组织开展多项职业技能大赛，3859人参赛参训。积极参与国家新职业开发工作，推动“氢燃料电池测试员”获批国家新职业，同步开展国家职业标准编制工作。</w:t>
      </w:r>
    </w:p>
    <w:bookmarkEnd w:id="19"/>
    <w:bookmarkEnd w:id="25"/>
    <w:bookmarkEnd w:id="26"/>
    <w:p w14:paraId="1F972805">
      <w:pPr>
        <w:pStyle w:val="3"/>
        <w:keepNext w:val="0"/>
        <w:keepLines w:val="0"/>
        <w:widowControl/>
        <w:spacing w:before="0" w:after="0" w:line="560" w:lineRule="exact"/>
        <w:ind w:firstLine="640" w:firstLineChars="200"/>
        <w:rPr>
          <w:rFonts w:hint="eastAsia" w:ascii="楷体_GB2312" w:hAnsi="楷体_GB2312" w:eastAsia="楷体_GB2312" w:cs="楷体_GB2312"/>
          <w:b w:val="0"/>
          <w:bCs w:val="0"/>
        </w:rPr>
      </w:pPr>
      <w:bookmarkStart w:id="27" w:name="_Toc11371"/>
      <w:r>
        <w:rPr>
          <w:rFonts w:hint="eastAsia" w:ascii="楷体_GB2312" w:hAnsi="楷体_GB2312" w:eastAsia="楷体_GB2312" w:cs="楷体_GB2312"/>
          <w:b w:val="0"/>
          <w:bCs w:val="0"/>
        </w:rPr>
        <w:t>（四）劳动权益维护更加有力</w:t>
      </w:r>
    </w:p>
    <w:bookmarkEnd w:id="27"/>
    <w:p w14:paraId="42388E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u w:val="none"/>
        </w:rPr>
      </w:pPr>
      <w:bookmarkStart w:id="28" w:name="_Toc16610"/>
      <w:r>
        <w:rPr>
          <w:rFonts w:hint="eastAsia" w:ascii="仿宋_GB2312" w:hAnsi="宋体" w:eastAsia="仿宋_GB2312"/>
          <w:color w:val="000000"/>
          <w:sz w:val="32"/>
          <w:szCs w:val="32"/>
        </w:rPr>
        <w:t>完善劳动关系三方机制，累计为202家重点企业开展法治体检活动</w:t>
      </w:r>
      <w:r>
        <w:rPr>
          <w:rFonts w:hint="eastAsia" w:ascii="仿宋_GB2312" w:hAnsi="宋体" w:eastAsia="仿宋_GB2312"/>
          <w:color w:val="000000"/>
          <w:sz w:val="32"/>
          <w:szCs w:val="32"/>
          <w:u w:val="none"/>
        </w:rPr>
        <w:t>，修</w:t>
      </w:r>
      <w:r>
        <w:rPr>
          <w:rFonts w:hint="eastAsia" w:ascii="仿宋_GB2312" w:hAnsi="宋体" w:eastAsia="仿宋_GB2312"/>
          <w:color w:val="auto"/>
          <w:sz w:val="32"/>
          <w:szCs w:val="32"/>
          <w:u w:val="none"/>
        </w:rPr>
        <w:t>改完善规章制度300余条，推动用人单位全面落实劳动合同，</w:t>
      </w:r>
      <w:r>
        <w:rPr>
          <w:rFonts w:hint="eastAsia" w:ascii="仿宋_GB2312" w:hAnsi="宋体" w:eastAsia="仿宋_GB2312"/>
          <w:color w:val="auto"/>
          <w:sz w:val="32"/>
          <w:szCs w:val="32"/>
          <w:highlight w:val="none"/>
          <w:u w:val="none"/>
        </w:rPr>
        <w:t>监测企业劳动合同签订率持续巩固在100%。加强调解组织建设，</w:t>
      </w:r>
      <w:r>
        <w:rPr>
          <w:rFonts w:hint="eastAsia" w:ascii="仿宋_GB2312" w:hAnsi="宋体" w:eastAsia="仿宋_GB2312"/>
          <w:color w:val="auto"/>
          <w:sz w:val="32"/>
          <w:szCs w:val="32"/>
          <w:highlight w:val="none"/>
          <w:u w:val="none"/>
          <w:lang w:eastAsia="zh-CN"/>
        </w:rPr>
        <w:t>新建</w:t>
      </w:r>
      <w:r>
        <w:rPr>
          <w:rFonts w:hint="eastAsia" w:ascii="仿宋_GB2312" w:hAnsi="宋体" w:eastAsia="仿宋_GB2312"/>
          <w:color w:val="auto"/>
          <w:sz w:val="32"/>
          <w:szCs w:val="32"/>
          <w:highlight w:val="none"/>
          <w:u w:val="none"/>
        </w:rPr>
        <w:t>区级调解中心</w:t>
      </w:r>
      <w:r>
        <w:rPr>
          <w:rFonts w:hint="eastAsia" w:ascii="仿宋_GB2312" w:hAnsi="宋体" w:eastAsia="仿宋_GB2312"/>
          <w:color w:val="auto"/>
          <w:sz w:val="32"/>
          <w:szCs w:val="32"/>
          <w:highlight w:val="none"/>
          <w:u w:val="none"/>
          <w:lang w:val="en-US" w:eastAsia="zh-CN"/>
        </w:rPr>
        <w:t>1</w:t>
      </w:r>
      <w:r>
        <w:rPr>
          <w:rFonts w:hint="eastAsia" w:ascii="仿宋_GB2312" w:hAnsi="宋体" w:eastAsia="仿宋_GB2312"/>
          <w:color w:val="auto"/>
          <w:sz w:val="32"/>
          <w:szCs w:val="32"/>
          <w:highlight w:val="none"/>
          <w:u w:val="none"/>
        </w:rPr>
        <w:t>家，</w:t>
      </w:r>
      <w:r>
        <w:rPr>
          <w:rFonts w:hint="eastAsia" w:ascii="仿宋_GB2312" w:hAnsi="宋体" w:eastAsia="仿宋_GB2312"/>
          <w:color w:val="auto"/>
          <w:sz w:val="32"/>
          <w:szCs w:val="32"/>
          <w:highlight w:val="none"/>
          <w:u w:val="none"/>
          <w:lang w:val="en-US" w:eastAsia="zh-CN"/>
        </w:rPr>
        <w:t>基层</w:t>
      </w:r>
      <w:r>
        <w:rPr>
          <w:rFonts w:hint="eastAsia" w:ascii="仿宋_GB2312" w:hAnsi="宋体" w:eastAsia="仿宋_GB2312"/>
          <w:color w:val="auto"/>
          <w:sz w:val="32"/>
          <w:szCs w:val="32"/>
          <w:highlight w:val="none"/>
          <w:u w:val="none"/>
        </w:rPr>
        <w:t>调解组织</w:t>
      </w:r>
      <w:r>
        <w:rPr>
          <w:rFonts w:hint="eastAsia" w:ascii="仿宋_GB2312" w:hAnsi="宋体" w:eastAsia="仿宋_GB2312"/>
          <w:color w:val="auto"/>
          <w:sz w:val="32"/>
          <w:szCs w:val="32"/>
          <w:highlight w:val="none"/>
          <w:u w:val="none"/>
          <w:lang w:val="en-US" w:eastAsia="zh-CN"/>
        </w:rPr>
        <w:t>10</w:t>
      </w:r>
      <w:r>
        <w:rPr>
          <w:rFonts w:hint="eastAsia" w:ascii="仿宋_GB2312" w:hAnsi="宋体" w:eastAsia="仿宋_GB2312"/>
          <w:color w:val="auto"/>
          <w:sz w:val="32"/>
          <w:szCs w:val="32"/>
          <w:highlight w:val="none"/>
          <w:u w:val="none"/>
        </w:rPr>
        <w:t>家，</w:t>
      </w:r>
      <w:r>
        <w:rPr>
          <w:rFonts w:hint="eastAsia" w:ascii="仿宋_GB2312" w:hAnsi="宋体" w:eastAsia="仿宋_GB2312"/>
          <w:color w:val="auto"/>
          <w:sz w:val="32"/>
          <w:szCs w:val="32"/>
          <w:u w:val="none"/>
        </w:rPr>
        <w:t>初步形成“区级-街镇-企业和园区”三级调解组织体系，</w:t>
      </w:r>
      <w:r>
        <w:rPr>
          <w:rFonts w:hint="eastAsia" w:ascii="仿宋_GB2312" w:hAnsi="宋体" w:eastAsia="仿宋_GB2312"/>
          <w:color w:val="auto"/>
          <w:sz w:val="32"/>
          <w:szCs w:val="32"/>
          <w:u w:val="none"/>
          <w:lang w:val="en-US" w:eastAsia="zh-CN"/>
        </w:rPr>
        <w:t>综合调解</w:t>
      </w:r>
      <w:r>
        <w:rPr>
          <w:rFonts w:hint="eastAsia" w:ascii="仿宋_GB2312" w:hAnsi="宋体" w:eastAsia="仿宋_GB2312"/>
          <w:color w:val="auto"/>
          <w:sz w:val="32"/>
          <w:szCs w:val="32"/>
          <w:highlight w:val="none"/>
          <w:u w:val="none"/>
        </w:rPr>
        <w:t>率提升</w:t>
      </w:r>
      <w:r>
        <w:rPr>
          <w:rFonts w:hint="eastAsia" w:ascii="仿宋_GB2312" w:hAnsi="宋体" w:eastAsia="仿宋_GB2312"/>
          <w:color w:val="auto"/>
          <w:sz w:val="32"/>
          <w:szCs w:val="32"/>
          <w:highlight w:val="none"/>
          <w:u w:val="none"/>
          <w:lang w:val="en-US" w:eastAsia="zh-CN"/>
        </w:rPr>
        <w:t>23.8</w:t>
      </w:r>
      <w:r>
        <w:rPr>
          <w:rFonts w:hint="eastAsia" w:ascii="仿宋_GB2312" w:hAnsi="宋体" w:eastAsia="仿宋_GB2312"/>
          <w:color w:val="auto"/>
          <w:sz w:val="32"/>
          <w:szCs w:val="32"/>
          <w:highlight w:val="none"/>
          <w:u w:val="none"/>
        </w:rPr>
        <w:t>%</w:t>
      </w:r>
      <w:r>
        <w:rPr>
          <w:rFonts w:hint="eastAsia" w:ascii="仿宋_GB2312" w:hAnsi="宋体" w:eastAsia="仿宋_GB2312"/>
          <w:color w:val="auto"/>
          <w:sz w:val="32"/>
          <w:szCs w:val="32"/>
          <w:highlight w:val="none"/>
          <w:u w:val="none"/>
          <w:lang w:eastAsia="zh-CN"/>
        </w:rPr>
        <w:t>。</w:t>
      </w:r>
      <w:r>
        <w:rPr>
          <w:rFonts w:hint="eastAsia" w:ascii="仿宋_GB2312" w:hAnsi="宋体" w:eastAsia="仿宋_GB2312"/>
          <w:color w:val="auto"/>
          <w:sz w:val="32"/>
          <w:szCs w:val="32"/>
          <w:highlight w:val="none"/>
          <w:u w:val="none"/>
        </w:rPr>
        <w:t>制定</w:t>
      </w:r>
      <w:r>
        <w:rPr>
          <w:rFonts w:hint="eastAsia" w:ascii="仿宋_GB2312" w:hAnsi="宋体" w:eastAsia="仿宋_GB2312"/>
          <w:color w:val="auto"/>
          <w:sz w:val="32"/>
          <w:szCs w:val="32"/>
          <w:u w:val="none"/>
        </w:rPr>
        <w:t>《大兴区新就业形态劳动者社会保障工作实施方案》，建成</w:t>
      </w:r>
      <w:r>
        <w:rPr>
          <w:rFonts w:hint="eastAsia" w:ascii="仿宋_GB2312" w:hAnsi="宋体" w:eastAsia="仿宋_GB2312"/>
          <w:color w:val="auto"/>
          <w:sz w:val="32"/>
          <w:szCs w:val="32"/>
          <w:u w:val="none"/>
          <w:lang w:val="en-US" w:eastAsia="zh-CN"/>
        </w:rPr>
        <w:t>区级新业态劳动纠纷“一站式”调解中心2家、基层调解站点6家，</w:t>
      </w:r>
      <w:r>
        <w:rPr>
          <w:rFonts w:hint="eastAsia" w:ascii="仿宋_GB2312" w:hAnsi="宋体" w:eastAsia="仿宋_GB2312"/>
          <w:color w:val="auto"/>
          <w:sz w:val="32"/>
          <w:szCs w:val="32"/>
          <w:u w:val="none"/>
        </w:rPr>
        <w:t>840个暖心驿站，开展快递员等新业态群体欠薪问题集中治理工作。推进职业伤害保障试点工作，支付各项职伤待遇3589.86万元。深入落实“治理欠薪”行动，制定源头治理工作方案，形成“防、管、查”闭环制度，纠纷化解时速提升35%</w:t>
      </w:r>
      <w:r>
        <w:rPr>
          <w:rFonts w:hint="eastAsia" w:ascii="仿宋_GB2312" w:hAnsi="宋体" w:eastAsia="仿宋_GB2312"/>
          <w:color w:val="auto"/>
          <w:sz w:val="32"/>
          <w:szCs w:val="32"/>
          <w:u w:val="none"/>
          <w:lang w:eastAsia="zh-CN"/>
        </w:rPr>
        <w:t>。</w:t>
      </w:r>
      <w:r>
        <w:rPr>
          <w:rFonts w:hint="eastAsia" w:ascii="仿宋_GB2312" w:hAnsi="宋体" w:eastAsia="仿宋_GB2312"/>
          <w:color w:val="auto"/>
          <w:sz w:val="32"/>
          <w:szCs w:val="32"/>
          <w:highlight w:val="none"/>
          <w:u w:val="none"/>
          <w:lang w:eastAsia="zh-CN"/>
        </w:rPr>
        <w:t>建成</w:t>
      </w:r>
      <w:r>
        <w:rPr>
          <w:rFonts w:hint="eastAsia" w:ascii="仿宋_GB2312" w:hAnsi="宋体" w:eastAsia="仿宋_GB2312"/>
          <w:color w:val="auto"/>
          <w:sz w:val="32"/>
          <w:szCs w:val="32"/>
          <w:highlight w:val="none"/>
          <w:u w:val="none"/>
        </w:rPr>
        <w:t>全市首家“智慧仲裁”劳动争议全流程线上平台，累计服务群众42万人次。</w:t>
      </w:r>
    </w:p>
    <w:p w14:paraId="0E3C5338">
      <w:pPr>
        <w:adjustRightInd w:val="0"/>
        <w:snapToGrid w:val="0"/>
        <w:spacing w:line="560" w:lineRule="exact"/>
        <w:jc w:val="center"/>
        <w:rPr>
          <w:rFonts w:hint="eastAsia" w:ascii="仿宋_GB2312" w:hAnsi="仿宋_GB2312" w:eastAsia="仿宋_GB2312" w:cs="仿宋_GB2312"/>
          <w:b/>
          <w:bCs/>
          <w:kern w:val="0"/>
          <w:sz w:val="32"/>
        </w:rPr>
      </w:pPr>
      <w:r>
        <w:rPr>
          <w:rFonts w:hint="eastAsia" w:ascii="仿宋_GB2312" w:hAnsi="仿宋_GB2312" w:eastAsia="仿宋_GB2312" w:cs="仿宋_GB2312"/>
          <w:b/>
          <w:bCs/>
          <w:kern w:val="0"/>
          <w:sz w:val="32"/>
        </w:rPr>
        <w:t>表1  “十四五”时期人力资源和社会保障发展指标完成情况</w:t>
      </w:r>
    </w:p>
    <w:tbl>
      <w:tblPr>
        <w:tblStyle w:val="24"/>
        <w:tblW w:w="8736" w:type="dxa"/>
        <w:jc w:val="center"/>
        <w:tblLayout w:type="fixed"/>
        <w:tblCellMar>
          <w:top w:w="0" w:type="dxa"/>
          <w:left w:w="28" w:type="dxa"/>
          <w:bottom w:w="0" w:type="dxa"/>
          <w:right w:w="28" w:type="dxa"/>
        </w:tblCellMar>
      </w:tblPr>
      <w:tblGrid>
        <w:gridCol w:w="4457"/>
        <w:gridCol w:w="1817"/>
        <w:gridCol w:w="1417"/>
        <w:gridCol w:w="1045"/>
      </w:tblGrid>
      <w:tr w14:paraId="28A1BA5A">
        <w:tblPrEx>
          <w:tblCellMar>
            <w:top w:w="0" w:type="dxa"/>
            <w:left w:w="28" w:type="dxa"/>
            <w:bottom w:w="0" w:type="dxa"/>
            <w:right w:w="28" w:type="dxa"/>
          </w:tblCellMar>
        </w:tblPrEx>
        <w:trPr>
          <w:trHeight w:val="132"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53C55879">
            <w:pPr>
              <w:spacing w:line="360" w:lineRule="auto"/>
              <w:jc w:val="center"/>
              <w:rPr>
                <w:b/>
                <w:bCs/>
                <w:sz w:val="24"/>
              </w:rPr>
            </w:pPr>
            <w:r>
              <w:rPr>
                <w:rFonts w:hint="eastAsia"/>
                <w:b/>
                <w:bCs/>
                <w:sz w:val="24"/>
              </w:rPr>
              <w:t>指标</w:t>
            </w:r>
          </w:p>
        </w:tc>
        <w:tc>
          <w:tcPr>
            <w:tcW w:w="1817" w:type="dxa"/>
            <w:tcBorders>
              <w:top w:val="single" w:color="auto" w:sz="4" w:space="0"/>
              <w:left w:val="nil"/>
              <w:bottom w:val="single" w:color="auto" w:sz="4" w:space="0"/>
              <w:right w:val="single" w:color="auto" w:sz="4" w:space="0"/>
            </w:tcBorders>
            <w:vAlign w:val="center"/>
          </w:tcPr>
          <w:p w14:paraId="0396A673">
            <w:pPr>
              <w:jc w:val="center"/>
              <w:rPr>
                <w:b/>
                <w:bCs/>
                <w:sz w:val="24"/>
              </w:rPr>
            </w:pPr>
            <w:r>
              <w:rPr>
                <w:b/>
                <w:bCs/>
                <w:sz w:val="24"/>
              </w:rPr>
              <w:t>2025</w:t>
            </w:r>
            <w:r>
              <w:rPr>
                <w:rFonts w:hint="eastAsia"/>
                <w:b/>
                <w:bCs/>
                <w:sz w:val="24"/>
              </w:rPr>
              <w:t>年目标</w:t>
            </w:r>
          </w:p>
        </w:tc>
        <w:tc>
          <w:tcPr>
            <w:tcW w:w="1417" w:type="dxa"/>
            <w:tcBorders>
              <w:top w:val="single" w:color="auto" w:sz="4" w:space="0"/>
              <w:left w:val="nil"/>
              <w:bottom w:val="single" w:color="auto" w:sz="4" w:space="0"/>
              <w:right w:val="single" w:color="auto" w:sz="4" w:space="0"/>
            </w:tcBorders>
            <w:vAlign w:val="center"/>
          </w:tcPr>
          <w:p w14:paraId="3E4FF7AD">
            <w:pPr>
              <w:spacing w:line="360" w:lineRule="auto"/>
              <w:jc w:val="center"/>
              <w:rPr>
                <w:b/>
                <w:bCs/>
                <w:sz w:val="24"/>
              </w:rPr>
            </w:pPr>
            <w:r>
              <w:rPr>
                <w:rFonts w:hint="eastAsia"/>
                <w:b/>
                <w:bCs/>
                <w:sz w:val="24"/>
              </w:rPr>
              <w:t>实际完成值</w:t>
            </w:r>
          </w:p>
        </w:tc>
        <w:tc>
          <w:tcPr>
            <w:tcW w:w="1045" w:type="dxa"/>
            <w:tcBorders>
              <w:top w:val="single" w:color="auto" w:sz="4" w:space="0"/>
              <w:left w:val="nil"/>
              <w:bottom w:val="single" w:color="auto" w:sz="4" w:space="0"/>
              <w:right w:val="single" w:color="auto" w:sz="4" w:space="0"/>
            </w:tcBorders>
          </w:tcPr>
          <w:p w14:paraId="4A498E1F">
            <w:pPr>
              <w:spacing w:line="360" w:lineRule="auto"/>
              <w:jc w:val="center"/>
              <w:rPr>
                <w:b/>
                <w:bCs/>
                <w:sz w:val="24"/>
              </w:rPr>
            </w:pPr>
            <w:r>
              <w:rPr>
                <w:rFonts w:hint="eastAsia"/>
                <w:b/>
                <w:bCs/>
                <w:sz w:val="24"/>
              </w:rPr>
              <w:t>完成度</w:t>
            </w:r>
          </w:p>
        </w:tc>
      </w:tr>
      <w:tr w14:paraId="3E79D64C">
        <w:tblPrEx>
          <w:tblCellMar>
            <w:top w:w="0" w:type="dxa"/>
            <w:left w:w="28" w:type="dxa"/>
            <w:bottom w:w="0" w:type="dxa"/>
            <w:right w:w="28" w:type="dxa"/>
          </w:tblCellMar>
        </w:tblPrEx>
        <w:trPr>
          <w:trHeight w:val="528" w:hRule="atLeast"/>
          <w:jc w:val="center"/>
        </w:trPr>
        <w:tc>
          <w:tcPr>
            <w:tcW w:w="4457" w:type="dxa"/>
            <w:tcBorders>
              <w:top w:val="nil"/>
              <w:left w:val="single" w:color="auto" w:sz="4" w:space="0"/>
              <w:bottom w:val="single" w:color="auto" w:sz="4" w:space="0"/>
              <w:right w:val="single" w:color="auto" w:sz="4" w:space="0"/>
            </w:tcBorders>
            <w:vAlign w:val="center"/>
          </w:tcPr>
          <w:p w14:paraId="21C1FDEA">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促进城乡劳动力就业（万人）</w:t>
            </w:r>
          </w:p>
        </w:tc>
        <w:tc>
          <w:tcPr>
            <w:tcW w:w="1817" w:type="dxa"/>
            <w:tcBorders>
              <w:top w:val="nil"/>
              <w:left w:val="nil"/>
              <w:bottom w:val="single" w:color="auto" w:sz="4" w:space="0"/>
              <w:right w:val="single" w:color="auto" w:sz="4" w:space="0"/>
            </w:tcBorders>
            <w:vAlign w:val="center"/>
          </w:tcPr>
          <w:p w14:paraId="0650AADB">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417" w:type="dxa"/>
            <w:tcBorders>
              <w:top w:val="nil"/>
              <w:left w:val="nil"/>
              <w:bottom w:val="single" w:color="auto" w:sz="4" w:space="0"/>
              <w:right w:val="single" w:color="auto" w:sz="4" w:space="0"/>
            </w:tcBorders>
            <w:vAlign w:val="center"/>
          </w:tcPr>
          <w:p w14:paraId="19C6214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9.6</w:t>
            </w:r>
          </w:p>
        </w:tc>
        <w:tc>
          <w:tcPr>
            <w:tcW w:w="1045" w:type="dxa"/>
            <w:tcBorders>
              <w:top w:val="nil"/>
              <w:left w:val="nil"/>
              <w:bottom w:val="single" w:color="auto" w:sz="4" w:space="0"/>
              <w:right w:val="single" w:color="auto" w:sz="4" w:space="0"/>
            </w:tcBorders>
          </w:tcPr>
          <w:p w14:paraId="0654042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192%</w:t>
            </w:r>
          </w:p>
        </w:tc>
      </w:tr>
      <w:tr w14:paraId="5089A8C3">
        <w:tblPrEx>
          <w:tblCellMar>
            <w:top w:w="0" w:type="dxa"/>
            <w:left w:w="28" w:type="dxa"/>
            <w:bottom w:w="0" w:type="dxa"/>
            <w:right w:w="28" w:type="dxa"/>
          </w:tblCellMar>
        </w:tblPrEx>
        <w:trPr>
          <w:trHeight w:val="456" w:hRule="atLeast"/>
          <w:jc w:val="center"/>
        </w:trPr>
        <w:tc>
          <w:tcPr>
            <w:tcW w:w="4457" w:type="dxa"/>
            <w:tcBorders>
              <w:top w:val="nil"/>
              <w:left w:val="single" w:color="auto" w:sz="4" w:space="0"/>
              <w:bottom w:val="single" w:color="auto" w:sz="4" w:space="0"/>
              <w:right w:val="single" w:color="auto" w:sz="4" w:space="0"/>
            </w:tcBorders>
            <w:vAlign w:val="center"/>
          </w:tcPr>
          <w:p w14:paraId="0389079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城镇</w:t>
            </w:r>
            <w:r>
              <w:rPr>
                <w:rFonts w:hint="eastAsia" w:ascii="仿宋_GB2312" w:hAnsi="仿宋_GB2312" w:eastAsia="仿宋_GB2312" w:cs="仿宋_GB2312"/>
                <w:sz w:val="24"/>
              </w:rPr>
              <w:t>登记失业率</w:t>
            </w:r>
            <w:r>
              <w:rPr>
                <w:rStyle w:val="29"/>
                <w:rFonts w:hint="eastAsia" w:ascii="仿宋_GB2312" w:hAnsi="仿宋_GB2312" w:eastAsia="仿宋_GB2312" w:cs="仿宋_GB2312"/>
                <w:sz w:val="24"/>
              </w:rPr>
              <w:footnoteReference w:id="5"/>
            </w:r>
            <w:r>
              <w:rPr>
                <w:rFonts w:hint="eastAsia" w:ascii="仿宋_GB2312" w:hAnsi="仿宋_GB2312" w:eastAsia="仿宋_GB2312" w:cs="仿宋_GB2312"/>
                <w:sz w:val="24"/>
              </w:rPr>
              <w:t>（%）</w:t>
            </w:r>
          </w:p>
        </w:tc>
        <w:tc>
          <w:tcPr>
            <w:tcW w:w="1817" w:type="dxa"/>
            <w:tcBorders>
              <w:top w:val="nil"/>
              <w:left w:val="nil"/>
              <w:bottom w:val="single" w:color="auto" w:sz="4" w:space="0"/>
              <w:right w:val="single" w:color="auto" w:sz="4" w:space="0"/>
            </w:tcBorders>
            <w:vAlign w:val="center"/>
          </w:tcPr>
          <w:p w14:paraId="46759EC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417" w:type="dxa"/>
            <w:tcBorders>
              <w:top w:val="nil"/>
              <w:left w:val="nil"/>
              <w:bottom w:val="single" w:color="auto" w:sz="4" w:space="0"/>
              <w:right w:val="single" w:color="auto" w:sz="4" w:space="0"/>
            </w:tcBorders>
            <w:vAlign w:val="center"/>
          </w:tcPr>
          <w:p w14:paraId="4B8290F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5%以下</w:t>
            </w:r>
          </w:p>
        </w:tc>
        <w:tc>
          <w:tcPr>
            <w:tcW w:w="1045" w:type="dxa"/>
            <w:tcBorders>
              <w:top w:val="nil"/>
              <w:left w:val="nil"/>
              <w:bottom w:val="single" w:color="auto" w:sz="4" w:space="0"/>
              <w:right w:val="single" w:color="auto" w:sz="4" w:space="0"/>
            </w:tcBorders>
          </w:tcPr>
          <w:p w14:paraId="6549BBD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100%</w:t>
            </w:r>
          </w:p>
        </w:tc>
      </w:tr>
      <w:tr w14:paraId="6B224166">
        <w:tblPrEx>
          <w:tblCellMar>
            <w:top w:w="0" w:type="dxa"/>
            <w:left w:w="28" w:type="dxa"/>
            <w:bottom w:w="0" w:type="dxa"/>
            <w:right w:w="28" w:type="dxa"/>
          </w:tblCellMar>
        </w:tblPrEx>
        <w:trPr>
          <w:trHeight w:val="460" w:hRule="atLeast"/>
          <w:jc w:val="center"/>
        </w:trPr>
        <w:tc>
          <w:tcPr>
            <w:tcW w:w="4457" w:type="dxa"/>
            <w:tcBorders>
              <w:top w:val="nil"/>
              <w:left w:val="single" w:color="auto" w:sz="4" w:space="0"/>
              <w:bottom w:val="single" w:color="auto" w:sz="4" w:space="0"/>
              <w:right w:val="single" w:color="auto" w:sz="4" w:space="0"/>
            </w:tcBorders>
            <w:vAlign w:val="center"/>
          </w:tcPr>
          <w:p w14:paraId="5748939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本区户籍高校毕业生就业率（%）</w:t>
            </w:r>
          </w:p>
        </w:tc>
        <w:tc>
          <w:tcPr>
            <w:tcW w:w="1817" w:type="dxa"/>
            <w:tcBorders>
              <w:top w:val="nil"/>
              <w:left w:val="nil"/>
              <w:bottom w:val="single" w:color="auto" w:sz="4" w:space="0"/>
              <w:right w:val="single" w:color="auto" w:sz="4" w:space="0"/>
            </w:tcBorders>
            <w:vAlign w:val="center"/>
          </w:tcPr>
          <w:p w14:paraId="7C4858E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≥95</w:t>
            </w:r>
          </w:p>
        </w:tc>
        <w:tc>
          <w:tcPr>
            <w:tcW w:w="1417" w:type="dxa"/>
            <w:tcBorders>
              <w:top w:val="nil"/>
              <w:left w:val="nil"/>
              <w:bottom w:val="single" w:color="auto" w:sz="4" w:space="0"/>
              <w:right w:val="single" w:color="auto" w:sz="4" w:space="0"/>
            </w:tcBorders>
            <w:vAlign w:val="center"/>
          </w:tcPr>
          <w:p w14:paraId="608662BC">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95%以上</w:t>
            </w:r>
          </w:p>
        </w:tc>
        <w:tc>
          <w:tcPr>
            <w:tcW w:w="1045" w:type="dxa"/>
            <w:tcBorders>
              <w:top w:val="nil"/>
              <w:left w:val="nil"/>
              <w:bottom w:val="single" w:color="auto" w:sz="4" w:space="0"/>
              <w:right w:val="single" w:color="auto" w:sz="4" w:space="0"/>
            </w:tcBorders>
          </w:tcPr>
          <w:p w14:paraId="03368C07">
            <w:pPr>
              <w:spacing w:line="360" w:lineRule="auto"/>
              <w:jc w:val="center"/>
              <w:rPr>
                <w:rFonts w:hint="eastAsia" w:ascii="仿宋_GB2312" w:hAnsi="仿宋_GB2312" w:eastAsia="仿宋_GB2312" w:cs="仿宋_GB2312"/>
                <w:sz w:val="24"/>
              </w:rPr>
            </w:pPr>
            <w:bookmarkStart w:id="29" w:name="OLE_LINK56"/>
            <w:r>
              <w:rPr>
                <w:rFonts w:hint="eastAsia" w:ascii="仿宋_GB2312" w:hAnsi="仿宋_GB2312" w:eastAsia="仿宋_GB2312" w:cs="仿宋_GB2312"/>
                <w:sz w:val="24"/>
              </w:rPr>
              <w:t>100%</w:t>
            </w:r>
            <w:bookmarkEnd w:id="29"/>
          </w:p>
        </w:tc>
      </w:tr>
      <w:tr w14:paraId="0B1363D0">
        <w:tblPrEx>
          <w:tblCellMar>
            <w:top w:w="0" w:type="dxa"/>
            <w:left w:w="28" w:type="dxa"/>
            <w:bottom w:w="0" w:type="dxa"/>
            <w:right w:w="28" w:type="dxa"/>
          </w:tblCellMar>
        </w:tblPrEx>
        <w:trPr>
          <w:trHeight w:val="448" w:hRule="atLeast"/>
          <w:jc w:val="center"/>
        </w:trPr>
        <w:tc>
          <w:tcPr>
            <w:tcW w:w="4457" w:type="dxa"/>
            <w:tcBorders>
              <w:top w:val="nil"/>
              <w:left w:val="single" w:color="auto" w:sz="4" w:space="0"/>
              <w:bottom w:val="single" w:color="auto" w:sz="4" w:space="0"/>
              <w:right w:val="single" w:color="auto" w:sz="4" w:space="0"/>
            </w:tcBorders>
            <w:vAlign w:val="center"/>
          </w:tcPr>
          <w:p w14:paraId="3E3B6E2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农村地区劳动力转移就业（万人）</w:t>
            </w:r>
          </w:p>
        </w:tc>
        <w:tc>
          <w:tcPr>
            <w:tcW w:w="1817" w:type="dxa"/>
            <w:tcBorders>
              <w:top w:val="nil"/>
              <w:left w:val="nil"/>
              <w:bottom w:val="single" w:color="auto" w:sz="4" w:space="0"/>
              <w:right w:val="single" w:color="auto" w:sz="4" w:space="0"/>
            </w:tcBorders>
            <w:vAlign w:val="center"/>
          </w:tcPr>
          <w:p w14:paraId="663C58DA">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417" w:type="dxa"/>
            <w:tcBorders>
              <w:top w:val="nil"/>
              <w:left w:val="nil"/>
              <w:bottom w:val="single" w:color="auto" w:sz="4" w:space="0"/>
              <w:right w:val="single" w:color="auto" w:sz="4" w:space="0"/>
            </w:tcBorders>
            <w:vAlign w:val="center"/>
          </w:tcPr>
          <w:p w14:paraId="22CB718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3.95</w:t>
            </w:r>
          </w:p>
        </w:tc>
        <w:tc>
          <w:tcPr>
            <w:tcW w:w="1045" w:type="dxa"/>
            <w:tcBorders>
              <w:top w:val="nil"/>
              <w:left w:val="nil"/>
              <w:bottom w:val="single" w:color="auto" w:sz="4" w:space="0"/>
              <w:right w:val="single" w:color="auto" w:sz="4" w:space="0"/>
            </w:tcBorders>
          </w:tcPr>
          <w:p w14:paraId="4643739D">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132%</w:t>
            </w:r>
          </w:p>
        </w:tc>
      </w:tr>
      <w:tr w14:paraId="1738AC8A">
        <w:tblPrEx>
          <w:tblCellMar>
            <w:top w:w="0" w:type="dxa"/>
            <w:left w:w="28" w:type="dxa"/>
            <w:bottom w:w="0" w:type="dxa"/>
            <w:right w:w="28" w:type="dxa"/>
          </w:tblCellMar>
        </w:tblPrEx>
        <w:trPr>
          <w:trHeight w:val="629"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297BDD1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城镇居民人均可支配收入年均增速</w:t>
            </w:r>
          </w:p>
        </w:tc>
        <w:tc>
          <w:tcPr>
            <w:tcW w:w="1817" w:type="dxa"/>
            <w:tcBorders>
              <w:top w:val="single" w:color="auto" w:sz="4" w:space="0"/>
              <w:left w:val="nil"/>
              <w:bottom w:val="single" w:color="auto" w:sz="4" w:space="0"/>
              <w:right w:val="single" w:color="auto" w:sz="4" w:space="0"/>
            </w:tcBorders>
            <w:vAlign w:val="center"/>
          </w:tcPr>
          <w:p w14:paraId="1F2023B8">
            <w:pPr>
              <w:jc w:val="center"/>
              <w:rPr>
                <w:rFonts w:hint="eastAsia" w:ascii="仿宋_GB2312" w:hAnsi="仿宋_GB2312" w:eastAsia="仿宋_GB2312" w:cs="仿宋_GB2312"/>
                <w:sz w:val="24"/>
              </w:rPr>
            </w:pPr>
            <w:bookmarkStart w:id="30" w:name="OLE_LINK54"/>
            <w:bookmarkStart w:id="31" w:name="OLE_LINK55"/>
            <w:r>
              <w:rPr>
                <w:rFonts w:hint="eastAsia" w:ascii="仿宋_GB2312" w:hAnsi="仿宋_GB2312" w:eastAsia="仿宋_GB2312" w:cs="仿宋_GB2312"/>
                <w:sz w:val="24"/>
              </w:rPr>
              <w:t>与经济增长基本同步</w:t>
            </w:r>
            <w:bookmarkEnd w:id="30"/>
            <w:bookmarkEnd w:id="31"/>
          </w:p>
        </w:tc>
        <w:tc>
          <w:tcPr>
            <w:tcW w:w="1417" w:type="dxa"/>
            <w:tcBorders>
              <w:top w:val="single" w:color="auto" w:sz="4" w:space="0"/>
              <w:left w:val="nil"/>
              <w:bottom w:val="single" w:color="auto" w:sz="4" w:space="0"/>
              <w:right w:val="single" w:color="auto" w:sz="4" w:space="0"/>
            </w:tcBorders>
            <w:vAlign w:val="center"/>
          </w:tcPr>
          <w:p w14:paraId="5DB1EBE2">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highlight w:val="none"/>
              </w:rPr>
              <w:t>5%</w:t>
            </w:r>
          </w:p>
        </w:tc>
        <w:tc>
          <w:tcPr>
            <w:tcW w:w="1045" w:type="dxa"/>
            <w:tcBorders>
              <w:top w:val="single" w:color="auto" w:sz="4" w:space="0"/>
              <w:left w:val="nil"/>
              <w:bottom w:val="single" w:color="auto" w:sz="4" w:space="0"/>
              <w:right w:val="single" w:color="auto" w:sz="4" w:space="0"/>
            </w:tcBorders>
          </w:tcPr>
          <w:p w14:paraId="788CA4C7">
            <w:pPr>
              <w:spacing w:line="360" w:lineRule="auto"/>
              <w:jc w:val="center"/>
              <w:rPr>
                <w:rFonts w:hint="eastAsia" w:ascii="仿宋_GB2312" w:hAnsi="仿宋_GB2312" w:eastAsia="仿宋_GB2312" w:cs="仿宋_GB2312"/>
                <w:sz w:val="24"/>
              </w:rPr>
            </w:pPr>
            <w:bookmarkStart w:id="32" w:name="OLE_LINK57"/>
            <w:bookmarkStart w:id="33" w:name="OLE_LINK58"/>
            <w:r>
              <w:rPr>
                <w:rFonts w:hint="eastAsia" w:ascii="仿宋_GB2312" w:hAnsi="仿宋_GB2312" w:eastAsia="仿宋_GB2312" w:cs="仿宋_GB2312"/>
                <w:sz w:val="24"/>
              </w:rPr>
              <w:t>100%</w:t>
            </w:r>
            <w:bookmarkEnd w:id="32"/>
            <w:bookmarkEnd w:id="33"/>
          </w:p>
        </w:tc>
      </w:tr>
      <w:tr w14:paraId="76907ADB">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1F9D63AF">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社会保险参保增加人数（万人）</w:t>
            </w:r>
          </w:p>
        </w:tc>
        <w:tc>
          <w:tcPr>
            <w:tcW w:w="1817" w:type="dxa"/>
            <w:tcBorders>
              <w:top w:val="single" w:color="auto" w:sz="4" w:space="0"/>
              <w:left w:val="nil"/>
              <w:bottom w:val="single" w:color="auto" w:sz="4" w:space="0"/>
              <w:right w:val="single" w:color="auto" w:sz="4" w:space="0"/>
            </w:tcBorders>
            <w:vAlign w:val="center"/>
          </w:tcPr>
          <w:p w14:paraId="3C7433B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417" w:type="dxa"/>
            <w:tcBorders>
              <w:top w:val="single" w:color="auto" w:sz="4" w:space="0"/>
              <w:left w:val="nil"/>
              <w:bottom w:val="single" w:color="auto" w:sz="4" w:space="0"/>
              <w:right w:val="single" w:color="auto" w:sz="4" w:space="0"/>
            </w:tcBorders>
            <w:vAlign w:val="center"/>
          </w:tcPr>
          <w:p w14:paraId="614172FA">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8.02</w:t>
            </w:r>
          </w:p>
        </w:tc>
        <w:tc>
          <w:tcPr>
            <w:tcW w:w="1045" w:type="dxa"/>
            <w:tcBorders>
              <w:top w:val="single" w:color="auto" w:sz="4" w:space="0"/>
              <w:left w:val="nil"/>
              <w:bottom w:val="single" w:color="auto" w:sz="4" w:space="0"/>
              <w:right w:val="single" w:color="auto" w:sz="4" w:space="0"/>
            </w:tcBorders>
          </w:tcPr>
          <w:p w14:paraId="76E33D8C">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160</w:t>
            </w:r>
            <w:r>
              <w:rPr>
                <w:rFonts w:hint="eastAsia" w:ascii="仿宋_GB2312" w:hAnsi="仿宋_GB2312" w:eastAsia="仿宋_GB2312" w:cs="仿宋_GB2312"/>
                <w:sz w:val="24"/>
              </w:rPr>
              <w:t>%</w:t>
            </w:r>
          </w:p>
        </w:tc>
      </w:tr>
      <w:tr w14:paraId="1CF04876">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4776947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城乡居民养老保险续保率</w:t>
            </w:r>
          </w:p>
        </w:tc>
        <w:tc>
          <w:tcPr>
            <w:tcW w:w="1817" w:type="dxa"/>
            <w:tcBorders>
              <w:top w:val="single" w:color="auto" w:sz="4" w:space="0"/>
              <w:left w:val="nil"/>
              <w:bottom w:val="single" w:color="auto" w:sz="4" w:space="0"/>
              <w:right w:val="single" w:color="auto" w:sz="4" w:space="0"/>
            </w:tcBorders>
            <w:vAlign w:val="center"/>
          </w:tcPr>
          <w:p w14:paraId="305DA57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≥97</w:t>
            </w:r>
          </w:p>
        </w:tc>
        <w:tc>
          <w:tcPr>
            <w:tcW w:w="1417" w:type="dxa"/>
            <w:tcBorders>
              <w:top w:val="single" w:color="auto" w:sz="4" w:space="0"/>
              <w:left w:val="nil"/>
              <w:bottom w:val="single" w:color="auto" w:sz="4" w:space="0"/>
              <w:right w:val="single" w:color="auto" w:sz="4" w:space="0"/>
            </w:tcBorders>
            <w:vAlign w:val="center"/>
          </w:tcPr>
          <w:p w14:paraId="6DC129F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99</w:t>
            </w:r>
          </w:p>
        </w:tc>
        <w:tc>
          <w:tcPr>
            <w:tcW w:w="1045" w:type="dxa"/>
            <w:tcBorders>
              <w:top w:val="single" w:color="auto" w:sz="4" w:space="0"/>
              <w:left w:val="nil"/>
              <w:bottom w:val="single" w:color="auto" w:sz="4" w:space="0"/>
              <w:right w:val="single" w:color="auto" w:sz="4" w:space="0"/>
            </w:tcBorders>
          </w:tcPr>
          <w:p w14:paraId="763AD1D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102%</w:t>
            </w:r>
          </w:p>
        </w:tc>
      </w:tr>
      <w:tr w14:paraId="57470F40">
        <w:tblPrEx>
          <w:tblCellMar>
            <w:top w:w="0" w:type="dxa"/>
            <w:left w:w="28" w:type="dxa"/>
            <w:bottom w:w="0" w:type="dxa"/>
            <w:right w:w="28" w:type="dxa"/>
          </w:tblCellMar>
        </w:tblPrEx>
        <w:trPr>
          <w:trHeight w:val="512"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2212601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基本医疗保险参保率（%）</w:t>
            </w:r>
          </w:p>
        </w:tc>
        <w:tc>
          <w:tcPr>
            <w:tcW w:w="1817" w:type="dxa"/>
            <w:tcBorders>
              <w:top w:val="single" w:color="auto" w:sz="4" w:space="0"/>
              <w:left w:val="nil"/>
              <w:bottom w:val="single" w:color="auto" w:sz="4" w:space="0"/>
              <w:right w:val="single" w:color="auto" w:sz="4" w:space="0"/>
            </w:tcBorders>
            <w:vAlign w:val="center"/>
          </w:tcPr>
          <w:p w14:paraId="1358B95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≥95</w:t>
            </w:r>
          </w:p>
        </w:tc>
        <w:tc>
          <w:tcPr>
            <w:tcW w:w="1417" w:type="dxa"/>
            <w:tcBorders>
              <w:top w:val="single" w:color="auto" w:sz="4" w:space="0"/>
              <w:left w:val="nil"/>
              <w:bottom w:val="single" w:color="auto" w:sz="4" w:space="0"/>
              <w:right w:val="single" w:color="auto" w:sz="4" w:space="0"/>
            </w:tcBorders>
            <w:vAlign w:val="center"/>
          </w:tcPr>
          <w:p w14:paraId="6E88F57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95</w:t>
            </w:r>
          </w:p>
        </w:tc>
        <w:tc>
          <w:tcPr>
            <w:tcW w:w="1045" w:type="dxa"/>
            <w:tcBorders>
              <w:top w:val="single" w:color="auto" w:sz="4" w:space="0"/>
              <w:left w:val="nil"/>
              <w:bottom w:val="single" w:color="auto" w:sz="4" w:space="0"/>
              <w:right w:val="single" w:color="auto" w:sz="4" w:space="0"/>
            </w:tcBorders>
          </w:tcPr>
          <w:p w14:paraId="4C935272">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100%</w:t>
            </w:r>
          </w:p>
        </w:tc>
      </w:tr>
      <w:tr w14:paraId="33B668E7">
        <w:tblPrEx>
          <w:tblCellMar>
            <w:top w:w="0" w:type="dxa"/>
            <w:left w:w="28" w:type="dxa"/>
            <w:bottom w:w="0" w:type="dxa"/>
            <w:right w:w="28" w:type="dxa"/>
          </w:tblCellMar>
        </w:tblPrEx>
        <w:trPr>
          <w:trHeight w:val="639"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3F8D7D5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职工医保政策范围内住院报销比例</w:t>
            </w:r>
          </w:p>
        </w:tc>
        <w:tc>
          <w:tcPr>
            <w:tcW w:w="1817" w:type="dxa"/>
            <w:tcBorders>
              <w:top w:val="single" w:color="auto" w:sz="4" w:space="0"/>
              <w:left w:val="nil"/>
              <w:bottom w:val="single" w:color="auto" w:sz="4" w:space="0"/>
              <w:right w:val="single" w:color="auto" w:sz="4" w:space="0"/>
            </w:tcBorders>
            <w:vAlign w:val="center"/>
          </w:tcPr>
          <w:p w14:paraId="0C53CD2C">
            <w:pPr>
              <w:jc w:val="center"/>
              <w:rPr>
                <w:rFonts w:hint="eastAsia" w:ascii="仿宋_GB2312" w:hAnsi="仿宋_GB2312" w:eastAsia="仿宋_GB2312" w:cs="仿宋_GB2312"/>
                <w:sz w:val="24"/>
              </w:rPr>
            </w:pPr>
            <w:r>
              <w:rPr>
                <w:rFonts w:hint="eastAsia" w:ascii="仿宋_GB2312" w:hAnsi="仿宋_GB2312" w:eastAsia="仿宋_GB2312" w:cs="仿宋_GB2312"/>
                <w:sz w:val="24"/>
              </w:rPr>
              <w:t>稳定在80%左右</w:t>
            </w:r>
          </w:p>
        </w:tc>
        <w:tc>
          <w:tcPr>
            <w:tcW w:w="1417" w:type="dxa"/>
            <w:tcBorders>
              <w:top w:val="single" w:color="auto" w:sz="4" w:space="0"/>
              <w:left w:val="nil"/>
              <w:bottom w:val="single" w:color="auto" w:sz="4" w:space="0"/>
              <w:right w:val="single" w:color="auto" w:sz="4" w:space="0"/>
            </w:tcBorders>
            <w:vAlign w:val="center"/>
          </w:tcPr>
          <w:p w14:paraId="213755D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85</w:t>
            </w:r>
          </w:p>
        </w:tc>
        <w:tc>
          <w:tcPr>
            <w:tcW w:w="1045" w:type="dxa"/>
            <w:tcBorders>
              <w:top w:val="single" w:color="auto" w:sz="4" w:space="0"/>
              <w:left w:val="nil"/>
              <w:bottom w:val="single" w:color="auto" w:sz="4" w:space="0"/>
              <w:right w:val="single" w:color="auto" w:sz="4" w:space="0"/>
            </w:tcBorders>
          </w:tcPr>
          <w:p w14:paraId="67220DB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106%</w:t>
            </w:r>
          </w:p>
        </w:tc>
      </w:tr>
      <w:tr w14:paraId="0E8AC5D4">
        <w:tblPrEx>
          <w:tblCellMar>
            <w:top w:w="0" w:type="dxa"/>
            <w:left w:w="28" w:type="dxa"/>
            <w:bottom w:w="0" w:type="dxa"/>
            <w:right w:w="28" w:type="dxa"/>
          </w:tblCellMar>
        </w:tblPrEx>
        <w:trPr>
          <w:trHeight w:val="881"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3022FDC9">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居民医保政策范围内住院报销比例（含大病保险）</w:t>
            </w:r>
          </w:p>
        </w:tc>
        <w:tc>
          <w:tcPr>
            <w:tcW w:w="1817" w:type="dxa"/>
            <w:tcBorders>
              <w:top w:val="single" w:color="auto" w:sz="4" w:space="0"/>
              <w:left w:val="nil"/>
              <w:bottom w:val="single" w:color="auto" w:sz="4" w:space="0"/>
              <w:right w:val="single" w:color="auto" w:sz="4" w:space="0"/>
            </w:tcBorders>
            <w:vAlign w:val="center"/>
          </w:tcPr>
          <w:p w14:paraId="014AC560">
            <w:pPr>
              <w:jc w:val="center"/>
              <w:rPr>
                <w:rFonts w:hint="eastAsia" w:ascii="仿宋_GB2312" w:hAnsi="仿宋_GB2312" w:eastAsia="仿宋_GB2312" w:cs="仿宋_GB2312"/>
                <w:sz w:val="24"/>
              </w:rPr>
            </w:pPr>
            <w:r>
              <w:rPr>
                <w:rFonts w:hint="eastAsia" w:ascii="仿宋_GB2312" w:hAnsi="仿宋_GB2312" w:eastAsia="仿宋_GB2312" w:cs="仿宋_GB2312"/>
                <w:sz w:val="24"/>
              </w:rPr>
              <w:t>稳定在70%左右</w:t>
            </w:r>
          </w:p>
        </w:tc>
        <w:tc>
          <w:tcPr>
            <w:tcW w:w="1417" w:type="dxa"/>
            <w:tcBorders>
              <w:top w:val="single" w:color="auto" w:sz="4" w:space="0"/>
              <w:left w:val="nil"/>
              <w:bottom w:val="single" w:color="auto" w:sz="4" w:space="0"/>
              <w:right w:val="single" w:color="auto" w:sz="4" w:space="0"/>
            </w:tcBorders>
            <w:vAlign w:val="center"/>
          </w:tcPr>
          <w:p w14:paraId="319D596C">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75</w:t>
            </w:r>
          </w:p>
        </w:tc>
        <w:tc>
          <w:tcPr>
            <w:tcW w:w="1045" w:type="dxa"/>
            <w:tcBorders>
              <w:top w:val="single" w:color="auto" w:sz="4" w:space="0"/>
              <w:left w:val="nil"/>
              <w:bottom w:val="single" w:color="auto" w:sz="4" w:space="0"/>
              <w:right w:val="single" w:color="auto" w:sz="4" w:space="0"/>
            </w:tcBorders>
          </w:tcPr>
          <w:p w14:paraId="375157D8">
            <w:pPr>
              <w:spacing w:line="240" w:lineRule="auto"/>
              <w:jc w:val="both"/>
              <w:rPr>
                <w:rFonts w:hint="eastAsia" w:ascii="仿宋_GB2312" w:hAnsi="仿宋_GB2312" w:eastAsia="仿宋_GB2312" w:cs="仿宋_GB2312"/>
                <w:sz w:val="24"/>
              </w:rPr>
            </w:pPr>
          </w:p>
          <w:p w14:paraId="5585DB81">
            <w:pPr>
              <w:spacing w:line="240" w:lineRule="auto"/>
              <w:ind w:firstLine="240" w:firstLineChars="100"/>
              <w:jc w:val="both"/>
              <w:rPr>
                <w:rFonts w:hint="eastAsia" w:ascii="仿宋_GB2312" w:hAnsi="仿宋_GB2312" w:eastAsia="仿宋_GB2312" w:cs="仿宋_GB2312"/>
                <w:sz w:val="24"/>
              </w:rPr>
            </w:pPr>
            <w:r>
              <w:rPr>
                <w:rFonts w:hint="eastAsia" w:ascii="仿宋_GB2312" w:hAnsi="仿宋_GB2312" w:eastAsia="仿宋_GB2312" w:cs="仿宋_GB2312"/>
                <w:sz w:val="24"/>
              </w:rPr>
              <w:t>107%</w:t>
            </w:r>
          </w:p>
        </w:tc>
      </w:tr>
      <w:tr w14:paraId="69F66B0F">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5F21483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人才总量（万人）</w:t>
            </w:r>
          </w:p>
        </w:tc>
        <w:tc>
          <w:tcPr>
            <w:tcW w:w="1817" w:type="dxa"/>
            <w:tcBorders>
              <w:top w:val="single" w:color="auto" w:sz="4" w:space="0"/>
              <w:left w:val="nil"/>
              <w:bottom w:val="single" w:color="auto" w:sz="4" w:space="0"/>
              <w:right w:val="single" w:color="auto" w:sz="4" w:space="0"/>
            </w:tcBorders>
            <w:vAlign w:val="center"/>
          </w:tcPr>
          <w:p w14:paraId="39F74676">
            <w:pPr>
              <w:spacing w:line="36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≥49.5</w:t>
            </w:r>
          </w:p>
        </w:tc>
        <w:tc>
          <w:tcPr>
            <w:tcW w:w="1417" w:type="dxa"/>
            <w:tcBorders>
              <w:top w:val="single" w:color="auto" w:sz="4" w:space="0"/>
              <w:left w:val="nil"/>
              <w:bottom w:val="single" w:color="auto" w:sz="4" w:space="0"/>
              <w:right w:val="single" w:color="auto" w:sz="4" w:space="0"/>
            </w:tcBorders>
            <w:vAlign w:val="center"/>
          </w:tcPr>
          <w:p w14:paraId="74F6F22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57.7</w:t>
            </w:r>
          </w:p>
        </w:tc>
        <w:tc>
          <w:tcPr>
            <w:tcW w:w="1045" w:type="dxa"/>
            <w:tcBorders>
              <w:top w:val="single" w:color="auto" w:sz="4" w:space="0"/>
              <w:left w:val="nil"/>
              <w:bottom w:val="single" w:color="auto" w:sz="4" w:space="0"/>
              <w:right w:val="single" w:color="auto" w:sz="4" w:space="0"/>
            </w:tcBorders>
          </w:tcPr>
          <w:p w14:paraId="31EE1B4D">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117%</w:t>
            </w:r>
          </w:p>
        </w:tc>
      </w:tr>
      <w:tr w14:paraId="50EE7EC6">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2D7B63E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专业技术人才总量（万人）</w:t>
            </w:r>
          </w:p>
        </w:tc>
        <w:tc>
          <w:tcPr>
            <w:tcW w:w="1817" w:type="dxa"/>
            <w:tcBorders>
              <w:top w:val="single" w:color="auto" w:sz="4" w:space="0"/>
              <w:left w:val="nil"/>
              <w:bottom w:val="single" w:color="auto" w:sz="4" w:space="0"/>
              <w:right w:val="single" w:color="auto" w:sz="4" w:space="0"/>
            </w:tcBorders>
            <w:vAlign w:val="center"/>
          </w:tcPr>
          <w:p w14:paraId="7C293286">
            <w:pPr>
              <w:spacing w:line="36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c>
          <w:tcPr>
            <w:tcW w:w="1417" w:type="dxa"/>
            <w:tcBorders>
              <w:top w:val="single" w:color="auto" w:sz="4" w:space="0"/>
              <w:left w:val="nil"/>
              <w:bottom w:val="single" w:color="auto" w:sz="4" w:space="0"/>
              <w:right w:val="single" w:color="auto" w:sz="4" w:space="0"/>
            </w:tcBorders>
            <w:vAlign w:val="center"/>
          </w:tcPr>
          <w:p w14:paraId="2AD60E82">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9.8</w:t>
            </w:r>
          </w:p>
        </w:tc>
        <w:tc>
          <w:tcPr>
            <w:tcW w:w="1045" w:type="dxa"/>
            <w:tcBorders>
              <w:top w:val="single" w:color="auto" w:sz="4" w:space="0"/>
              <w:left w:val="nil"/>
              <w:bottom w:val="single" w:color="auto" w:sz="4" w:space="0"/>
              <w:right w:val="single" w:color="auto" w:sz="4" w:space="0"/>
            </w:tcBorders>
          </w:tcPr>
          <w:p w14:paraId="2D3D91DB">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100%</w:t>
            </w:r>
          </w:p>
        </w:tc>
      </w:tr>
      <w:tr w14:paraId="61D65972">
        <w:tblPrEx>
          <w:tblCellMar>
            <w:top w:w="0" w:type="dxa"/>
            <w:left w:w="28" w:type="dxa"/>
            <w:bottom w:w="0" w:type="dxa"/>
            <w:right w:w="28" w:type="dxa"/>
          </w:tblCellMar>
        </w:tblPrEx>
        <w:trPr>
          <w:trHeight w:val="558"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115B675B">
            <w:pPr>
              <w:spacing w:line="360"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高技能人才总量（万人）</w:t>
            </w:r>
          </w:p>
        </w:tc>
        <w:tc>
          <w:tcPr>
            <w:tcW w:w="1817" w:type="dxa"/>
            <w:tcBorders>
              <w:top w:val="single" w:color="auto" w:sz="4" w:space="0"/>
              <w:left w:val="nil"/>
              <w:bottom w:val="single" w:color="auto" w:sz="4" w:space="0"/>
              <w:right w:val="single" w:color="auto" w:sz="4" w:space="0"/>
            </w:tcBorders>
            <w:vAlign w:val="center"/>
          </w:tcPr>
          <w:p w14:paraId="204DD15A">
            <w:pPr>
              <w:spacing w:line="36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w:t>
            </w:r>
            <w:r>
              <w:rPr>
                <w:rFonts w:hint="eastAsia" w:ascii="仿宋_GB2312" w:hAnsi="仿宋_GB2312" w:eastAsia="仿宋_GB2312" w:cs="仿宋_GB2312"/>
                <w:color w:val="000000"/>
                <w:sz w:val="24"/>
              </w:rPr>
              <w:t>6</w:t>
            </w:r>
          </w:p>
        </w:tc>
        <w:tc>
          <w:tcPr>
            <w:tcW w:w="1417" w:type="dxa"/>
            <w:tcBorders>
              <w:top w:val="single" w:color="auto" w:sz="4" w:space="0"/>
              <w:left w:val="nil"/>
              <w:bottom w:val="single" w:color="auto" w:sz="4" w:space="0"/>
              <w:right w:val="single" w:color="auto" w:sz="4" w:space="0"/>
            </w:tcBorders>
            <w:vAlign w:val="center"/>
          </w:tcPr>
          <w:p w14:paraId="48416B8D">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6.01</w:t>
            </w:r>
          </w:p>
        </w:tc>
        <w:tc>
          <w:tcPr>
            <w:tcW w:w="1045" w:type="dxa"/>
            <w:tcBorders>
              <w:top w:val="single" w:color="auto" w:sz="4" w:space="0"/>
              <w:left w:val="nil"/>
              <w:bottom w:val="single" w:color="auto" w:sz="4" w:space="0"/>
              <w:right w:val="single" w:color="auto" w:sz="4" w:space="0"/>
            </w:tcBorders>
          </w:tcPr>
          <w:p w14:paraId="030F1B86">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100%</w:t>
            </w:r>
          </w:p>
        </w:tc>
      </w:tr>
      <w:tr w14:paraId="3822AD6C">
        <w:tblPrEx>
          <w:tblCellMar>
            <w:top w:w="0" w:type="dxa"/>
            <w:left w:w="28" w:type="dxa"/>
            <w:bottom w:w="0" w:type="dxa"/>
            <w:right w:w="28" w:type="dxa"/>
          </w:tblCellMar>
        </w:tblPrEx>
        <w:trPr>
          <w:trHeight w:val="528"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3770079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博士后科研工作站总量达到（家）</w:t>
            </w:r>
          </w:p>
        </w:tc>
        <w:tc>
          <w:tcPr>
            <w:tcW w:w="1817" w:type="dxa"/>
            <w:tcBorders>
              <w:top w:val="single" w:color="auto" w:sz="4" w:space="0"/>
              <w:left w:val="nil"/>
              <w:bottom w:val="single" w:color="auto" w:sz="4" w:space="0"/>
              <w:right w:val="single" w:color="auto" w:sz="4" w:space="0"/>
            </w:tcBorders>
            <w:vAlign w:val="center"/>
          </w:tcPr>
          <w:p w14:paraId="20463946">
            <w:pPr>
              <w:spacing w:line="36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w:t>
            </w:r>
            <w:r>
              <w:rPr>
                <w:rFonts w:hint="eastAsia" w:ascii="仿宋_GB2312" w:hAnsi="仿宋_GB2312" w:eastAsia="仿宋_GB2312" w:cs="仿宋_GB2312"/>
                <w:color w:val="000000"/>
                <w:sz w:val="24"/>
              </w:rPr>
              <w:t>40</w:t>
            </w:r>
          </w:p>
        </w:tc>
        <w:tc>
          <w:tcPr>
            <w:tcW w:w="1417" w:type="dxa"/>
            <w:tcBorders>
              <w:top w:val="single" w:color="auto" w:sz="4" w:space="0"/>
              <w:left w:val="nil"/>
              <w:bottom w:val="single" w:color="auto" w:sz="4" w:space="0"/>
              <w:right w:val="single" w:color="auto" w:sz="4" w:space="0"/>
            </w:tcBorders>
            <w:vAlign w:val="center"/>
          </w:tcPr>
          <w:p w14:paraId="3B091BD2">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55</w:t>
            </w:r>
          </w:p>
        </w:tc>
        <w:tc>
          <w:tcPr>
            <w:tcW w:w="1045" w:type="dxa"/>
            <w:tcBorders>
              <w:top w:val="single" w:color="auto" w:sz="4" w:space="0"/>
              <w:left w:val="nil"/>
              <w:bottom w:val="single" w:color="auto" w:sz="4" w:space="0"/>
              <w:right w:val="single" w:color="auto" w:sz="4" w:space="0"/>
            </w:tcBorders>
          </w:tcPr>
          <w:p w14:paraId="386A01C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138%</w:t>
            </w:r>
          </w:p>
        </w:tc>
      </w:tr>
      <w:tr w14:paraId="431FD3CB">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34B81D2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区级技能大师工作室总量达到（家）</w:t>
            </w:r>
          </w:p>
        </w:tc>
        <w:tc>
          <w:tcPr>
            <w:tcW w:w="1817" w:type="dxa"/>
            <w:tcBorders>
              <w:top w:val="single" w:color="auto" w:sz="4" w:space="0"/>
              <w:left w:val="nil"/>
              <w:bottom w:val="single" w:color="auto" w:sz="4" w:space="0"/>
              <w:right w:val="single" w:color="auto" w:sz="4" w:space="0"/>
            </w:tcBorders>
            <w:vAlign w:val="center"/>
          </w:tcPr>
          <w:p w14:paraId="1A67F433">
            <w:pPr>
              <w:spacing w:line="36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w:t>
            </w:r>
            <w:r>
              <w:rPr>
                <w:rFonts w:hint="eastAsia" w:ascii="仿宋_GB2312" w:hAnsi="仿宋_GB2312" w:eastAsia="仿宋_GB2312" w:cs="仿宋_GB2312"/>
                <w:color w:val="000000"/>
                <w:sz w:val="24"/>
              </w:rPr>
              <w:t>40</w:t>
            </w:r>
          </w:p>
        </w:tc>
        <w:tc>
          <w:tcPr>
            <w:tcW w:w="1417" w:type="dxa"/>
            <w:tcBorders>
              <w:top w:val="single" w:color="auto" w:sz="4" w:space="0"/>
              <w:left w:val="nil"/>
              <w:bottom w:val="single" w:color="auto" w:sz="4" w:space="0"/>
              <w:right w:val="single" w:color="auto" w:sz="4" w:space="0"/>
            </w:tcBorders>
            <w:vAlign w:val="center"/>
          </w:tcPr>
          <w:p w14:paraId="6AD14EB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41</w:t>
            </w:r>
          </w:p>
        </w:tc>
        <w:tc>
          <w:tcPr>
            <w:tcW w:w="1045" w:type="dxa"/>
            <w:tcBorders>
              <w:top w:val="single" w:color="auto" w:sz="4" w:space="0"/>
              <w:left w:val="nil"/>
              <w:bottom w:val="single" w:color="auto" w:sz="4" w:space="0"/>
              <w:right w:val="single" w:color="auto" w:sz="4" w:space="0"/>
            </w:tcBorders>
          </w:tcPr>
          <w:p w14:paraId="3A19DD7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103%</w:t>
            </w:r>
          </w:p>
        </w:tc>
      </w:tr>
      <w:tr w14:paraId="295FC5EF">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64E7CE3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监控企业的劳动合同签订率（%）</w:t>
            </w:r>
          </w:p>
        </w:tc>
        <w:tc>
          <w:tcPr>
            <w:tcW w:w="1817" w:type="dxa"/>
            <w:tcBorders>
              <w:top w:val="single" w:color="auto" w:sz="4" w:space="0"/>
              <w:left w:val="nil"/>
              <w:bottom w:val="single" w:color="auto" w:sz="4" w:space="0"/>
              <w:right w:val="single" w:color="auto" w:sz="4" w:space="0"/>
            </w:tcBorders>
            <w:vAlign w:val="center"/>
          </w:tcPr>
          <w:p w14:paraId="2FC3FCF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≥90</w:t>
            </w:r>
          </w:p>
        </w:tc>
        <w:tc>
          <w:tcPr>
            <w:tcW w:w="1417" w:type="dxa"/>
            <w:tcBorders>
              <w:top w:val="single" w:color="auto" w:sz="4" w:space="0"/>
              <w:left w:val="nil"/>
              <w:bottom w:val="single" w:color="auto" w:sz="4" w:space="0"/>
              <w:right w:val="single" w:color="auto" w:sz="4" w:space="0"/>
            </w:tcBorders>
            <w:vAlign w:val="center"/>
          </w:tcPr>
          <w:p w14:paraId="33B83A1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100</w:t>
            </w:r>
          </w:p>
        </w:tc>
        <w:tc>
          <w:tcPr>
            <w:tcW w:w="1045" w:type="dxa"/>
            <w:tcBorders>
              <w:top w:val="single" w:color="auto" w:sz="4" w:space="0"/>
              <w:left w:val="nil"/>
              <w:bottom w:val="single" w:color="auto" w:sz="4" w:space="0"/>
              <w:right w:val="single" w:color="auto" w:sz="4" w:space="0"/>
            </w:tcBorders>
          </w:tcPr>
          <w:p w14:paraId="4DDA99F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111%</w:t>
            </w:r>
          </w:p>
        </w:tc>
      </w:tr>
      <w:tr w14:paraId="61BE203F">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7D60451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城镇职工劳动合同续订率（%）</w:t>
            </w:r>
          </w:p>
        </w:tc>
        <w:tc>
          <w:tcPr>
            <w:tcW w:w="1817" w:type="dxa"/>
            <w:tcBorders>
              <w:top w:val="single" w:color="auto" w:sz="4" w:space="0"/>
              <w:left w:val="nil"/>
              <w:bottom w:val="single" w:color="auto" w:sz="4" w:space="0"/>
              <w:right w:val="single" w:color="auto" w:sz="4" w:space="0"/>
            </w:tcBorders>
            <w:vAlign w:val="center"/>
          </w:tcPr>
          <w:p w14:paraId="0914DE37">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≥80</w:t>
            </w:r>
          </w:p>
        </w:tc>
        <w:tc>
          <w:tcPr>
            <w:tcW w:w="1417" w:type="dxa"/>
            <w:tcBorders>
              <w:top w:val="single" w:color="auto" w:sz="4" w:space="0"/>
              <w:left w:val="nil"/>
              <w:bottom w:val="single" w:color="auto" w:sz="4" w:space="0"/>
              <w:right w:val="single" w:color="auto" w:sz="4" w:space="0"/>
            </w:tcBorders>
            <w:vAlign w:val="center"/>
          </w:tcPr>
          <w:p w14:paraId="455454C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95.83</w:t>
            </w:r>
          </w:p>
        </w:tc>
        <w:tc>
          <w:tcPr>
            <w:tcW w:w="1045" w:type="dxa"/>
            <w:tcBorders>
              <w:top w:val="single" w:color="auto" w:sz="4" w:space="0"/>
              <w:left w:val="nil"/>
              <w:bottom w:val="single" w:color="auto" w:sz="4" w:space="0"/>
              <w:right w:val="single" w:color="auto" w:sz="4" w:space="0"/>
            </w:tcBorders>
          </w:tcPr>
          <w:p w14:paraId="19866660">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120%</w:t>
            </w:r>
          </w:p>
        </w:tc>
      </w:tr>
      <w:tr w14:paraId="7FA44E01">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3BF9357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工资集体协商的比率（%）</w:t>
            </w:r>
          </w:p>
        </w:tc>
        <w:tc>
          <w:tcPr>
            <w:tcW w:w="1817" w:type="dxa"/>
            <w:tcBorders>
              <w:top w:val="single" w:color="auto" w:sz="4" w:space="0"/>
              <w:left w:val="nil"/>
              <w:bottom w:val="single" w:color="auto" w:sz="4" w:space="0"/>
              <w:right w:val="single" w:color="auto" w:sz="4" w:space="0"/>
            </w:tcBorders>
            <w:vAlign w:val="center"/>
          </w:tcPr>
          <w:p w14:paraId="2000DDF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≥85</w:t>
            </w:r>
          </w:p>
        </w:tc>
        <w:tc>
          <w:tcPr>
            <w:tcW w:w="1417" w:type="dxa"/>
            <w:tcBorders>
              <w:top w:val="single" w:color="auto" w:sz="4" w:space="0"/>
              <w:left w:val="nil"/>
              <w:bottom w:val="single" w:color="auto" w:sz="4" w:space="0"/>
              <w:right w:val="single" w:color="auto" w:sz="4" w:space="0"/>
            </w:tcBorders>
            <w:vAlign w:val="center"/>
          </w:tcPr>
          <w:p w14:paraId="50C30116">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90</w:t>
            </w:r>
          </w:p>
        </w:tc>
        <w:tc>
          <w:tcPr>
            <w:tcW w:w="1045" w:type="dxa"/>
            <w:tcBorders>
              <w:top w:val="single" w:color="auto" w:sz="4" w:space="0"/>
              <w:left w:val="nil"/>
              <w:bottom w:val="single" w:color="auto" w:sz="4" w:space="0"/>
              <w:right w:val="single" w:color="auto" w:sz="4" w:space="0"/>
            </w:tcBorders>
          </w:tcPr>
          <w:p w14:paraId="0C31E56B">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106%</w:t>
            </w:r>
          </w:p>
        </w:tc>
      </w:tr>
      <w:tr w14:paraId="2D343533">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72598CF0">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劳动人事争议仲裁案件结案率（%）</w:t>
            </w:r>
          </w:p>
        </w:tc>
        <w:tc>
          <w:tcPr>
            <w:tcW w:w="1817" w:type="dxa"/>
            <w:tcBorders>
              <w:top w:val="single" w:color="auto" w:sz="4" w:space="0"/>
              <w:left w:val="nil"/>
              <w:bottom w:val="single" w:color="auto" w:sz="4" w:space="0"/>
              <w:right w:val="single" w:color="auto" w:sz="4" w:space="0"/>
            </w:tcBorders>
            <w:vAlign w:val="center"/>
          </w:tcPr>
          <w:p w14:paraId="1A1F0C3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≥90</w:t>
            </w:r>
          </w:p>
        </w:tc>
        <w:tc>
          <w:tcPr>
            <w:tcW w:w="1417" w:type="dxa"/>
            <w:tcBorders>
              <w:top w:val="single" w:color="auto" w:sz="4" w:space="0"/>
              <w:left w:val="nil"/>
              <w:bottom w:val="single" w:color="auto" w:sz="4" w:space="0"/>
              <w:right w:val="single" w:color="auto" w:sz="4" w:space="0"/>
            </w:tcBorders>
            <w:vAlign w:val="center"/>
          </w:tcPr>
          <w:p w14:paraId="3401662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100</w:t>
            </w:r>
          </w:p>
        </w:tc>
        <w:tc>
          <w:tcPr>
            <w:tcW w:w="1045" w:type="dxa"/>
            <w:tcBorders>
              <w:top w:val="single" w:color="auto" w:sz="4" w:space="0"/>
              <w:left w:val="nil"/>
              <w:bottom w:val="single" w:color="auto" w:sz="4" w:space="0"/>
              <w:right w:val="single" w:color="auto" w:sz="4" w:space="0"/>
            </w:tcBorders>
          </w:tcPr>
          <w:p w14:paraId="195FE9F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111%</w:t>
            </w:r>
          </w:p>
        </w:tc>
      </w:tr>
      <w:tr w14:paraId="7CF3FAFE">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03AF18F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劳动人事争议仲裁终结率（%）</w:t>
            </w:r>
          </w:p>
        </w:tc>
        <w:tc>
          <w:tcPr>
            <w:tcW w:w="1817" w:type="dxa"/>
            <w:tcBorders>
              <w:top w:val="single" w:color="auto" w:sz="4" w:space="0"/>
              <w:left w:val="nil"/>
              <w:bottom w:val="single" w:color="auto" w:sz="4" w:space="0"/>
              <w:right w:val="single" w:color="auto" w:sz="4" w:space="0"/>
            </w:tcBorders>
            <w:vAlign w:val="center"/>
          </w:tcPr>
          <w:p w14:paraId="29EF2C6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≥70</w:t>
            </w:r>
          </w:p>
        </w:tc>
        <w:tc>
          <w:tcPr>
            <w:tcW w:w="1417" w:type="dxa"/>
            <w:tcBorders>
              <w:top w:val="single" w:color="auto" w:sz="4" w:space="0"/>
              <w:left w:val="nil"/>
              <w:bottom w:val="single" w:color="auto" w:sz="4" w:space="0"/>
              <w:right w:val="single" w:color="auto" w:sz="4" w:space="0"/>
            </w:tcBorders>
            <w:vAlign w:val="center"/>
          </w:tcPr>
          <w:p w14:paraId="497E8460">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72.71</w:t>
            </w:r>
          </w:p>
        </w:tc>
        <w:tc>
          <w:tcPr>
            <w:tcW w:w="1045" w:type="dxa"/>
            <w:tcBorders>
              <w:top w:val="single" w:color="auto" w:sz="4" w:space="0"/>
              <w:left w:val="nil"/>
              <w:bottom w:val="single" w:color="auto" w:sz="4" w:space="0"/>
              <w:right w:val="single" w:color="auto" w:sz="4" w:space="0"/>
            </w:tcBorders>
          </w:tcPr>
          <w:p w14:paraId="4FEE906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w:t>
            </w:r>
          </w:p>
        </w:tc>
      </w:tr>
      <w:tr w14:paraId="04966AF6">
        <w:tblPrEx>
          <w:tblCellMar>
            <w:top w:w="0" w:type="dxa"/>
            <w:left w:w="28" w:type="dxa"/>
            <w:bottom w:w="0" w:type="dxa"/>
            <w:right w:w="28" w:type="dxa"/>
          </w:tblCellMar>
        </w:tblPrEx>
        <w:trPr>
          <w:trHeight w:val="340" w:hRule="atLeast"/>
          <w:jc w:val="center"/>
        </w:trPr>
        <w:tc>
          <w:tcPr>
            <w:tcW w:w="4457" w:type="dxa"/>
            <w:tcBorders>
              <w:top w:val="single" w:color="auto" w:sz="4" w:space="0"/>
              <w:left w:val="single" w:color="auto" w:sz="4" w:space="0"/>
              <w:bottom w:val="single" w:color="auto" w:sz="4" w:space="0"/>
              <w:right w:val="single" w:color="auto" w:sz="4" w:space="0"/>
            </w:tcBorders>
            <w:vAlign w:val="center"/>
          </w:tcPr>
          <w:p w14:paraId="070B4F59">
            <w:pPr>
              <w:spacing w:line="360" w:lineRule="auto"/>
              <w:rPr>
                <w:rFonts w:hint="eastAsia" w:ascii="仿宋_GB2312" w:hAnsi="仿宋_GB2312" w:eastAsia="仿宋_GB2312" w:cs="仿宋_GB2312"/>
                <w:sz w:val="24"/>
              </w:rPr>
            </w:pPr>
            <w:bookmarkStart w:id="34" w:name="_Toc31544"/>
            <w:bookmarkStart w:id="35" w:name="_Toc23860"/>
            <w:r>
              <w:rPr>
                <w:rFonts w:hint="eastAsia" w:ascii="仿宋_GB2312" w:hAnsi="仿宋_GB2312" w:eastAsia="仿宋_GB2312" w:cs="仿宋_GB2312"/>
                <w:sz w:val="24"/>
                <w:highlight w:val="none"/>
              </w:rPr>
              <w:t>劳动保障监察举报投诉案件结案率</w:t>
            </w:r>
          </w:p>
        </w:tc>
        <w:tc>
          <w:tcPr>
            <w:tcW w:w="1817" w:type="dxa"/>
            <w:tcBorders>
              <w:top w:val="single" w:color="auto" w:sz="4" w:space="0"/>
              <w:left w:val="nil"/>
              <w:bottom w:val="single" w:color="auto" w:sz="4" w:space="0"/>
              <w:right w:val="single" w:color="auto" w:sz="4" w:space="0"/>
            </w:tcBorders>
            <w:vAlign w:val="center"/>
          </w:tcPr>
          <w:p w14:paraId="56356E6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highlight w:val="none"/>
              </w:rPr>
              <w:t>≥96</w:t>
            </w:r>
          </w:p>
        </w:tc>
        <w:tc>
          <w:tcPr>
            <w:tcW w:w="1417" w:type="dxa"/>
            <w:tcBorders>
              <w:top w:val="single" w:color="auto" w:sz="4" w:space="0"/>
              <w:left w:val="nil"/>
              <w:bottom w:val="single" w:color="auto" w:sz="4" w:space="0"/>
              <w:right w:val="single" w:color="auto" w:sz="4" w:space="0"/>
            </w:tcBorders>
            <w:vAlign w:val="center"/>
          </w:tcPr>
          <w:p w14:paraId="5465191E">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100</w:t>
            </w:r>
          </w:p>
        </w:tc>
        <w:tc>
          <w:tcPr>
            <w:tcW w:w="1045" w:type="dxa"/>
            <w:tcBorders>
              <w:top w:val="single" w:color="auto" w:sz="4" w:space="0"/>
              <w:left w:val="nil"/>
              <w:bottom w:val="single" w:color="auto" w:sz="4" w:space="0"/>
              <w:right w:val="single" w:color="auto" w:sz="4" w:space="0"/>
            </w:tcBorders>
          </w:tcPr>
          <w:p w14:paraId="1D2F86F8">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104%</w:t>
            </w:r>
          </w:p>
        </w:tc>
      </w:tr>
    </w:tbl>
    <w:p w14:paraId="6A051AE8">
      <w:pPr>
        <w:tabs>
          <w:tab w:val="left" w:pos="1526"/>
        </w:tabs>
        <w:spacing w:line="560" w:lineRule="exact"/>
        <w:ind w:firstLine="640" w:firstLineChars="200"/>
        <w:jc w:val="left"/>
        <w:outlineLvl w:val="0"/>
        <w:rPr>
          <w:rFonts w:hint="eastAsia" w:ascii="黑体" w:hAnsi="黑体" w:eastAsia="黑体" w:cs="黑体"/>
          <w:bCs/>
          <w:caps/>
          <w:kern w:val="0"/>
          <w:sz w:val="32"/>
          <w:szCs w:val="32"/>
          <w:lang w:bidi="bo-CN"/>
        </w:rPr>
      </w:pPr>
      <w:r>
        <w:rPr>
          <w:rFonts w:hint="eastAsia" w:ascii="黑体" w:hAnsi="黑体" w:eastAsia="黑体" w:cs="黑体"/>
          <w:bCs/>
          <w:caps/>
          <w:kern w:val="0"/>
          <w:sz w:val="32"/>
          <w:szCs w:val="32"/>
          <w:lang w:bidi="bo-CN"/>
        </w:rPr>
        <w:t>二、“十五五”时期发展面临的形势</w:t>
      </w:r>
      <w:bookmarkEnd w:id="28"/>
      <w:bookmarkEnd w:id="34"/>
      <w:bookmarkEnd w:id="35"/>
    </w:p>
    <w:p w14:paraId="56DDB9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“十五五”时期，人力资源和社会保障事业发展面临的环境复杂多变，机遇与挑战并存。</w:t>
      </w:r>
    </w:p>
    <w:p w14:paraId="2A7DBC0F">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从国家及北京市层面看，</w:t>
      </w:r>
      <w:r>
        <w:rPr>
          <w:rFonts w:hint="eastAsia" w:ascii="仿宋_GB2312" w:hAnsi="仿宋_GB2312" w:eastAsia="仿宋_GB2312" w:cs="仿宋_GB2312"/>
          <w:sz w:val="32"/>
          <w:szCs w:val="32"/>
          <w:highlight w:val="none"/>
        </w:rPr>
        <w:t>未来五年，我国经济长期向好的支撑条件和基本趋势没有变，为推进</w:t>
      </w:r>
      <w:r>
        <w:rPr>
          <w:rFonts w:hint="eastAsia" w:ascii="仿宋_GB2312" w:hAnsi="仿宋_GB2312" w:eastAsia="仿宋_GB2312" w:cs="仿宋_GB2312"/>
          <w:sz w:val="32"/>
          <w:szCs w:val="32"/>
          <w:highlight w:val="none"/>
          <w:lang w:eastAsia="zh-CN"/>
        </w:rPr>
        <w:t>人力资源和社会保障</w:t>
      </w:r>
      <w:r>
        <w:rPr>
          <w:rFonts w:hint="eastAsia" w:ascii="仿宋_GB2312" w:hAnsi="仿宋_GB2312" w:eastAsia="仿宋_GB2312" w:cs="仿宋_GB2312"/>
          <w:sz w:val="32"/>
          <w:szCs w:val="32"/>
          <w:highlight w:val="none"/>
        </w:rPr>
        <w:t>工作提供了坚实基础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党的二十届四中全会提出“实现人民对美好生活的向往是中国式现代化的出发点和落脚点”，将“人民生活品质不断提高”作为“十五五”时期经济社会发展七个主要目标之一</w:t>
      </w:r>
      <w:r>
        <w:rPr>
          <w:rFonts w:hint="eastAsia" w:ascii="仿宋_GB2312" w:hAnsi="仿宋_GB2312" w:eastAsia="仿宋_GB2312" w:cs="仿宋_GB2312"/>
          <w:sz w:val="32"/>
          <w:szCs w:val="32"/>
          <w:highlight w:val="none"/>
        </w:rPr>
        <w:t>。北京市教育科技人才资源优势突出,新质生产力发展步伐加快,经济社会健康发展，为大兴区提供了良好发展环境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京津冀协同发展进入第二个十年，现代化首都都市圈和京津冀世界级城市群建设全面提速，作为“一核两翼”桥梁纽带和战略腹地，大兴区未来将吸引更多优质企业和优质公共服务资源落地，城市品质、综合实力将显著提升，为大兴区人力资源和社会保障事业发展提供坚强支撑。</w:t>
      </w:r>
    </w:p>
    <w:p w14:paraId="79DDFEE1">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从大兴区层面看，</w:t>
      </w:r>
      <w:r>
        <w:rPr>
          <w:rFonts w:hint="eastAsia" w:ascii="仿宋_GB2312" w:hAnsi="仿宋_GB2312" w:eastAsia="仿宋_GB2312" w:cs="仿宋_GB2312"/>
          <w:sz w:val="32"/>
          <w:szCs w:val="32"/>
          <w:highlight w:val="none"/>
        </w:rPr>
        <w:t>大兴</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作为距离首都核心区最近、资源空间最为丰富、发展潜力巨大的平原新城，毗邻北京经济技术开发区，和</w:t>
      </w:r>
      <w:r>
        <w:rPr>
          <w:rFonts w:hint="eastAsia" w:ascii="仿宋_GB2312" w:hAnsi="仿宋_GB2312" w:eastAsia="仿宋_GB2312" w:cs="仿宋_GB2312"/>
          <w:sz w:val="32"/>
          <w:szCs w:val="32"/>
          <w:highlight w:val="none"/>
          <w:lang w:val="en-US" w:eastAsia="zh-CN"/>
        </w:rPr>
        <w:t>北京经济技术开发</w:t>
      </w:r>
      <w:r>
        <w:rPr>
          <w:rFonts w:hint="eastAsia" w:ascii="仿宋_GB2312" w:hAnsi="仿宋_GB2312" w:eastAsia="仿宋_GB2312" w:cs="仿宋_GB2312"/>
          <w:sz w:val="32"/>
          <w:szCs w:val="32"/>
          <w:highlight w:val="none"/>
        </w:rPr>
        <w:t>区在人社领域的协同合作更加紧密，《北京城市总体规划（2016年—2035年）》</w:t>
      </w:r>
      <w:r>
        <w:rPr>
          <w:rFonts w:hint="eastAsia" w:ascii="仿宋_GB2312" w:hAnsi="仿宋_GB2312" w:eastAsia="仿宋_GB2312" w:cs="仿宋_GB2312"/>
          <w:sz w:val="32"/>
          <w:szCs w:val="32"/>
          <w:highlight w:val="none"/>
          <w:lang w:val="en-US" w:eastAsia="zh-CN"/>
        </w:rPr>
        <w:t>明确了其</w:t>
      </w:r>
      <w:r>
        <w:rPr>
          <w:rFonts w:hint="eastAsia" w:ascii="仿宋_GB2312" w:hAnsi="仿宋_GB2312" w:eastAsia="仿宋_GB2312" w:cs="仿宋_GB2312"/>
          <w:sz w:val="32"/>
          <w:szCs w:val="32"/>
          <w:highlight w:val="none"/>
        </w:rPr>
        <w:t>“三区一门户”</w:t>
      </w:r>
      <w:r>
        <w:rPr>
          <w:rFonts w:hint="eastAsia" w:ascii="仿宋_GB2312" w:hAnsi="仿宋_GB2312" w:eastAsia="仿宋_GB2312" w:cs="仿宋_GB2312"/>
          <w:sz w:val="32"/>
          <w:szCs w:val="32"/>
          <w:highlight w:val="none"/>
          <w:lang w:val="en-US" w:eastAsia="zh-CN"/>
        </w:rPr>
        <w:t>功能</w:t>
      </w:r>
      <w:r>
        <w:rPr>
          <w:rFonts w:hint="eastAsia" w:ascii="仿宋_GB2312" w:hAnsi="仿宋_GB2312" w:eastAsia="仿宋_GB2312" w:cs="仿宋_GB2312"/>
          <w:sz w:val="32"/>
          <w:szCs w:val="32"/>
          <w:highlight w:val="none"/>
        </w:rPr>
        <w:t>定位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为全区人社发展奠定了坚实基础。此外，大兴区</w:t>
      </w:r>
      <w:r>
        <w:rPr>
          <w:rFonts w:hint="eastAsia" w:ascii="仿宋_GB2312" w:hAnsi="仿宋_GB2312" w:eastAsia="仿宋_GB2312" w:cs="仿宋_GB2312"/>
          <w:color w:val="auto"/>
          <w:kern w:val="2"/>
          <w:sz w:val="32"/>
          <w:szCs w:val="32"/>
          <w:highlight w:val="none"/>
        </w:rPr>
        <w:t>“6+5+3”</w:t>
      </w:r>
      <w:r>
        <w:rPr>
          <w:rStyle w:val="29"/>
          <w:rFonts w:hint="eastAsia" w:ascii="仿宋_GB2312" w:hAnsi="仿宋_GB2312" w:eastAsia="仿宋_GB2312" w:cs="仿宋_GB2312"/>
          <w:color w:val="auto"/>
          <w:kern w:val="2"/>
          <w:sz w:val="32"/>
          <w:szCs w:val="32"/>
          <w:highlight w:val="none"/>
        </w:rPr>
        <w:footnoteReference w:id="6"/>
      </w:r>
      <w:r>
        <w:rPr>
          <w:rFonts w:hint="eastAsia" w:ascii="仿宋_GB2312" w:hAnsi="仿宋_GB2312" w:eastAsia="仿宋_GB2312" w:cs="仿宋_GB2312"/>
          <w:sz w:val="32"/>
          <w:szCs w:val="32"/>
          <w:highlight w:val="none"/>
        </w:rPr>
        <w:t>产业发展布局逐步落地，营商环境、产业保障、人才引进等机制相对完善，拥有显著的人口、空间等增量发展资源，具备支持产业、人才等要素发展的承载能力，这是大兴</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发展的最强支持，也是大兴区</w:t>
      </w:r>
      <w:r>
        <w:rPr>
          <w:rFonts w:hint="eastAsia" w:ascii="仿宋_GB2312" w:hAnsi="仿宋_GB2312" w:eastAsia="仿宋_GB2312" w:cs="仿宋_GB2312"/>
          <w:sz w:val="32"/>
          <w:szCs w:val="32"/>
          <w:highlight w:val="none"/>
          <w:lang w:eastAsia="zh-CN"/>
        </w:rPr>
        <w:t>人力资源和社会保障</w:t>
      </w:r>
      <w:r>
        <w:rPr>
          <w:rFonts w:hint="eastAsia" w:ascii="仿宋_GB2312" w:hAnsi="仿宋_GB2312" w:eastAsia="仿宋_GB2312" w:cs="仿宋_GB2312"/>
          <w:sz w:val="32"/>
          <w:szCs w:val="32"/>
          <w:highlight w:val="none"/>
        </w:rPr>
        <w:t>事业发展的最大底气。</w:t>
      </w:r>
    </w:p>
    <w:p w14:paraId="1931BE3B">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同时，也要看到，</w:t>
      </w:r>
      <w:r>
        <w:rPr>
          <w:rFonts w:hint="eastAsia" w:ascii="仿宋_GB2312" w:hAnsi="仿宋_GB2312" w:eastAsia="仿宋_GB2312" w:cs="仿宋_GB2312"/>
          <w:sz w:val="32"/>
          <w:szCs w:val="32"/>
          <w:highlight w:val="none"/>
          <w:lang w:val="en-US" w:eastAsia="zh-CN"/>
        </w:rPr>
        <w:t>未来五年，</w:t>
      </w:r>
      <w:r>
        <w:rPr>
          <w:rFonts w:hint="eastAsia" w:ascii="仿宋_GB2312" w:hAnsi="仿宋_GB2312" w:eastAsia="仿宋_GB2312" w:cs="仿宋_GB2312"/>
          <w:sz w:val="32"/>
          <w:szCs w:val="32"/>
          <w:highlight w:val="none"/>
        </w:rPr>
        <w:t>大兴区人力资源和社会保障事业发展仍面临一系列挑战。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十五五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时期在基本实现社会主义现代化进程中，具有承前启后的重要地位，是夯实基础、全面发力的关键时期，随着高质量发展深入推进，人民群众对高品质生活的期盼将更加强烈。</w:t>
      </w:r>
      <w:r>
        <w:rPr>
          <w:rFonts w:hint="eastAsia" w:ascii="仿宋_GB2312" w:hAnsi="仿宋_GB2312" w:eastAsia="仿宋_GB2312" w:cs="仿宋_GB2312"/>
          <w:sz w:val="32"/>
          <w:szCs w:val="32"/>
          <w:highlight w:val="none"/>
        </w:rPr>
        <w:t>世界百年未有之大变局全方位深层次加速演进，</w:t>
      </w:r>
      <w:r>
        <w:rPr>
          <w:rFonts w:hint="eastAsia" w:ascii="仿宋_GB2312" w:hAnsi="仿宋_GB2312" w:eastAsia="仿宋_GB2312" w:cs="仿宋_GB2312"/>
          <w:sz w:val="32"/>
          <w:szCs w:val="32"/>
          <w:highlight w:val="none"/>
          <w:lang w:val="en-US" w:eastAsia="zh-CN"/>
        </w:rPr>
        <w:t>外部环境深刻复杂变化，</w:t>
      </w:r>
      <w:r>
        <w:rPr>
          <w:rFonts w:hint="eastAsia" w:ascii="仿宋_GB2312" w:hAnsi="仿宋_GB2312" w:eastAsia="仿宋_GB2312" w:cs="仿宋_GB2312"/>
          <w:sz w:val="32"/>
          <w:szCs w:val="32"/>
          <w:highlight w:val="none"/>
        </w:rPr>
        <w:t>国内经济增长面临总需求不足和新旧动能转换的双重压力，</w:t>
      </w:r>
      <w:r>
        <w:rPr>
          <w:rFonts w:hint="eastAsia" w:ascii="仿宋_GB2312" w:hAnsi="仿宋_GB2312" w:eastAsia="仿宋_GB2312" w:cs="仿宋_GB2312"/>
          <w:sz w:val="32"/>
          <w:szCs w:val="32"/>
          <w:highlight w:val="none"/>
          <w:lang w:val="en-US" w:eastAsia="zh-CN"/>
        </w:rPr>
        <w:t>对民生领域带来深刻影响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人工智能等新技术快速发展，既为民生事业赋能助力，也带来前所未有的风险挑战，新一轮科技发展加速产业变革，“机器换人”影响加速显现，对大兴区制造业发展带来冲击，人工智能发展触发就业市场结构性等深层次变革需要积极应对。</w:t>
      </w:r>
      <w:r>
        <w:rPr>
          <w:rFonts w:hint="eastAsia" w:ascii="仿宋_GB2312" w:hAnsi="仿宋_GB2312" w:eastAsia="仿宋_GB2312" w:cs="仿宋_GB2312"/>
          <w:sz w:val="32"/>
          <w:szCs w:val="32"/>
          <w:highlight w:val="none"/>
        </w:rPr>
        <w:t>大兴区仍存在经济体量小、底子薄的问题，临空经济、生物医药等产业成熟度还不够高，产业发展带动就业潜力有待进一步释放。同时，人口老龄化程度持续加深，群众社会保障需求不断提升，服务供给与人民群众期待还有一定差距。区域间优质人才竞争压力日趋加大，地区人才吸引力</w:t>
      </w:r>
      <w:r>
        <w:rPr>
          <w:rFonts w:hint="eastAsia" w:ascii="仿宋_GB2312" w:hAnsi="仿宋_GB2312" w:eastAsia="仿宋_GB2312" w:cs="仿宋_GB2312"/>
          <w:sz w:val="32"/>
          <w:szCs w:val="32"/>
          <w:highlight w:val="none"/>
          <w:lang w:eastAsia="zh-CN"/>
        </w:rPr>
        <w:t>亟须</w:t>
      </w:r>
      <w:r>
        <w:rPr>
          <w:rFonts w:hint="eastAsia" w:ascii="仿宋_GB2312" w:hAnsi="仿宋_GB2312" w:eastAsia="仿宋_GB2312" w:cs="仿宋_GB2312"/>
          <w:sz w:val="32"/>
          <w:szCs w:val="32"/>
          <w:highlight w:val="none"/>
        </w:rPr>
        <w:t>提升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专业技术人才和高技能人才队伍规模结构与区域高质量发展需求还有差距</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灵活就业成为新的就业趋势，</w:t>
      </w:r>
      <w:r>
        <w:rPr>
          <w:rFonts w:hint="eastAsia" w:ascii="仿宋_GB2312" w:hAnsi="仿宋_GB2312" w:eastAsia="仿宋_GB2312" w:cs="仿宋_GB2312"/>
          <w:sz w:val="32"/>
          <w:szCs w:val="32"/>
          <w:highlight w:val="none"/>
        </w:rPr>
        <w:t>就业规模不断扩大，</w:t>
      </w:r>
      <w:r>
        <w:rPr>
          <w:rFonts w:hint="eastAsia" w:ascii="仿宋_GB2312" w:hAnsi="仿宋_GB2312" w:eastAsia="仿宋_GB2312" w:cs="仿宋_GB2312"/>
          <w:sz w:val="32"/>
          <w:szCs w:val="32"/>
          <w:highlight w:val="none"/>
          <w:lang w:val="en-US" w:eastAsia="zh-CN"/>
        </w:rPr>
        <w:t>劳动力市场和用工方式发展变化对劳动关系高质量发展提出更高要求，现行劳动标准、社会保障等还不能很好适应</w:t>
      </w:r>
      <w:r>
        <w:rPr>
          <w:rFonts w:hint="eastAsia" w:ascii="仿宋_GB2312" w:hAnsi="仿宋_GB2312" w:eastAsia="仿宋_GB2312" w:cs="仿宋_GB2312"/>
          <w:sz w:val="32"/>
          <w:szCs w:val="32"/>
          <w:highlight w:val="none"/>
        </w:rPr>
        <w:t>。</w:t>
      </w:r>
    </w:p>
    <w:p w14:paraId="08615565">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综合分析研判，“十五五”时期，大兴区</w:t>
      </w:r>
      <w:r>
        <w:rPr>
          <w:rFonts w:hint="eastAsia" w:ascii="仿宋_GB2312" w:hAnsi="仿宋_GB2312" w:eastAsia="仿宋_GB2312" w:cs="仿宋_GB2312"/>
          <w:sz w:val="32"/>
          <w:szCs w:val="32"/>
          <w:highlight w:val="none"/>
          <w:lang w:eastAsia="zh-CN"/>
        </w:rPr>
        <w:t>人力资源和社会保障</w:t>
      </w:r>
      <w:r>
        <w:rPr>
          <w:rFonts w:hint="eastAsia" w:ascii="仿宋_GB2312" w:hAnsi="仿宋_GB2312" w:eastAsia="仿宋_GB2312" w:cs="仿宋_GB2312"/>
          <w:sz w:val="32"/>
          <w:szCs w:val="32"/>
          <w:highlight w:val="none"/>
        </w:rPr>
        <w:t>工作迎来全新发展阶段，要充分把握面临的各种机遇，积极应对各种风险挑战，迎难而上、锐意进取，在新的起点上实现更大发展。</w:t>
      </w:r>
    </w:p>
    <w:p w14:paraId="17020351">
      <w:pPr>
        <w:tabs>
          <w:tab w:val="left" w:pos="1526"/>
        </w:tabs>
        <w:spacing w:line="560" w:lineRule="exact"/>
        <w:ind w:firstLine="640" w:firstLineChars="200"/>
        <w:jc w:val="left"/>
        <w:outlineLvl w:val="0"/>
        <w:rPr>
          <w:rFonts w:hint="eastAsia" w:ascii="黑体" w:hAnsi="黑体" w:eastAsia="黑体" w:cs="黑体"/>
          <w:bCs/>
          <w:caps/>
          <w:kern w:val="0"/>
          <w:sz w:val="32"/>
          <w:szCs w:val="32"/>
          <w:highlight w:val="none"/>
          <w:lang w:bidi="bo-CN"/>
        </w:rPr>
      </w:pPr>
      <w:bookmarkStart w:id="36" w:name="_Toc10017"/>
      <w:bookmarkStart w:id="37" w:name="_Toc26829"/>
      <w:bookmarkStart w:id="38" w:name="_Toc23484"/>
      <w:r>
        <w:rPr>
          <w:rFonts w:hint="eastAsia" w:ascii="黑体" w:hAnsi="黑体" w:eastAsia="黑体" w:cs="黑体"/>
          <w:bCs/>
          <w:caps/>
          <w:kern w:val="0"/>
          <w:sz w:val="32"/>
          <w:szCs w:val="32"/>
          <w:highlight w:val="none"/>
          <w:lang w:bidi="bo-CN"/>
        </w:rPr>
        <w:t>三、“十五五”专项规划的指导思想和发展目标</w:t>
      </w:r>
      <w:bookmarkEnd w:id="36"/>
      <w:bookmarkEnd w:id="37"/>
      <w:bookmarkEnd w:id="38"/>
    </w:p>
    <w:p w14:paraId="1F746F55">
      <w:pPr>
        <w:numPr>
          <w:ilvl w:val="0"/>
          <w:numId w:val="2"/>
        </w:numPr>
        <w:tabs>
          <w:tab w:val="left" w:pos="1526"/>
        </w:tabs>
        <w:spacing w:line="560" w:lineRule="exact"/>
        <w:ind w:firstLine="640" w:firstLineChars="200"/>
        <w:jc w:val="left"/>
        <w:outlineLvl w:val="1"/>
        <w:rPr>
          <w:rFonts w:hint="eastAsia" w:ascii="楷体_GB2312" w:hAnsi="楷体_GB2312" w:eastAsia="楷体_GB2312" w:cs="楷体_GB2312"/>
          <w:bCs/>
          <w:caps/>
          <w:kern w:val="0"/>
          <w:sz w:val="32"/>
          <w:szCs w:val="32"/>
          <w:highlight w:val="none"/>
          <w:lang w:bidi="bo-CN"/>
        </w:rPr>
      </w:pPr>
      <w:bookmarkStart w:id="39" w:name="_Toc19517"/>
      <w:bookmarkStart w:id="40" w:name="_Toc7158"/>
      <w:bookmarkStart w:id="41" w:name="_Toc7743"/>
      <w:r>
        <w:rPr>
          <w:rFonts w:hint="eastAsia" w:ascii="楷体_GB2312" w:hAnsi="楷体_GB2312" w:eastAsia="楷体_GB2312" w:cs="楷体_GB2312"/>
          <w:bCs/>
          <w:caps/>
          <w:kern w:val="0"/>
          <w:sz w:val="32"/>
          <w:szCs w:val="32"/>
          <w:highlight w:val="none"/>
          <w:lang w:bidi="bo-CN"/>
        </w:rPr>
        <w:t>指导思想</w:t>
      </w:r>
      <w:bookmarkEnd w:id="39"/>
      <w:bookmarkEnd w:id="40"/>
      <w:bookmarkEnd w:id="41"/>
    </w:p>
    <w:p w14:paraId="0751F5E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以习近平新时代中国特色社会主义思想为指导，深入贯彻党的二十大和二十届历次全会精神，全面落实习近平总书记关于</w:t>
      </w:r>
      <w:r>
        <w:rPr>
          <w:rFonts w:hint="eastAsia" w:ascii="仿宋_GB2312" w:hAnsi="仿宋_GB2312" w:eastAsia="仿宋_GB2312" w:cs="仿宋_GB2312"/>
          <w:sz w:val="32"/>
          <w:szCs w:val="32"/>
          <w:highlight w:val="none"/>
          <w:lang w:val="en-US" w:eastAsia="zh-CN"/>
        </w:rPr>
        <w:t>保障和改善民生的</w:t>
      </w:r>
      <w:r>
        <w:rPr>
          <w:rFonts w:hint="eastAsia" w:ascii="仿宋_GB2312" w:hAnsi="仿宋_GB2312" w:eastAsia="仿宋_GB2312" w:cs="仿宋_GB2312"/>
          <w:sz w:val="32"/>
          <w:szCs w:val="32"/>
          <w:highlight w:val="none"/>
        </w:rPr>
        <w:t>重要论述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重要讲话和重要指示批示精神。立足新发展阶段，完整、准确、全面贯彻新发展理念，服务构建新发展格局，以推动人力资源和社会保障事业高质量发展为主题，以深化人力资源和社会保障事业改革创新为主线，以满足人民</w:t>
      </w:r>
      <w:r>
        <w:rPr>
          <w:rFonts w:hint="eastAsia" w:ascii="仿宋_GB2312" w:hAnsi="仿宋_GB2312" w:eastAsia="仿宋_GB2312" w:cs="仿宋_GB2312"/>
          <w:sz w:val="32"/>
          <w:szCs w:val="32"/>
          <w:highlight w:val="none"/>
          <w:lang w:val="en-US" w:eastAsia="zh-CN"/>
        </w:rPr>
        <w:t>群众</w:t>
      </w:r>
      <w:r>
        <w:rPr>
          <w:rFonts w:hint="eastAsia" w:ascii="仿宋_GB2312" w:hAnsi="仿宋_GB2312" w:eastAsia="仿宋_GB2312" w:cs="仿宋_GB2312"/>
          <w:sz w:val="32"/>
          <w:szCs w:val="32"/>
          <w:highlight w:val="none"/>
        </w:rPr>
        <w:t>日益增长的美好生活需要为根本目标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聚焦开放改革示范，重点建设协同发展示范区、繁荣开放国门新城。锚定“产业先行、项目为王、干成为王”，聚焦“6+5+3”产业发展布局和“中心主城+美丽乡村+特色小镇”城乡发展格局，</w:t>
      </w:r>
      <w:r>
        <w:rPr>
          <w:rFonts w:hint="eastAsia" w:ascii="仿宋_GB2312" w:hAnsi="仿宋_GB2312" w:eastAsia="仿宋_GB2312" w:cs="仿宋_GB2312"/>
          <w:sz w:val="32"/>
          <w:szCs w:val="32"/>
          <w:highlight w:val="none"/>
        </w:rPr>
        <w:t>加强人力资源开发利用，加快落实“人工智能＋”行动，推动人工智能产业和人社工作协同优化，</w:t>
      </w:r>
      <w:r>
        <w:rPr>
          <w:rFonts w:hint="eastAsia" w:ascii="仿宋_GB2312" w:hAnsi="仿宋_GB2312" w:eastAsia="仿宋_GB2312" w:cs="仿宋_GB2312"/>
          <w:sz w:val="32"/>
          <w:szCs w:val="32"/>
          <w:highlight w:val="none"/>
          <w:lang w:val="en-US" w:eastAsia="zh-CN"/>
        </w:rPr>
        <w:t>加快推进“人工智能+人社”应用发展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持续</w:t>
      </w:r>
      <w:r>
        <w:rPr>
          <w:rFonts w:hint="eastAsia" w:ascii="仿宋_GB2312" w:hAnsi="仿宋_GB2312" w:eastAsia="仿宋_GB2312" w:cs="仿宋_GB2312"/>
          <w:sz w:val="32"/>
          <w:szCs w:val="32"/>
          <w:highlight w:val="none"/>
        </w:rPr>
        <w:t>推</w:t>
      </w:r>
      <w:r>
        <w:rPr>
          <w:rFonts w:hint="eastAsia" w:ascii="仿宋_GB2312" w:hAnsi="仿宋_GB2312" w:eastAsia="仿宋_GB2312" w:cs="仿宋_GB2312"/>
          <w:sz w:val="32"/>
          <w:szCs w:val="32"/>
          <w:highlight w:val="none"/>
          <w:lang w:val="en-US" w:eastAsia="zh-CN"/>
        </w:rPr>
        <w:t>动</w:t>
      </w:r>
      <w:r>
        <w:rPr>
          <w:rFonts w:hint="eastAsia" w:ascii="仿宋_GB2312" w:hAnsi="仿宋_GB2312" w:eastAsia="仿宋_GB2312" w:cs="仿宋_GB2312"/>
          <w:sz w:val="32"/>
          <w:szCs w:val="32"/>
          <w:highlight w:val="none"/>
        </w:rPr>
        <w:t>社会保障体系完善、就业扩容提质、人才队伍建设、劳动关系和谐稳定，着力惠民生、促改革、防风险、保稳定，实现全区人力资源和社会保障事业高质量发展，为推动大兴区</w:t>
      </w:r>
      <w:r>
        <w:rPr>
          <w:rFonts w:hint="eastAsia" w:ascii="仿宋_GB2312" w:hAnsi="仿宋_GB2312" w:eastAsia="仿宋_GB2312" w:cs="仿宋_GB2312"/>
          <w:sz w:val="32"/>
          <w:szCs w:val="32"/>
          <w:highlight w:val="none"/>
          <w:lang w:val="en-US" w:eastAsia="zh-CN"/>
        </w:rPr>
        <w:t>经济社会</w:t>
      </w:r>
      <w:r>
        <w:rPr>
          <w:rFonts w:hint="eastAsia" w:ascii="仿宋_GB2312" w:hAnsi="仿宋_GB2312" w:eastAsia="仿宋_GB2312" w:cs="仿宋_GB2312"/>
          <w:sz w:val="32"/>
          <w:szCs w:val="32"/>
          <w:highlight w:val="none"/>
        </w:rPr>
        <w:t>发展提供坚强支撑。</w:t>
      </w:r>
    </w:p>
    <w:p w14:paraId="3F73B423">
      <w:pPr>
        <w:numPr>
          <w:ilvl w:val="0"/>
          <w:numId w:val="2"/>
        </w:numPr>
        <w:tabs>
          <w:tab w:val="left" w:pos="1526"/>
        </w:tabs>
        <w:spacing w:line="560" w:lineRule="exact"/>
        <w:ind w:firstLine="640" w:firstLineChars="200"/>
        <w:jc w:val="left"/>
        <w:outlineLvl w:val="1"/>
        <w:rPr>
          <w:rFonts w:hint="eastAsia" w:ascii="楷体_GB2312" w:hAnsi="楷体_GB2312" w:eastAsia="楷体_GB2312" w:cs="楷体_GB2312"/>
          <w:bCs/>
          <w:caps/>
          <w:kern w:val="0"/>
          <w:sz w:val="32"/>
          <w:szCs w:val="32"/>
          <w:highlight w:val="none"/>
          <w:lang w:bidi="bo-CN"/>
        </w:rPr>
      </w:pPr>
      <w:bookmarkStart w:id="42" w:name="_Toc11156"/>
      <w:bookmarkStart w:id="43" w:name="_Toc10566"/>
      <w:bookmarkStart w:id="44" w:name="_Toc21720"/>
      <w:r>
        <w:rPr>
          <w:rFonts w:hint="eastAsia" w:ascii="楷体_GB2312" w:hAnsi="楷体_GB2312" w:eastAsia="楷体_GB2312" w:cs="楷体_GB2312"/>
          <w:bCs/>
          <w:caps/>
          <w:kern w:val="0"/>
          <w:sz w:val="32"/>
          <w:szCs w:val="32"/>
          <w:highlight w:val="none"/>
          <w:lang w:bidi="bo-CN"/>
        </w:rPr>
        <w:t>发展目标</w:t>
      </w:r>
      <w:bookmarkEnd w:id="42"/>
      <w:bookmarkEnd w:id="43"/>
      <w:bookmarkEnd w:id="44"/>
    </w:p>
    <w:p w14:paraId="4E3DD01E">
      <w:pPr>
        <w:pStyle w:val="30"/>
        <w:spacing w:line="560" w:lineRule="exact"/>
        <w:ind w:firstLine="627" w:firstLineChars="200"/>
        <w:rPr>
          <w:rFonts w:hint="eastAsia" w:ascii="仿宋_GB2312" w:hAnsi="仿宋_GB2312" w:eastAsia="仿宋_GB2312" w:cs="仿宋_GB2312"/>
          <w:spacing w:val="-2"/>
          <w:sz w:val="32"/>
          <w:szCs w:val="32"/>
          <w:highlight w:val="none"/>
        </w:rPr>
      </w:pPr>
      <w:r>
        <w:rPr>
          <w:rFonts w:hint="eastAsia" w:ascii="仿宋_GB2312" w:hAnsi="仿宋_GB2312" w:eastAsia="仿宋_GB2312" w:cs="仿宋_GB2312"/>
          <w:b/>
          <w:bCs/>
          <w:spacing w:val="-4"/>
          <w:sz w:val="32"/>
          <w:szCs w:val="32"/>
          <w:highlight w:val="none"/>
        </w:rPr>
        <w:t>1.</w:t>
      </w:r>
      <w:r>
        <w:rPr>
          <w:rFonts w:hint="eastAsia" w:ascii="仿宋_GB2312" w:hAnsi="仿宋_GB2312" w:eastAsia="仿宋_GB2312" w:cs="仿宋_GB2312"/>
          <w:b/>
          <w:bCs/>
          <w:spacing w:val="-4"/>
          <w:sz w:val="32"/>
          <w:szCs w:val="32"/>
          <w:highlight w:val="none"/>
          <w:lang w:val="en-US" w:eastAsia="zh-CN"/>
        </w:rPr>
        <w:t>全力推动高质量充分就业</w:t>
      </w:r>
      <w:r>
        <w:rPr>
          <w:rFonts w:hint="eastAsia" w:ascii="仿宋_GB2312" w:hAnsi="仿宋_GB2312" w:eastAsia="仿宋_GB2312" w:cs="仿宋_GB2312"/>
          <w:b/>
          <w:bCs/>
          <w:spacing w:val="-4"/>
          <w:sz w:val="32"/>
          <w:szCs w:val="32"/>
          <w:highlight w:val="none"/>
        </w:rPr>
        <w:t>。</w:t>
      </w:r>
      <w:r>
        <w:rPr>
          <w:rFonts w:hint="eastAsia" w:ascii="仿宋_GB2312" w:hAnsi="仿宋_GB2312" w:eastAsia="仿宋_GB2312" w:cs="仿宋_GB2312"/>
          <w:color w:val="auto"/>
          <w:kern w:val="2"/>
          <w:sz w:val="32"/>
          <w:szCs w:val="32"/>
          <w:highlight w:val="none"/>
        </w:rPr>
        <w:t>持续实施更加积极的就业优先政策，围绕“6+5+3”产业发展布局</w:t>
      </w:r>
      <w:r>
        <w:rPr>
          <w:rFonts w:hint="eastAsia" w:ascii="仿宋_GB2312" w:hAnsi="宋体" w:eastAsia="仿宋_GB2312" w:cs="仿宋_GB2312"/>
          <w:sz w:val="32"/>
          <w:highlight w:val="none"/>
        </w:rPr>
        <w:t>和区位优势，加大就业岗位资源开发，持续优化就业公共服务，引入市场化人力资源服务机构参与就业服务，帮扶高校毕业生、登记失业人员等重点群体实现就业。</w:t>
      </w:r>
      <w:r>
        <w:rPr>
          <w:rFonts w:hint="eastAsia" w:ascii="仿宋_GB2312" w:hAnsi="仿宋_GB2312" w:eastAsia="仿宋_GB2312" w:cs="仿宋_GB2312"/>
          <w:spacing w:val="-4"/>
          <w:sz w:val="32"/>
          <w:szCs w:val="32"/>
          <w:highlight w:val="none"/>
        </w:rPr>
        <w:t>到2030年，</w:t>
      </w:r>
      <w:r>
        <w:rPr>
          <w:rFonts w:hint="eastAsia" w:ascii="仿宋_GB2312" w:hAnsi="仿宋_GB2312" w:eastAsia="仿宋_GB2312" w:cs="仿宋_GB2312"/>
          <w:spacing w:val="5"/>
          <w:sz w:val="32"/>
          <w:szCs w:val="32"/>
          <w:highlight w:val="none"/>
        </w:rPr>
        <w:t>城镇新增就业保持平稳增长，</w:t>
      </w:r>
      <w:r>
        <w:rPr>
          <w:rFonts w:hint="eastAsia" w:ascii="仿宋_GB2312" w:hAnsi="仿宋_GB2312" w:eastAsia="仿宋_GB2312" w:cs="仿宋_GB2312"/>
          <w:spacing w:val="-2"/>
          <w:sz w:val="32"/>
          <w:szCs w:val="32"/>
          <w:highlight w:val="none"/>
        </w:rPr>
        <w:t>重点产业吸纳就业人数持续增加，</w:t>
      </w:r>
      <w:r>
        <w:rPr>
          <w:rFonts w:hint="eastAsia" w:ascii="仿宋_GB2312" w:hAnsi="仿宋_GB2312" w:eastAsia="仿宋_GB2312" w:cs="仿宋_GB2312"/>
          <w:spacing w:val="-2"/>
          <w:sz w:val="32"/>
          <w:szCs w:val="32"/>
          <w:highlight w:val="none"/>
          <w:lang w:val="en-US" w:eastAsia="zh-CN"/>
        </w:rPr>
        <w:t>城镇调查失业率保持在较低水平，</w:t>
      </w:r>
      <w:r>
        <w:rPr>
          <w:rFonts w:hint="eastAsia" w:ascii="仿宋_GB2312" w:hAnsi="仿宋_GB2312" w:eastAsia="仿宋_GB2312" w:cs="仿宋_GB2312"/>
          <w:spacing w:val="5"/>
          <w:sz w:val="32"/>
          <w:szCs w:val="32"/>
          <w:highlight w:val="none"/>
        </w:rPr>
        <w:t>劳动者获得感、幸福感、安全感显著增</w:t>
      </w:r>
      <w:r>
        <w:rPr>
          <w:rFonts w:hint="eastAsia" w:ascii="仿宋_GB2312" w:hAnsi="仿宋_GB2312" w:eastAsia="仿宋_GB2312" w:cs="仿宋_GB2312"/>
          <w:spacing w:val="-2"/>
          <w:sz w:val="32"/>
          <w:szCs w:val="32"/>
          <w:highlight w:val="none"/>
        </w:rPr>
        <w:t>强，</w:t>
      </w:r>
      <w:r>
        <w:rPr>
          <w:rFonts w:hint="eastAsia" w:ascii="仿宋_GB2312" w:hAnsi="仿宋_GB2312" w:eastAsia="仿宋_GB2312" w:cs="仿宋_GB2312"/>
          <w:kern w:val="2"/>
          <w:sz w:val="32"/>
          <w:szCs w:val="32"/>
          <w:highlight w:val="none"/>
        </w:rPr>
        <w:t>逐步形成就业机会充分、就业环境公平、就业结构优化、人岗匹配高效、劳动关系和谐的就业新环境。</w:t>
      </w:r>
    </w:p>
    <w:p w14:paraId="77B0A66A">
      <w:pPr>
        <w:pStyle w:val="10"/>
        <w:spacing w:line="560" w:lineRule="exact"/>
        <w:ind w:firstLine="627" w:firstLineChars="200"/>
        <w:rPr>
          <w:rFonts w:hint="eastAsia" w:ascii="仿宋_GB2312" w:hAnsi="仿宋_GB2312" w:eastAsia="仿宋_GB2312" w:cs="仿宋_GB2312"/>
          <w:spacing w:val="5"/>
          <w:sz w:val="32"/>
          <w:szCs w:val="32"/>
        </w:rPr>
      </w:pPr>
      <w:r>
        <w:rPr>
          <w:rFonts w:hint="eastAsia" w:ascii="仿宋_GB2312" w:hAnsi="仿宋_GB2312" w:eastAsia="仿宋_GB2312" w:cs="仿宋_GB2312"/>
          <w:b/>
          <w:bCs/>
          <w:color w:val="000000"/>
          <w:spacing w:val="-4"/>
          <w:sz w:val="32"/>
          <w:szCs w:val="32"/>
          <w:highlight w:val="none"/>
        </w:rPr>
        <w:t>2.持续</w:t>
      </w:r>
      <w:r>
        <w:rPr>
          <w:rFonts w:hint="eastAsia" w:ascii="仿宋_GB2312" w:hAnsi="仿宋_GB2312" w:eastAsia="仿宋_GB2312" w:cs="仿宋_GB2312"/>
          <w:b/>
          <w:bCs/>
          <w:spacing w:val="5"/>
          <w:sz w:val="32"/>
          <w:szCs w:val="32"/>
          <w:highlight w:val="none"/>
        </w:rPr>
        <w:t>提高社会保障服务水平</w:t>
      </w:r>
      <w:r>
        <w:rPr>
          <w:rFonts w:hint="eastAsia" w:ascii="仿宋_GB2312" w:hAnsi="仿宋_GB2312" w:eastAsia="仿宋_GB2312" w:cs="仿宋_GB2312"/>
          <w:spacing w:val="5"/>
          <w:sz w:val="32"/>
          <w:szCs w:val="32"/>
          <w:highlight w:val="none"/>
        </w:rPr>
        <w:t>。强化</w:t>
      </w:r>
      <w:r>
        <w:rPr>
          <w:rFonts w:hint="eastAsia" w:ascii="仿宋_GB2312" w:hAnsi="仿宋_GB2312" w:eastAsia="仿宋_GB2312" w:cs="仿宋_GB2312"/>
          <w:kern w:val="2"/>
          <w:sz w:val="32"/>
          <w:szCs w:val="32"/>
          <w:highlight w:val="none"/>
        </w:rPr>
        <w:t>社保经办服务</w:t>
      </w:r>
      <w:r>
        <w:rPr>
          <w:rFonts w:hint="eastAsia" w:ascii="仿宋_GB2312" w:hAnsi="仿宋_GB2312" w:eastAsia="仿宋_GB2312" w:cs="仿宋_GB2312"/>
          <w:spacing w:val="5"/>
          <w:sz w:val="32"/>
          <w:szCs w:val="32"/>
          <w:highlight w:val="none"/>
        </w:rPr>
        <w:t>在社会保障体系中的主体作用，</w:t>
      </w:r>
      <w:r>
        <w:rPr>
          <w:rFonts w:hint="eastAsia" w:ascii="仿宋_GB2312" w:hAnsi="仿宋_GB2312" w:eastAsia="仿宋_GB2312" w:cs="仿宋_GB2312"/>
          <w:kern w:val="2"/>
          <w:sz w:val="32"/>
          <w:szCs w:val="32"/>
          <w:highlight w:val="none"/>
        </w:rPr>
        <w:t>严格落实</w:t>
      </w:r>
      <w:r>
        <w:rPr>
          <w:rFonts w:hint="eastAsia" w:ascii="仿宋_GB2312" w:hAnsi="仿宋_GB2312" w:eastAsia="仿宋_GB2312" w:cs="仿宋_GB2312"/>
          <w:spacing w:val="5"/>
          <w:sz w:val="32"/>
          <w:szCs w:val="32"/>
          <w:highlight w:val="none"/>
        </w:rPr>
        <w:t>灵活就业人员、农民工、新就业形态劳动者社会保险制度，完善转移接续机制。推进社保数字化管理体系、风险防控体系建设，</w:t>
      </w:r>
      <w:r>
        <w:rPr>
          <w:rFonts w:hint="eastAsia" w:ascii="仿宋_GB2312" w:hAnsi="仿宋_GB2312" w:eastAsia="仿宋_GB2312" w:cs="仿宋_GB2312"/>
          <w:kern w:val="2"/>
          <w:sz w:val="32"/>
          <w:szCs w:val="32"/>
          <w:highlight w:val="none"/>
        </w:rPr>
        <w:t>强化基</w:t>
      </w:r>
      <w:r>
        <w:rPr>
          <w:rFonts w:hint="eastAsia" w:ascii="仿宋_GB2312" w:hAnsi="仿宋_GB2312" w:eastAsia="仿宋_GB2312" w:cs="仿宋_GB2312"/>
          <w:kern w:val="2"/>
          <w:sz w:val="32"/>
          <w:szCs w:val="32"/>
        </w:rPr>
        <w:t>金全链条、全过程监管，</w:t>
      </w:r>
      <w:r>
        <w:rPr>
          <w:rFonts w:hint="eastAsia" w:ascii="仿宋_GB2312" w:hAnsi="仿宋_GB2312" w:eastAsia="仿宋_GB2312" w:cs="仿宋_GB2312"/>
          <w:spacing w:val="5"/>
          <w:sz w:val="32"/>
          <w:szCs w:val="32"/>
        </w:rPr>
        <w:t>提升治理能力和服务效率</w:t>
      </w:r>
      <w:r>
        <w:rPr>
          <w:rFonts w:hint="eastAsia" w:ascii="仿宋_GB2312" w:hAnsi="仿宋_GB2312" w:eastAsia="仿宋_GB2312" w:cs="仿宋_GB2312"/>
          <w:kern w:val="2"/>
          <w:sz w:val="32"/>
          <w:szCs w:val="32"/>
        </w:rPr>
        <w:t>。创新灵活多样的服务手段，</w:t>
      </w:r>
      <w:r>
        <w:rPr>
          <w:rFonts w:hint="eastAsia" w:ascii="仿宋_GB2312" w:hAnsi="仿宋_GB2312" w:eastAsia="仿宋_GB2312" w:cs="仿宋_GB2312"/>
          <w:spacing w:val="5"/>
          <w:sz w:val="32"/>
          <w:szCs w:val="32"/>
        </w:rPr>
        <w:t>通过社保惠企政策与服务，发挥稳岗就业、保障民生功能，为</w:t>
      </w:r>
      <w:r>
        <w:rPr>
          <w:rFonts w:hint="eastAsia" w:ascii="仿宋_GB2312" w:hAnsi="仿宋_GB2312" w:eastAsia="仿宋_GB2312" w:cs="仿宋_GB2312"/>
          <w:kern w:val="2"/>
          <w:sz w:val="32"/>
          <w:szCs w:val="32"/>
        </w:rPr>
        <w:t>大兴区</w:t>
      </w:r>
      <w:r>
        <w:rPr>
          <w:rFonts w:hint="eastAsia" w:ascii="仿宋_GB2312" w:hAnsi="仿宋_GB2312" w:eastAsia="仿宋_GB2312" w:cs="仿宋_GB2312"/>
          <w:spacing w:val="5"/>
          <w:sz w:val="32"/>
          <w:szCs w:val="32"/>
        </w:rPr>
        <w:t>经济高质量发展提供更加坚实的社会保障。</w:t>
      </w:r>
    </w:p>
    <w:p w14:paraId="63BEFC03">
      <w:pPr>
        <w:pStyle w:val="11"/>
        <w:spacing w:line="560" w:lineRule="exact"/>
        <w:ind w:firstLine="627" w:firstLineChars="200"/>
        <w:jc w:val="both"/>
        <w:rPr>
          <w:rFonts w:hint="eastAsia" w:ascii="仿宋_GB2312" w:hAnsi="仿宋_GB2312" w:eastAsia="仿宋_GB2312" w:cs="仿宋_GB2312"/>
          <w:spacing w:val="5"/>
          <w:kern w:val="0"/>
          <w:sz w:val="32"/>
          <w:szCs w:val="32"/>
        </w:rPr>
      </w:pPr>
      <w:r>
        <w:rPr>
          <w:rFonts w:hint="eastAsia" w:ascii="仿宋_GB2312" w:hAnsi="仿宋_GB2312" w:eastAsia="仿宋_GB2312" w:cs="仿宋_GB2312"/>
          <w:b/>
          <w:bCs/>
          <w:spacing w:val="-4"/>
          <w:kern w:val="0"/>
          <w:sz w:val="32"/>
          <w:szCs w:val="32"/>
        </w:rPr>
        <w:t>3.着力壮大高素质人才队伍。</w:t>
      </w:r>
      <w:r>
        <w:rPr>
          <w:rFonts w:hint="eastAsia" w:ascii="仿宋_GB2312" w:hAnsi="仿宋_GB2312" w:eastAsia="仿宋_GB2312" w:cs="仿宋_GB2312"/>
          <w:b w:val="0"/>
          <w:bCs w:val="0"/>
          <w:spacing w:val="-4"/>
          <w:kern w:val="0"/>
          <w:sz w:val="32"/>
          <w:szCs w:val="32"/>
        </w:rPr>
        <w:t>围绕高水平人才高地建设</w:t>
      </w:r>
      <w:r>
        <w:rPr>
          <w:rFonts w:hint="eastAsia" w:ascii="仿宋_GB2312" w:hAnsi="仿宋_GB2312" w:eastAsia="仿宋_GB2312" w:cs="仿宋_GB2312"/>
          <w:spacing w:val="-4"/>
          <w:kern w:val="0"/>
          <w:sz w:val="32"/>
          <w:szCs w:val="32"/>
        </w:rPr>
        <w:t>和区域经济社会高质量发展目标</w:t>
      </w:r>
      <w:r>
        <w:rPr>
          <w:rFonts w:hint="eastAsia" w:ascii="仿宋_GB2312" w:hAnsi="仿宋_GB2312" w:eastAsia="仿宋_GB2312" w:cs="仿宋_GB2312"/>
          <w:b w:val="0"/>
          <w:bCs w:val="0"/>
          <w:spacing w:val="-4"/>
          <w:kern w:val="0"/>
          <w:sz w:val="32"/>
          <w:szCs w:val="32"/>
        </w:rPr>
        <w:t>，</w:t>
      </w:r>
      <w:r>
        <w:rPr>
          <w:rFonts w:hint="eastAsia" w:ascii="仿宋_GB2312" w:hAnsi="仿宋_GB2312" w:eastAsia="仿宋_GB2312" w:cs="仿宋_GB2312"/>
          <w:spacing w:val="-4"/>
          <w:kern w:val="0"/>
          <w:sz w:val="32"/>
          <w:szCs w:val="32"/>
        </w:rPr>
        <w:t>强化人才引进、培育、评价、服务等全链条衔接，构建符合高质量发展要求、富有韧性的产才融合生态。</w:t>
      </w:r>
      <w:r>
        <w:rPr>
          <w:rFonts w:hint="eastAsia" w:ascii="仿宋_GB2312" w:hAnsi="仿宋_GB2312" w:eastAsia="仿宋_GB2312" w:cs="仿宋_GB2312"/>
          <w:spacing w:val="5"/>
          <w:kern w:val="0"/>
          <w:sz w:val="32"/>
          <w:szCs w:val="32"/>
        </w:rPr>
        <w:t>推进产业人才体制机制创新，坚持以“投资于人”作为人才工作新方向指引，高效整合资源要素</w:t>
      </w:r>
      <w:r>
        <w:rPr>
          <w:rFonts w:hint="eastAsia" w:ascii="仿宋_GB2312" w:hAnsi="仿宋_GB2312" w:eastAsia="仿宋_GB2312" w:cs="仿宋_GB2312"/>
          <w:spacing w:val="5"/>
          <w:kern w:val="0"/>
          <w:sz w:val="32"/>
          <w:szCs w:val="32"/>
          <w:highlight w:val="none"/>
        </w:rPr>
        <w:t>，全面强化专业技术</w:t>
      </w:r>
      <w:r>
        <w:rPr>
          <w:rFonts w:hint="eastAsia" w:ascii="仿宋_GB2312" w:hAnsi="仿宋_GB2312" w:eastAsia="仿宋_GB2312" w:cs="仿宋_GB2312"/>
          <w:spacing w:val="5"/>
          <w:kern w:val="0"/>
          <w:sz w:val="32"/>
          <w:szCs w:val="32"/>
          <w:highlight w:val="none"/>
          <w:lang w:eastAsia="zh-CN"/>
        </w:rPr>
        <w:t>人才</w:t>
      </w:r>
      <w:r>
        <w:rPr>
          <w:rFonts w:hint="eastAsia" w:ascii="仿宋_GB2312" w:hAnsi="仿宋_GB2312" w:eastAsia="仿宋_GB2312" w:cs="仿宋_GB2312"/>
          <w:spacing w:val="5"/>
          <w:kern w:val="0"/>
          <w:sz w:val="32"/>
          <w:szCs w:val="32"/>
          <w:highlight w:val="none"/>
        </w:rPr>
        <w:t>队伍建设。深化事业单位人事制度改革，完善招聘引进、评价聘用、人员交流等工作机制，激活人员队伍活力。到2030年末，推动全区专业技术人才稳步提升，设立博士后工作站总量和新建区级技能大师工作室数量持续增加。</w:t>
      </w:r>
    </w:p>
    <w:p w14:paraId="3150ED41">
      <w:pPr>
        <w:spacing w:line="560" w:lineRule="exact"/>
        <w:ind w:firstLine="627" w:firstLineChars="200"/>
        <w:rPr>
          <w:rFonts w:hint="eastAsia" w:ascii="仿宋_GB2312" w:hAnsi="仿宋_GB2312" w:eastAsia="仿宋_GB2312" w:cs="仿宋_GB2312"/>
          <w:spacing w:val="5"/>
          <w:kern w:val="0"/>
          <w:sz w:val="32"/>
          <w:szCs w:val="32"/>
          <w:lang w:val="en-US" w:eastAsia="zh-CN" w:bidi="ar-SA"/>
        </w:rPr>
      </w:pPr>
      <w:r>
        <w:rPr>
          <w:rFonts w:hint="eastAsia" w:ascii="仿宋_GB2312" w:hAnsi="仿宋_GB2312" w:eastAsia="仿宋_GB2312" w:cs="仿宋_GB2312"/>
          <w:b/>
          <w:bCs/>
          <w:color w:val="000000"/>
          <w:spacing w:val="-4"/>
          <w:sz w:val="32"/>
          <w:szCs w:val="32"/>
        </w:rPr>
        <w:t>4.加快</w:t>
      </w:r>
      <w:r>
        <w:rPr>
          <w:rFonts w:hint="eastAsia" w:ascii="仿宋_GB2312" w:hAnsi="仿宋_GB2312" w:eastAsia="仿宋_GB2312" w:cs="仿宋_GB2312"/>
          <w:b/>
          <w:bCs/>
          <w:color w:val="000000"/>
          <w:spacing w:val="-4"/>
          <w:kern w:val="0"/>
          <w:sz w:val="32"/>
          <w:szCs w:val="32"/>
        </w:rPr>
        <w:t>构建劳动关系治理新格局。</w:t>
      </w:r>
      <w:r>
        <w:rPr>
          <w:rFonts w:hint="eastAsia" w:ascii="仿宋_GB2312" w:hAnsi="仿宋_GB2312" w:eastAsia="仿宋_GB2312" w:cs="仿宋_GB2312"/>
          <w:spacing w:val="5"/>
          <w:kern w:val="0"/>
          <w:sz w:val="32"/>
          <w:szCs w:val="32"/>
        </w:rPr>
        <w:t>持续完善劳动争议多元协同治理机制，</w:t>
      </w:r>
      <w:r>
        <w:rPr>
          <w:rFonts w:hint="eastAsia" w:ascii="仿宋_GB2312" w:hAnsi="仿宋_GB2312" w:eastAsia="仿宋_GB2312" w:cs="仿宋_GB2312"/>
          <w:spacing w:val="5"/>
          <w:kern w:val="0"/>
          <w:sz w:val="32"/>
          <w:szCs w:val="32"/>
          <w:lang w:val="en-US" w:eastAsia="zh-CN" w:bidi="ar-SA"/>
        </w:rPr>
        <w:t>健全党委领导、政府负责、社会协同、企业和职工参与、法治保障的和谐劳动关系工作体制。进一步强化争议源头治理，提升劳动关系领域风险隐患防控和源头治理能力。持续深化治理欠薪工作，从严落实用工监管，及时化解欠薪矛盾，筑牢权益保障防线，重点做好新就业形态劳动者、妇女职业全周期以及超龄劳动者权益保障。强化执法队伍建设与劳动关系智慧监管，搭建一体化服务平台，实现工作数字化、智慧化，提升执法服务综合效能。</w:t>
      </w:r>
    </w:p>
    <w:p w14:paraId="57088189">
      <w:pPr>
        <w:tabs>
          <w:tab w:val="left" w:pos="1526"/>
        </w:tabs>
        <w:spacing w:line="560" w:lineRule="exact"/>
        <w:jc w:val="center"/>
        <w:rPr>
          <w:rFonts w:hint="eastAsia" w:ascii="黑体" w:hAnsi="黑体" w:eastAsia="黑体" w:cs="黑体"/>
          <w:b/>
          <w:bCs/>
          <w:caps/>
          <w:kern w:val="0"/>
          <w:sz w:val="32"/>
          <w:szCs w:val="32"/>
          <w:lang w:bidi="bo-CN"/>
        </w:rPr>
      </w:pPr>
      <w:r>
        <w:rPr>
          <w:rFonts w:hint="eastAsia" w:ascii="仿宋_GB2312" w:hAnsi="宋体" w:eastAsia="仿宋_GB2312" w:cs="黑体"/>
          <w:b/>
          <w:bCs/>
          <w:kern w:val="0"/>
          <w:sz w:val="32"/>
        </w:rPr>
        <w:t>表2 “十五五”时期人力资源和社会保障发展目标</w:t>
      </w:r>
    </w:p>
    <w:tbl>
      <w:tblPr>
        <w:tblStyle w:val="24"/>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23"/>
        <w:gridCol w:w="4762"/>
        <w:gridCol w:w="1754"/>
        <w:gridCol w:w="1543"/>
      </w:tblGrid>
      <w:tr w14:paraId="4FC7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35573876">
            <w:pPr>
              <w:suppressAutoHyphens/>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4762" w:type="dxa"/>
            <w:tcBorders>
              <w:top w:val="single" w:color="auto" w:sz="4" w:space="0"/>
              <w:left w:val="single" w:color="auto" w:sz="4" w:space="0"/>
              <w:bottom w:val="single" w:color="auto" w:sz="4" w:space="0"/>
              <w:right w:val="single" w:color="auto" w:sz="4" w:space="0"/>
            </w:tcBorders>
            <w:vAlign w:val="center"/>
          </w:tcPr>
          <w:p w14:paraId="58922576">
            <w:pPr>
              <w:suppressAutoHyphens/>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指标</w:t>
            </w:r>
          </w:p>
        </w:tc>
        <w:tc>
          <w:tcPr>
            <w:tcW w:w="1754" w:type="dxa"/>
            <w:tcBorders>
              <w:top w:val="single" w:color="auto" w:sz="4" w:space="0"/>
              <w:left w:val="single" w:color="auto" w:sz="4" w:space="0"/>
              <w:bottom w:val="single" w:color="auto" w:sz="4" w:space="0"/>
              <w:right w:val="single" w:color="auto" w:sz="4" w:space="0"/>
            </w:tcBorders>
            <w:vAlign w:val="center"/>
          </w:tcPr>
          <w:p w14:paraId="1BBEACAB">
            <w:pPr>
              <w:suppressAutoHyphens/>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2030年目标</w:t>
            </w:r>
          </w:p>
        </w:tc>
        <w:tc>
          <w:tcPr>
            <w:tcW w:w="1543" w:type="dxa"/>
            <w:tcBorders>
              <w:top w:val="single" w:color="auto" w:sz="4" w:space="0"/>
              <w:left w:val="single" w:color="auto" w:sz="4" w:space="0"/>
              <w:bottom w:val="single" w:color="auto" w:sz="4" w:space="0"/>
              <w:right w:val="single" w:color="auto" w:sz="4" w:space="0"/>
            </w:tcBorders>
            <w:vAlign w:val="center"/>
          </w:tcPr>
          <w:p w14:paraId="5E6094C0">
            <w:pPr>
              <w:suppressAutoHyphens/>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属性</w:t>
            </w:r>
          </w:p>
        </w:tc>
      </w:tr>
      <w:tr w14:paraId="2116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8"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43131DE4">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p>
        </w:tc>
        <w:tc>
          <w:tcPr>
            <w:tcW w:w="4762" w:type="dxa"/>
            <w:tcBorders>
              <w:top w:val="single" w:color="auto" w:sz="4" w:space="0"/>
              <w:left w:val="single" w:color="auto" w:sz="4" w:space="0"/>
              <w:bottom w:val="single" w:color="auto" w:sz="4" w:space="0"/>
              <w:right w:val="single" w:color="auto" w:sz="4" w:space="0"/>
            </w:tcBorders>
            <w:vAlign w:val="center"/>
          </w:tcPr>
          <w:p w14:paraId="2BD93FAE">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城镇调查失业率</w:t>
            </w:r>
            <w:r>
              <w:rPr>
                <w:rStyle w:val="29"/>
                <w:rFonts w:hint="eastAsia" w:ascii="仿宋_GB2312" w:hAnsi="仿宋_GB2312" w:eastAsia="仿宋_GB2312" w:cs="仿宋_GB2312"/>
                <w:bCs/>
                <w:sz w:val="28"/>
                <w:szCs w:val="28"/>
              </w:rPr>
              <w:footnoteReference w:id="7"/>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31A24D61">
            <w:pPr>
              <w:suppressAutoHyphens/>
              <w:spacing w:line="400" w:lineRule="exact"/>
              <w:jc w:val="center"/>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达到市级要求</w:t>
            </w:r>
          </w:p>
        </w:tc>
        <w:tc>
          <w:tcPr>
            <w:tcW w:w="1543" w:type="dxa"/>
            <w:tcBorders>
              <w:top w:val="single" w:color="auto" w:sz="4" w:space="0"/>
              <w:left w:val="single" w:color="auto" w:sz="4" w:space="0"/>
              <w:bottom w:val="single" w:color="auto" w:sz="4" w:space="0"/>
              <w:right w:val="single" w:color="auto" w:sz="4" w:space="0"/>
            </w:tcBorders>
            <w:vAlign w:val="center"/>
          </w:tcPr>
          <w:p w14:paraId="6490358D">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6E5D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8"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2E1DE491">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p>
        </w:tc>
        <w:tc>
          <w:tcPr>
            <w:tcW w:w="4762" w:type="dxa"/>
            <w:tcBorders>
              <w:top w:val="single" w:color="auto" w:sz="4" w:space="0"/>
              <w:left w:val="single" w:color="auto" w:sz="4" w:space="0"/>
              <w:bottom w:val="single" w:color="auto" w:sz="4" w:space="0"/>
              <w:right w:val="single" w:color="auto" w:sz="4" w:space="0"/>
            </w:tcBorders>
            <w:vAlign w:val="center"/>
          </w:tcPr>
          <w:p w14:paraId="5745D8D9">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居民人均可支配收入</w:t>
            </w:r>
            <w:r>
              <w:rPr>
                <w:rStyle w:val="29"/>
                <w:rFonts w:hint="eastAsia" w:ascii="仿宋_GB2312" w:hAnsi="仿宋_GB2312" w:eastAsia="仿宋_GB2312" w:cs="仿宋_GB2312"/>
                <w:bCs/>
                <w:sz w:val="28"/>
                <w:szCs w:val="28"/>
              </w:rPr>
              <w:footnoteReference w:id="8"/>
            </w:r>
            <w:r>
              <w:rPr>
                <w:rFonts w:hint="eastAsia" w:ascii="仿宋_GB2312" w:hAnsi="仿宋_GB2312" w:eastAsia="仿宋_GB2312" w:cs="仿宋_GB2312"/>
                <w:bCs/>
                <w:sz w:val="28"/>
                <w:szCs w:val="28"/>
              </w:rPr>
              <w:t>年均增速（%）</w:t>
            </w:r>
          </w:p>
        </w:tc>
        <w:tc>
          <w:tcPr>
            <w:tcW w:w="1754" w:type="dxa"/>
            <w:tcBorders>
              <w:top w:val="single" w:color="auto" w:sz="4" w:space="0"/>
              <w:left w:val="single" w:color="auto" w:sz="4" w:space="0"/>
              <w:bottom w:val="single" w:color="auto" w:sz="4" w:space="0"/>
              <w:right w:val="single" w:color="auto" w:sz="4" w:space="0"/>
            </w:tcBorders>
            <w:vAlign w:val="center"/>
          </w:tcPr>
          <w:p w14:paraId="40E64757">
            <w:pPr>
              <w:suppressAutoHyphens/>
              <w:spacing w:line="54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与经济增长</w:t>
            </w:r>
          </w:p>
          <w:p w14:paraId="510FA138">
            <w:pPr>
              <w:suppressAutoHyphens/>
              <w:spacing w:line="54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同步</w:t>
            </w:r>
          </w:p>
        </w:tc>
        <w:tc>
          <w:tcPr>
            <w:tcW w:w="1543" w:type="dxa"/>
            <w:tcBorders>
              <w:top w:val="single" w:color="auto" w:sz="4" w:space="0"/>
              <w:left w:val="single" w:color="auto" w:sz="4" w:space="0"/>
              <w:bottom w:val="single" w:color="auto" w:sz="4" w:space="0"/>
              <w:right w:val="single" w:color="auto" w:sz="4" w:space="0"/>
            </w:tcBorders>
            <w:vAlign w:val="center"/>
          </w:tcPr>
          <w:p w14:paraId="1F23F68F">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476E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1" w:hRule="atLeast"/>
          <w:jc w:val="center"/>
        </w:trPr>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14:paraId="62DDA569">
            <w:pPr>
              <w:suppressAutoHyphens/>
              <w:spacing w:line="56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3</w:t>
            </w:r>
          </w:p>
        </w:tc>
        <w:tc>
          <w:tcPr>
            <w:tcW w:w="4762" w:type="dxa"/>
            <w:tcBorders>
              <w:top w:val="single" w:color="auto" w:sz="4" w:space="0"/>
              <w:left w:val="single" w:color="auto" w:sz="4" w:space="0"/>
              <w:bottom w:val="single" w:color="auto" w:sz="4" w:space="0"/>
              <w:right w:val="single" w:color="auto" w:sz="4" w:space="0"/>
            </w:tcBorders>
            <w:shd w:val="clear" w:color="auto" w:fill="auto"/>
            <w:vAlign w:val="center"/>
          </w:tcPr>
          <w:p w14:paraId="35C63232">
            <w:pPr>
              <w:suppressAutoHyphens/>
              <w:spacing w:line="56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城镇登记失业率</w:t>
            </w:r>
            <w:r>
              <w:rPr>
                <w:rFonts w:hint="eastAsia" w:ascii="仿宋_GB2312" w:hAnsi="仿宋_GB2312" w:eastAsia="仿宋_GB2312" w:cs="仿宋_GB2312"/>
                <w:bCs/>
                <w:sz w:val="28"/>
                <w:szCs w:val="28"/>
                <w:highlight w:val="none"/>
              </w:rPr>
              <w:t>（</w:t>
            </w:r>
            <w:r>
              <w:rPr>
                <w:rFonts w:hint="eastAsia" w:ascii="仿宋_GB2312" w:hAnsi="仿宋_GB2312" w:eastAsia="仿宋_GB2312" w:cs="仿宋_GB2312"/>
                <w:bCs/>
                <w:sz w:val="28"/>
                <w:szCs w:val="28"/>
                <w:highlight w:val="none"/>
                <w:lang w:val="en-US" w:eastAsia="zh-CN"/>
              </w:rPr>
              <w:t>%</w:t>
            </w:r>
            <w:r>
              <w:rPr>
                <w:rFonts w:hint="eastAsia" w:ascii="仿宋_GB2312" w:hAnsi="仿宋_GB2312" w:eastAsia="仿宋_GB2312" w:cs="仿宋_GB2312"/>
                <w:bCs/>
                <w:sz w:val="28"/>
                <w:szCs w:val="28"/>
                <w:highlight w:val="none"/>
              </w:rPr>
              <w:t>）</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339377EA">
            <w:pPr>
              <w:suppressAutoHyphens/>
              <w:spacing w:line="560" w:lineRule="exact"/>
              <w:jc w:val="center"/>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lang w:val="en-US" w:eastAsia="zh-CN"/>
              </w:rPr>
              <w:t>4.5</w:t>
            </w:r>
          </w:p>
        </w:tc>
        <w:tc>
          <w:tcPr>
            <w:tcW w:w="1543" w:type="dxa"/>
            <w:tcBorders>
              <w:top w:val="single" w:color="auto" w:sz="4" w:space="0"/>
              <w:left w:val="single" w:color="auto" w:sz="4" w:space="0"/>
              <w:bottom w:val="single" w:color="auto" w:sz="4" w:space="0"/>
              <w:right w:val="single" w:color="auto" w:sz="4" w:space="0"/>
            </w:tcBorders>
            <w:shd w:val="clear" w:color="auto" w:fill="auto"/>
            <w:vAlign w:val="center"/>
          </w:tcPr>
          <w:p w14:paraId="753ED131">
            <w:pPr>
              <w:suppressAutoHyphens/>
              <w:spacing w:line="56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预期性</w:t>
            </w:r>
          </w:p>
        </w:tc>
      </w:tr>
      <w:tr w14:paraId="167E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2"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011A0EE4">
            <w:pPr>
              <w:suppressAutoHyphens/>
              <w:spacing w:line="56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w:t>
            </w:r>
          </w:p>
        </w:tc>
        <w:tc>
          <w:tcPr>
            <w:tcW w:w="4762" w:type="dxa"/>
            <w:tcBorders>
              <w:top w:val="single" w:color="auto" w:sz="4" w:space="0"/>
              <w:left w:val="single" w:color="auto" w:sz="4" w:space="0"/>
              <w:bottom w:val="single" w:color="auto" w:sz="4" w:space="0"/>
              <w:right w:val="single" w:color="auto" w:sz="4" w:space="0"/>
            </w:tcBorders>
            <w:shd w:val="clear" w:color="auto" w:fill="auto"/>
            <w:vAlign w:val="center"/>
          </w:tcPr>
          <w:p w14:paraId="407A1F4F">
            <w:pPr>
              <w:suppressAutoHyphens/>
              <w:spacing w:line="560" w:lineRule="exact"/>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sz w:val="28"/>
                <w:szCs w:val="28"/>
              </w:rPr>
              <w:t>城乡劳动力就业（万人）</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0ED831D8">
            <w:pPr>
              <w:suppressAutoHyphens/>
              <w:spacing w:line="560" w:lineRule="exact"/>
              <w:jc w:val="center"/>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sz w:val="28"/>
                <w:szCs w:val="28"/>
                <w:highlight w:val="none"/>
              </w:rPr>
              <w:t>≥6</w:t>
            </w:r>
          </w:p>
        </w:tc>
        <w:tc>
          <w:tcPr>
            <w:tcW w:w="1543" w:type="dxa"/>
            <w:tcBorders>
              <w:top w:val="single" w:color="auto" w:sz="4" w:space="0"/>
              <w:left w:val="single" w:color="auto" w:sz="4" w:space="0"/>
              <w:bottom w:val="single" w:color="auto" w:sz="4" w:space="0"/>
              <w:right w:val="single" w:color="auto" w:sz="4" w:space="0"/>
            </w:tcBorders>
            <w:shd w:val="clear" w:color="auto" w:fill="auto"/>
            <w:vAlign w:val="center"/>
          </w:tcPr>
          <w:p w14:paraId="5ADB8433">
            <w:pPr>
              <w:suppressAutoHyphens/>
              <w:spacing w:line="560" w:lineRule="exact"/>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预期性</w:t>
            </w:r>
          </w:p>
        </w:tc>
      </w:tr>
      <w:tr w14:paraId="131C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2"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3DB8BBE3">
            <w:pPr>
              <w:suppressAutoHyphens/>
              <w:spacing w:line="56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5</w:t>
            </w:r>
          </w:p>
        </w:tc>
        <w:tc>
          <w:tcPr>
            <w:tcW w:w="4762" w:type="dxa"/>
            <w:tcBorders>
              <w:top w:val="single" w:color="auto" w:sz="4" w:space="0"/>
              <w:left w:val="single" w:color="auto" w:sz="4" w:space="0"/>
              <w:bottom w:val="single" w:color="auto" w:sz="4" w:space="0"/>
              <w:right w:val="single" w:color="auto" w:sz="4" w:space="0"/>
            </w:tcBorders>
            <w:shd w:val="clear" w:color="auto" w:fill="auto"/>
            <w:vAlign w:val="center"/>
          </w:tcPr>
          <w:p w14:paraId="25920FDE">
            <w:pPr>
              <w:suppressAutoHyphens/>
              <w:spacing w:line="560" w:lineRule="exact"/>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sz w:val="28"/>
                <w:szCs w:val="28"/>
                <w:highlight w:val="none"/>
                <w:lang w:eastAsia="zh-CN"/>
              </w:rPr>
              <w:t>养老保险待遇资格认证率（</w:t>
            </w:r>
            <w:r>
              <w:rPr>
                <w:rFonts w:hint="eastAsia" w:ascii="仿宋_GB2312" w:hAnsi="仿宋_GB2312" w:eastAsia="仿宋_GB2312" w:cs="仿宋_GB2312"/>
                <w:bCs/>
                <w:sz w:val="28"/>
                <w:szCs w:val="28"/>
                <w:highlight w:val="none"/>
                <w:lang w:val="en-US" w:eastAsia="zh-CN"/>
              </w:rPr>
              <w:t>%</w:t>
            </w:r>
            <w:r>
              <w:rPr>
                <w:rFonts w:hint="eastAsia" w:ascii="仿宋_GB2312" w:hAnsi="仿宋_GB2312" w:eastAsia="仿宋_GB2312" w:cs="仿宋_GB2312"/>
                <w:bCs/>
                <w:sz w:val="28"/>
                <w:szCs w:val="28"/>
                <w:highlight w:val="none"/>
                <w:lang w:eastAsia="zh-CN"/>
              </w:rPr>
              <w:t>）</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66A7C596">
            <w:pPr>
              <w:suppressAutoHyphens/>
              <w:spacing w:line="560" w:lineRule="exact"/>
              <w:jc w:val="center"/>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lang w:val="en-US" w:eastAsia="zh-CN"/>
              </w:rPr>
              <w:t>95</w:t>
            </w:r>
          </w:p>
        </w:tc>
        <w:tc>
          <w:tcPr>
            <w:tcW w:w="1543" w:type="dxa"/>
            <w:tcBorders>
              <w:top w:val="single" w:color="auto" w:sz="4" w:space="0"/>
              <w:left w:val="single" w:color="auto" w:sz="4" w:space="0"/>
              <w:bottom w:val="single" w:color="auto" w:sz="4" w:space="0"/>
              <w:right w:val="single" w:color="auto" w:sz="4" w:space="0"/>
            </w:tcBorders>
            <w:shd w:val="clear" w:color="auto" w:fill="auto"/>
            <w:vAlign w:val="center"/>
          </w:tcPr>
          <w:p w14:paraId="7CCF5816">
            <w:pPr>
              <w:suppressAutoHyphens/>
              <w:spacing w:line="560" w:lineRule="exact"/>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eastAsia="zh-CN"/>
              </w:rPr>
              <w:t>约束</w:t>
            </w:r>
            <w:r>
              <w:rPr>
                <w:rFonts w:hint="eastAsia" w:ascii="仿宋_GB2312" w:hAnsi="仿宋_GB2312" w:eastAsia="仿宋_GB2312" w:cs="仿宋_GB2312"/>
                <w:bCs/>
                <w:sz w:val="28"/>
                <w:szCs w:val="28"/>
              </w:rPr>
              <w:t>性</w:t>
            </w:r>
          </w:p>
        </w:tc>
      </w:tr>
      <w:tr w14:paraId="3396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2"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3296F083">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6</w:t>
            </w:r>
          </w:p>
        </w:tc>
        <w:tc>
          <w:tcPr>
            <w:tcW w:w="4762" w:type="dxa"/>
            <w:tcBorders>
              <w:top w:val="single" w:color="auto" w:sz="4" w:space="0"/>
              <w:left w:val="single" w:color="auto" w:sz="4" w:space="0"/>
              <w:bottom w:val="single" w:color="auto" w:sz="4" w:space="0"/>
              <w:right w:val="single" w:color="auto" w:sz="4" w:space="0"/>
            </w:tcBorders>
            <w:shd w:val="clear" w:color="auto" w:fill="auto"/>
            <w:vAlign w:val="center"/>
          </w:tcPr>
          <w:p w14:paraId="239B8CED">
            <w:pPr>
              <w:suppressAutoHyphens/>
              <w:spacing w:line="560" w:lineRule="exact"/>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sz w:val="28"/>
                <w:szCs w:val="28"/>
                <w:highlight w:val="none"/>
                <w:lang w:eastAsia="zh-CN"/>
              </w:rPr>
              <w:t>社会保险业务网上可办率（</w:t>
            </w:r>
            <w:r>
              <w:rPr>
                <w:rFonts w:hint="eastAsia" w:ascii="仿宋_GB2312" w:hAnsi="仿宋_GB2312" w:eastAsia="仿宋_GB2312" w:cs="仿宋_GB2312"/>
                <w:bCs/>
                <w:sz w:val="28"/>
                <w:szCs w:val="28"/>
                <w:highlight w:val="none"/>
                <w:lang w:val="en-US" w:eastAsia="zh-CN"/>
              </w:rPr>
              <w:t>%</w:t>
            </w:r>
            <w:r>
              <w:rPr>
                <w:rFonts w:hint="eastAsia" w:ascii="仿宋_GB2312" w:hAnsi="仿宋_GB2312" w:eastAsia="仿宋_GB2312" w:cs="仿宋_GB2312"/>
                <w:bCs/>
                <w:sz w:val="28"/>
                <w:szCs w:val="28"/>
                <w:highlight w:val="none"/>
                <w:lang w:eastAsia="zh-CN"/>
              </w:rPr>
              <w:t>）</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0F3DA957">
            <w:pPr>
              <w:suppressAutoHyphens/>
              <w:spacing w:line="560" w:lineRule="exact"/>
              <w:jc w:val="center"/>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lang w:val="en-US" w:eastAsia="zh-CN"/>
              </w:rPr>
              <w:t>90</w:t>
            </w:r>
          </w:p>
        </w:tc>
        <w:tc>
          <w:tcPr>
            <w:tcW w:w="1543" w:type="dxa"/>
            <w:tcBorders>
              <w:top w:val="single" w:color="auto" w:sz="4" w:space="0"/>
              <w:left w:val="single" w:color="auto" w:sz="4" w:space="0"/>
              <w:bottom w:val="single" w:color="auto" w:sz="4" w:space="0"/>
              <w:right w:val="single" w:color="auto" w:sz="4" w:space="0"/>
            </w:tcBorders>
            <w:shd w:val="clear" w:color="auto" w:fill="auto"/>
            <w:vAlign w:val="center"/>
          </w:tcPr>
          <w:p w14:paraId="4A29541C">
            <w:pPr>
              <w:suppressAutoHyphens/>
              <w:spacing w:line="560" w:lineRule="exact"/>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预期性</w:t>
            </w:r>
          </w:p>
        </w:tc>
      </w:tr>
      <w:tr w14:paraId="0C39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6"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5AA9FA29">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w:t>
            </w:r>
          </w:p>
        </w:tc>
        <w:tc>
          <w:tcPr>
            <w:tcW w:w="4762" w:type="dxa"/>
            <w:tcBorders>
              <w:top w:val="single" w:color="auto" w:sz="4" w:space="0"/>
              <w:left w:val="single" w:color="auto" w:sz="4" w:space="0"/>
              <w:bottom w:val="single" w:color="auto" w:sz="4" w:space="0"/>
              <w:right w:val="single" w:color="auto" w:sz="4" w:space="0"/>
            </w:tcBorders>
            <w:vAlign w:val="center"/>
          </w:tcPr>
          <w:p w14:paraId="2CD43414">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highlight w:val="none"/>
                <w:lang w:eastAsia="zh-CN"/>
              </w:rPr>
              <w:t>申领电子社会保障卡人口覆盖率（</w:t>
            </w:r>
            <w:r>
              <w:rPr>
                <w:rFonts w:hint="eastAsia" w:ascii="仿宋_GB2312" w:hAnsi="仿宋_GB2312" w:eastAsia="仿宋_GB2312" w:cs="仿宋_GB2312"/>
                <w:bCs/>
                <w:sz w:val="28"/>
                <w:szCs w:val="28"/>
                <w:highlight w:val="none"/>
                <w:lang w:val="en-US" w:eastAsia="zh-CN"/>
              </w:rPr>
              <w:t>%</w:t>
            </w:r>
            <w:r>
              <w:rPr>
                <w:rFonts w:hint="eastAsia" w:ascii="仿宋_GB2312" w:hAnsi="仿宋_GB2312" w:eastAsia="仿宋_GB2312" w:cs="仿宋_GB2312"/>
                <w:bCs/>
                <w:sz w:val="28"/>
                <w:szCs w:val="28"/>
                <w:highlight w:val="none"/>
                <w:lang w:eastAsia="zh-CN"/>
              </w:rPr>
              <w:t>）</w:t>
            </w:r>
          </w:p>
        </w:tc>
        <w:tc>
          <w:tcPr>
            <w:tcW w:w="1754" w:type="dxa"/>
            <w:tcBorders>
              <w:top w:val="single" w:color="auto" w:sz="4" w:space="0"/>
              <w:left w:val="single" w:color="auto" w:sz="4" w:space="0"/>
              <w:bottom w:val="single" w:color="auto" w:sz="4" w:space="0"/>
              <w:right w:val="single" w:color="auto" w:sz="4" w:space="0"/>
            </w:tcBorders>
            <w:vAlign w:val="center"/>
          </w:tcPr>
          <w:p w14:paraId="485B66A9">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lang w:val="en-US" w:eastAsia="zh-CN"/>
              </w:rPr>
              <w:t>90</w:t>
            </w:r>
          </w:p>
        </w:tc>
        <w:tc>
          <w:tcPr>
            <w:tcW w:w="1543" w:type="dxa"/>
            <w:tcBorders>
              <w:top w:val="single" w:color="auto" w:sz="4" w:space="0"/>
              <w:left w:val="single" w:color="auto" w:sz="4" w:space="0"/>
              <w:bottom w:val="single" w:color="auto" w:sz="4" w:space="0"/>
              <w:right w:val="single" w:color="auto" w:sz="4" w:space="0"/>
            </w:tcBorders>
            <w:vAlign w:val="center"/>
          </w:tcPr>
          <w:p w14:paraId="78057239">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5809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6"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3F07755E">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8</w:t>
            </w:r>
          </w:p>
        </w:tc>
        <w:tc>
          <w:tcPr>
            <w:tcW w:w="4762" w:type="dxa"/>
            <w:tcBorders>
              <w:top w:val="single" w:color="auto" w:sz="4" w:space="0"/>
              <w:left w:val="single" w:color="auto" w:sz="4" w:space="0"/>
              <w:bottom w:val="single" w:color="auto" w:sz="4" w:space="0"/>
              <w:right w:val="single" w:color="auto" w:sz="4" w:space="0"/>
            </w:tcBorders>
            <w:vAlign w:val="center"/>
          </w:tcPr>
          <w:p w14:paraId="67420992">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highlight w:val="none"/>
                <w:lang w:eastAsia="zh-CN"/>
              </w:rPr>
              <w:t>社会保障待遇水平</w:t>
            </w:r>
          </w:p>
        </w:tc>
        <w:tc>
          <w:tcPr>
            <w:tcW w:w="1754" w:type="dxa"/>
            <w:tcBorders>
              <w:top w:val="single" w:color="auto" w:sz="4" w:space="0"/>
              <w:left w:val="single" w:color="auto" w:sz="4" w:space="0"/>
              <w:bottom w:val="single" w:color="auto" w:sz="4" w:space="0"/>
              <w:right w:val="single" w:color="auto" w:sz="4" w:space="0"/>
            </w:tcBorders>
            <w:vAlign w:val="center"/>
          </w:tcPr>
          <w:p w14:paraId="0BE5FCE0">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highlight w:val="none"/>
                <w:lang w:eastAsia="zh-CN"/>
              </w:rPr>
              <w:t>参考经济社会发展水平调整</w:t>
            </w:r>
          </w:p>
        </w:tc>
        <w:tc>
          <w:tcPr>
            <w:tcW w:w="1543" w:type="dxa"/>
            <w:tcBorders>
              <w:top w:val="single" w:color="auto" w:sz="4" w:space="0"/>
              <w:left w:val="single" w:color="auto" w:sz="4" w:space="0"/>
              <w:bottom w:val="single" w:color="auto" w:sz="4" w:space="0"/>
              <w:right w:val="single" w:color="auto" w:sz="4" w:space="0"/>
            </w:tcBorders>
            <w:vAlign w:val="center"/>
          </w:tcPr>
          <w:p w14:paraId="28783D91">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58F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5"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7CD3ADDB">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9</w:t>
            </w:r>
          </w:p>
        </w:tc>
        <w:tc>
          <w:tcPr>
            <w:tcW w:w="4762" w:type="dxa"/>
            <w:tcBorders>
              <w:top w:val="single" w:color="auto" w:sz="4" w:space="0"/>
              <w:left w:val="single" w:color="auto" w:sz="4" w:space="0"/>
              <w:bottom w:val="single" w:color="auto" w:sz="4" w:space="0"/>
              <w:right w:val="single" w:color="auto" w:sz="4" w:space="0"/>
            </w:tcBorders>
            <w:vAlign w:val="center"/>
          </w:tcPr>
          <w:p w14:paraId="3249A9BD">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专业技术人才总量（万人）</w:t>
            </w:r>
          </w:p>
        </w:tc>
        <w:tc>
          <w:tcPr>
            <w:tcW w:w="1754" w:type="dxa"/>
            <w:tcBorders>
              <w:top w:val="single" w:color="auto" w:sz="4" w:space="0"/>
              <w:left w:val="single" w:color="auto" w:sz="4" w:space="0"/>
              <w:bottom w:val="single" w:color="auto" w:sz="4" w:space="0"/>
              <w:right w:val="single" w:color="auto" w:sz="4" w:space="0"/>
            </w:tcBorders>
            <w:vAlign w:val="center"/>
          </w:tcPr>
          <w:p w14:paraId="0DA00CAE">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≥11.4</w:t>
            </w:r>
          </w:p>
        </w:tc>
        <w:tc>
          <w:tcPr>
            <w:tcW w:w="1543" w:type="dxa"/>
            <w:tcBorders>
              <w:top w:val="single" w:color="auto" w:sz="4" w:space="0"/>
              <w:left w:val="single" w:color="auto" w:sz="4" w:space="0"/>
              <w:bottom w:val="single" w:color="auto" w:sz="4" w:space="0"/>
              <w:right w:val="single" w:color="auto" w:sz="4" w:space="0"/>
            </w:tcBorders>
            <w:vAlign w:val="center"/>
          </w:tcPr>
          <w:p w14:paraId="16D06027">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6CB7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5"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1711C11F">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10</w:t>
            </w:r>
          </w:p>
        </w:tc>
        <w:tc>
          <w:tcPr>
            <w:tcW w:w="4762" w:type="dxa"/>
            <w:tcBorders>
              <w:top w:val="single" w:color="auto" w:sz="4" w:space="0"/>
              <w:left w:val="single" w:color="auto" w:sz="4" w:space="0"/>
              <w:bottom w:val="single" w:color="auto" w:sz="4" w:space="0"/>
              <w:right w:val="single" w:color="auto" w:sz="4" w:space="0"/>
            </w:tcBorders>
            <w:vAlign w:val="center"/>
          </w:tcPr>
          <w:p w14:paraId="45FF091C">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评价技能人才（万人次）</w:t>
            </w:r>
          </w:p>
        </w:tc>
        <w:tc>
          <w:tcPr>
            <w:tcW w:w="1754" w:type="dxa"/>
            <w:tcBorders>
              <w:top w:val="single" w:color="auto" w:sz="4" w:space="0"/>
              <w:left w:val="single" w:color="auto" w:sz="4" w:space="0"/>
              <w:bottom w:val="single" w:color="auto" w:sz="4" w:space="0"/>
              <w:right w:val="single" w:color="auto" w:sz="4" w:space="0"/>
            </w:tcBorders>
            <w:vAlign w:val="center"/>
          </w:tcPr>
          <w:p w14:paraId="09016F63">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w:t>
            </w:r>
          </w:p>
        </w:tc>
        <w:tc>
          <w:tcPr>
            <w:tcW w:w="1543" w:type="dxa"/>
            <w:tcBorders>
              <w:top w:val="single" w:color="auto" w:sz="4" w:space="0"/>
              <w:left w:val="single" w:color="auto" w:sz="4" w:space="0"/>
              <w:bottom w:val="single" w:color="auto" w:sz="4" w:space="0"/>
              <w:right w:val="single" w:color="auto" w:sz="4" w:space="0"/>
            </w:tcBorders>
            <w:vAlign w:val="center"/>
          </w:tcPr>
          <w:p w14:paraId="2FB51E8A">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224A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3"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5EAA3AA3">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11</w:t>
            </w:r>
          </w:p>
        </w:tc>
        <w:tc>
          <w:tcPr>
            <w:tcW w:w="4762" w:type="dxa"/>
            <w:tcBorders>
              <w:top w:val="single" w:color="auto" w:sz="4" w:space="0"/>
              <w:left w:val="single" w:color="auto" w:sz="4" w:space="0"/>
              <w:bottom w:val="single" w:color="auto" w:sz="4" w:space="0"/>
              <w:right w:val="single" w:color="auto" w:sz="4" w:space="0"/>
            </w:tcBorders>
            <w:vAlign w:val="center"/>
          </w:tcPr>
          <w:p w14:paraId="6DA6CF0B">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博士后科研工作站总量达到（家）</w:t>
            </w:r>
          </w:p>
        </w:tc>
        <w:tc>
          <w:tcPr>
            <w:tcW w:w="1754" w:type="dxa"/>
            <w:tcBorders>
              <w:top w:val="single" w:color="auto" w:sz="4" w:space="0"/>
              <w:left w:val="single" w:color="auto" w:sz="4" w:space="0"/>
              <w:bottom w:val="single" w:color="auto" w:sz="4" w:space="0"/>
              <w:right w:val="single" w:color="auto" w:sz="4" w:space="0"/>
            </w:tcBorders>
            <w:vAlign w:val="center"/>
          </w:tcPr>
          <w:p w14:paraId="4FE9590C">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≥70</w:t>
            </w:r>
          </w:p>
        </w:tc>
        <w:tc>
          <w:tcPr>
            <w:tcW w:w="1543" w:type="dxa"/>
            <w:tcBorders>
              <w:top w:val="single" w:color="auto" w:sz="4" w:space="0"/>
              <w:left w:val="single" w:color="auto" w:sz="4" w:space="0"/>
              <w:bottom w:val="single" w:color="auto" w:sz="4" w:space="0"/>
              <w:right w:val="single" w:color="auto" w:sz="4" w:space="0"/>
            </w:tcBorders>
            <w:vAlign w:val="center"/>
          </w:tcPr>
          <w:p w14:paraId="194F502D">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5986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4"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0B5E077D">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12</w:t>
            </w:r>
          </w:p>
        </w:tc>
        <w:tc>
          <w:tcPr>
            <w:tcW w:w="4762" w:type="dxa"/>
            <w:tcBorders>
              <w:top w:val="single" w:color="auto" w:sz="4" w:space="0"/>
              <w:left w:val="single" w:color="auto" w:sz="4" w:space="0"/>
              <w:bottom w:val="single" w:color="auto" w:sz="4" w:space="0"/>
              <w:right w:val="single" w:color="auto" w:sz="4" w:space="0"/>
            </w:tcBorders>
            <w:vAlign w:val="center"/>
          </w:tcPr>
          <w:p w14:paraId="78CD23FF">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新建区级技能大师工作室（家）</w:t>
            </w:r>
          </w:p>
        </w:tc>
        <w:tc>
          <w:tcPr>
            <w:tcW w:w="1754" w:type="dxa"/>
            <w:tcBorders>
              <w:top w:val="single" w:color="auto" w:sz="4" w:space="0"/>
              <w:left w:val="single" w:color="auto" w:sz="4" w:space="0"/>
              <w:bottom w:val="single" w:color="auto" w:sz="4" w:space="0"/>
              <w:right w:val="single" w:color="auto" w:sz="4" w:space="0"/>
            </w:tcBorders>
            <w:vAlign w:val="center"/>
          </w:tcPr>
          <w:p w14:paraId="097FBF4D">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w:t>
            </w:r>
          </w:p>
        </w:tc>
        <w:tc>
          <w:tcPr>
            <w:tcW w:w="1543" w:type="dxa"/>
            <w:tcBorders>
              <w:top w:val="single" w:color="auto" w:sz="4" w:space="0"/>
              <w:left w:val="single" w:color="auto" w:sz="4" w:space="0"/>
              <w:bottom w:val="single" w:color="auto" w:sz="4" w:space="0"/>
              <w:right w:val="single" w:color="auto" w:sz="4" w:space="0"/>
            </w:tcBorders>
            <w:vAlign w:val="center"/>
          </w:tcPr>
          <w:p w14:paraId="76068CDC">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4AB8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7DDFD692">
            <w:pPr>
              <w:suppressAutoHyphens/>
              <w:spacing w:line="52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13</w:t>
            </w:r>
          </w:p>
        </w:tc>
        <w:tc>
          <w:tcPr>
            <w:tcW w:w="4762" w:type="dxa"/>
            <w:tcBorders>
              <w:top w:val="single" w:color="auto" w:sz="4" w:space="0"/>
              <w:left w:val="single" w:color="auto" w:sz="4" w:space="0"/>
              <w:bottom w:val="single" w:color="auto" w:sz="4" w:space="0"/>
              <w:right w:val="single" w:color="auto" w:sz="4" w:space="0"/>
            </w:tcBorders>
            <w:vAlign w:val="center"/>
          </w:tcPr>
          <w:p w14:paraId="00E52556">
            <w:pPr>
              <w:suppressAutoHyphens/>
              <w:spacing w:line="5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支持工作室优质成果转化项目（个）</w:t>
            </w:r>
          </w:p>
        </w:tc>
        <w:tc>
          <w:tcPr>
            <w:tcW w:w="1754" w:type="dxa"/>
            <w:tcBorders>
              <w:top w:val="single" w:color="auto" w:sz="4" w:space="0"/>
              <w:left w:val="single" w:color="auto" w:sz="4" w:space="0"/>
              <w:bottom w:val="single" w:color="auto" w:sz="4" w:space="0"/>
              <w:right w:val="single" w:color="auto" w:sz="4" w:space="0"/>
            </w:tcBorders>
            <w:vAlign w:val="center"/>
          </w:tcPr>
          <w:p w14:paraId="64619EEF">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≥30</w:t>
            </w:r>
          </w:p>
        </w:tc>
        <w:tc>
          <w:tcPr>
            <w:tcW w:w="1543" w:type="dxa"/>
            <w:tcBorders>
              <w:top w:val="single" w:color="auto" w:sz="4" w:space="0"/>
              <w:left w:val="single" w:color="auto" w:sz="4" w:space="0"/>
              <w:bottom w:val="single" w:color="auto" w:sz="4" w:space="0"/>
              <w:right w:val="single" w:color="auto" w:sz="4" w:space="0"/>
            </w:tcBorders>
            <w:vAlign w:val="center"/>
          </w:tcPr>
          <w:p w14:paraId="066A374A">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2DAE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49B3BD40">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14</w:t>
            </w:r>
          </w:p>
        </w:tc>
        <w:tc>
          <w:tcPr>
            <w:tcW w:w="4762" w:type="dxa"/>
            <w:tcBorders>
              <w:top w:val="single" w:color="auto" w:sz="4" w:space="0"/>
              <w:left w:val="single" w:color="auto" w:sz="4" w:space="0"/>
              <w:bottom w:val="single" w:color="auto" w:sz="4" w:space="0"/>
              <w:right w:val="single" w:color="auto" w:sz="4" w:space="0"/>
            </w:tcBorders>
            <w:vAlign w:val="center"/>
          </w:tcPr>
          <w:p w14:paraId="1E9FF323">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监控企业的劳动合同签订率</w:t>
            </w:r>
            <w:r>
              <w:rPr>
                <w:rStyle w:val="29"/>
                <w:rFonts w:hint="eastAsia" w:ascii="仿宋_GB2312" w:hAnsi="仿宋_GB2312" w:eastAsia="仿宋_GB2312" w:cs="仿宋_GB2312"/>
                <w:bCs/>
                <w:sz w:val="28"/>
                <w:szCs w:val="28"/>
              </w:rPr>
              <w:footnoteReference w:id="9"/>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7511854F">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≥90</w:t>
            </w:r>
          </w:p>
        </w:tc>
        <w:tc>
          <w:tcPr>
            <w:tcW w:w="1543" w:type="dxa"/>
            <w:tcBorders>
              <w:top w:val="single" w:color="auto" w:sz="4" w:space="0"/>
              <w:left w:val="single" w:color="auto" w:sz="4" w:space="0"/>
              <w:bottom w:val="single" w:color="auto" w:sz="4" w:space="0"/>
              <w:right w:val="single" w:color="auto" w:sz="4" w:space="0"/>
            </w:tcBorders>
            <w:vAlign w:val="center"/>
          </w:tcPr>
          <w:p w14:paraId="5C76EA36">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2FD1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7"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0ECD5E9F">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15</w:t>
            </w:r>
          </w:p>
        </w:tc>
        <w:tc>
          <w:tcPr>
            <w:tcW w:w="4762" w:type="dxa"/>
            <w:tcBorders>
              <w:top w:val="single" w:color="auto" w:sz="4" w:space="0"/>
              <w:left w:val="single" w:color="auto" w:sz="4" w:space="0"/>
              <w:bottom w:val="single" w:color="auto" w:sz="4" w:space="0"/>
              <w:right w:val="single" w:color="auto" w:sz="4" w:space="0"/>
            </w:tcBorders>
            <w:vAlign w:val="center"/>
          </w:tcPr>
          <w:p w14:paraId="7A5538BA">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城镇职工劳动合同续订率</w:t>
            </w:r>
            <w:r>
              <w:rPr>
                <w:rStyle w:val="29"/>
                <w:rFonts w:hint="eastAsia" w:ascii="仿宋_GB2312" w:hAnsi="仿宋_GB2312" w:eastAsia="仿宋_GB2312" w:cs="仿宋_GB2312"/>
                <w:bCs/>
                <w:sz w:val="28"/>
                <w:szCs w:val="28"/>
              </w:rPr>
              <w:footnoteReference w:id="10"/>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1335C70B">
            <w:pPr>
              <w:suppressAutoHyphens/>
              <w:spacing w:line="560" w:lineRule="exact"/>
              <w:jc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≥80</w:t>
            </w:r>
          </w:p>
        </w:tc>
        <w:tc>
          <w:tcPr>
            <w:tcW w:w="1543" w:type="dxa"/>
            <w:tcBorders>
              <w:top w:val="single" w:color="auto" w:sz="4" w:space="0"/>
              <w:left w:val="single" w:color="auto" w:sz="4" w:space="0"/>
              <w:bottom w:val="single" w:color="auto" w:sz="4" w:space="0"/>
              <w:right w:val="single" w:color="auto" w:sz="4" w:space="0"/>
            </w:tcBorders>
            <w:vAlign w:val="center"/>
          </w:tcPr>
          <w:p w14:paraId="3DE0969C">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409F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3"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2E7D1263">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16</w:t>
            </w:r>
          </w:p>
        </w:tc>
        <w:tc>
          <w:tcPr>
            <w:tcW w:w="4762" w:type="dxa"/>
            <w:tcBorders>
              <w:top w:val="single" w:color="auto" w:sz="4" w:space="0"/>
              <w:left w:val="single" w:color="auto" w:sz="4" w:space="0"/>
              <w:bottom w:val="single" w:color="auto" w:sz="4" w:space="0"/>
              <w:right w:val="single" w:color="auto" w:sz="4" w:space="0"/>
            </w:tcBorders>
            <w:vAlign w:val="center"/>
          </w:tcPr>
          <w:p w14:paraId="51F0E791">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工资集体协商的比率</w:t>
            </w:r>
            <w:r>
              <w:rPr>
                <w:rStyle w:val="29"/>
                <w:rFonts w:hint="eastAsia" w:ascii="仿宋_GB2312" w:hAnsi="仿宋_GB2312" w:eastAsia="仿宋_GB2312" w:cs="仿宋_GB2312"/>
                <w:bCs/>
                <w:sz w:val="28"/>
                <w:szCs w:val="28"/>
              </w:rPr>
              <w:footnoteReference w:id="11"/>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1A0B4DF6">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≥85</w:t>
            </w:r>
          </w:p>
        </w:tc>
        <w:tc>
          <w:tcPr>
            <w:tcW w:w="1543" w:type="dxa"/>
            <w:tcBorders>
              <w:top w:val="single" w:color="auto" w:sz="4" w:space="0"/>
              <w:left w:val="single" w:color="auto" w:sz="4" w:space="0"/>
              <w:bottom w:val="single" w:color="auto" w:sz="4" w:space="0"/>
              <w:right w:val="single" w:color="auto" w:sz="4" w:space="0"/>
            </w:tcBorders>
            <w:vAlign w:val="center"/>
          </w:tcPr>
          <w:p w14:paraId="61F85F2B">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4166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5FEED487">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17</w:t>
            </w:r>
          </w:p>
        </w:tc>
        <w:tc>
          <w:tcPr>
            <w:tcW w:w="4762" w:type="dxa"/>
            <w:tcBorders>
              <w:top w:val="single" w:color="auto" w:sz="4" w:space="0"/>
              <w:left w:val="single" w:color="auto" w:sz="4" w:space="0"/>
              <w:bottom w:val="single" w:color="auto" w:sz="4" w:space="0"/>
              <w:right w:val="single" w:color="auto" w:sz="4" w:space="0"/>
            </w:tcBorders>
            <w:vAlign w:val="center"/>
          </w:tcPr>
          <w:p w14:paraId="5558BB37">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劳动人事争议仲裁案件结案率</w:t>
            </w:r>
            <w:r>
              <w:rPr>
                <w:rStyle w:val="29"/>
                <w:rFonts w:hint="eastAsia" w:ascii="仿宋_GB2312" w:hAnsi="仿宋_GB2312" w:eastAsia="仿宋_GB2312" w:cs="仿宋_GB2312"/>
                <w:bCs/>
                <w:sz w:val="28"/>
                <w:szCs w:val="28"/>
              </w:rPr>
              <w:footnoteReference w:id="12"/>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20A2A866">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w:t>
            </w:r>
            <w:r>
              <w:rPr>
                <w:rFonts w:hint="eastAsia" w:ascii="仿宋_GB2312" w:hAnsi="仿宋_GB2312" w:eastAsia="仿宋_GB2312" w:cs="仿宋_GB2312"/>
                <w:bCs/>
                <w:sz w:val="28"/>
                <w:szCs w:val="28"/>
                <w:lang w:val="en-US" w:eastAsia="zh-CN"/>
              </w:rPr>
              <w:t>3</w:t>
            </w:r>
          </w:p>
        </w:tc>
        <w:tc>
          <w:tcPr>
            <w:tcW w:w="1543" w:type="dxa"/>
            <w:tcBorders>
              <w:top w:val="single" w:color="auto" w:sz="4" w:space="0"/>
              <w:left w:val="single" w:color="auto" w:sz="4" w:space="0"/>
              <w:bottom w:val="single" w:color="auto" w:sz="4" w:space="0"/>
              <w:right w:val="single" w:color="auto" w:sz="4" w:space="0"/>
            </w:tcBorders>
            <w:vAlign w:val="center"/>
          </w:tcPr>
          <w:p w14:paraId="653B3367">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516E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3BD62EEC">
            <w:pPr>
              <w:suppressAutoHyphens/>
              <w:spacing w:line="56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18</w:t>
            </w:r>
          </w:p>
        </w:tc>
        <w:tc>
          <w:tcPr>
            <w:tcW w:w="4762" w:type="dxa"/>
            <w:tcBorders>
              <w:top w:val="single" w:color="auto" w:sz="4" w:space="0"/>
              <w:left w:val="single" w:color="auto" w:sz="4" w:space="0"/>
              <w:bottom w:val="single" w:color="auto" w:sz="4" w:space="0"/>
              <w:right w:val="single" w:color="auto" w:sz="4" w:space="0"/>
            </w:tcBorders>
            <w:vAlign w:val="center"/>
          </w:tcPr>
          <w:p w14:paraId="6F5F8A79">
            <w:pPr>
              <w:suppressAutoHyphens/>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劳动人事争议仲裁终结率</w:t>
            </w:r>
            <w:r>
              <w:rPr>
                <w:rStyle w:val="29"/>
                <w:rFonts w:hint="eastAsia" w:ascii="仿宋_GB2312" w:hAnsi="仿宋_GB2312" w:eastAsia="仿宋_GB2312" w:cs="仿宋_GB2312"/>
                <w:bCs/>
                <w:sz w:val="28"/>
                <w:szCs w:val="28"/>
              </w:rPr>
              <w:footnoteReference w:id="13"/>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49EB63E8">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≥70</w:t>
            </w:r>
          </w:p>
        </w:tc>
        <w:tc>
          <w:tcPr>
            <w:tcW w:w="1543" w:type="dxa"/>
            <w:tcBorders>
              <w:top w:val="single" w:color="auto" w:sz="4" w:space="0"/>
              <w:left w:val="single" w:color="auto" w:sz="4" w:space="0"/>
              <w:bottom w:val="single" w:color="auto" w:sz="4" w:space="0"/>
              <w:right w:val="single" w:color="auto" w:sz="4" w:space="0"/>
            </w:tcBorders>
            <w:vAlign w:val="center"/>
          </w:tcPr>
          <w:p w14:paraId="22988925">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r w14:paraId="7725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14:paraId="56C6EE56">
            <w:pPr>
              <w:suppressAutoHyphens/>
              <w:spacing w:line="520" w:lineRule="exact"/>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19</w:t>
            </w:r>
          </w:p>
        </w:tc>
        <w:tc>
          <w:tcPr>
            <w:tcW w:w="4762" w:type="dxa"/>
            <w:tcBorders>
              <w:top w:val="single" w:color="auto" w:sz="4" w:space="0"/>
              <w:left w:val="single" w:color="auto" w:sz="4" w:space="0"/>
              <w:bottom w:val="single" w:color="auto" w:sz="4" w:space="0"/>
              <w:right w:val="single" w:color="auto" w:sz="4" w:space="0"/>
            </w:tcBorders>
            <w:vAlign w:val="center"/>
          </w:tcPr>
          <w:p w14:paraId="58643A67">
            <w:pPr>
              <w:suppressAutoHyphens/>
              <w:spacing w:line="5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劳动保障监察举报投诉案件结案率</w:t>
            </w:r>
            <w:r>
              <w:rPr>
                <w:rStyle w:val="29"/>
                <w:rFonts w:hint="eastAsia" w:ascii="仿宋_GB2312" w:hAnsi="仿宋_GB2312" w:eastAsia="仿宋_GB2312" w:cs="仿宋_GB2312"/>
                <w:bCs/>
                <w:sz w:val="28"/>
                <w:szCs w:val="28"/>
              </w:rPr>
              <w:footnoteReference w:id="14"/>
            </w:r>
            <w:r>
              <w:rPr>
                <w:rFonts w:hint="eastAsia" w:ascii="仿宋_GB2312" w:hAnsi="仿宋_GB2312" w:eastAsia="仿宋_GB2312" w:cs="仿宋_GB2312"/>
                <w:bCs/>
                <w:sz w:val="28"/>
                <w:szCs w:val="28"/>
              </w:rPr>
              <w:t>（%）</w:t>
            </w:r>
          </w:p>
        </w:tc>
        <w:tc>
          <w:tcPr>
            <w:tcW w:w="1754" w:type="dxa"/>
            <w:tcBorders>
              <w:top w:val="single" w:color="auto" w:sz="4" w:space="0"/>
              <w:left w:val="single" w:color="auto" w:sz="4" w:space="0"/>
              <w:bottom w:val="single" w:color="auto" w:sz="4" w:space="0"/>
              <w:right w:val="single" w:color="auto" w:sz="4" w:space="0"/>
            </w:tcBorders>
            <w:vAlign w:val="center"/>
          </w:tcPr>
          <w:p w14:paraId="1731C815">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≥96</w:t>
            </w:r>
          </w:p>
        </w:tc>
        <w:tc>
          <w:tcPr>
            <w:tcW w:w="1543" w:type="dxa"/>
            <w:tcBorders>
              <w:top w:val="single" w:color="auto" w:sz="4" w:space="0"/>
              <w:left w:val="single" w:color="auto" w:sz="4" w:space="0"/>
              <w:bottom w:val="single" w:color="auto" w:sz="4" w:space="0"/>
              <w:right w:val="single" w:color="auto" w:sz="4" w:space="0"/>
            </w:tcBorders>
            <w:vAlign w:val="center"/>
          </w:tcPr>
          <w:p w14:paraId="1597C4DD">
            <w:pPr>
              <w:suppressAutoHyphens/>
              <w:spacing w:line="56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预期性</w:t>
            </w:r>
          </w:p>
        </w:tc>
      </w:tr>
    </w:tbl>
    <w:p w14:paraId="45579C6C">
      <w:pPr>
        <w:pStyle w:val="11"/>
        <w:rPr>
          <w:rFonts w:hint="default" w:eastAsia="宋体"/>
          <w:lang w:val="en-US" w:eastAsia="zh-CN"/>
        </w:rPr>
      </w:pPr>
    </w:p>
    <w:p w14:paraId="0781D893">
      <w:pPr>
        <w:tabs>
          <w:tab w:val="right" w:leader="dot" w:pos="8834"/>
        </w:tabs>
        <w:spacing w:line="560" w:lineRule="exact"/>
        <w:ind w:firstLine="640" w:firstLineChars="200"/>
        <w:jc w:val="left"/>
        <w:outlineLvl w:val="0"/>
        <w:rPr>
          <w:rFonts w:hint="eastAsia" w:ascii="黑体" w:hAnsi="黑体" w:eastAsia="黑体" w:cs="黑体"/>
          <w:bCs/>
          <w:caps/>
          <w:kern w:val="0"/>
          <w:sz w:val="32"/>
          <w:szCs w:val="32"/>
          <w:highlight w:val="green"/>
          <w:lang w:eastAsia="zh-CN" w:bidi="bo-CN"/>
        </w:rPr>
      </w:pPr>
      <w:bookmarkStart w:id="45" w:name="_Toc1545"/>
      <w:bookmarkStart w:id="46" w:name="_Toc22943"/>
      <w:bookmarkStart w:id="47" w:name="_Toc21268"/>
      <w:r>
        <w:rPr>
          <w:rFonts w:hint="eastAsia" w:ascii="黑体" w:hAnsi="黑体" w:eastAsia="黑体" w:cs="黑体"/>
          <w:bCs/>
          <w:caps/>
          <w:kern w:val="0"/>
          <w:sz w:val="32"/>
          <w:szCs w:val="32"/>
          <w:lang w:bidi="bo-CN"/>
        </w:rPr>
        <w:t>四、“十五五”时期重点任务</w:t>
      </w:r>
      <w:bookmarkEnd w:id="45"/>
      <w:bookmarkEnd w:id="46"/>
      <w:bookmarkEnd w:id="47"/>
    </w:p>
    <w:p w14:paraId="7ECE8D67">
      <w:pPr>
        <w:tabs>
          <w:tab w:val="right" w:leader="dot" w:pos="8834"/>
        </w:tabs>
        <w:spacing w:line="560" w:lineRule="exact"/>
        <w:ind w:firstLine="643" w:firstLineChars="200"/>
        <w:jc w:val="left"/>
        <w:outlineLvl w:val="1"/>
        <w:rPr>
          <w:rFonts w:hint="eastAsia" w:ascii="楷体_GB2312" w:hAnsi="楷体_GB2312" w:eastAsia="楷体_GB2312" w:cs="楷体_GB2312"/>
          <w:b/>
          <w:bCs/>
          <w:sz w:val="32"/>
          <w:szCs w:val="32"/>
          <w:lang w:bidi="bo-CN"/>
        </w:rPr>
      </w:pPr>
      <w:bookmarkStart w:id="48" w:name="_Toc58829748"/>
      <w:bookmarkStart w:id="49" w:name="_Toc3302"/>
      <w:bookmarkStart w:id="50" w:name="_Toc7234"/>
      <w:bookmarkStart w:id="51" w:name="_Toc27997"/>
      <w:r>
        <w:rPr>
          <w:rFonts w:hint="eastAsia" w:ascii="楷体_GB2312" w:hAnsi="楷体_GB2312" w:eastAsia="楷体_GB2312" w:cs="楷体_GB2312"/>
          <w:b/>
          <w:bCs/>
          <w:sz w:val="32"/>
          <w:szCs w:val="32"/>
          <w:lang w:val="zh-TW" w:bidi="bo-CN"/>
        </w:rPr>
        <w:t>（一）</w:t>
      </w:r>
      <w:bookmarkEnd w:id="48"/>
      <w:r>
        <w:rPr>
          <w:rFonts w:hint="eastAsia" w:ascii="楷体_GB2312" w:hAnsi="楷体_GB2312" w:eastAsia="楷体_GB2312" w:cs="楷体_GB2312"/>
          <w:b/>
          <w:bCs/>
          <w:sz w:val="32"/>
          <w:szCs w:val="32"/>
          <w:lang w:bidi="bo-CN"/>
        </w:rPr>
        <w:t>坚持经济发展导向</w:t>
      </w:r>
      <w:r>
        <w:rPr>
          <w:rFonts w:hint="eastAsia" w:ascii="楷体_GB2312" w:hAnsi="楷体_GB2312" w:eastAsia="楷体_GB2312" w:cs="楷体_GB2312"/>
          <w:b/>
          <w:bCs/>
          <w:sz w:val="32"/>
          <w:szCs w:val="32"/>
          <w:lang w:val="zh-TW" w:bidi="bo-CN"/>
        </w:rPr>
        <w:t>，</w:t>
      </w:r>
      <w:r>
        <w:rPr>
          <w:rFonts w:hint="eastAsia" w:ascii="楷体_GB2312" w:hAnsi="楷体_GB2312" w:eastAsia="楷体_GB2312" w:cs="楷体_GB2312"/>
          <w:b/>
          <w:bCs/>
          <w:sz w:val="32"/>
          <w:szCs w:val="32"/>
          <w:lang w:bidi="bo-CN"/>
        </w:rPr>
        <w:t>推动劳动者就业质量稳步提升</w:t>
      </w:r>
      <w:bookmarkEnd w:id="49"/>
      <w:bookmarkEnd w:id="50"/>
      <w:bookmarkEnd w:id="51"/>
    </w:p>
    <w:p w14:paraId="29275CEC">
      <w:pPr>
        <w:pStyle w:val="10"/>
        <w:overflowPunct w:val="0"/>
        <w:spacing w:line="560" w:lineRule="exact"/>
        <w:ind w:firstLine="656" w:firstLineChars="200"/>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4"/>
          <w:sz w:val="32"/>
          <w:szCs w:val="32"/>
          <w:lang w:val="en-US" w:eastAsia="zh-CN"/>
        </w:rPr>
        <w:t>坚持</w:t>
      </w:r>
      <w:r>
        <w:rPr>
          <w:rFonts w:hint="eastAsia" w:ascii="仿宋_GB2312" w:hAnsi="仿宋_GB2312" w:eastAsia="仿宋_GB2312" w:cs="仿宋_GB2312"/>
          <w:spacing w:val="4"/>
          <w:sz w:val="32"/>
          <w:szCs w:val="32"/>
        </w:rPr>
        <w:t>把高质量充分就业作为经济社会发展优先目标，深入实施就业优先战略，努力</w:t>
      </w:r>
      <w:r>
        <w:rPr>
          <w:rFonts w:hint="eastAsia" w:ascii="仿宋_GB2312" w:hAnsi="仿宋_GB2312" w:eastAsia="仿宋_GB2312" w:cs="仿宋_GB2312"/>
          <w:spacing w:val="-1"/>
          <w:sz w:val="32"/>
          <w:szCs w:val="32"/>
        </w:rPr>
        <w:t>打造高质量充分就业区，推动就业质的有效提升和量的合理增长</w:t>
      </w:r>
      <w:r>
        <w:rPr>
          <w:rFonts w:hint="eastAsia" w:ascii="仿宋_GB2312" w:hAnsi="仿宋_GB2312" w:eastAsia="仿宋_GB2312" w:cs="仿宋_GB2312"/>
          <w:spacing w:val="-2"/>
          <w:sz w:val="32"/>
          <w:szCs w:val="32"/>
        </w:rPr>
        <w:t>。</w:t>
      </w:r>
    </w:p>
    <w:p w14:paraId="5B648ED8">
      <w:pPr>
        <w:overflowPunct w:val="0"/>
        <w:spacing w:line="560" w:lineRule="exact"/>
        <w:ind w:firstLine="643" w:firstLineChars="200"/>
        <w:outlineLvl w:val="2"/>
        <w:rPr>
          <w:rFonts w:hint="eastAsia" w:ascii="仿宋_GB2312" w:hAnsi="仿宋_GB2312" w:eastAsia="仿宋_GB2312" w:cs="仿宋_GB2312"/>
          <w:b/>
        </w:rPr>
      </w:pPr>
      <w:bookmarkStart w:id="52" w:name="_Toc16741"/>
      <w:r>
        <w:rPr>
          <w:rFonts w:hint="eastAsia" w:ascii="仿宋_GB2312" w:hAnsi="仿宋_GB2312" w:eastAsia="仿宋_GB2312" w:cs="仿宋_GB2312"/>
          <w:b/>
          <w:sz w:val="32"/>
          <w:szCs w:val="32"/>
        </w:rPr>
        <w:t>1.</w:t>
      </w:r>
      <w:r>
        <w:rPr>
          <w:rFonts w:hint="eastAsia" w:ascii="仿宋_GB2312" w:hAnsi="仿宋_GB2312" w:eastAsia="仿宋_GB2312" w:cs="仿宋_GB2312"/>
          <w:b/>
          <w:spacing w:val="6"/>
          <w:position w:val="2"/>
          <w:sz w:val="32"/>
          <w:szCs w:val="32"/>
        </w:rPr>
        <w:t>推动就业增长与</w:t>
      </w:r>
      <w:r>
        <w:rPr>
          <w:rFonts w:hint="eastAsia" w:ascii="仿宋_GB2312" w:hAnsi="仿宋_GB2312" w:eastAsia="仿宋_GB2312" w:cs="仿宋_GB2312"/>
          <w:b/>
          <w:spacing w:val="6"/>
          <w:position w:val="2"/>
          <w:sz w:val="32"/>
          <w:szCs w:val="32"/>
          <w:lang w:eastAsia="zh-CN"/>
        </w:rPr>
        <w:t>“</w:t>
      </w:r>
      <w:r>
        <w:rPr>
          <w:rFonts w:hint="eastAsia" w:ascii="仿宋_GB2312" w:hAnsi="仿宋_GB2312" w:eastAsia="仿宋_GB2312" w:cs="仿宋_GB2312"/>
          <w:b/>
          <w:spacing w:val="6"/>
          <w:position w:val="2"/>
          <w:sz w:val="32"/>
          <w:szCs w:val="32"/>
          <w:lang w:val="en-US" w:eastAsia="zh-CN"/>
        </w:rPr>
        <w:t>6+5+3</w:t>
      </w:r>
      <w:r>
        <w:rPr>
          <w:rFonts w:hint="eastAsia" w:ascii="仿宋_GB2312" w:hAnsi="仿宋_GB2312" w:eastAsia="仿宋_GB2312" w:cs="仿宋_GB2312"/>
          <w:b/>
          <w:spacing w:val="6"/>
          <w:position w:val="2"/>
          <w:sz w:val="32"/>
          <w:szCs w:val="32"/>
          <w:lang w:eastAsia="zh-CN"/>
        </w:rPr>
        <w:t>”</w:t>
      </w:r>
      <w:r>
        <w:rPr>
          <w:rFonts w:hint="eastAsia" w:ascii="仿宋_GB2312" w:hAnsi="仿宋_GB2312" w:eastAsia="仿宋_GB2312" w:cs="仿宋_GB2312"/>
          <w:b/>
          <w:spacing w:val="6"/>
          <w:position w:val="2"/>
          <w:sz w:val="32"/>
          <w:szCs w:val="32"/>
          <w:lang w:val="en-US" w:eastAsia="zh-CN"/>
        </w:rPr>
        <w:t>产业发展布局</w:t>
      </w:r>
      <w:r>
        <w:rPr>
          <w:rFonts w:hint="eastAsia" w:ascii="仿宋_GB2312" w:hAnsi="仿宋_GB2312" w:eastAsia="仿宋_GB2312" w:cs="仿宋_GB2312"/>
          <w:b/>
          <w:spacing w:val="6"/>
          <w:position w:val="2"/>
          <w:sz w:val="32"/>
          <w:szCs w:val="32"/>
        </w:rPr>
        <w:t>协同联动</w:t>
      </w:r>
      <w:bookmarkEnd w:id="52"/>
    </w:p>
    <w:p w14:paraId="1FBA7504">
      <w:pPr>
        <w:pStyle w:val="10"/>
        <w:overflowPunct w:val="0"/>
        <w:spacing w:line="560" w:lineRule="exact"/>
        <w:ind w:left="20" w:right="123" w:firstLine="643" w:firstLineChars="200"/>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b/>
          <w:sz w:val="32"/>
          <w:szCs w:val="32"/>
        </w:rPr>
        <w:t>健全完善就业政策协同机制。</w:t>
      </w:r>
      <w:r>
        <w:rPr>
          <w:rFonts w:hint="eastAsia" w:ascii="仿宋_GB2312" w:hAnsi="仿宋_GB2312" w:eastAsia="仿宋_GB2312" w:cs="仿宋_GB2312"/>
          <w:spacing w:val="-6"/>
          <w:sz w:val="32"/>
          <w:szCs w:val="32"/>
        </w:rPr>
        <w:t>把</w:t>
      </w:r>
      <w:r>
        <w:rPr>
          <w:rFonts w:hint="eastAsia" w:ascii="仿宋_GB2312" w:hAnsi="仿宋_GB2312" w:eastAsia="仿宋_GB2312" w:cs="仿宋_GB2312"/>
          <w:spacing w:val="-6"/>
          <w:sz w:val="32"/>
          <w:szCs w:val="32"/>
          <w:lang w:val="en-US" w:eastAsia="zh-CN"/>
        </w:rPr>
        <w:t>促进</w:t>
      </w:r>
      <w:r>
        <w:rPr>
          <w:rFonts w:hint="eastAsia" w:ascii="仿宋_GB2312" w:hAnsi="仿宋_GB2312" w:eastAsia="仿宋_GB2312" w:cs="仿宋_GB2312"/>
          <w:spacing w:val="-6"/>
          <w:sz w:val="32"/>
          <w:szCs w:val="32"/>
        </w:rPr>
        <w:t>高质量充分就业纳入国民经济和社会发展规划。加强就业与财政、金融、产业、投资、消费等政策相互衔接，实现经济增长与就业扩大良性互动。</w:t>
      </w:r>
      <w:r>
        <w:rPr>
          <w:rFonts w:hint="eastAsia" w:ascii="仿宋_GB2312" w:hAnsi="仿宋_GB2312" w:eastAsia="仿宋_GB2312" w:cs="仿宋_GB2312"/>
          <w:spacing w:val="-6"/>
          <w:sz w:val="32"/>
          <w:szCs w:val="32"/>
          <w:lang w:val="en-US" w:eastAsia="zh-CN"/>
        </w:rPr>
        <w:t>研究制定</w:t>
      </w:r>
      <w:r>
        <w:rPr>
          <w:rFonts w:hint="eastAsia" w:ascii="仿宋_GB2312" w:hAnsi="仿宋_GB2312" w:eastAsia="仿宋_GB2312" w:cs="仿宋_GB2312"/>
          <w:spacing w:val="-6"/>
          <w:sz w:val="32"/>
          <w:szCs w:val="32"/>
        </w:rPr>
        <w:t>重大财政、金融、产业</w:t>
      </w:r>
      <w:r>
        <w:rPr>
          <w:rFonts w:hint="eastAsia" w:ascii="仿宋_GB2312" w:hAnsi="仿宋_GB2312" w:eastAsia="仿宋_GB2312" w:cs="仿宋_GB2312"/>
          <w:spacing w:val="-6"/>
          <w:sz w:val="32"/>
          <w:szCs w:val="32"/>
          <w:highlight w:val="none"/>
        </w:rPr>
        <w:t>、投资等政策，实施重大项目、重大工程时，统筹评估对就业的影响。加强就业形势研判，整合多部门、多来源数据，按季度系统分析全区劳动力就业市场和参保情况，精准研判就业形势及变化趋势，</w:t>
      </w:r>
      <w:r>
        <w:rPr>
          <w:rFonts w:hint="eastAsia" w:ascii="仿宋_GB2312" w:hAnsi="仿宋_GB2312" w:eastAsia="仿宋_GB2312" w:cs="仿宋_GB2312"/>
          <w:spacing w:val="-6"/>
          <w:sz w:val="32"/>
          <w:szCs w:val="32"/>
          <w:highlight w:val="none"/>
          <w:lang w:val="en-US" w:eastAsia="zh-CN"/>
        </w:rPr>
        <w:t>健全就业监测机制，防范化解规模性失业风险</w:t>
      </w:r>
      <w:r>
        <w:rPr>
          <w:rFonts w:hint="eastAsia" w:ascii="仿宋_GB2312" w:hAnsi="仿宋_GB2312" w:eastAsia="仿宋_GB2312" w:cs="仿宋_GB2312"/>
          <w:spacing w:val="-6"/>
          <w:sz w:val="32"/>
          <w:szCs w:val="32"/>
          <w:highlight w:val="none"/>
        </w:rPr>
        <w:t>。</w:t>
      </w:r>
    </w:p>
    <w:p w14:paraId="4D02CCBE">
      <w:pPr>
        <w:widowControl/>
        <w:spacing w:line="560" w:lineRule="exact"/>
        <w:ind w:firstLine="643" w:firstLineChars="200"/>
        <w:jc w:val="left"/>
        <w:rPr>
          <w:rFonts w:hint="eastAsia" w:ascii="仿宋_GB2312" w:hAnsi="仿宋_GB2312" w:eastAsia="仿宋_GB2312" w:cs="仿宋_GB2312"/>
          <w:spacing w:val="-6"/>
          <w:kern w:val="0"/>
          <w:sz w:val="32"/>
          <w:szCs w:val="32"/>
          <w:highlight w:val="none"/>
        </w:rPr>
      </w:pPr>
      <w:r>
        <w:rPr>
          <w:rFonts w:hint="eastAsia" w:ascii="仿宋_GB2312" w:hAnsi="仿宋_GB2312" w:eastAsia="仿宋_GB2312" w:cs="仿宋_GB2312"/>
          <w:b/>
          <w:sz w:val="32"/>
          <w:szCs w:val="32"/>
        </w:rPr>
        <w:t>持续强化产业就业协同发展。</w:t>
      </w:r>
      <w:r>
        <w:rPr>
          <w:rFonts w:hint="eastAsia" w:ascii="仿宋_GB2312" w:hAnsi="仿宋_GB2312" w:eastAsia="仿宋_GB2312" w:cs="仿宋_GB2312"/>
          <w:spacing w:val="-6"/>
          <w:kern w:val="0"/>
          <w:sz w:val="32"/>
          <w:szCs w:val="32"/>
          <w:highlight w:val="none"/>
        </w:rPr>
        <w:t>坚持依靠发展促进就业，围绕“6+5+3”产业发展布局，</w:t>
      </w:r>
      <w:r>
        <w:rPr>
          <w:rFonts w:hint="eastAsia" w:ascii="仿宋_GB2312" w:hAnsi="仿宋_GB2312" w:eastAsia="仿宋_GB2312" w:cs="仿宋_GB2312"/>
          <w:spacing w:val="-6"/>
          <w:kern w:val="0"/>
          <w:sz w:val="32"/>
          <w:szCs w:val="32"/>
          <w:highlight w:val="none"/>
          <w:lang w:val="en-US" w:eastAsia="zh-CN"/>
        </w:rPr>
        <w:t>在</w:t>
      </w:r>
      <w:r>
        <w:rPr>
          <w:rFonts w:hint="eastAsia" w:ascii="仿宋_GB2312" w:hAnsi="仿宋_GB2312" w:eastAsia="仿宋_GB2312" w:cs="仿宋_GB2312"/>
          <w:spacing w:val="-6"/>
          <w:kern w:val="0"/>
          <w:sz w:val="32"/>
          <w:szCs w:val="32"/>
          <w:highlight w:val="none"/>
        </w:rPr>
        <w:t>挖掘生物医药、临空经济等产业</w:t>
      </w:r>
      <w:r>
        <w:rPr>
          <w:rFonts w:hint="eastAsia" w:ascii="仿宋_GB2312" w:hAnsi="仿宋_GB2312" w:eastAsia="仿宋_GB2312" w:cs="仿宋_GB2312"/>
          <w:spacing w:val="-6"/>
          <w:kern w:val="0"/>
          <w:sz w:val="32"/>
          <w:szCs w:val="32"/>
          <w:highlight w:val="none"/>
          <w:lang w:val="en-US" w:eastAsia="zh-CN"/>
        </w:rPr>
        <w:t>岗位资源基础上，培育开发集成电路、未来能源、智能制造等产业</w:t>
      </w:r>
      <w:r>
        <w:rPr>
          <w:rFonts w:hint="eastAsia" w:ascii="仿宋_GB2312" w:hAnsi="仿宋_GB2312" w:eastAsia="仿宋_GB2312" w:cs="仿宋_GB2312"/>
          <w:spacing w:val="-6"/>
          <w:kern w:val="0"/>
          <w:sz w:val="32"/>
          <w:szCs w:val="32"/>
          <w:highlight w:val="none"/>
        </w:rPr>
        <w:t>就业增长点，创造更多优质岗位。实施乡村振兴战略，结合资源禀赋发展乡村产业新业态，</w:t>
      </w:r>
      <w:r>
        <w:rPr>
          <w:rFonts w:hint="eastAsia" w:ascii="仿宋_GB2312" w:hAnsi="仿宋_GB2312" w:eastAsia="仿宋_GB2312" w:cs="仿宋_GB2312"/>
          <w:spacing w:val="-6"/>
          <w:kern w:val="0"/>
          <w:sz w:val="32"/>
          <w:szCs w:val="32"/>
          <w:highlight w:val="none"/>
          <w:lang w:val="en-US" w:eastAsia="zh-CN"/>
        </w:rPr>
        <w:t>围绕采育、庞各庄特色小镇建设，开发就业增量，</w:t>
      </w:r>
      <w:r>
        <w:rPr>
          <w:rFonts w:hint="eastAsia" w:ascii="仿宋_GB2312" w:hAnsi="仿宋_GB2312" w:eastAsia="仿宋_GB2312" w:cs="仿宋_GB2312"/>
          <w:spacing w:val="-6"/>
          <w:kern w:val="0"/>
          <w:sz w:val="32"/>
          <w:szCs w:val="32"/>
          <w:highlight w:val="none"/>
        </w:rPr>
        <w:t>增强就业吸纳能力。实施消费振兴行动，强化对商圈商超、餐饮住宿、便民服务等消费场景跟踪问需，深入挖掘就业岗位。到2030年</w:t>
      </w:r>
      <w:r>
        <w:rPr>
          <w:rFonts w:hint="eastAsia" w:ascii="仿宋_GB2312" w:hAnsi="仿宋_GB2312" w:eastAsia="仿宋_GB2312" w:cs="仿宋_GB2312"/>
          <w:spacing w:val="-6"/>
          <w:kern w:val="0"/>
          <w:sz w:val="32"/>
          <w:szCs w:val="32"/>
          <w:highlight w:val="none"/>
          <w:lang w:val="en-US" w:eastAsia="zh-CN"/>
        </w:rPr>
        <w:t>末</w:t>
      </w:r>
      <w:r>
        <w:rPr>
          <w:rFonts w:hint="eastAsia" w:ascii="仿宋_GB2312" w:hAnsi="仿宋_GB2312" w:eastAsia="仿宋_GB2312" w:cs="仿宋_GB2312"/>
          <w:spacing w:val="-6"/>
          <w:kern w:val="0"/>
          <w:sz w:val="32"/>
          <w:szCs w:val="32"/>
          <w:highlight w:val="none"/>
        </w:rPr>
        <w:t>，</w:t>
      </w:r>
      <w:r>
        <w:rPr>
          <w:rFonts w:hint="eastAsia" w:ascii="仿宋_GB2312" w:hAnsi="仿宋_GB2312" w:eastAsia="仿宋_GB2312" w:cs="仿宋_GB2312"/>
          <w:spacing w:val="-6"/>
          <w:kern w:val="0"/>
          <w:sz w:val="32"/>
          <w:szCs w:val="32"/>
          <w:highlight w:val="none"/>
          <w:lang w:val="en-US" w:eastAsia="zh-CN"/>
        </w:rPr>
        <w:t>累计</w:t>
      </w:r>
      <w:r>
        <w:rPr>
          <w:rFonts w:hint="eastAsia" w:ascii="仿宋_GB2312" w:hAnsi="仿宋_GB2312" w:eastAsia="仿宋_GB2312" w:cs="仿宋_GB2312"/>
          <w:spacing w:val="-6"/>
          <w:kern w:val="0"/>
          <w:sz w:val="32"/>
          <w:szCs w:val="32"/>
          <w:highlight w:val="none"/>
        </w:rPr>
        <w:t>征集发布就业岗位10万个，促进城乡劳动力就业6万人。</w:t>
      </w:r>
    </w:p>
    <w:p w14:paraId="40B318F1">
      <w:pPr>
        <w:pStyle w:val="10"/>
        <w:overflowPunct w:val="0"/>
        <w:spacing w:line="560" w:lineRule="exact"/>
        <w:ind w:right="123" w:firstLine="643"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b/>
          <w:sz w:val="32"/>
          <w:szCs w:val="32"/>
        </w:rPr>
        <w:t>着力打造区域就业集聚区。</w:t>
      </w:r>
      <w:r>
        <w:rPr>
          <w:rFonts w:hint="eastAsia" w:ascii="仿宋_GB2312" w:hAnsi="仿宋_GB2312" w:eastAsia="仿宋_GB2312" w:cs="仿宋_GB2312"/>
          <w:spacing w:val="-6"/>
          <w:sz w:val="32"/>
          <w:szCs w:val="32"/>
        </w:rPr>
        <w:t>围绕产业聚集区，加大教育、住房、医疗、生育、社保等政策支持，</w:t>
      </w:r>
      <w:r>
        <w:rPr>
          <w:rFonts w:hint="eastAsia" w:ascii="仿宋_GB2312" w:hAnsi="仿宋_GB2312" w:eastAsia="仿宋_GB2312" w:cs="仿宋_GB2312"/>
          <w:spacing w:val="6"/>
          <w:sz w:val="32"/>
          <w:szCs w:val="32"/>
        </w:rPr>
        <w:t>打造高质量就业集聚区，</w:t>
      </w:r>
      <w:r>
        <w:rPr>
          <w:rFonts w:hint="eastAsia" w:ascii="仿宋_GB2312" w:hAnsi="仿宋_GB2312" w:eastAsia="仿宋_GB2312" w:cs="仿宋_GB2312"/>
          <w:spacing w:val="-6"/>
          <w:sz w:val="32"/>
          <w:szCs w:val="32"/>
        </w:rPr>
        <w:t>吸引急需紧缺人才在兴就业</w:t>
      </w:r>
      <w:r>
        <w:rPr>
          <w:rFonts w:hint="eastAsia" w:ascii="仿宋_GB2312" w:hAnsi="仿宋_GB2312" w:eastAsia="仿宋_GB2312" w:cs="仿宋_GB2312"/>
          <w:spacing w:val="-6"/>
          <w:sz w:val="32"/>
          <w:szCs w:val="32"/>
          <w:highlight w:val="none"/>
        </w:rPr>
        <w:t>。</w:t>
      </w:r>
      <w:r>
        <w:rPr>
          <w:rFonts w:hint="eastAsia" w:ascii="仿宋_GB2312" w:hAnsi="仿宋_GB2312" w:eastAsia="仿宋_GB2312" w:cs="仿宋_GB2312"/>
          <w:spacing w:val="-6"/>
          <w:sz w:val="32"/>
          <w:szCs w:val="32"/>
          <w:highlight w:val="none"/>
          <w:lang w:val="en-US" w:eastAsia="zh-CN"/>
        </w:rPr>
        <w:t>发挥引领作用，推进“高质量充分就业示范地区”创建，加快培育高质量充分就业街道（乡镇）、社区（村）</w:t>
      </w:r>
      <w:r>
        <w:rPr>
          <w:rFonts w:hint="eastAsia" w:ascii="仿宋_GB2312" w:hAnsi="仿宋_GB2312" w:eastAsia="仿宋_GB2312" w:cs="仿宋_GB2312"/>
          <w:spacing w:val="-6"/>
          <w:sz w:val="32"/>
          <w:szCs w:val="32"/>
          <w:highlight w:val="none"/>
        </w:rPr>
        <w:t>。</w:t>
      </w:r>
      <w:r>
        <w:rPr>
          <w:rFonts w:hint="eastAsia" w:ascii="仿宋_GB2312" w:hAnsi="仿宋_GB2312" w:eastAsia="仿宋_GB2312" w:cs="仿宋_GB2312"/>
          <w:spacing w:val="6"/>
          <w:sz w:val="32"/>
          <w:szCs w:val="32"/>
          <w:highlight w:val="none"/>
        </w:rPr>
        <w:t>全</w:t>
      </w:r>
      <w:r>
        <w:rPr>
          <w:rFonts w:hint="eastAsia" w:ascii="仿宋_GB2312" w:hAnsi="仿宋_GB2312" w:eastAsia="仿宋_GB2312" w:cs="仿宋_GB2312"/>
          <w:spacing w:val="6"/>
          <w:sz w:val="32"/>
          <w:szCs w:val="32"/>
        </w:rPr>
        <w:t>面落实京津冀协同发展战略，强化“兴滨雄”</w:t>
      </w:r>
      <w:r>
        <w:rPr>
          <w:rStyle w:val="29"/>
          <w:rFonts w:hint="eastAsia" w:ascii="仿宋_GB2312" w:hAnsi="仿宋_GB2312" w:eastAsia="仿宋_GB2312" w:cs="仿宋_GB2312"/>
          <w:spacing w:val="6"/>
          <w:sz w:val="32"/>
          <w:szCs w:val="32"/>
        </w:rPr>
        <w:footnoteReference w:id="15"/>
      </w:r>
      <w:r>
        <w:rPr>
          <w:rFonts w:hint="eastAsia" w:ascii="仿宋_GB2312" w:hAnsi="仿宋_GB2312" w:eastAsia="仿宋_GB2312" w:cs="仿宋_GB2312"/>
          <w:spacing w:val="6"/>
          <w:sz w:val="32"/>
          <w:szCs w:val="32"/>
        </w:rPr>
        <w:t>合作机制，推动产业协作和就业协调融合，打造区域就业增长极。</w:t>
      </w:r>
      <w:r>
        <w:rPr>
          <w:rFonts w:hint="eastAsia" w:ascii="仿宋_GB2312" w:hAnsi="仿宋_GB2312" w:eastAsia="仿宋_GB2312" w:cs="仿宋_GB2312"/>
          <w:spacing w:val="-6"/>
          <w:sz w:val="32"/>
          <w:szCs w:val="32"/>
        </w:rPr>
        <w:t>强化和北京经济技术开发区、丰台区等周边区域协调联动，深入挖掘周边就业潜力，打造首都南部稳定就业高地。</w:t>
      </w:r>
    </w:p>
    <w:p w14:paraId="547B7D8C">
      <w:pPr>
        <w:overflowPunct w:val="0"/>
        <w:spacing w:line="560" w:lineRule="exact"/>
        <w:ind w:firstLine="643" w:firstLineChars="200"/>
        <w:outlineLvl w:val="2"/>
        <w:rPr>
          <w:rFonts w:hint="eastAsia" w:ascii="仿宋_GB2312" w:hAnsi="仿宋_GB2312" w:eastAsia="仿宋_GB2312" w:cs="仿宋_GB2312"/>
          <w:b/>
          <w:sz w:val="32"/>
          <w:szCs w:val="32"/>
        </w:rPr>
      </w:pPr>
      <w:bookmarkStart w:id="53" w:name="_Toc11020"/>
      <w:r>
        <w:rPr>
          <w:rFonts w:hint="eastAsia" w:ascii="仿宋_GB2312" w:hAnsi="仿宋_GB2312" w:eastAsia="仿宋_GB2312" w:cs="仿宋_GB2312"/>
          <w:b/>
          <w:sz w:val="32"/>
          <w:szCs w:val="32"/>
        </w:rPr>
        <w:t>2.加快塑造培育现代化人力资源</w:t>
      </w:r>
      <w:bookmarkEnd w:id="53"/>
    </w:p>
    <w:p w14:paraId="05D26FAA">
      <w:pPr>
        <w:overflowPunct w:val="0"/>
        <w:spacing w:line="560" w:lineRule="exact"/>
        <w:ind w:firstLine="643" w:firstLineChars="200"/>
        <w:outlineLvl w:val="2"/>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高质量推进职业技能培训。</w:t>
      </w:r>
      <w:r>
        <w:rPr>
          <w:rFonts w:hint="eastAsia" w:ascii="仿宋_GB2312" w:hAnsi="仿宋_GB2312" w:eastAsia="仿宋_GB2312" w:cs="仿宋_GB2312"/>
          <w:sz w:val="32"/>
          <w:szCs w:val="40"/>
        </w:rPr>
        <w:t>针对重点群体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重点行业领域技能需求，开展多种形式的就业技能培训、岗位技能提升培训。开展“技能大兴”职业技能培训计划，统筹各类培训资源，面向先进制造、生物医药、数字经济、生活服务等不同行业领域及企业职工、高校毕业生、退役军人、残疾人、失业人员、农村转移就业劳动力等就业群体开展2万人次的职业能力提升培训，促进劳动者技能就业、技能增收。</w:t>
      </w:r>
    </w:p>
    <w:p w14:paraId="4ED136FD">
      <w:pPr>
        <w:spacing w:line="56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sz w:val="32"/>
          <w:szCs w:val="32"/>
        </w:rPr>
        <w:t>优化培训资源和服务供给。</w:t>
      </w:r>
      <w:r>
        <w:rPr>
          <w:rFonts w:hint="eastAsia" w:ascii="仿宋_GB2312" w:hAnsi="仿宋_GB2312" w:eastAsia="仿宋_GB2312" w:cs="仿宋_GB2312"/>
          <w:bCs/>
          <w:sz w:val="32"/>
          <w:szCs w:val="32"/>
        </w:rPr>
        <w:t>支</w:t>
      </w:r>
      <w:r>
        <w:rPr>
          <w:rFonts w:hint="eastAsia" w:ascii="仿宋_GB2312" w:hAnsi="仿宋_GB2312" w:eastAsia="仿宋_GB2312" w:cs="仿宋_GB2312"/>
          <w:bCs/>
          <w:sz w:val="32"/>
          <w:szCs w:val="40"/>
        </w:rPr>
        <w:t>持</w:t>
      </w:r>
      <w:r>
        <w:rPr>
          <w:rFonts w:hint="eastAsia" w:ascii="仿宋_GB2312" w:hAnsi="仿宋_GB2312" w:eastAsia="仿宋_GB2312" w:cs="仿宋_GB2312"/>
          <w:sz w:val="32"/>
          <w:szCs w:val="40"/>
        </w:rPr>
        <w:t>康养家政、乡村振兴、宠物经济等领域头部企业设立职业技能培训学校，拓展人力资源服务资质。围绕生物医药、氢能等新质生产力需要，引导培训机构开展新职业（工种）培训。健全培训学校管理及淘汰机制，强化一体化综合监管，规范预付费等经营行为。预防和打击“山寨证书”“培训诈骗”等违法行为，引导劳动者选择正规培训渠道提升职业技能。</w:t>
      </w:r>
    </w:p>
    <w:p w14:paraId="23C2092B">
      <w:pPr>
        <w:spacing w:line="56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sz w:val="32"/>
          <w:szCs w:val="32"/>
        </w:rPr>
        <w:t>打造产教融合资源共享平台。</w:t>
      </w:r>
      <w:r>
        <w:rPr>
          <w:rFonts w:hint="eastAsia" w:ascii="仿宋_GB2312" w:hAnsi="仿宋_GB2312" w:eastAsia="仿宋_GB2312" w:cs="仿宋_GB2312"/>
          <w:sz w:val="32"/>
          <w:szCs w:val="40"/>
        </w:rPr>
        <w:t>强化培训体系与“大兴工匠学院”联动，推动培训资源由“一业一校”向“一业多校”升级。探索开展职业评价进高校等特色活动，以就业需求为导向，提升在校生职业体验与就业能力。</w:t>
      </w:r>
      <w:r>
        <w:rPr>
          <w:rFonts w:hint="eastAsia" w:ascii="仿宋_GB2312" w:hAnsi="仿宋_GB2312" w:eastAsia="仿宋_GB2312" w:cs="仿宋_GB2312"/>
          <w:sz w:val="32"/>
          <w:szCs w:val="40"/>
          <w:highlight w:val="none"/>
        </w:rPr>
        <w:t>支持高校、技工院校、民办培训机构与企业强化合作，</w:t>
      </w:r>
      <w:r>
        <w:rPr>
          <w:rFonts w:hint="eastAsia" w:ascii="仿宋_GB2312" w:hAnsi="仿宋_GB2312" w:eastAsia="仿宋_GB2312" w:cs="仿宋_GB2312"/>
          <w:sz w:val="32"/>
          <w:szCs w:val="40"/>
          <w:highlight w:val="none"/>
          <w:lang w:val="en-US" w:eastAsia="zh-CN"/>
        </w:rPr>
        <w:t>探索政校企联合培养渠道，引导用人单位和学校打造“3+1”实习实训培养模式，</w:t>
      </w:r>
      <w:r>
        <w:rPr>
          <w:rFonts w:hint="eastAsia" w:ascii="仿宋_GB2312" w:hAnsi="仿宋_GB2312" w:eastAsia="仿宋_GB2312" w:cs="仿宋_GB2312"/>
          <w:sz w:val="32"/>
          <w:szCs w:val="40"/>
          <w:highlight w:val="none"/>
        </w:rPr>
        <w:t>通过联合开发培训课程、共建实习实训基地</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开展在校实习</w:t>
      </w:r>
      <w:r>
        <w:rPr>
          <w:rFonts w:hint="eastAsia" w:ascii="仿宋_GB2312" w:hAnsi="仿宋_GB2312" w:eastAsia="仿宋_GB2312" w:cs="仿宋_GB2312"/>
          <w:sz w:val="32"/>
          <w:szCs w:val="40"/>
          <w:highlight w:val="none"/>
        </w:rPr>
        <w:t>等形式，实现</w:t>
      </w:r>
      <w:r>
        <w:rPr>
          <w:rFonts w:hint="eastAsia" w:ascii="仿宋_GB2312" w:hAnsi="仿宋_GB2312" w:eastAsia="仿宋_GB2312" w:cs="仿宋_GB2312"/>
          <w:sz w:val="32"/>
          <w:szCs w:val="40"/>
          <w:highlight w:val="none"/>
          <w:lang w:val="en-US" w:eastAsia="zh-CN"/>
        </w:rPr>
        <w:t>实习</w:t>
      </w:r>
      <w:r>
        <w:rPr>
          <w:rFonts w:hint="eastAsia" w:ascii="仿宋_GB2312" w:hAnsi="仿宋_GB2312" w:eastAsia="仿宋_GB2312" w:cs="仿宋_GB2312"/>
          <w:sz w:val="32"/>
          <w:szCs w:val="40"/>
          <w:highlight w:val="none"/>
        </w:rPr>
        <w:t>培训和就业无缝衔接</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帮助高校毕业生实现就业</w:t>
      </w:r>
      <w:r>
        <w:rPr>
          <w:rFonts w:hint="eastAsia" w:ascii="仿宋_GB2312" w:hAnsi="仿宋_GB2312" w:eastAsia="仿宋_GB2312" w:cs="仿宋_GB2312"/>
          <w:sz w:val="32"/>
          <w:szCs w:val="40"/>
          <w:highlight w:val="none"/>
        </w:rPr>
        <w:t>。</w:t>
      </w:r>
    </w:p>
    <w:p w14:paraId="5B649AC9">
      <w:pPr>
        <w:spacing w:line="560" w:lineRule="exact"/>
        <w:ind w:firstLine="643" w:firstLineChars="200"/>
        <w:outlineLvl w:val="2"/>
        <w:rPr>
          <w:rFonts w:hint="eastAsia" w:ascii="仿宋_GB2312" w:hAnsi="仿宋_GB2312" w:eastAsia="仿宋_GB2312" w:cs="仿宋_GB2312"/>
          <w:b/>
          <w:sz w:val="32"/>
          <w:szCs w:val="32"/>
        </w:rPr>
      </w:pPr>
      <w:bookmarkStart w:id="54" w:name="_Toc16980"/>
      <w:r>
        <w:rPr>
          <w:rFonts w:hint="eastAsia" w:ascii="仿宋_GB2312" w:hAnsi="仿宋_GB2312" w:eastAsia="仿宋_GB2312" w:cs="仿宋_GB2312"/>
          <w:b/>
          <w:sz w:val="32"/>
          <w:szCs w:val="32"/>
        </w:rPr>
        <w:t>3.</w:t>
      </w:r>
      <w:bookmarkEnd w:id="54"/>
      <w:r>
        <w:rPr>
          <w:rFonts w:hint="eastAsia" w:ascii="仿宋_GB2312" w:hAnsi="仿宋_GB2312" w:eastAsia="仿宋_GB2312" w:cs="仿宋_GB2312"/>
          <w:b/>
          <w:sz w:val="32"/>
          <w:szCs w:val="32"/>
        </w:rPr>
        <w:t>全面推进就业公共服务提质增效</w:t>
      </w:r>
    </w:p>
    <w:p w14:paraId="14359BAC">
      <w:pPr>
        <w:pStyle w:val="10"/>
        <w:overflowPunct w:val="0"/>
        <w:spacing w:line="560" w:lineRule="exact"/>
        <w:ind w:firstLine="643" w:firstLineChars="200"/>
        <w:rPr>
          <w:rFonts w:hint="eastAsia" w:ascii="仿宋_GB2312" w:hAnsi="仿宋_GB2312" w:eastAsia="仿宋_GB2312" w:cs="仿宋_GB2312"/>
          <w:spacing w:val="10"/>
          <w:sz w:val="32"/>
          <w:szCs w:val="32"/>
        </w:rPr>
      </w:pPr>
      <w:r>
        <w:rPr>
          <w:rFonts w:hint="eastAsia" w:ascii="仿宋_GB2312" w:hAnsi="仿宋_GB2312" w:eastAsia="仿宋_GB2312" w:cs="仿宋_GB2312"/>
          <w:b/>
          <w:sz w:val="32"/>
          <w:szCs w:val="32"/>
        </w:rPr>
        <w:t>持续优化就业公共服务布局。</w:t>
      </w:r>
      <w:r>
        <w:rPr>
          <w:rFonts w:hint="eastAsia" w:ascii="仿宋_GB2312" w:hAnsi="仿宋_GB2312" w:eastAsia="仿宋_GB2312" w:cs="仿宋_GB2312"/>
          <w:spacing w:val="6"/>
          <w:sz w:val="32"/>
          <w:szCs w:val="32"/>
        </w:rPr>
        <w:t>落实首都就业公共服务提升行动计划，</w:t>
      </w:r>
      <w:r>
        <w:rPr>
          <w:rFonts w:hint="eastAsia" w:ascii="仿宋_GB2312" w:hAnsi="仿宋_GB2312" w:eastAsia="仿宋_GB2312" w:cs="仿宋_GB2312"/>
          <w:spacing w:val="-1"/>
          <w:sz w:val="32"/>
          <w:szCs w:val="32"/>
        </w:rPr>
        <w:t>将就</w:t>
      </w:r>
      <w:r>
        <w:rPr>
          <w:rFonts w:hint="eastAsia" w:ascii="仿宋_GB2312" w:hAnsi="仿宋_GB2312" w:eastAsia="仿宋_GB2312" w:cs="仿宋_GB2312"/>
          <w:spacing w:val="6"/>
          <w:sz w:val="32"/>
          <w:szCs w:val="32"/>
        </w:rPr>
        <w:t>业公共服务体系建设纳入经济社会发展及国土空间</w:t>
      </w:r>
      <w:r>
        <w:rPr>
          <w:rFonts w:hint="eastAsia" w:ascii="仿宋_GB2312" w:hAnsi="仿宋_GB2312" w:eastAsia="仿宋_GB2312" w:cs="仿宋_GB2312"/>
          <w:spacing w:val="5"/>
          <w:sz w:val="32"/>
          <w:szCs w:val="32"/>
        </w:rPr>
        <w:t>相关规</w:t>
      </w:r>
      <w:r>
        <w:rPr>
          <w:rFonts w:hint="eastAsia" w:ascii="仿宋_GB2312" w:hAnsi="仿宋_GB2312" w:eastAsia="仿宋_GB2312" w:cs="仿宋_GB2312"/>
          <w:spacing w:val="6"/>
          <w:sz w:val="32"/>
          <w:szCs w:val="32"/>
        </w:rPr>
        <w:t>划。</w:t>
      </w:r>
      <w:r>
        <w:rPr>
          <w:rFonts w:hint="eastAsia" w:ascii="仿宋_GB2312" w:hAnsi="仿宋_GB2312" w:eastAsia="仿宋_GB2312" w:cs="仿宋_GB2312"/>
          <w:spacing w:val="4"/>
          <w:sz w:val="32"/>
          <w:szCs w:val="32"/>
        </w:rPr>
        <w:t>推动</w:t>
      </w:r>
      <w:r>
        <w:rPr>
          <w:rFonts w:hint="eastAsia" w:ascii="仿宋_GB2312" w:hAnsi="仿宋_GB2312" w:eastAsia="仿宋_GB2312" w:cs="仿宋_GB2312"/>
          <w:spacing w:val="5"/>
          <w:sz w:val="32"/>
          <w:szCs w:val="32"/>
        </w:rPr>
        <w:t>就业公共服务融入基层治理体系，纳入基层民生保障服务事</w:t>
      </w:r>
      <w:r>
        <w:rPr>
          <w:rFonts w:hint="eastAsia" w:ascii="仿宋_GB2312" w:hAnsi="仿宋_GB2312" w:eastAsia="仿宋_GB2312" w:cs="仿宋_GB2312"/>
          <w:spacing w:val="4"/>
          <w:sz w:val="32"/>
          <w:szCs w:val="32"/>
        </w:rPr>
        <w:t>项。</w:t>
      </w:r>
      <w:r>
        <w:rPr>
          <w:rFonts w:hint="eastAsia" w:ascii="仿宋_GB2312" w:hAnsi="仿宋_GB2312" w:eastAsia="仿宋_GB2312" w:cs="仿宋_GB2312"/>
          <w:bCs/>
          <w:sz w:val="32"/>
          <w:szCs w:val="32"/>
        </w:rPr>
        <w:t>加快</w:t>
      </w:r>
      <w:r>
        <w:rPr>
          <w:rFonts w:hint="eastAsia" w:ascii="仿宋_GB2312" w:hAnsi="仿宋_GB2312" w:eastAsia="仿宋_GB2312" w:cs="仿宋_GB2312"/>
          <w:spacing w:val="4"/>
          <w:sz w:val="32"/>
          <w:szCs w:val="32"/>
        </w:rPr>
        <w:t>推进基层就业服务站建设，研究制定支持政策，</w:t>
      </w:r>
      <w:r>
        <w:rPr>
          <w:rFonts w:hint="eastAsia" w:ascii="仿宋_GB2312" w:hAnsi="仿宋_GB2312" w:eastAsia="仿宋_GB2312" w:cs="仿宋_GB2312"/>
          <w:bCs/>
          <w:sz w:val="32"/>
          <w:szCs w:val="32"/>
        </w:rPr>
        <w:t>在产业集聚区、人流密集区和人员集中居住区，分类推进</w:t>
      </w:r>
      <w:r>
        <w:rPr>
          <w:rFonts w:hint="eastAsia" w:ascii="仿宋_GB2312" w:hAnsi="仿宋_GB2312" w:eastAsia="仿宋_GB2312" w:cs="仿宋_GB2312"/>
          <w:spacing w:val="4"/>
          <w:sz w:val="32"/>
          <w:szCs w:val="32"/>
        </w:rPr>
        <w:t>就业服务站点建设，</w:t>
      </w:r>
      <w:r>
        <w:rPr>
          <w:rFonts w:hint="eastAsia" w:ascii="仿宋_GB2312" w:hAnsi="仿宋_GB2312" w:eastAsia="仿宋_GB2312" w:cs="仿宋_GB2312"/>
          <w:spacing w:val="-1"/>
          <w:sz w:val="32"/>
          <w:szCs w:val="32"/>
        </w:rPr>
        <w:t>做强区域就业服务品牌，构建</w:t>
      </w:r>
      <w:r>
        <w:rPr>
          <w:rFonts w:hint="eastAsia" w:ascii="仿宋_GB2312" w:hAnsi="仿宋_GB2312" w:eastAsia="仿宋_GB2312" w:cs="仿宋_GB2312"/>
          <w:spacing w:val="10"/>
          <w:sz w:val="32"/>
          <w:szCs w:val="32"/>
        </w:rPr>
        <w:t>运行高效的就业服务网络。</w:t>
      </w:r>
    </w:p>
    <w:p w14:paraId="1CC1A06D">
      <w:pPr>
        <w:pStyle w:val="10"/>
        <w:overflowPunct w:val="0"/>
        <w:spacing w:line="560" w:lineRule="exact"/>
        <w:ind w:firstLine="643" w:firstLineChars="200"/>
        <w:rPr>
          <w:rFonts w:hint="eastAsia" w:ascii="仿宋_GB2312" w:hAnsi="仿宋_GB2312" w:eastAsia="仿宋_GB2312" w:cs="仿宋_GB2312"/>
          <w:spacing w:val="1"/>
          <w:sz w:val="32"/>
          <w:szCs w:val="32"/>
        </w:rPr>
      </w:pPr>
      <w:r>
        <w:rPr>
          <w:rFonts w:hint="eastAsia" w:ascii="仿宋_GB2312" w:hAnsi="仿宋_GB2312" w:eastAsia="仿宋_GB2312" w:cs="仿宋_GB2312"/>
          <w:b/>
          <w:sz w:val="32"/>
          <w:szCs w:val="32"/>
        </w:rPr>
        <w:t>构建精准就业服务新生态</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spacing w:val="1"/>
          <w:sz w:val="32"/>
          <w:szCs w:val="32"/>
          <w:highlight w:val="none"/>
        </w:rPr>
        <w:t>打造数智就业服务新模式，推进政务数据共享分析和综合运用，深化“专员制+家门口智慧服务”体系，加大就业岗位供求信息整合推送力度，实现人岗精准匹配</w:t>
      </w:r>
      <w:r>
        <w:rPr>
          <w:rFonts w:hint="eastAsia" w:ascii="仿宋_GB2312" w:hAnsi="仿宋_GB2312" w:eastAsia="仿宋_GB2312" w:cs="仿宋_GB2312"/>
          <w:spacing w:val="1"/>
          <w:sz w:val="32"/>
          <w:szCs w:val="32"/>
          <w:highlight w:val="none"/>
          <w:lang w:val="en-US" w:eastAsia="zh-CN"/>
        </w:rPr>
        <w:t>智慧对接</w:t>
      </w:r>
      <w:r>
        <w:rPr>
          <w:rFonts w:hint="eastAsia" w:ascii="仿宋_GB2312" w:hAnsi="仿宋_GB2312" w:eastAsia="仿宋_GB2312" w:cs="仿宋_GB2312"/>
          <w:spacing w:val="1"/>
          <w:sz w:val="32"/>
          <w:szCs w:val="32"/>
          <w:highlight w:val="none"/>
        </w:rPr>
        <w:t>。开展精细化就业服务，</w:t>
      </w:r>
      <w:r>
        <w:rPr>
          <w:rFonts w:hint="eastAsia" w:ascii="仿宋_GB2312" w:hAnsi="仿宋_GB2312" w:eastAsia="仿宋_GB2312" w:cs="仿宋_GB2312"/>
          <w:spacing w:val="1"/>
          <w:sz w:val="32"/>
          <w:szCs w:val="32"/>
        </w:rPr>
        <w:t>针对就业困难人员、登记失业人员、高校毕业生等重点群体，提供职业指导、技能培训等服务。强化职业指导师队伍建设，开展业务练兵、业务培训、专项竞赛，培育高素质就业服务队伍。</w:t>
      </w:r>
    </w:p>
    <w:p w14:paraId="4BD2C7A3">
      <w:pPr>
        <w:pStyle w:val="10"/>
        <w:overflowPunct w:val="0"/>
        <w:autoSpaceDE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加快培育吸纳就业创新载体。</w:t>
      </w:r>
      <w:r>
        <w:rPr>
          <w:rFonts w:hint="eastAsia" w:ascii="仿宋_GB2312" w:hAnsi="仿宋_GB2312" w:eastAsia="仿宋_GB2312" w:cs="仿宋_GB2312"/>
          <w:sz w:val="32"/>
          <w:szCs w:val="32"/>
        </w:rPr>
        <w:t>落实创业带动就业政策，支持带动就业效果明显的创业孵化机构发展。加快培育硬科技初创企业，加大创业投资、银行信贷等对创新企业支持，创造就业新机会。引导金融机构为创业项目提供融资支持，对招用符合创业担保贷款申请条件人员小微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按规定给予贷款及财政贴息支持。持续举办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创翼大兴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创</w:t>
      </w:r>
      <w:r>
        <w:rPr>
          <w:rFonts w:hint="eastAsia" w:ascii="仿宋_GB2312" w:hAnsi="仿宋_GB2312" w:eastAsia="仿宋_GB2312" w:cs="仿宋_GB2312"/>
          <w:sz w:val="32"/>
          <w:szCs w:val="32"/>
        </w:rPr>
        <w:t>业创新大赛，</w:t>
      </w:r>
      <w:bookmarkStart w:id="55" w:name="OLE_LINK1"/>
      <w:bookmarkStart w:id="56" w:name="OLE_LINK2"/>
      <w:r>
        <w:rPr>
          <w:rFonts w:hint="eastAsia" w:ascii="仿宋_GB2312" w:hAnsi="仿宋_GB2312" w:eastAsia="仿宋_GB2312" w:cs="仿宋_GB2312"/>
          <w:sz w:val="32"/>
          <w:szCs w:val="32"/>
        </w:rPr>
        <w:t>协助项目对接创业服务机构、金融服务机构等资源，加快推动优秀项目成果落地转化。</w:t>
      </w:r>
    </w:p>
    <w:bookmarkEnd w:id="55"/>
    <w:bookmarkEnd w:id="56"/>
    <w:p w14:paraId="28B5548B">
      <w:pPr>
        <w:widowControl/>
        <w:spacing w:line="560" w:lineRule="exact"/>
        <w:jc w:val="left"/>
        <w:rPr>
          <w:rFonts w:hint="eastAsia" w:ascii="仿宋_GB2312" w:hAnsi="仿宋_GB2312" w:eastAsia="仿宋_GB2312" w:cs="仿宋_GB2312"/>
          <w:bCs/>
          <w:sz w:val="32"/>
          <w:szCs w:val="32"/>
        </w:rPr>
      </w:pPr>
      <w:r>
        <w:rPr>
          <w:sz w:val="18"/>
        </w:rPr>
        <mc:AlternateContent>
          <mc:Choice Requires="wps">
            <w:drawing>
              <wp:anchor distT="0" distB="0" distL="114300" distR="114300" simplePos="0" relativeHeight="251660288" behindDoc="0" locked="0" layoutInCell="1" allowOverlap="1">
                <wp:simplePos x="0" y="0"/>
                <wp:positionH relativeFrom="column">
                  <wp:posOffset>-41275</wp:posOffset>
                </wp:positionH>
                <wp:positionV relativeFrom="paragraph">
                  <wp:posOffset>128905</wp:posOffset>
                </wp:positionV>
                <wp:extent cx="5634355" cy="5596255"/>
                <wp:effectExtent l="4445" t="4445" r="19050" b="19050"/>
                <wp:wrapSquare wrapText="bothSides"/>
                <wp:docPr id="4" name="文本框 11"/>
                <wp:cNvGraphicFramePr/>
                <a:graphic xmlns:a="http://schemas.openxmlformats.org/drawingml/2006/main">
                  <a:graphicData uri="http://schemas.microsoft.com/office/word/2010/wordprocessingShape">
                    <wps:wsp>
                      <wps:cNvSpPr txBox="1"/>
                      <wps:spPr>
                        <a:xfrm>
                          <a:off x="0" y="0"/>
                          <a:ext cx="5634355" cy="55962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97E6B6">
                            <w:pPr>
                              <w:spacing w:line="520" w:lineRule="exact"/>
                              <w:jc w:val="center"/>
                              <w:rPr>
                                <w:rFonts w:hint="eastAsia"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专栏1</w:t>
                            </w:r>
                            <w:r>
                              <w:rPr>
                                <w:rFonts w:hint="eastAsia" w:ascii="仿宋_GB2312" w:hAnsi="仿宋_GB2312" w:eastAsia="仿宋_GB2312" w:cs="仿宋_GB2312"/>
                                <w:b/>
                                <w:bCs/>
                                <w:sz w:val="36"/>
                                <w:szCs w:val="36"/>
                                <w:lang w:val="en-US" w:eastAsia="zh-CN"/>
                              </w:rPr>
                              <w:t xml:space="preserve"> </w:t>
                            </w:r>
                            <w:r>
                              <w:rPr>
                                <w:rFonts w:hint="eastAsia" w:ascii="仿宋_GB2312" w:hAnsi="仿宋_GB2312" w:eastAsia="仿宋_GB2312" w:cs="仿宋_GB2312"/>
                                <w:b/>
                                <w:bCs/>
                                <w:sz w:val="36"/>
                                <w:szCs w:val="36"/>
                              </w:rPr>
                              <w:t>“家门口智慧就业服务”</w:t>
                            </w:r>
                          </w:p>
                          <w:p w14:paraId="393B2DF8">
                            <w:pPr>
                              <w:overflowPunct w:val="0"/>
                              <w:spacing w:line="520" w:lineRule="exact"/>
                              <w:ind w:firstLine="560" w:firstLineChars="200"/>
                              <w:rPr>
                                <w:rFonts w:hint="eastAsia" w:ascii="仿宋_GB2312" w:hAnsi="仿宋_GB2312" w:eastAsia="仿宋_GB2312" w:cs="仿宋_GB2312"/>
                                <w:sz w:val="28"/>
                                <w:szCs w:val="28"/>
                              </w:rPr>
                            </w:pPr>
                          </w:p>
                          <w:p w14:paraId="6DEAC610">
                            <w:pPr>
                              <w:overflowPunct w:val="0"/>
                              <w:spacing w:line="50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深入实施岗位增容扩容计划：</w:t>
                            </w:r>
                            <w:r>
                              <w:rPr>
                                <w:rFonts w:hint="eastAsia" w:ascii="仿宋_GB2312" w:hAnsi="仿宋_GB2312" w:eastAsia="仿宋_GB2312" w:cs="仿宋_GB2312"/>
                                <w:sz w:val="28"/>
                                <w:szCs w:val="28"/>
                              </w:rPr>
                              <w:t>依托“大兴就业平台”搭建数据分析</w:t>
                            </w:r>
                            <w:r>
                              <w:rPr>
                                <w:rFonts w:hint="eastAsia" w:ascii="Calibri" w:hAnsi="Calibri" w:eastAsia="仿宋_GB2312" w:cs="Calibri"/>
                                <w:sz w:val="28"/>
                                <w:szCs w:val="28"/>
                              </w:rPr>
                              <w:t>体系</w:t>
                            </w:r>
                            <w:r>
                              <w:rPr>
                                <w:rFonts w:hint="eastAsia" w:ascii="仿宋_GB2312" w:hAnsi="仿宋_GB2312" w:eastAsia="仿宋_GB2312" w:cs="仿宋_GB2312"/>
                                <w:sz w:val="28"/>
                                <w:szCs w:val="28"/>
                              </w:rPr>
                              <w:t>，监测企业参保数据，智能研判区域就业形势；</w:t>
                            </w:r>
                            <w:r>
                              <w:rPr>
                                <w:rFonts w:hint="eastAsia" w:ascii="Calibri" w:hAnsi="Calibri" w:eastAsia="仿宋_GB2312" w:cs="Calibri"/>
                                <w:sz w:val="28"/>
                                <w:szCs w:val="28"/>
                              </w:rPr>
                              <w:t>根据</w:t>
                            </w:r>
                            <w:r>
                              <w:rPr>
                                <w:rFonts w:hint="eastAsia" w:ascii="仿宋_GB2312" w:hAnsi="仿宋_GB2312" w:eastAsia="仿宋_GB2312" w:cs="仿宋_GB2312"/>
                                <w:sz w:val="28"/>
                                <w:szCs w:val="28"/>
                              </w:rPr>
                              <w:t>企业参保减员、增员的变动情况，将企业潜在需求转化为现实岗位，促进劳动者就业，</w:t>
                            </w:r>
                            <w:r>
                              <w:rPr>
                                <w:rFonts w:hint="eastAsia" w:ascii="Calibri" w:hAnsi="Calibri" w:eastAsia="仿宋_GB2312" w:cs="Calibri"/>
                                <w:sz w:val="28"/>
                                <w:szCs w:val="28"/>
                              </w:rPr>
                              <w:t>实现</w:t>
                            </w:r>
                            <w:r>
                              <w:rPr>
                                <w:rFonts w:hint="eastAsia" w:ascii="仿宋_GB2312" w:hAnsi="仿宋_GB2312" w:eastAsia="仿宋_GB2312" w:cs="仿宋_GB2312"/>
                                <w:sz w:val="28"/>
                                <w:szCs w:val="28"/>
                              </w:rPr>
                              <w:t>4万家参保企业</w:t>
                            </w:r>
                            <w:r>
                              <w:rPr>
                                <w:rFonts w:hint="eastAsia" w:ascii="Calibri" w:hAnsi="Calibri" w:eastAsia="仿宋_GB2312" w:cs="Calibri"/>
                                <w:sz w:val="28"/>
                                <w:szCs w:val="28"/>
                              </w:rPr>
                              <w:t>服务</w:t>
                            </w:r>
                            <w:r>
                              <w:rPr>
                                <w:rFonts w:hint="eastAsia" w:ascii="仿宋_GB2312" w:hAnsi="仿宋_GB2312" w:eastAsia="仿宋_GB2312" w:cs="仿宋_GB2312"/>
                                <w:sz w:val="28"/>
                                <w:szCs w:val="28"/>
                              </w:rPr>
                              <w:t>全覆盖。</w:t>
                            </w:r>
                          </w:p>
                          <w:p w14:paraId="3D90E6D6">
                            <w:pPr>
                              <w:overflowPunct w:val="0"/>
                              <w:spacing w:line="50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优化</w:t>
                            </w:r>
                            <w:r>
                              <w:rPr>
                                <w:rFonts w:hint="eastAsia" w:ascii="仿宋_GB2312" w:hAnsi="仿宋_GB2312" w:eastAsia="仿宋_GB2312" w:cs="仿宋_GB2312"/>
                                <w:b/>
                                <w:bCs/>
                                <w:sz w:val="28"/>
                                <w:szCs w:val="28"/>
                              </w:rPr>
                              <w:t>公共就业服务运行机制：</w:t>
                            </w:r>
                            <w:r>
                              <w:rPr>
                                <w:rFonts w:hint="eastAsia" w:ascii="仿宋_GB2312" w:hAnsi="仿宋_GB2312" w:eastAsia="仿宋_GB2312" w:cs="仿宋_GB2312"/>
                                <w:sz w:val="28"/>
                                <w:szCs w:val="28"/>
                              </w:rPr>
                              <w:t>“家门口智慧就业服务”，将企业参保减员、增员情况及减员人员信息等“派单”至服务专员“终端”，服务专员主动联系减员企业，了解用工需求、就业服务需求等，推送人才简历信息、就业政策等精准服务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主动联系社保减员人员，了解就业状况、求职意愿等，提供岗位匹配推荐、职业指导等精准服务，促进实现再就业。</w:t>
                            </w:r>
                          </w:p>
                          <w:p w14:paraId="52EEFAA5">
                            <w:pPr>
                              <w:overflowPunct w:val="0"/>
                              <w:spacing w:line="500" w:lineRule="exact"/>
                              <w:ind w:firstLine="562" w:firstLineChars="200"/>
                              <w:rPr>
                                <w:sz w:val="18"/>
                                <w:szCs w:val="21"/>
                              </w:rPr>
                            </w:pPr>
                            <w:r>
                              <w:rPr>
                                <w:rFonts w:hint="eastAsia" w:ascii="仿宋_GB2312" w:hAnsi="仿宋_GB2312" w:eastAsia="仿宋_GB2312" w:cs="仿宋_GB2312"/>
                                <w:b/>
                                <w:bCs/>
                                <w:sz w:val="28"/>
                                <w:szCs w:val="28"/>
                              </w:rPr>
                              <w:t>搭建全链</w:t>
                            </w:r>
                            <w:r>
                              <w:rPr>
                                <w:rFonts w:hint="eastAsia" w:ascii="Calibri" w:hAnsi="Calibri" w:eastAsia="仿宋_GB2312" w:cs="Calibri"/>
                                <w:b/>
                                <w:bCs/>
                                <w:sz w:val="28"/>
                                <w:szCs w:val="28"/>
                              </w:rPr>
                              <w:t>智慧</w:t>
                            </w:r>
                            <w:r>
                              <w:rPr>
                                <w:rFonts w:hint="eastAsia" w:ascii="仿宋_GB2312" w:hAnsi="仿宋_GB2312" w:eastAsia="仿宋_GB2312" w:cs="仿宋_GB2312"/>
                                <w:b/>
                                <w:bCs/>
                                <w:sz w:val="28"/>
                                <w:szCs w:val="28"/>
                              </w:rPr>
                              <w:t>就业服务平台：</w:t>
                            </w:r>
                            <w:r>
                              <w:rPr>
                                <w:rFonts w:hint="eastAsia" w:ascii="仿宋_GB2312" w:hAnsi="仿宋_GB2312" w:eastAsia="仿宋_GB2312" w:cs="仿宋_GB2312"/>
                                <w:sz w:val="28"/>
                                <w:szCs w:val="28"/>
                              </w:rPr>
                              <w:t>打造“家门口智慧就业-企业服务站”，为企业提供“一站式”的用工招聘、职工培训、就业补贴等就业服务，企业可通过“地图找人才”“智能匹配推荐”等快速匹配意向人才，智能搜索相关就业政策与服务，“一键”联系公共就业服务机构相关部门。</w:t>
                            </w:r>
                          </w:p>
                        </w:txbxContent>
                      </wps:txbx>
                      <wps:bodyPr vert="horz" anchor="t" anchorCtr="0" upright="1"/>
                    </wps:wsp>
                  </a:graphicData>
                </a:graphic>
              </wp:anchor>
            </w:drawing>
          </mc:Choice>
          <mc:Fallback>
            <w:pict>
              <v:shape id="文本框 11" o:spid="_x0000_s1026" o:spt="202" type="#_x0000_t202" style="position:absolute;left:0pt;margin-left:-3.25pt;margin-top:10.15pt;height:440.65pt;width:443.65pt;mso-wrap-distance-bottom:0pt;mso-wrap-distance-left:9pt;mso-wrap-distance-right:9pt;mso-wrap-distance-top:0pt;z-index:251660288;mso-width-relative:page;mso-height-relative:page;" fillcolor="#FFFFFF" filled="t" stroked="t" coordsize="21600,21600" o:gfxdata="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pJN&#10;dNgAAAAJAQAADwAAAAAAAAABACAAAAAiAAAAZHJzL2Rvd25yZXYueG1sUEsBAhQAFAAAAAgAh07i&#10;QJTb5lEiAgAAXQQAAA4AAAAAAAAAAQAgAAAAJwEAAGRycy9lMm9Eb2MueG1sUEsFBgAAAAAGAAYA&#10;WQEAALsFAAAAAA==&#10;">
                <v:fill on="t" focussize="0,0"/>
                <v:stroke color="#000000" joinstyle="miter"/>
                <v:imagedata o:title=""/>
                <o:lock v:ext="edit" aspectratio="f"/>
                <v:textbox>
                  <w:txbxContent>
                    <w:p w14:paraId="0297E6B6">
                      <w:pPr>
                        <w:spacing w:line="520" w:lineRule="exact"/>
                        <w:jc w:val="center"/>
                        <w:rPr>
                          <w:rFonts w:hint="eastAsia"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专栏1</w:t>
                      </w:r>
                      <w:r>
                        <w:rPr>
                          <w:rFonts w:hint="eastAsia" w:ascii="仿宋_GB2312" w:hAnsi="仿宋_GB2312" w:eastAsia="仿宋_GB2312" w:cs="仿宋_GB2312"/>
                          <w:b/>
                          <w:bCs/>
                          <w:sz w:val="36"/>
                          <w:szCs w:val="36"/>
                          <w:lang w:val="en-US" w:eastAsia="zh-CN"/>
                        </w:rPr>
                        <w:t xml:space="preserve"> </w:t>
                      </w:r>
                      <w:r>
                        <w:rPr>
                          <w:rFonts w:hint="eastAsia" w:ascii="仿宋_GB2312" w:hAnsi="仿宋_GB2312" w:eastAsia="仿宋_GB2312" w:cs="仿宋_GB2312"/>
                          <w:b/>
                          <w:bCs/>
                          <w:sz w:val="36"/>
                          <w:szCs w:val="36"/>
                        </w:rPr>
                        <w:t>“家门口智慧就业服务”</w:t>
                      </w:r>
                    </w:p>
                    <w:p w14:paraId="393B2DF8">
                      <w:pPr>
                        <w:overflowPunct w:val="0"/>
                        <w:spacing w:line="520" w:lineRule="exact"/>
                        <w:ind w:firstLine="560" w:firstLineChars="200"/>
                        <w:rPr>
                          <w:rFonts w:hint="eastAsia" w:ascii="仿宋_GB2312" w:hAnsi="仿宋_GB2312" w:eastAsia="仿宋_GB2312" w:cs="仿宋_GB2312"/>
                          <w:sz w:val="28"/>
                          <w:szCs w:val="28"/>
                        </w:rPr>
                      </w:pPr>
                    </w:p>
                    <w:p w14:paraId="6DEAC610">
                      <w:pPr>
                        <w:overflowPunct w:val="0"/>
                        <w:spacing w:line="50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深入实施岗位增容扩容计划：</w:t>
                      </w:r>
                      <w:r>
                        <w:rPr>
                          <w:rFonts w:hint="eastAsia" w:ascii="仿宋_GB2312" w:hAnsi="仿宋_GB2312" w:eastAsia="仿宋_GB2312" w:cs="仿宋_GB2312"/>
                          <w:sz w:val="28"/>
                          <w:szCs w:val="28"/>
                        </w:rPr>
                        <w:t>依托“大兴就业平台”搭建数据分析</w:t>
                      </w:r>
                      <w:r>
                        <w:rPr>
                          <w:rFonts w:hint="eastAsia" w:ascii="Calibri" w:hAnsi="Calibri" w:eastAsia="仿宋_GB2312" w:cs="Calibri"/>
                          <w:sz w:val="28"/>
                          <w:szCs w:val="28"/>
                        </w:rPr>
                        <w:t>体系</w:t>
                      </w:r>
                      <w:r>
                        <w:rPr>
                          <w:rFonts w:hint="eastAsia" w:ascii="仿宋_GB2312" w:hAnsi="仿宋_GB2312" w:eastAsia="仿宋_GB2312" w:cs="仿宋_GB2312"/>
                          <w:sz w:val="28"/>
                          <w:szCs w:val="28"/>
                        </w:rPr>
                        <w:t>，监测企业参保数据，智能研判区域就业形势；</w:t>
                      </w:r>
                      <w:r>
                        <w:rPr>
                          <w:rFonts w:hint="eastAsia" w:ascii="Calibri" w:hAnsi="Calibri" w:eastAsia="仿宋_GB2312" w:cs="Calibri"/>
                          <w:sz w:val="28"/>
                          <w:szCs w:val="28"/>
                        </w:rPr>
                        <w:t>根据</w:t>
                      </w:r>
                      <w:r>
                        <w:rPr>
                          <w:rFonts w:hint="eastAsia" w:ascii="仿宋_GB2312" w:hAnsi="仿宋_GB2312" w:eastAsia="仿宋_GB2312" w:cs="仿宋_GB2312"/>
                          <w:sz w:val="28"/>
                          <w:szCs w:val="28"/>
                        </w:rPr>
                        <w:t>企业参保减员、增员的变动情况，将企业潜在需求转化为现实岗位，促进劳动者就业，</w:t>
                      </w:r>
                      <w:r>
                        <w:rPr>
                          <w:rFonts w:hint="eastAsia" w:ascii="Calibri" w:hAnsi="Calibri" w:eastAsia="仿宋_GB2312" w:cs="Calibri"/>
                          <w:sz w:val="28"/>
                          <w:szCs w:val="28"/>
                        </w:rPr>
                        <w:t>实现</w:t>
                      </w:r>
                      <w:r>
                        <w:rPr>
                          <w:rFonts w:hint="eastAsia" w:ascii="仿宋_GB2312" w:hAnsi="仿宋_GB2312" w:eastAsia="仿宋_GB2312" w:cs="仿宋_GB2312"/>
                          <w:sz w:val="28"/>
                          <w:szCs w:val="28"/>
                        </w:rPr>
                        <w:t>4万家参保企业</w:t>
                      </w:r>
                      <w:r>
                        <w:rPr>
                          <w:rFonts w:hint="eastAsia" w:ascii="Calibri" w:hAnsi="Calibri" w:eastAsia="仿宋_GB2312" w:cs="Calibri"/>
                          <w:sz w:val="28"/>
                          <w:szCs w:val="28"/>
                        </w:rPr>
                        <w:t>服务</w:t>
                      </w:r>
                      <w:r>
                        <w:rPr>
                          <w:rFonts w:hint="eastAsia" w:ascii="仿宋_GB2312" w:hAnsi="仿宋_GB2312" w:eastAsia="仿宋_GB2312" w:cs="仿宋_GB2312"/>
                          <w:sz w:val="28"/>
                          <w:szCs w:val="28"/>
                        </w:rPr>
                        <w:t>全覆盖。</w:t>
                      </w:r>
                    </w:p>
                    <w:p w14:paraId="3D90E6D6">
                      <w:pPr>
                        <w:overflowPunct w:val="0"/>
                        <w:spacing w:line="50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优化</w:t>
                      </w:r>
                      <w:r>
                        <w:rPr>
                          <w:rFonts w:hint="eastAsia" w:ascii="仿宋_GB2312" w:hAnsi="仿宋_GB2312" w:eastAsia="仿宋_GB2312" w:cs="仿宋_GB2312"/>
                          <w:b/>
                          <w:bCs/>
                          <w:sz w:val="28"/>
                          <w:szCs w:val="28"/>
                        </w:rPr>
                        <w:t>公共就业服务运行机制：</w:t>
                      </w:r>
                      <w:r>
                        <w:rPr>
                          <w:rFonts w:hint="eastAsia" w:ascii="仿宋_GB2312" w:hAnsi="仿宋_GB2312" w:eastAsia="仿宋_GB2312" w:cs="仿宋_GB2312"/>
                          <w:sz w:val="28"/>
                          <w:szCs w:val="28"/>
                        </w:rPr>
                        <w:t>“家门口智慧就业服务”，将企业参保减员、增员情况及减员人员信息等“派单”至服务专员“终端”，服务专员主动联系减员企业，了解用工需求、就业服务需求等，推送人才简历信息、就业政策等精准服务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主动联系社保减员人员，了解就业状况、求职意愿等，提供岗位匹配推荐、职业指导等精准服务，促进实现再就业。</w:t>
                      </w:r>
                    </w:p>
                    <w:p w14:paraId="52EEFAA5">
                      <w:pPr>
                        <w:overflowPunct w:val="0"/>
                        <w:spacing w:line="500" w:lineRule="exact"/>
                        <w:ind w:firstLine="562" w:firstLineChars="200"/>
                        <w:rPr>
                          <w:sz w:val="18"/>
                          <w:szCs w:val="21"/>
                        </w:rPr>
                      </w:pPr>
                      <w:r>
                        <w:rPr>
                          <w:rFonts w:hint="eastAsia" w:ascii="仿宋_GB2312" w:hAnsi="仿宋_GB2312" w:eastAsia="仿宋_GB2312" w:cs="仿宋_GB2312"/>
                          <w:b/>
                          <w:bCs/>
                          <w:sz w:val="28"/>
                          <w:szCs w:val="28"/>
                        </w:rPr>
                        <w:t>搭建全链</w:t>
                      </w:r>
                      <w:r>
                        <w:rPr>
                          <w:rFonts w:hint="eastAsia" w:ascii="Calibri" w:hAnsi="Calibri" w:eastAsia="仿宋_GB2312" w:cs="Calibri"/>
                          <w:b/>
                          <w:bCs/>
                          <w:sz w:val="28"/>
                          <w:szCs w:val="28"/>
                        </w:rPr>
                        <w:t>智慧</w:t>
                      </w:r>
                      <w:r>
                        <w:rPr>
                          <w:rFonts w:hint="eastAsia" w:ascii="仿宋_GB2312" w:hAnsi="仿宋_GB2312" w:eastAsia="仿宋_GB2312" w:cs="仿宋_GB2312"/>
                          <w:b/>
                          <w:bCs/>
                          <w:sz w:val="28"/>
                          <w:szCs w:val="28"/>
                        </w:rPr>
                        <w:t>就业服务平台：</w:t>
                      </w:r>
                      <w:r>
                        <w:rPr>
                          <w:rFonts w:hint="eastAsia" w:ascii="仿宋_GB2312" w:hAnsi="仿宋_GB2312" w:eastAsia="仿宋_GB2312" w:cs="仿宋_GB2312"/>
                          <w:sz w:val="28"/>
                          <w:szCs w:val="28"/>
                        </w:rPr>
                        <w:t>打造“家门口智慧就业-企业服务站”，为企业提供“一站式”的用工招聘、职工培训、就业补贴等就业服务，企业可通过“地图找人才”“智能匹配推荐”等快速匹配意向人才，智能搜索相关就业政策与服务，“一键”联系公共就业服务机构相关部门。</w:t>
                      </w:r>
                    </w:p>
                  </w:txbxContent>
                </v:textbox>
                <w10:wrap type="square"/>
              </v:shape>
            </w:pict>
          </mc:Fallback>
        </mc:AlternateContent>
      </w:r>
      <w:r>
        <w:rPr>
          <w:rFonts w:hint="eastAsia"/>
          <w:sz w:val="18"/>
          <w:lang w:val="en-US" w:eastAsia="zh-CN"/>
        </w:rPr>
        <w:t xml:space="preserve">        </w:t>
      </w:r>
      <w:r>
        <w:rPr>
          <w:rFonts w:hint="eastAsia" w:ascii="仿宋_GB2312" w:hAnsi="仿宋_GB2312" w:eastAsia="仿宋_GB2312" w:cs="仿宋_GB2312"/>
          <w:b/>
          <w:sz w:val="32"/>
          <w:szCs w:val="32"/>
        </w:rPr>
        <w:t>强化市场化就业服务保障。</w:t>
      </w:r>
      <w:r>
        <w:rPr>
          <w:rFonts w:hint="eastAsia" w:ascii="仿宋_GB2312" w:hAnsi="仿宋_GB2312" w:eastAsia="仿宋_GB2312" w:cs="仿宋_GB2312"/>
          <w:bCs/>
          <w:sz w:val="32"/>
          <w:szCs w:val="32"/>
        </w:rPr>
        <w:t>优化人力资源服务产业布局，</w:t>
      </w:r>
      <w:r>
        <w:rPr>
          <w:rFonts w:hint="eastAsia" w:ascii="仿宋_GB2312" w:hAnsi="仿宋_GB2312" w:eastAsia="仿宋_GB2312" w:cs="仿宋_GB2312"/>
          <w:spacing w:val="3"/>
          <w:sz w:val="32"/>
          <w:szCs w:val="32"/>
        </w:rPr>
        <w:t>支持人力资源服务产业园发展</w:t>
      </w:r>
      <w:r>
        <w:rPr>
          <w:rFonts w:hint="eastAsia" w:ascii="仿宋_GB2312" w:hAnsi="仿宋_GB2312" w:eastAsia="仿宋_GB2312" w:cs="仿宋_GB2312"/>
          <w:spacing w:val="2"/>
          <w:sz w:val="32"/>
          <w:szCs w:val="32"/>
        </w:rPr>
        <w:t>，吸引优质人力资源服务机构入驻，逐步丰富高端猎头、人才测评等服务供给。</w:t>
      </w:r>
      <w:r>
        <w:rPr>
          <w:rFonts w:hint="eastAsia" w:ascii="仿宋_GB2312" w:hAnsi="仿宋_GB2312" w:eastAsia="仿宋_GB2312" w:cs="仿宋_GB2312"/>
          <w:spacing w:val="3"/>
          <w:sz w:val="32"/>
          <w:szCs w:val="32"/>
        </w:rPr>
        <w:t>通过政府购买服务、政策激励等方式，</w:t>
      </w:r>
      <w:r>
        <w:rPr>
          <w:rFonts w:hint="eastAsia" w:ascii="仿宋_GB2312" w:hAnsi="仿宋_GB2312" w:eastAsia="仿宋_GB2312" w:cs="仿宋_GB2312"/>
          <w:spacing w:val="2"/>
          <w:sz w:val="32"/>
          <w:szCs w:val="32"/>
        </w:rPr>
        <w:t>引入市场化人力资源机构参与就业公共服务</w:t>
      </w:r>
      <w:r>
        <w:rPr>
          <w:rFonts w:hint="eastAsia" w:ascii="仿宋_GB2312" w:hAnsi="仿宋_GB2312" w:eastAsia="仿宋_GB2312" w:cs="仿宋_GB2312"/>
          <w:spacing w:val="3"/>
          <w:sz w:val="32"/>
          <w:szCs w:val="32"/>
        </w:rPr>
        <w:t>。</w:t>
      </w:r>
      <w:r>
        <w:rPr>
          <w:rFonts w:hint="eastAsia" w:ascii="仿宋_GB2312" w:hAnsi="仿宋_GB2312" w:eastAsia="仿宋_GB2312" w:cs="仿宋_GB2312"/>
          <w:bCs/>
          <w:sz w:val="32"/>
          <w:szCs w:val="32"/>
        </w:rPr>
        <w:t>支持人力资源服务领域跨区域交流，加强“兴滨雄”人力资源合作，引导区域人力资源合理流动。开展清理整顿人力资源市场秩序专项行动，依法从严惩处相关违法违规行为，营造良好人力资源市场环境。</w:t>
      </w:r>
    </w:p>
    <w:p w14:paraId="00904E89">
      <w:pPr>
        <w:pStyle w:val="10"/>
        <w:overflowPunct w:val="0"/>
        <w:spacing w:line="560" w:lineRule="exact"/>
        <w:ind w:right="123" w:firstLine="643" w:firstLineChars="200"/>
        <w:rPr>
          <w:rFonts w:hint="eastAsia" w:ascii="仿宋_GB2312" w:hAnsi="仿宋_GB2312" w:eastAsia="仿宋_GB2312" w:cs="仿宋_GB2312"/>
          <w:spacing w:val="5"/>
          <w:sz w:val="32"/>
          <w:szCs w:val="32"/>
        </w:rPr>
      </w:pPr>
      <w:r>
        <w:rPr>
          <w:rFonts w:hint="eastAsia" w:ascii="仿宋_GB2312" w:hAnsi="仿宋_GB2312" w:eastAsia="仿宋_GB2312" w:cs="仿宋_GB2312"/>
          <w:b/>
          <w:sz w:val="32"/>
          <w:szCs w:val="32"/>
        </w:rPr>
        <w:t>支持新就业形态健康发展。</w:t>
      </w:r>
      <w:r>
        <w:rPr>
          <w:rFonts w:hint="eastAsia" w:ascii="仿宋_GB2312" w:hAnsi="仿宋_GB2312" w:eastAsia="仿宋_GB2312" w:cs="仿宋_GB2312"/>
          <w:spacing w:val="4"/>
          <w:sz w:val="32"/>
          <w:szCs w:val="32"/>
        </w:rPr>
        <w:t>落实</w:t>
      </w:r>
      <w:r>
        <w:rPr>
          <w:rFonts w:hint="eastAsia" w:ascii="仿宋_GB2312" w:hAnsi="仿宋_GB2312" w:eastAsia="仿宋_GB2312" w:cs="仿宋_GB2312"/>
          <w:sz w:val="32"/>
          <w:szCs w:val="32"/>
        </w:rPr>
        <w:t>平台经济吸纳就</w:t>
      </w:r>
      <w:r>
        <w:rPr>
          <w:rFonts w:hint="eastAsia" w:ascii="仿宋_GB2312" w:hAnsi="仿宋_GB2312" w:eastAsia="仿宋_GB2312" w:cs="仿宋_GB2312"/>
          <w:spacing w:val="5"/>
          <w:sz w:val="32"/>
          <w:szCs w:val="32"/>
        </w:rPr>
        <w:t>业指导意见，依托平台经济发展，推动创造更多就业岗位。</w:t>
      </w:r>
      <w:r>
        <w:rPr>
          <w:rFonts w:hint="eastAsia" w:ascii="仿宋_GB2312" w:hAnsi="仿宋_GB2312" w:eastAsia="仿宋_GB2312" w:cs="仿宋_GB2312"/>
          <w:spacing w:val="4"/>
          <w:sz w:val="32"/>
          <w:szCs w:val="32"/>
        </w:rPr>
        <w:t>支持零工市场</w:t>
      </w:r>
      <w:r>
        <w:rPr>
          <w:rStyle w:val="29"/>
          <w:rFonts w:hint="eastAsia" w:ascii="仿宋_GB2312" w:hAnsi="仿宋_GB2312" w:eastAsia="仿宋_GB2312" w:cs="仿宋_GB2312"/>
          <w:spacing w:val="4"/>
          <w:sz w:val="32"/>
          <w:szCs w:val="32"/>
        </w:rPr>
        <w:footnoteReference w:id="16"/>
      </w:r>
      <w:r>
        <w:rPr>
          <w:rFonts w:hint="eastAsia" w:ascii="仿宋_GB2312" w:hAnsi="仿宋_GB2312" w:eastAsia="仿宋_GB2312" w:cs="仿宋_GB2312"/>
          <w:spacing w:val="4"/>
          <w:sz w:val="32"/>
          <w:szCs w:val="32"/>
        </w:rPr>
        <w:t>建设，鼓励有条件的地区和</w:t>
      </w:r>
      <w:r>
        <w:rPr>
          <w:rFonts w:hint="eastAsia" w:ascii="仿宋_GB2312" w:hAnsi="仿宋_GB2312" w:eastAsia="仿宋_GB2312" w:cs="仿宋_GB2312"/>
          <w:spacing w:val="4"/>
          <w:sz w:val="32"/>
          <w:szCs w:val="32"/>
          <w:lang w:eastAsia="zh-CN"/>
        </w:rPr>
        <w:t>经营主体</w:t>
      </w:r>
      <w:r>
        <w:rPr>
          <w:rFonts w:hint="eastAsia" w:ascii="仿宋_GB2312" w:hAnsi="仿宋_GB2312" w:eastAsia="仿宋_GB2312" w:cs="仿宋_GB2312"/>
          <w:spacing w:val="4"/>
          <w:sz w:val="32"/>
          <w:szCs w:val="32"/>
        </w:rPr>
        <w:t>建立零工市场或零工驿站，形成政府和市场密切配合的就业服务体系。鼓励支持</w:t>
      </w:r>
      <w:r>
        <w:rPr>
          <w:rFonts w:hint="eastAsia" w:ascii="仿宋_GB2312" w:hAnsi="仿宋_GB2312" w:eastAsia="仿宋_GB2312" w:cs="仿宋_GB2312"/>
          <w:spacing w:val="4"/>
          <w:sz w:val="32"/>
          <w:szCs w:val="32"/>
          <w:lang w:eastAsia="zh-CN"/>
        </w:rPr>
        <w:t>经营主体</w:t>
      </w:r>
      <w:r>
        <w:rPr>
          <w:rFonts w:hint="eastAsia" w:ascii="仿宋_GB2312" w:hAnsi="仿宋_GB2312" w:eastAsia="仿宋_GB2312" w:cs="仿宋_GB2312"/>
          <w:spacing w:val="4"/>
          <w:sz w:val="32"/>
          <w:szCs w:val="32"/>
        </w:rPr>
        <w:t>建设数智化供求匹配平台，推动与公共就业服务平台协同发力，</w:t>
      </w:r>
      <w:r>
        <w:rPr>
          <w:rFonts w:hint="eastAsia" w:ascii="仿宋_GB2312" w:hAnsi="仿宋_GB2312" w:eastAsia="仿宋_GB2312" w:cs="仿宋_GB2312"/>
          <w:spacing w:val="2"/>
          <w:sz w:val="32"/>
          <w:szCs w:val="32"/>
        </w:rPr>
        <w:t>支持劳动者实现多渠道</w:t>
      </w:r>
      <w:r>
        <w:rPr>
          <w:rFonts w:hint="eastAsia" w:ascii="仿宋_GB2312" w:hAnsi="仿宋_GB2312" w:eastAsia="仿宋_GB2312" w:cs="仿宋_GB2312"/>
          <w:spacing w:val="1"/>
          <w:sz w:val="32"/>
          <w:szCs w:val="32"/>
        </w:rPr>
        <w:t>就业，对条件成熟的给予政策支持。</w:t>
      </w:r>
    </w:p>
    <w:p w14:paraId="6CFE2D12">
      <w:pPr>
        <w:overflowPunct w:val="0"/>
        <w:spacing w:line="560" w:lineRule="exact"/>
        <w:ind w:firstLine="643" w:firstLineChars="200"/>
        <w:outlineLvl w:val="2"/>
        <w:rPr>
          <w:rFonts w:hint="eastAsia" w:ascii="仿宋_GB2312" w:hAnsi="仿宋_GB2312" w:eastAsia="仿宋_GB2312" w:cs="仿宋_GB2312"/>
          <w:b/>
          <w:sz w:val="32"/>
          <w:szCs w:val="32"/>
        </w:rPr>
      </w:pPr>
      <w:bookmarkStart w:id="57" w:name="_Toc8564"/>
      <w:r>
        <w:rPr>
          <w:rFonts w:hint="eastAsia" w:ascii="仿宋_GB2312" w:hAnsi="仿宋_GB2312" w:eastAsia="仿宋_GB2312" w:cs="仿宋_GB2312"/>
          <w:b/>
          <w:sz w:val="32"/>
          <w:szCs w:val="32"/>
        </w:rPr>
        <w:t>4.健全重点群体就业帮扶体系</w:t>
      </w:r>
      <w:bookmarkEnd w:id="57"/>
    </w:p>
    <w:p w14:paraId="02E0316C">
      <w:pPr>
        <w:widowControl/>
        <w:spacing w:line="560" w:lineRule="exact"/>
        <w:ind w:firstLine="643" w:firstLineChars="200"/>
        <w:jc w:val="left"/>
        <w:rPr>
          <w:rFonts w:hint="eastAsia" w:ascii="仿宋_GB2312" w:hAnsi="仿宋_GB2312" w:eastAsia="仿宋_GB2312" w:cs="仿宋_GB2312"/>
          <w:spacing w:val="5"/>
          <w:sz w:val="32"/>
          <w:szCs w:val="32"/>
        </w:rPr>
      </w:pPr>
      <w:r>
        <w:rPr>
          <w:rFonts w:hint="eastAsia" w:ascii="仿宋_GB2312" w:hAnsi="仿宋_GB2312" w:eastAsia="仿宋_GB2312" w:cs="仿宋_GB2312"/>
          <w:b/>
          <w:sz w:val="32"/>
          <w:szCs w:val="32"/>
        </w:rPr>
        <w:t>强化重点群体就业政策支持。</w:t>
      </w:r>
      <w:r>
        <w:rPr>
          <w:rFonts w:hint="eastAsia" w:ascii="仿宋_GB2312" w:hAnsi="仿宋_GB2312" w:eastAsia="仿宋_GB2312" w:cs="仿宋_GB2312"/>
          <w:spacing w:val="4"/>
          <w:sz w:val="32"/>
          <w:szCs w:val="32"/>
        </w:rPr>
        <w:t>结合全市就业政策调整情况和区域产业发展实际，适时调整配套就业支持政策，努力构建对</w:t>
      </w:r>
      <w:r>
        <w:rPr>
          <w:rFonts w:hint="eastAsia" w:ascii="仿宋_GB2312" w:hAnsi="仿宋_GB2312" w:eastAsia="仿宋_GB2312" w:cs="仿宋_GB2312"/>
          <w:spacing w:val="2"/>
          <w:sz w:val="32"/>
          <w:szCs w:val="32"/>
        </w:rPr>
        <w:t>象精准、标准适当、资金规模可控的政策帮扶体系。统筹用好就业补助资金、失业保险基金等，保障就业政策顺利实施。用好</w:t>
      </w:r>
      <w:r>
        <w:rPr>
          <w:rFonts w:hint="eastAsia" w:ascii="仿宋_GB2312" w:hAnsi="仿宋_GB2312" w:eastAsia="仿宋_GB2312" w:cs="仿宋_GB2312"/>
          <w:spacing w:val="5"/>
          <w:sz w:val="32"/>
          <w:szCs w:val="32"/>
        </w:rPr>
        <w:t>社会保险补贴、公益性补贴等政策，支持企业吸纳重点群体就业。动态实施就业政策评估和监管，提升就业资金</w:t>
      </w:r>
      <w:r>
        <w:rPr>
          <w:rFonts w:hint="eastAsia" w:ascii="仿宋_GB2312" w:hAnsi="仿宋_GB2312" w:eastAsia="仿宋_GB2312" w:cs="仿宋_GB2312"/>
          <w:spacing w:val="2"/>
          <w:sz w:val="32"/>
          <w:szCs w:val="32"/>
        </w:rPr>
        <w:t>使用效能，</w:t>
      </w:r>
      <w:r>
        <w:rPr>
          <w:rFonts w:hint="eastAsia" w:ascii="仿宋_GB2312" w:hAnsi="仿宋_GB2312" w:eastAsia="仿宋_GB2312" w:cs="仿宋_GB2312"/>
          <w:spacing w:val="5"/>
          <w:sz w:val="32"/>
          <w:szCs w:val="32"/>
        </w:rPr>
        <w:t>保障就业资金安全。</w:t>
      </w:r>
    </w:p>
    <w:p w14:paraId="3F8E2A6D">
      <w:pPr>
        <w:pStyle w:val="10"/>
        <w:overflowPunct w:val="0"/>
        <w:spacing w:line="560" w:lineRule="exact"/>
        <w:ind w:firstLine="643"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b/>
          <w:sz w:val="32"/>
          <w:szCs w:val="32"/>
        </w:rPr>
        <w:t>多维施策支持青年群体就业。</w:t>
      </w:r>
      <w:r>
        <w:rPr>
          <w:rFonts w:hint="eastAsia" w:ascii="仿宋_GB2312" w:hAnsi="仿宋_GB2312" w:eastAsia="仿宋_GB2312" w:cs="仿宋_GB2312"/>
          <w:spacing w:val="4"/>
          <w:sz w:val="32"/>
          <w:szCs w:val="32"/>
        </w:rPr>
        <w:t>加大用人单位招用、就业见习</w:t>
      </w:r>
      <w:r>
        <w:rPr>
          <w:rStyle w:val="29"/>
          <w:rFonts w:hint="eastAsia" w:ascii="仿宋_GB2312" w:hAnsi="仿宋_GB2312" w:eastAsia="仿宋_GB2312" w:cs="仿宋_GB2312"/>
          <w:spacing w:val="4"/>
          <w:sz w:val="32"/>
          <w:szCs w:val="32"/>
        </w:rPr>
        <w:footnoteReference w:id="17"/>
      </w:r>
      <w:r>
        <w:rPr>
          <w:rFonts w:hint="eastAsia" w:ascii="仿宋_GB2312" w:hAnsi="仿宋_GB2312" w:eastAsia="仿宋_GB2312" w:cs="仿宋_GB2312"/>
          <w:spacing w:val="4"/>
          <w:sz w:val="32"/>
          <w:szCs w:val="32"/>
        </w:rPr>
        <w:t>等政策宣贯，扩大就业见习规模，支持用人单位吸纳毕业生等青年群体就业。强化各类市场化、政策性就业岗位统筹，拓展青年群体就业渠道。推动高校就业创业服务站建设，进校园送指导、送岗位服务，搭建毕业生与产业对接平台，吸引青年在兴就业创业</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加强困难家庭毕业生、长期失业青年等群体关心关爱，全力促进青年群体就业。</w:t>
      </w:r>
    </w:p>
    <w:p w14:paraId="220F5C63">
      <w:pPr>
        <w:pStyle w:val="10"/>
        <w:overflowPunct w:val="0"/>
        <w:spacing w:line="560" w:lineRule="exact"/>
        <w:ind w:firstLine="643"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b/>
          <w:sz w:val="32"/>
          <w:szCs w:val="32"/>
        </w:rPr>
        <w:t>拓宽农村劳动力就业增收渠道。</w:t>
      </w:r>
      <w:r>
        <w:rPr>
          <w:rFonts w:hint="eastAsia" w:ascii="仿宋_GB2312" w:hAnsi="仿宋_GB2312" w:eastAsia="仿宋_GB2312" w:cs="仿宋_GB2312"/>
          <w:spacing w:val="4"/>
          <w:sz w:val="32"/>
          <w:szCs w:val="32"/>
          <w:highlight w:val="none"/>
        </w:rPr>
        <w:t>依托</w:t>
      </w:r>
      <w:r>
        <w:rPr>
          <w:rFonts w:hint="eastAsia" w:ascii="仿宋_GB2312" w:hAnsi="仿宋_GB2312" w:eastAsia="仿宋_GB2312" w:cs="仿宋_GB2312"/>
          <w:spacing w:val="4"/>
          <w:sz w:val="32"/>
          <w:szCs w:val="32"/>
          <w:highlight w:val="none"/>
          <w:lang w:val="en-US" w:eastAsia="zh-CN"/>
        </w:rPr>
        <w:t>园林经济、农林</w:t>
      </w:r>
      <w:r>
        <w:rPr>
          <w:rFonts w:hint="eastAsia" w:ascii="仿宋_GB2312" w:hAnsi="仿宋_GB2312" w:eastAsia="仿宋_GB2312" w:cs="仿宋_GB2312"/>
          <w:spacing w:val="4"/>
          <w:sz w:val="32"/>
          <w:szCs w:val="32"/>
          <w:highlight w:val="none"/>
        </w:rPr>
        <w:t>经济、</w:t>
      </w:r>
      <w:r>
        <w:rPr>
          <w:rFonts w:hint="eastAsia" w:ascii="仿宋_GB2312" w:hAnsi="仿宋_GB2312" w:eastAsia="仿宋_GB2312" w:cs="仿宋_GB2312"/>
          <w:spacing w:val="4"/>
          <w:sz w:val="32"/>
          <w:szCs w:val="32"/>
          <w:highlight w:val="none"/>
          <w:lang w:val="en-US" w:eastAsia="zh-CN"/>
        </w:rPr>
        <w:t>花卉产业</w:t>
      </w:r>
      <w:r>
        <w:rPr>
          <w:rFonts w:hint="eastAsia" w:ascii="仿宋_GB2312" w:hAnsi="仿宋_GB2312" w:eastAsia="仿宋_GB2312" w:cs="仿宋_GB2312"/>
          <w:spacing w:val="4"/>
          <w:sz w:val="32"/>
          <w:szCs w:val="32"/>
          <w:highlight w:val="none"/>
        </w:rPr>
        <w:t>发展，促进农村劳动力就业增收。</w:t>
      </w:r>
      <w:r>
        <w:rPr>
          <w:rFonts w:hint="eastAsia" w:ascii="仿宋_GB2312" w:hAnsi="仿宋_GB2312" w:eastAsia="仿宋_GB2312" w:cs="仿宋_GB2312"/>
          <w:spacing w:val="4"/>
          <w:sz w:val="32"/>
          <w:szCs w:val="32"/>
        </w:rPr>
        <w:t>推进优势特色产业、现代农业产业园等平台载体建设，大力发展农林科技、宠物经济等产业，组织开展与农村劳动力自身条件相匹配的技能培训，引导各类人才到农村就业创业。推进区域劳务协作，加强对口帮扶地区农村劳动力和在兴就业农民工服务保障，帮扶农村低收入人口稳定就业。</w:t>
      </w:r>
    </w:p>
    <w:p w14:paraId="5CD3C72E">
      <w:pPr>
        <w:pStyle w:val="10"/>
        <w:overflowPunct w:val="0"/>
        <w:spacing w:line="560" w:lineRule="exact"/>
        <w:ind w:firstLine="643"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b/>
          <w:sz w:val="32"/>
          <w:szCs w:val="32"/>
        </w:rPr>
        <w:t>开展困难群体就业援助行动。</w:t>
      </w:r>
      <w:r>
        <w:rPr>
          <w:rFonts w:hint="eastAsia" w:ascii="仿宋_GB2312" w:hAnsi="仿宋_GB2312" w:eastAsia="仿宋_GB2312" w:cs="仿宋_GB2312"/>
          <w:spacing w:val="4"/>
          <w:sz w:val="32"/>
          <w:szCs w:val="32"/>
        </w:rPr>
        <w:t>加强就业困难人员</w:t>
      </w:r>
      <w:r>
        <w:rPr>
          <w:rStyle w:val="29"/>
          <w:rFonts w:hint="eastAsia" w:ascii="仿宋_GB2312" w:hAnsi="仿宋_GB2312" w:eastAsia="仿宋_GB2312" w:cs="仿宋_GB2312"/>
          <w:spacing w:val="4"/>
          <w:sz w:val="32"/>
          <w:szCs w:val="32"/>
        </w:rPr>
        <w:footnoteReference w:id="18"/>
      </w:r>
      <w:r>
        <w:rPr>
          <w:rFonts w:hint="eastAsia" w:ascii="仿宋_GB2312" w:hAnsi="仿宋_GB2312" w:eastAsia="仿宋_GB2312" w:cs="仿宋_GB2312"/>
          <w:spacing w:val="4"/>
          <w:sz w:val="32"/>
          <w:szCs w:val="32"/>
        </w:rPr>
        <w:t>精准识别，强化女性劳动者、长期失业人员、</w:t>
      </w:r>
      <w:r>
        <w:rPr>
          <w:rFonts w:hint="eastAsia" w:ascii="仿宋_GB2312" w:hAnsi="仿宋_GB2312" w:eastAsia="仿宋_GB2312" w:cs="仿宋_GB2312"/>
          <w:spacing w:val="4"/>
          <w:sz w:val="32"/>
          <w:szCs w:val="32"/>
          <w:highlight w:val="none"/>
          <w:lang w:val="en-US" w:eastAsia="zh-CN"/>
        </w:rPr>
        <w:t>超龄</w:t>
      </w:r>
      <w:r>
        <w:rPr>
          <w:rFonts w:hint="eastAsia" w:ascii="仿宋_GB2312" w:hAnsi="仿宋_GB2312" w:eastAsia="仿宋_GB2312" w:cs="仿宋_GB2312"/>
          <w:spacing w:val="4"/>
          <w:sz w:val="32"/>
          <w:szCs w:val="32"/>
          <w:highlight w:val="none"/>
        </w:rPr>
        <w:t>劳动力等群体就业帮扶，为困难群体创造更多</w:t>
      </w:r>
      <w:r>
        <w:rPr>
          <w:rFonts w:hint="eastAsia" w:ascii="仿宋_GB2312" w:hAnsi="仿宋_GB2312" w:eastAsia="仿宋_GB2312" w:cs="仿宋_GB2312"/>
          <w:spacing w:val="4"/>
          <w:sz w:val="32"/>
          <w:szCs w:val="32"/>
        </w:rPr>
        <w:t>就业机会。落实全市就业与失业保险、最低生活保障联动机制，为困难群体提供</w:t>
      </w:r>
      <w:r>
        <w:rPr>
          <w:rFonts w:hint="eastAsia" w:ascii="仿宋_GB2312" w:hAnsi="仿宋_GB2312" w:eastAsia="仿宋_GB2312" w:cs="仿宋_GB2312"/>
          <w:spacing w:val="4"/>
          <w:sz w:val="32"/>
          <w:szCs w:val="32"/>
          <w:lang w:eastAsia="zh-CN"/>
        </w:rPr>
        <w:t>分层分类社会救助</w:t>
      </w:r>
      <w:r>
        <w:rPr>
          <w:rFonts w:hint="eastAsia" w:ascii="仿宋_GB2312" w:hAnsi="仿宋_GB2312" w:eastAsia="仿宋_GB2312" w:cs="仿宋_GB2312"/>
          <w:spacing w:val="4"/>
          <w:sz w:val="32"/>
          <w:szCs w:val="32"/>
        </w:rPr>
        <w:t>。统筹用好公益性岗位资源和财政支持的各类协管员岗位，托底安置难以通过市场实现就业人员就业，确保“零就业家庭”实现动态清零。</w:t>
      </w:r>
    </w:p>
    <w:p w14:paraId="2E605EA8">
      <w:pPr>
        <w:autoSpaceDE w:val="0"/>
        <w:spacing w:line="560" w:lineRule="exact"/>
        <w:ind w:firstLine="640" w:firstLineChars="200"/>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（二）健全多层次保障体系，筑牢全方位民生保障新格局</w:t>
      </w:r>
    </w:p>
    <w:p w14:paraId="34CB4497">
      <w:pPr>
        <w:autoSpaceDE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锚定新时代首都发展大局，积极稳妥推进各项社会保险制度改革，完善与区域发展协同的多层次社会保障体系。以坚实的社会保障托举民生福祉，为区域高质量发展提供稳定支撑。</w:t>
      </w:r>
    </w:p>
    <w:p w14:paraId="561D2BC8">
      <w:pPr>
        <w:autoSpaceDE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1.持续加大社会保险保障力度</w:t>
      </w:r>
    </w:p>
    <w:p w14:paraId="5713AEDF">
      <w:pPr>
        <w:autoSpaceDE w:val="0"/>
        <w:spacing w:line="560" w:lineRule="exact"/>
        <w:ind w:firstLine="643" w:firstLineChars="200"/>
        <w:rPr>
          <w:rFonts w:hint="eastAsia" w:ascii="仿宋_GB2312" w:hAnsi="仿宋_GB2312" w:eastAsia="仿宋_GB2312" w:cs="仿宋_GB2312"/>
          <w:b w:val="0"/>
          <w:bCs w:val="0"/>
          <w:sz w:val="32"/>
          <w:szCs w:val="32"/>
          <w:highlight w:val="yellow"/>
          <w:lang w:eastAsia="zh-CN"/>
        </w:rPr>
      </w:pPr>
      <w:r>
        <w:rPr>
          <w:rFonts w:hint="eastAsia" w:ascii="仿宋_GB2312" w:hAnsi="仿宋_GB2312" w:eastAsia="仿宋_GB2312" w:cs="仿宋_GB2312"/>
          <w:b/>
          <w:bCs/>
          <w:sz w:val="32"/>
          <w:szCs w:val="32"/>
        </w:rPr>
        <w:t>扎实推进社会保险精准扩面。</w:t>
      </w:r>
      <w:r>
        <w:rPr>
          <w:rFonts w:hint="eastAsia" w:ascii="仿宋_GB2312" w:hAnsi="仿宋_GB2312" w:eastAsia="仿宋_GB2312" w:cs="仿宋_GB2312"/>
          <w:b w:val="0"/>
          <w:bCs w:val="0"/>
          <w:sz w:val="32"/>
          <w:szCs w:val="32"/>
          <w:highlight w:val="none"/>
          <w:lang w:val="en-US" w:eastAsia="zh-CN"/>
        </w:rPr>
        <w:t>围绕人民群众</w:t>
      </w:r>
      <w:r>
        <w:rPr>
          <w:rFonts w:hint="eastAsia" w:ascii="仿宋_GB2312" w:hAnsi="仿宋_GB2312" w:eastAsia="仿宋_GB2312" w:cs="仿宋_GB2312"/>
          <w:b w:val="0"/>
          <w:bCs w:val="0"/>
          <w:sz w:val="32"/>
          <w:szCs w:val="32"/>
          <w:highlight w:val="none"/>
        </w:rPr>
        <w:t>多样化、</w:t>
      </w:r>
      <w:r>
        <w:rPr>
          <w:rFonts w:hint="eastAsia" w:ascii="仿宋_GB2312" w:hAnsi="仿宋_GB2312" w:eastAsia="仿宋_GB2312" w:cs="仿宋_GB2312"/>
          <w:b w:val="0"/>
          <w:bCs w:val="0"/>
          <w:sz w:val="32"/>
          <w:szCs w:val="32"/>
          <w:highlight w:val="none"/>
          <w:lang w:val="en-US" w:eastAsia="zh-CN"/>
        </w:rPr>
        <w:t>多层次社会</w:t>
      </w:r>
      <w:r>
        <w:rPr>
          <w:rFonts w:hint="eastAsia" w:ascii="仿宋_GB2312" w:hAnsi="仿宋_GB2312" w:eastAsia="仿宋_GB2312" w:cs="仿宋_GB2312"/>
          <w:b w:val="0"/>
          <w:bCs w:val="0"/>
          <w:sz w:val="32"/>
          <w:szCs w:val="32"/>
          <w:highlight w:val="none"/>
          <w:lang w:eastAsia="zh-CN"/>
        </w:rPr>
        <w:t>保障</w:t>
      </w:r>
      <w:r>
        <w:rPr>
          <w:rFonts w:hint="eastAsia" w:ascii="仿宋_GB2312" w:hAnsi="仿宋_GB2312" w:eastAsia="仿宋_GB2312" w:cs="仿宋_GB2312"/>
          <w:b w:val="0"/>
          <w:bCs w:val="0"/>
          <w:sz w:val="32"/>
          <w:szCs w:val="32"/>
          <w:highlight w:val="none"/>
        </w:rPr>
        <w:t>需求，</w:t>
      </w:r>
      <w:r>
        <w:rPr>
          <w:rFonts w:hint="eastAsia" w:ascii="仿宋_GB2312" w:hAnsi="仿宋_GB2312" w:eastAsia="仿宋_GB2312" w:cs="仿宋_GB2312"/>
          <w:b w:val="0"/>
          <w:bCs w:val="0"/>
          <w:sz w:val="32"/>
          <w:szCs w:val="32"/>
          <w:highlight w:val="none"/>
          <w:lang w:val="en-US" w:eastAsia="zh-CN"/>
        </w:rPr>
        <w:t>推动社保扩面，</w:t>
      </w:r>
      <w:r>
        <w:rPr>
          <w:rFonts w:hint="eastAsia" w:ascii="仿宋_GB2312" w:hAnsi="仿宋_GB2312" w:eastAsia="仿宋_GB2312" w:cs="仿宋_GB2312"/>
          <w:b w:val="0"/>
          <w:bCs w:val="0"/>
          <w:sz w:val="32"/>
          <w:szCs w:val="32"/>
          <w:highlight w:val="none"/>
        </w:rPr>
        <w:t>持续增强群众获得感、幸福感、安全感。聚焦灵活就业人员、新就业形态劳动者、农村居民等重点群体</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加快实现应保尽保。落实公平适度的医疗保障制度，强化基本医保、大病保险与医疗救助三重保障功能，落实分层分类医疗救助制度和防范化解因病致贫长效机制，促进各类医保制度互补衔接，提高多元</w:t>
      </w:r>
      <w:r>
        <w:rPr>
          <w:rFonts w:hint="eastAsia" w:ascii="仿宋_GB2312" w:hAnsi="仿宋_GB2312" w:eastAsia="仿宋_GB2312" w:cs="仿宋_GB2312"/>
          <w:b w:val="0"/>
          <w:bCs w:val="0"/>
          <w:sz w:val="32"/>
          <w:szCs w:val="32"/>
          <w:highlight w:val="none"/>
          <w:lang w:val="en-US" w:eastAsia="zh-CN"/>
        </w:rPr>
        <w:t>医疗</w:t>
      </w:r>
      <w:r>
        <w:rPr>
          <w:rFonts w:hint="eastAsia" w:ascii="仿宋_GB2312" w:hAnsi="仿宋_GB2312" w:eastAsia="仿宋_GB2312" w:cs="仿宋_GB2312"/>
          <w:b w:val="0"/>
          <w:bCs w:val="0"/>
          <w:sz w:val="32"/>
          <w:szCs w:val="32"/>
          <w:highlight w:val="none"/>
        </w:rPr>
        <w:t>保障水平</w:t>
      </w:r>
      <w:r>
        <w:rPr>
          <w:rFonts w:hint="eastAsia" w:ascii="仿宋_GB2312" w:hAnsi="仿宋_GB2312" w:eastAsia="仿宋_GB2312" w:cs="仿宋_GB2312"/>
          <w:b w:val="0"/>
          <w:bCs w:val="0"/>
          <w:sz w:val="32"/>
          <w:szCs w:val="32"/>
          <w:highlight w:val="none"/>
          <w:lang w:eastAsia="zh-CN"/>
        </w:rPr>
        <w:t>。</w:t>
      </w:r>
    </w:p>
    <w:p w14:paraId="445B576B">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精准落实各项改革任务。</w:t>
      </w:r>
      <w:r>
        <w:rPr>
          <w:rFonts w:hint="eastAsia" w:ascii="仿宋_GB2312" w:hAnsi="仿宋_GB2312" w:eastAsia="仿宋_GB2312" w:cs="仿宋_GB2312"/>
          <w:sz w:val="32"/>
          <w:szCs w:val="32"/>
        </w:rPr>
        <w:t>有序推进渐进式延迟法定退休年龄改革，加强政策解读与宣传引导，通过专题培训、政策宣讲等形式提升社会认知度，确保政策衔接顺畅，切实维护劳动者权益。稳步落实全市统一的长期护理保险制度，完善失能评估标准体系，培育专业照护服务力量，支持养老机构、医疗机构开展照护服务培训，推动形成覆盖全体职工、筹资多元、服务规范的长期护理保障体系，有效应对人口老龄化挑战。</w:t>
      </w:r>
    </w:p>
    <w:p w14:paraId="5E84FDB6">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积极推进职业伤害保障扩大试点。</w:t>
      </w:r>
      <w:r>
        <w:rPr>
          <w:rFonts w:hint="eastAsia" w:ascii="仿宋_GB2312" w:hAnsi="仿宋_GB2312" w:eastAsia="仿宋_GB2312" w:cs="仿宋_GB2312"/>
          <w:sz w:val="32"/>
          <w:szCs w:val="32"/>
        </w:rPr>
        <w:t>按照国家统一部署，在扩大范围、完善政策、优化服务等方面协同发力，进一步兜住、兜准、兜牢扩围平台企业与新就业形态劳动者职业伤害保障底线。充分发挥委托办理“全程跟踪、主动服务”管家式服务模式积极作用，提升职业伤害保障服务精细化、便民化水平，构建普惠、高效且适应新就业形态特点的职业伤害保障制度和经办服务体系。建立完善职业伤害保障“小伤快赔”工作机制，确保制度平稳运行。</w:t>
      </w:r>
    </w:p>
    <w:p w14:paraId="7A927716">
      <w:pPr>
        <w:autoSpaceDE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2.稳步提升社会保障水平</w:t>
      </w:r>
    </w:p>
    <w:p w14:paraId="7E19BABE">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完善多支柱养老保险体系</w:t>
      </w:r>
      <w:r>
        <w:rPr>
          <w:rStyle w:val="29"/>
          <w:rFonts w:hint="eastAsia" w:ascii="仿宋_GB2312" w:hAnsi="仿宋_GB2312" w:eastAsia="仿宋_GB2312" w:cs="仿宋_GB2312"/>
          <w:b/>
          <w:bCs/>
          <w:sz w:val="32"/>
          <w:szCs w:val="32"/>
        </w:rPr>
        <w:footnoteReference w:id="19"/>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强化社保基金收支管理，严格执行</w:t>
      </w:r>
      <w:r>
        <w:rPr>
          <w:rFonts w:hint="eastAsia" w:ascii="仿宋_GB2312" w:hAnsi="仿宋_GB2312" w:eastAsia="仿宋_GB2312" w:cs="仿宋_GB2312"/>
          <w:sz w:val="32"/>
          <w:szCs w:val="32"/>
          <w:lang w:val="en-US" w:eastAsia="zh-CN"/>
        </w:rPr>
        <w:t>养老</w:t>
      </w:r>
      <w:r>
        <w:rPr>
          <w:rFonts w:hint="eastAsia" w:ascii="仿宋_GB2312" w:hAnsi="仿宋_GB2312" w:eastAsia="仿宋_GB2312" w:cs="仿宋_GB2312"/>
          <w:sz w:val="32"/>
          <w:szCs w:val="32"/>
        </w:rPr>
        <w:t>保险待遇调整机制，确保待遇按时足额发放。鼓励引导国有企业、上市公司、重点产业园区企业加快建立企业年金。持续落实机关事业单位职业年金制度，提供多元化养老待遇保障，构建更加公平、可持续的养老保障格局。加大个人养老金政策宣传与服务供给，推动银行、保险机构优化产品供给，扩大参保覆盖范围，提升整体保障能力。</w:t>
      </w:r>
    </w:p>
    <w:p w14:paraId="04A789B5">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健全重点群体社会保障长效机制。</w:t>
      </w:r>
      <w:r>
        <w:rPr>
          <w:rFonts w:hint="eastAsia" w:ascii="仿宋_GB2312" w:hAnsi="仿宋_GB2312" w:eastAsia="仿宋_GB2312" w:cs="仿宋_GB2312"/>
          <w:sz w:val="32"/>
          <w:szCs w:val="32"/>
        </w:rPr>
        <w:t>落实困难人员动态识别和精准管理，实施城乡居民养老保险帮扶政</w:t>
      </w:r>
      <w:r>
        <w:rPr>
          <w:rFonts w:hint="eastAsia" w:ascii="仿宋_GB2312" w:hAnsi="仿宋_GB2312" w:eastAsia="仿宋_GB2312" w:cs="仿宋_GB2312"/>
          <w:sz w:val="32"/>
          <w:szCs w:val="32"/>
          <w:highlight w:val="none"/>
        </w:rPr>
        <w:t>策，实现城乡居民困难人员代缴保费全覆盖。完善征地农转非工作机制，</w:t>
      </w:r>
      <w:r>
        <w:rPr>
          <w:rFonts w:hint="eastAsia" w:ascii="仿宋_GB2312" w:hAnsi="仿宋_GB2312" w:eastAsia="仿宋_GB2312" w:cs="仿宋_GB2312"/>
          <w:sz w:val="32"/>
          <w:szCs w:val="32"/>
          <w:highlight w:val="none"/>
          <w:lang w:val="en-US" w:eastAsia="zh-CN"/>
        </w:rPr>
        <w:t>稳步推动零散征地转非工作，</w:t>
      </w:r>
      <w:r>
        <w:rPr>
          <w:rFonts w:hint="eastAsia" w:ascii="仿宋_GB2312" w:hAnsi="仿宋_GB2312" w:eastAsia="仿宋_GB2312" w:cs="仿宋_GB2312"/>
          <w:sz w:val="32"/>
          <w:szCs w:val="32"/>
          <w:highlight w:val="none"/>
        </w:rPr>
        <w:t>全力保障征地人员待遇平稳衔接。充分发挥失业金保障作用，确保失业人员及时足额获得失业</w:t>
      </w:r>
      <w:r>
        <w:rPr>
          <w:rFonts w:hint="eastAsia" w:ascii="仿宋_GB2312" w:hAnsi="仿宋_GB2312" w:eastAsia="仿宋_GB2312" w:cs="仿宋_GB2312"/>
          <w:sz w:val="32"/>
          <w:szCs w:val="32"/>
        </w:rPr>
        <w:t>保险金。优化退役军人等群体养老保险转移接续流程，推进养老保险权益高效对接。</w:t>
      </w:r>
    </w:p>
    <w:p w14:paraId="7BD2A429">
      <w:pPr>
        <w:spacing w:line="560" w:lineRule="exact"/>
        <w:ind w:firstLine="360" w:firstLineChars="200"/>
        <w:rPr>
          <w:rFonts w:hint="eastAsia" w:ascii="仿宋_GB2312" w:hAnsi="仿宋_GB2312" w:eastAsia="仿宋_GB2312" w:cs="仿宋_GB2312"/>
          <w:sz w:val="32"/>
          <w:szCs w:val="32"/>
        </w:rPr>
      </w:pPr>
      <w:r>
        <w:rPr>
          <w:sz w:val="18"/>
        </w:rPr>
        <mc:AlternateContent>
          <mc:Choice Requires="wps">
            <w:drawing>
              <wp:anchor distT="0" distB="0" distL="114300" distR="114300" simplePos="0" relativeHeight="251661312" behindDoc="0" locked="0" layoutInCell="1" allowOverlap="1">
                <wp:simplePos x="0" y="0"/>
                <wp:positionH relativeFrom="column">
                  <wp:posOffset>59690</wp:posOffset>
                </wp:positionH>
                <wp:positionV relativeFrom="paragraph">
                  <wp:posOffset>118745</wp:posOffset>
                </wp:positionV>
                <wp:extent cx="5556885" cy="5568315"/>
                <wp:effectExtent l="4445" t="4445" r="20320" b="8890"/>
                <wp:wrapNone/>
                <wp:docPr id="1" name="文本框 12"/>
                <wp:cNvGraphicFramePr/>
                <a:graphic xmlns:a="http://schemas.openxmlformats.org/drawingml/2006/main">
                  <a:graphicData uri="http://schemas.microsoft.com/office/word/2010/wordprocessingShape">
                    <wps:wsp>
                      <wps:cNvSpPr txBox="1"/>
                      <wps:spPr>
                        <a:xfrm>
                          <a:off x="0" y="0"/>
                          <a:ext cx="5556885" cy="55683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868D62">
                            <w:pPr>
                              <w:spacing w:line="560" w:lineRule="exact"/>
                              <w:jc w:val="center"/>
                              <w:rPr>
                                <w:rFonts w:hint="eastAsia"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专栏2</w:t>
                            </w:r>
                            <w:r>
                              <w:rPr>
                                <w:rFonts w:hint="eastAsia" w:ascii="仿宋_GB2312" w:hAnsi="仿宋_GB2312" w:eastAsia="仿宋_GB2312" w:cs="仿宋_GB2312"/>
                                <w:b/>
                                <w:bCs/>
                                <w:sz w:val="36"/>
                                <w:szCs w:val="36"/>
                                <w:lang w:val="en-US" w:eastAsia="zh-CN"/>
                              </w:rPr>
                              <w:t xml:space="preserve"> </w:t>
                            </w:r>
                            <w:r>
                              <w:rPr>
                                <w:rFonts w:hint="eastAsia" w:ascii="仿宋_GB2312" w:hAnsi="仿宋_GB2312" w:eastAsia="仿宋_GB2312" w:cs="仿宋_GB2312"/>
                                <w:b/>
                                <w:bCs/>
                                <w:sz w:val="32"/>
                                <w:szCs w:val="32"/>
                              </w:rPr>
                              <w:t>城乡居民困难人员代缴保费</w:t>
                            </w:r>
                          </w:p>
                          <w:p w14:paraId="165FC6AF">
                            <w:pPr>
                              <w:pStyle w:val="2"/>
                              <w:numPr>
                                <w:ilvl w:val="255"/>
                                <w:numId w:val="0"/>
                              </w:numPr>
                              <w:spacing w:line="560" w:lineRule="exact"/>
                            </w:pPr>
                          </w:p>
                          <w:p w14:paraId="62CFB312">
                            <w:pPr>
                              <w:widowControl/>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1.动态协同。</w:t>
                            </w:r>
                            <w:r>
                              <w:rPr>
                                <w:rFonts w:hint="eastAsia" w:ascii="仿宋_GB2312" w:hAnsi="仿宋_GB2312" w:eastAsia="仿宋_GB2312" w:cs="仿宋_GB2312"/>
                                <w:sz w:val="32"/>
                                <w:szCs w:val="32"/>
                              </w:rPr>
                              <w:t>依托数据共享平台，建立“困难人员参保帮扶”专项信息库。通过数据实时比对与动态更新，精准标识困难人员身份，建立“一人一档”管理台账，实现从身份认定、参保登记到待遇发放的全流程动态跟踪与管理，确保帮扶对象精准、状态清晰。</w:t>
                            </w:r>
                          </w:p>
                          <w:p w14:paraId="03359E2B">
                            <w:pPr>
                              <w:widowControl/>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2.精准经办。</w:t>
                            </w:r>
                            <w:r>
                              <w:rPr>
                                <w:rFonts w:hint="eastAsia" w:ascii="仿宋_GB2312" w:hAnsi="仿宋_GB2312" w:eastAsia="仿宋_GB2312" w:cs="仿宋_GB2312"/>
                                <w:sz w:val="32"/>
                                <w:szCs w:val="32"/>
                              </w:rPr>
                              <w:t>组织基层经办力量，主动为困难人员提供政策解读、参保引导、代办帮办等便民服务。简化办理流程，办理结果通过短信精准推送、社区公示、电话告知等方式及时反馈，确保帮扶政策无缝衔接、落地见效。</w:t>
                            </w:r>
                          </w:p>
                          <w:p w14:paraId="635FDFB1">
                            <w:pPr>
                              <w:widowControl/>
                              <w:spacing w:line="560" w:lineRule="exact"/>
                              <w:ind w:firstLine="643" w:firstLineChars="200"/>
                              <w:rPr>
                                <w:sz w:val="18"/>
                                <w:szCs w:val="21"/>
                              </w:rPr>
                            </w:pPr>
                            <w:r>
                              <w:rPr>
                                <w:rFonts w:hint="eastAsia" w:ascii="仿宋_GB2312" w:hAnsi="仿宋_GB2312" w:eastAsia="仿宋_GB2312" w:cs="仿宋_GB2312"/>
                                <w:b/>
                                <w:bCs/>
                                <w:sz w:val="32"/>
                                <w:szCs w:val="32"/>
                              </w:rPr>
                              <w:t>3.宣传引导。</w:t>
                            </w:r>
                            <w:r>
                              <w:rPr>
                                <w:rFonts w:hint="eastAsia" w:ascii="仿宋_GB2312" w:hAnsi="仿宋_GB2312" w:eastAsia="仿宋_GB2312" w:cs="仿宋_GB2312"/>
                                <w:sz w:val="32"/>
                                <w:szCs w:val="32"/>
                              </w:rPr>
                              <w:t>针对困难人员特点，积极主动为困难人员开展政策宣传，在经办机构设置专窗和专员，提供常态化咨询服务，切实将困难人员参加城乡居民基本养老保险工作落实到位，实现城乡居民困难人员代缴保费全覆盖。</w:t>
                            </w:r>
                          </w:p>
                        </w:txbxContent>
                      </wps:txbx>
                      <wps:bodyPr vert="horz" anchor="t" anchorCtr="0" upright="1"/>
                    </wps:wsp>
                  </a:graphicData>
                </a:graphic>
              </wp:anchor>
            </w:drawing>
          </mc:Choice>
          <mc:Fallback>
            <w:pict>
              <v:shape id="文本框 12" o:spid="_x0000_s1026" o:spt="202" type="#_x0000_t202" style="position:absolute;left:0pt;margin-left:4.7pt;margin-top:9.35pt;height:438.45pt;width:437.55pt;z-index:251661312;mso-width-relative:page;mso-height-relative:page;" fillcolor="#FFFFFF" filled="t" stroked="t" coordsize="21600,21600" o:gfxdata="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Dd8+W2AAA&#10;AAgBAAAPAAAAAAAAAAEAIAAAACIAAABkcnMvZG93bnJldi54bWxQSwECFAAUAAAACACHTuJAwlFF&#10;ZR4CAABdBAAADgAAAAAAAAABACAAAAAnAQAAZHJzL2Uyb0RvYy54bWxQSwUGAAAAAAYABgBZAQAA&#10;twUAAAAA&#10;">
                <v:fill on="t" focussize="0,0"/>
                <v:stroke color="#000000" joinstyle="miter"/>
                <v:imagedata o:title=""/>
                <o:lock v:ext="edit" aspectratio="f"/>
                <v:textbox>
                  <w:txbxContent>
                    <w:p w14:paraId="03868D62">
                      <w:pPr>
                        <w:spacing w:line="560" w:lineRule="exact"/>
                        <w:jc w:val="center"/>
                        <w:rPr>
                          <w:rFonts w:hint="eastAsia"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专栏2</w:t>
                      </w:r>
                      <w:r>
                        <w:rPr>
                          <w:rFonts w:hint="eastAsia" w:ascii="仿宋_GB2312" w:hAnsi="仿宋_GB2312" w:eastAsia="仿宋_GB2312" w:cs="仿宋_GB2312"/>
                          <w:b/>
                          <w:bCs/>
                          <w:sz w:val="36"/>
                          <w:szCs w:val="36"/>
                          <w:lang w:val="en-US" w:eastAsia="zh-CN"/>
                        </w:rPr>
                        <w:t xml:space="preserve"> </w:t>
                      </w:r>
                      <w:r>
                        <w:rPr>
                          <w:rFonts w:hint="eastAsia" w:ascii="仿宋_GB2312" w:hAnsi="仿宋_GB2312" w:eastAsia="仿宋_GB2312" w:cs="仿宋_GB2312"/>
                          <w:b/>
                          <w:bCs/>
                          <w:sz w:val="32"/>
                          <w:szCs w:val="32"/>
                        </w:rPr>
                        <w:t>城乡居民困难人员代缴保费</w:t>
                      </w:r>
                    </w:p>
                    <w:p w14:paraId="165FC6AF">
                      <w:pPr>
                        <w:pStyle w:val="2"/>
                        <w:numPr>
                          <w:ilvl w:val="255"/>
                          <w:numId w:val="0"/>
                        </w:numPr>
                        <w:spacing w:line="560" w:lineRule="exact"/>
                      </w:pPr>
                    </w:p>
                    <w:p w14:paraId="62CFB312">
                      <w:pPr>
                        <w:widowControl/>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1.动态协同。</w:t>
                      </w:r>
                      <w:r>
                        <w:rPr>
                          <w:rFonts w:hint="eastAsia" w:ascii="仿宋_GB2312" w:hAnsi="仿宋_GB2312" w:eastAsia="仿宋_GB2312" w:cs="仿宋_GB2312"/>
                          <w:sz w:val="32"/>
                          <w:szCs w:val="32"/>
                        </w:rPr>
                        <w:t>依托数据共享平台，建立“困难人员参保帮扶”专项信息库。通过数据实时比对与动态更新，精准标识困难人员身份，建立“一人一档”管理台账，实现从身份认定、参保登记到待遇发放的全流程动态跟踪与管理，确保帮扶对象精准、状态清晰。</w:t>
                      </w:r>
                    </w:p>
                    <w:p w14:paraId="03359E2B">
                      <w:pPr>
                        <w:widowControl/>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2.精准经办。</w:t>
                      </w:r>
                      <w:r>
                        <w:rPr>
                          <w:rFonts w:hint="eastAsia" w:ascii="仿宋_GB2312" w:hAnsi="仿宋_GB2312" w:eastAsia="仿宋_GB2312" w:cs="仿宋_GB2312"/>
                          <w:sz w:val="32"/>
                          <w:szCs w:val="32"/>
                        </w:rPr>
                        <w:t>组织基层经办力量，主动为困难人员提供政策解读、参保引导、代办帮办等便民服务。简化办理流程，办理结果通过短信精准推送、社区公示、电话告知等方式及时反馈，确保帮扶政策无缝衔接、落地见效。</w:t>
                      </w:r>
                    </w:p>
                    <w:p w14:paraId="635FDFB1">
                      <w:pPr>
                        <w:widowControl/>
                        <w:spacing w:line="560" w:lineRule="exact"/>
                        <w:ind w:firstLine="643" w:firstLineChars="200"/>
                        <w:rPr>
                          <w:sz w:val="18"/>
                          <w:szCs w:val="21"/>
                        </w:rPr>
                      </w:pPr>
                      <w:r>
                        <w:rPr>
                          <w:rFonts w:hint="eastAsia" w:ascii="仿宋_GB2312" w:hAnsi="仿宋_GB2312" w:eastAsia="仿宋_GB2312" w:cs="仿宋_GB2312"/>
                          <w:b/>
                          <w:bCs/>
                          <w:sz w:val="32"/>
                          <w:szCs w:val="32"/>
                        </w:rPr>
                        <w:t>3.宣传引导。</w:t>
                      </w:r>
                      <w:r>
                        <w:rPr>
                          <w:rFonts w:hint="eastAsia" w:ascii="仿宋_GB2312" w:hAnsi="仿宋_GB2312" w:eastAsia="仿宋_GB2312" w:cs="仿宋_GB2312"/>
                          <w:sz w:val="32"/>
                          <w:szCs w:val="32"/>
                        </w:rPr>
                        <w:t>针对困难人员特点，积极主动为困难人员开展政策宣传，在经办机构设置专窗和专员，提供常态化咨询服务，切实将困难人员参加城乡居民基本养老保险工作落实到位，实现城乡居民困难人员代缴保费全覆盖。</w:t>
                      </w:r>
                    </w:p>
                  </w:txbxContent>
                </v:textbox>
              </v:shape>
            </w:pict>
          </mc:Fallback>
        </mc:AlternateContent>
      </w:r>
    </w:p>
    <w:p w14:paraId="3797ECF5">
      <w:pPr>
        <w:spacing w:line="560" w:lineRule="exact"/>
        <w:rPr>
          <w:rFonts w:hint="eastAsia" w:ascii="仿宋_GB2312" w:hAnsi="仿宋_GB2312" w:eastAsia="仿宋_GB2312" w:cs="仿宋_GB2312"/>
          <w:sz w:val="32"/>
          <w:szCs w:val="32"/>
        </w:rPr>
      </w:pPr>
    </w:p>
    <w:p w14:paraId="13920794">
      <w:pPr>
        <w:spacing w:line="560" w:lineRule="exact"/>
        <w:ind w:firstLine="640" w:firstLineChars="200"/>
        <w:rPr>
          <w:rFonts w:hint="eastAsia" w:ascii="仿宋_GB2312" w:hAnsi="仿宋_GB2312" w:eastAsia="仿宋_GB2312" w:cs="仿宋_GB2312"/>
          <w:sz w:val="32"/>
          <w:szCs w:val="32"/>
        </w:rPr>
      </w:pPr>
    </w:p>
    <w:p w14:paraId="2A28360C">
      <w:pPr>
        <w:spacing w:line="560" w:lineRule="exact"/>
        <w:ind w:firstLine="640" w:firstLineChars="200"/>
        <w:rPr>
          <w:rFonts w:hint="eastAsia" w:ascii="仿宋_GB2312" w:hAnsi="仿宋_GB2312" w:eastAsia="仿宋_GB2312" w:cs="仿宋_GB2312"/>
          <w:sz w:val="32"/>
          <w:szCs w:val="32"/>
        </w:rPr>
      </w:pPr>
    </w:p>
    <w:p w14:paraId="0DD2A4E3">
      <w:pPr>
        <w:spacing w:line="560" w:lineRule="exact"/>
        <w:ind w:firstLine="640" w:firstLineChars="200"/>
        <w:rPr>
          <w:rFonts w:hint="eastAsia" w:ascii="仿宋_GB2312" w:hAnsi="仿宋_GB2312" w:eastAsia="仿宋_GB2312" w:cs="仿宋_GB2312"/>
          <w:sz w:val="32"/>
          <w:szCs w:val="32"/>
        </w:rPr>
      </w:pPr>
    </w:p>
    <w:p w14:paraId="307961E3">
      <w:pPr>
        <w:spacing w:line="560" w:lineRule="exact"/>
        <w:ind w:firstLine="640" w:firstLineChars="200"/>
        <w:rPr>
          <w:rFonts w:hint="eastAsia" w:ascii="仿宋_GB2312" w:hAnsi="仿宋_GB2312" w:eastAsia="仿宋_GB2312" w:cs="仿宋_GB2312"/>
          <w:sz w:val="32"/>
          <w:szCs w:val="32"/>
        </w:rPr>
      </w:pPr>
    </w:p>
    <w:p w14:paraId="0243B2B9">
      <w:pPr>
        <w:spacing w:line="560" w:lineRule="exact"/>
        <w:ind w:firstLine="640" w:firstLineChars="200"/>
        <w:rPr>
          <w:rFonts w:hint="eastAsia" w:ascii="仿宋_GB2312" w:hAnsi="仿宋_GB2312" w:eastAsia="仿宋_GB2312" w:cs="仿宋_GB2312"/>
          <w:sz w:val="32"/>
          <w:szCs w:val="32"/>
        </w:rPr>
      </w:pPr>
    </w:p>
    <w:p w14:paraId="24264BD8">
      <w:pPr>
        <w:spacing w:line="560" w:lineRule="exact"/>
        <w:ind w:firstLine="640" w:firstLineChars="200"/>
        <w:rPr>
          <w:rFonts w:hint="eastAsia" w:ascii="仿宋_GB2312" w:hAnsi="仿宋_GB2312" w:eastAsia="仿宋_GB2312" w:cs="仿宋_GB2312"/>
          <w:sz w:val="32"/>
          <w:szCs w:val="32"/>
        </w:rPr>
      </w:pPr>
    </w:p>
    <w:p w14:paraId="4146AC7D">
      <w:pPr>
        <w:spacing w:line="560" w:lineRule="exact"/>
        <w:ind w:firstLine="640" w:firstLineChars="200"/>
        <w:rPr>
          <w:rFonts w:hint="eastAsia" w:ascii="仿宋_GB2312" w:hAnsi="仿宋_GB2312" w:eastAsia="仿宋_GB2312" w:cs="仿宋_GB2312"/>
          <w:sz w:val="32"/>
          <w:szCs w:val="32"/>
        </w:rPr>
      </w:pPr>
    </w:p>
    <w:p w14:paraId="039CC98F">
      <w:pPr>
        <w:pStyle w:val="10"/>
        <w:ind w:firstLine="643" w:firstLineChars="200"/>
        <w:rPr>
          <w:rFonts w:hint="eastAsia" w:ascii="仿宋_GB2312" w:hAnsi="仿宋_GB2312" w:eastAsia="仿宋_GB2312" w:cs="仿宋_GB2312"/>
          <w:b/>
          <w:bCs/>
          <w:kern w:val="2"/>
          <w:sz w:val="32"/>
          <w:szCs w:val="32"/>
        </w:rPr>
      </w:pPr>
    </w:p>
    <w:p w14:paraId="64F1CB37">
      <w:pPr>
        <w:pStyle w:val="10"/>
        <w:ind w:firstLine="643" w:firstLineChars="200"/>
        <w:rPr>
          <w:rFonts w:hint="eastAsia" w:ascii="仿宋_GB2312" w:hAnsi="仿宋_GB2312" w:eastAsia="仿宋_GB2312" w:cs="仿宋_GB2312"/>
          <w:b/>
          <w:bCs/>
          <w:kern w:val="2"/>
          <w:sz w:val="32"/>
          <w:szCs w:val="32"/>
        </w:rPr>
      </w:pPr>
    </w:p>
    <w:p w14:paraId="49113D48">
      <w:pPr>
        <w:pStyle w:val="11"/>
        <w:rPr>
          <w:rFonts w:hint="eastAsia"/>
        </w:rPr>
      </w:pPr>
    </w:p>
    <w:p w14:paraId="2EC74C25">
      <w:pPr>
        <w:pStyle w:val="10"/>
        <w:ind w:firstLine="643" w:firstLineChars="200"/>
        <w:rPr>
          <w:rFonts w:hint="eastAsia" w:ascii="仿宋_GB2312" w:hAnsi="仿宋_GB2312" w:eastAsia="仿宋_GB2312" w:cs="仿宋_GB2312"/>
          <w:b/>
          <w:bCs/>
          <w:kern w:val="2"/>
          <w:sz w:val="32"/>
          <w:szCs w:val="32"/>
        </w:rPr>
      </w:pPr>
    </w:p>
    <w:p w14:paraId="2CC31589">
      <w:pPr>
        <w:pStyle w:val="10"/>
        <w:ind w:firstLine="643" w:firstLineChars="200"/>
        <w:rPr>
          <w:rFonts w:hint="eastAsia" w:ascii="仿宋_GB2312" w:hAnsi="仿宋_GB2312" w:eastAsia="仿宋_GB2312" w:cs="仿宋_GB2312"/>
          <w:b/>
          <w:bCs/>
          <w:kern w:val="2"/>
          <w:sz w:val="32"/>
          <w:szCs w:val="32"/>
        </w:rPr>
      </w:pPr>
    </w:p>
    <w:p w14:paraId="0DCCBC66">
      <w:pPr>
        <w:pStyle w:val="10"/>
        <w:ind w:firstLine="643" w:firstLineChars="200"/>
        <w:rPr>
          <w:rFonts w:hint="eastAsia" w:ascii="仿宋_GB2312" w:hAnsi="仿宋_GB2312" w:eastAsia="仿宋_GB2312" w:cs="仿宋_GB2312"/>
          <w:b/>
          <w:bCs/>
          <w:kern w:val="2"/>
          <w:sz w:val="32"/>
          <w:szCs w:val="32"/>
        </w:rPr>
      </w:pPr>
    </w:p>
    <w:p w14:paraId="49A21791">
      <w:pPr>
        <w:pStyle w:val="10"/>
        <w:ind w:firstLine="643" w:firstLineChars="200"/>
        <w:rPr>
          <w:rFonts w:hint="eastAsia" w:ascii="仿宋_GB2312" w:hAnsi="仿宋_GB2312" w:eastAsia="仿宋_GB2312" w:cs="仿宋_GB2312"/>
          <w:b/>
          <w:bCs/>
          <w:kern w:val="2"/>
          <w:sz w:val="32"/>
          <w:szCs w:val="32"/>
        </w:rPr>
      </w:pPr>
    </w:p>
    <w:p w14:paraId="71E8C932">
      <w:pPr>
        <w:pStyle w:val="10"/>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rPr>
        <w:t>鼓励支持生育政策落地见效。</w:t>
      </w:r>
      <w:r>
        <w:rPr>
          <w:rFonts w:hint="eastAsia" w:ascii="仿宋_GB2312" w:hAnsi="仿宋_GB2312" w:eastAsia="仿宋_GB2312" w:cs="仿宋_GB2312"/>
          <w:kern w:val="2"/>
          <w:sz w:val="32"/>
          <w:szCs w:val="32"/>
        </w:rPr>
        <w:t>持续做好职工和领取失业保险金人员参加生育保险工作。严格落实本市生育医疗保障政策，稳步提高生育医疗费用保障水平。优化生育待遇支付方式，推动实现生育津贴待遇直接支付至申领个人，完善参加本区职工基本医疗保险的灵活就业等人员、城乡居民医保未就业人员的生育医疗费用保障机制，扩大保障范围，减轻生育负担，营造生育友好型社会保障环境。</w:t>
      </w:r>
    </w:p>
    <w:p w14:paraId="33313BFF">
      <w:pPr>
        <w:numPr>
          <w:ilvl w:val="255"/>
          <w:numId w:val="0"/>
        </w:numPr>
        <w:autoSpaceDE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3.持续优化社会保险经办服务</w:t>
      </w:r>
    </w:p>
    <w:p w14:paraId="5BDA6596">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数智化转型驱动社保服务提质增效。</w:t>
      </w:r>
      <w:r>
        <w:rPr>
          <w:rFonts w:hint="eastAsia" w:ascii="仿宋_GB2312" w:hAnsi="仿宋_GB2312" w:eastAsia="仿宋_GB2312" w:cs="仿宋_GB2312"/>
          <w:sz w:val="32"/>
          <w:szCs w:val="32"/>
        </w:rPr>
        <w:t>严格落实全国一体化经办要求，</w:t>
      </w:r>
      <w:r>
        <w:rPr>
          <w:rFonts w:hint="eastAsia" w:ascii="仿宋_GB2312" w:hAnsi="仿宋_GB2312" w:eastAsia="仿宋_GB2312" w:cs="仿宋_GB2312"/>
          <w:b w:val="0"/>
          <w:bCs w:val="0"/>
          <w:sz w:val="32"/>
          <w:szCs w:val="32"/>
          <w:lang w:eastAsia="zh-CN"/>
        </w:rPr>
        <w:t>社会保险业务网上可办率达到</w:t>
      </w:r>
      <w:r>
        <w:rPr>
          <w:rFonts w:hint="eastAsia" w:ascii="仿宋_GB2312" w:hAnsi="仿宋_GB2312" w:eastAsia="仿宋_GB2312" w:cs="仿宋_GB2312"/>
          <w:b w:val="0"/>
          <w:bCs w:val="0"/>
          <w:sz w:val="32"/>
          <w:szCs w:val="32"/>
          <w:lang w:val="en-US" w:eastAsia="zh-CN"/>
        </w:rPr>
        <w:t>90%以上，</w:t>
      </w:r>
      <w:r>
        <w:rPr>
          <w:rFonts w:hint="eastAsia" w:ascii="仿宋_GB2312" w:hAnsi="仿宋_GB2312" w:eastAsia="仿宋_GB2312" w:cs="仿宋_GB2312"/>
          <w:sz w:val="32"/>
          <w:szCs w:val="32"/>
        </w:rPr>
        <w:t>实现“高效办成一件事”</w:t>
      </w:r>
      <w:r>
        <w:rPr>
          <w:rStyle w:val="29"/>
          <w:rFonts w:hint="eastAsia" w:ascii="仿宋_GB2312" w:hAnsi="仿宋_GB2312" w:eastAsia="仿宋_GB2312" w:cs="仿宋_GB2312"/>
          <w:sz w:val="32"/>
          <w:szCs w:val="32"/>
        </w:rPr>
        <w:footnoteReference w:id="20"/>
      </w:r>
      <w:r>
        <w:rPr>
          <w:rFonts w:hint="eastAsia" w:ascii="仿宋_GB2312" w:hAnsi="仿宋_GB2312" w:eastAsia="仿宋_GB2312" w:cs="仿宋_GB2312"/>
          <w:sz w:val="32"/>
          <w:szCs w:val="32"/>
        </w:rPr>
        <w:t>场景规范统一。打造“区级中枢统筹、镇街枢纽承载、产业园区延伸”的三级社保服务网络，构建功能互补、协同高效的多层次服务模式。深化社银合作，拓展服务事项范围。拓宽第三代社保卡在民生领域的应用场景，提升“一卡通”服务便捷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实现</w:t>
      </w:r>
      <w:r>
        <w:rPr>
          <w:rFonts w:hint="eastAsia" w:ascii="仿宋_GB2312" w:hAnsi="仿宋_GB2312" w:eastAsia="仿宋_GB2312" w:cs="仿宋_GB2312"/>
          <w:sz w:val="32"/>
          <w:szCs w:val="32"/>
          <w:lang w:eastAsia="zh-CN"/>
        </w:rPr>
        <w:t>申领电子社会保障卡人口覆盖率达到</w:t>
      </w:r>
      <w:r>
        <w:rPr>
          <w:rFonts w:hint="eastAsia" w:ascii="仿宋_GB2312" w:hAnsi="仿宋_GB2312" w:eastAsia="仿宋_GB2312" w:cs="仿宋_GB2312"/>
          <w:sz w:val="32"/>
          <w:szCs w:val="32"/>
          <w:lang w:val="en-US" w:eastAsia="zh-CN"/>
        </w:rPr>
        <w:t>90%以上。</w:t>
      </w:r>
      <w:r>
        <w:rPr>
          <w:rFonts w:hint="eastAsia" w:ascii="仿宋_GB2312" w:hAnsi="仿宋_GB2312" w:eastAsia="仿宋_GB2312" w:cs="仿宋_GB2312"/>
          <w:sz w:val="32"/>
          <w:szCs w:val="32"/>
        </w:rPr>
        <w:t>推动人工智能在社保经办领域的应用，打造“人工智能+社保”服务新模式。</w:t>
      </w:r>
    </w:p>
    <w:p w14:paraId="3483F5FC">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深入落实京津冀三地社保协同机制。</w:t>
      </w:r>
      <w:r>
        <w:rPr>
          <w:rFonts w:hint="eastAsia" w:ascii="仿宋_GB2312" w:hAnsi="仿宋_GB2312" w:eastAsia="仿宋_GB2312" w:cs="仿宋_GB2312"/>
          <w:sz w:val="32"/>
          <w:szCs w:val="32"/>
        </w:rPr>
        <w:t>优化社会保险信息互认体系，实现数据动态更新与共享，建立区域协同事项清单化管理机制，持续扩大“同事同标”事项范围，推动高频服务事项“跨省通办”，实现业务流程标准化与服务规范一体化，保障数据共享互通和动态调整。持续优化异地就医直接结算服务，拓展京津冀移动支付功能，确保区域社保协同工作高效平稳运行，提升区域公共服务一体化水平和群众获得感。</w:t>
      </w:r>
    </w:p>
    <w:p w14:paraId="59765010">
      <w:pPr>
        <w:pStyle w:val="6"/>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强化创新药械</w:t>
      </w:r>
      <w:r>
        <w:rPr>
          <w:rFonts w:hint="eastAsia" w:ascii="___WRD_EMBED_SUB_39" w:hAnsi="___WRD_EMBED_SUB_39" w:eastAsia="___WRD_EMBED_SUB_39" w:cs="___WRD_EMBED_SUB_39"/>
          <w:b/>
          <w:bCs/>
          <w:sz w:val="32"/>
          <w:szCs w:val="32"/>
        </w:rPr>
        <w:t>医保准入服务和推广应用。</w:t>
      </w:r>
      <w:r>
        <w:rPr>
          <w:rFonts w:hint="eastAsia" w:ascii="仿宋_GB2312" w:hAnsi="仿宋_GB2312" w:eastAsia="仿宋_GB2312" w:cs="仿宋_GB2312"/>
          <w:sz w:val="32"/>
          <w:szCs w:val="32"/>
        </w:rPr>
        <w:t>立足区域医药产业基础，建立企业对接服务机制，对新获批上市的创新药给予全流程政策辅导。支持医药产业创新发展，助力创新药企业参加国家医保药品目录谈判和商业健康保险创新药品目录协商。实现创新药械通过绿色通道快速挂网。落实创新药械医保支付管理政策，国谈药和创新医疗器械涉及的诊疗项目，不受医疗机构总额预算指标限制。</w:t>
      </w:r>
    </w:p>
    <w:p w14:paraId="4100563E">
      <w:pPr>
        <w:autoSpaceDE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4.筑牢基金安全防线</w:t>
      </w:r>
    </w:p>
    <w:p w14:paraId="5F732858">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织牢社保基金风险</w:t>
      </w:r>
      <w:r>
        <w:rPr>
          <w:rFonts w:hint="eastAsia" w:ascii="仿宋_GB2312" w:hAnsi="仿宋_GB2312" w:eastAsia="仿宋_GB2312" w:cs="仿宋_GB2312"/>
          <w:b/>
          <w:bCs/>
          <w:sz w:val="32"/>
          <w:szCs w:val="32"/>
          <w:highlight w:val="none"/>
        </w:rPr>
        <w:t>防护网。</w:t>
      </w:r>
      <w:r>
        <w:rPr>
          <w:rFonts w:hint="eastAsia" w:ascii="仿宋_GB2312" w:hAnsi="仿宋_GB2312" w:eastAsia="仿宋_GB2312" w:cs="仿宋_GB2312"/>
          <w:b w:val="0"/>
          <w:bCs w:val="0"/>
          <w:sz w:val="32"/>
          <w:szCs w:val="32"/>
          <w:highlight w:val="none"/>
          <w:lang w:val="en-US" w:eastAsia="zh-CN"/>
        </w:rPr>
        <w:t>积极落实各类险种专项治理，</w:t>
      </w:r>
      <w:r>
        <w:rPr>
          <w:rFonts w:hint="eastAsia" w:ascii="仿宋_GB2312" w:hAnsi="仿宋_GB2312" w:eastAsia="仿宋_GB2312" w:cs="仿宋_GB2312"/>
          <w:sz w:val="32"/>
          <w:szCs w:val="32"/>
          <w:highlight w:val="none"/>
        </w:rPr>
        <w:t>推进政策、经办、信息、监督“四位一体”管理体系，实现风险识别、预警、处置闭环管理，强化风险联动研判。健</w:t>
      </w:r>
      <w:r>
        <w:rPr>
          <w:rFonts w:hint="eastAsia" w:ascii="仿宋_GB2312" w:hAnsi="仿宋_GB2312" w:eastAsia="仿宋_GB2312" w:cs="仿宋_GB2312"/>
          <w:sz w:val="32"/>
          <w:szCs w:val="32"/>
        </w:rPr>
        <w:t>全“市级统筹监督、</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日常监督、第三方审计监督、社会监督”四级协同</w:t>
      </w:r>
      <w:r>
        <w:rPr>
          <w:rFonts w:hint="eastAsia" w:ascii="仿宋_GB2312" w:hAnsi="仿宋_GB2312" w:eastAsia="仿宋_GB2312" w:cs="仿宋_GB2312"/>
          <w:sz w:val="32"/>
          <w:szCs w:val="32"/>
          <w:lang w:eastAsia="zh-CN"/>
        </w:rPr>
        <w:t>监管</w:t>
      </w:r>
      <w:r>
        <w:rPr>
          <w:rFonts w:hint="eastAsia" w:ascii="仿宋_GB2312" w:hAnsi="仿宋_GB2312" w:eastAsia="仿宋_GB2312" w:cs="仿宋_GB2312"/>
          <w:sz w:val="32"/>
          <w:szCs w:val="32"/>
        </w:rPr>
        <w:t>机制，做好常态化、全覆盖基金监管工作。优化权限管理、多级审核、定期轮岗及关键岗位主办、协管互补等</w:t>
      </w:r>
      <w:r>
        <w:rPr>
          <w:rFonts w:hint="eastAsia" w:ascii="仿宋_GB2312" w:hAnsi="仿宋_GB2312" w:eastAsia="仿宋_GB2312" w:cs="仿宋_GB2312"/>
          <w:sz w:val="32"/>
          <w:szCs w:val="32"/>
          <w:lang w:eastAsia="zh-CN"/>
        </w:rPr>
        <w:t>内控管理</w:t>
      </w:r>
      <w:r>
        <w:rPr>
          <w:rFonts w:hint="eastAsia" w:ascii="仿宋_GB2312" w:hAnsi="仿宋_GB2312" w:eastAsia="仿宋_GB2312" w:cs="仿宋_GB2312"/>
          <w:sz w:val="32"/>
          <w:szCs w:val="32"/>
        </w:rPr>
        <w:t>制度。依法严厉打击个人虚假申领待遇、中介违规代办等违法违规行为，确保基金安全平稳可持续运行。</w:t>
      </w:r>
    </w:p>
    <w:p w14:paraId="5AB293BD">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提升基金安全源头治理能力。</w:t>
      </w:r>
      <w:r>
        <w:rPr>
          <w:rFonts w:hint="eastAsia" w:ascii="仿宋_GB2312" w:hAnsi="仿宋_GB2312" w:eastAsia="仿宋_GB2312" w:cs="仿宋_GB2312"/>
          <w:sz w:val="32"/>
          <w:szCs w:val="32"/>
        </w:rPr>
        <w:t>严格落实社会保险待遇资格认证等经办规程，对高风险群体实施分级分类动态监测</w:t>
      </w:r>
      <w:r>
        <w:rPr>
          <w:rFonts w:hint="eastAsia" w:ascii="仿宋_GB2312" w:hAnsi="仿宋_GB2312" w:eastAsia="仿宋_GB2312" w:cs="仿宋_GB2312"/>
          <w:sz w:val="32"/>
          <w:szCs w:val="32"/>
          <w:lang w:eastAsia="zh-CN"/>
        </w:rPr>
        <w:t>，养老保险待遇资格认证率达到</w:t>
      </w:r>
      <w:r>
        <w:rPr>
          <w:rFonts w:hint="eastAsia" w:ascii="仿宋_GB2312" w:hAnsi="仿宋_GB2312" w:eastAsia="仿宋_GB2312" w:cs="仿宋_GB2312"/>
          <w:sz w:val="32"/>
          <w:szCs w:val="32"/>
          <w:lang w:val="en-US" w:eastAsia="zh-CN"/>
        </w:rPr>
        <w:t>95%以上。</w:t>
      </w:r>
      <w:r>
        <w:rPr>
          <w:rFonts w:hint="eastAsia" w:ascii="仿宋_GB2312" w:hAnsi="仿宋_GB2312" w:eastAsia="仿宋_GB2312" w:cs="仿宋_GB2312"/>
          <w:sz w:val="32"/>
          <w:szCs w:val="32"/>
        </w:rPr>
        <w:t>优化定点医药机构协议管理。进一步落实医保基金即时结算工作。推进</w:t>
      </w:r>
      <w:r>
        <w:rPr>
          <w:rFonts w:hint="eastAsia" w:ascii="仿宋_GB2312" w:hAnsi="仿宋_GB2312" w:eastAsia="仿宋_GB2312" w:cs="仿宋_GB2312"/>
          <w:sz w:val="32"/>
          <w:szCs w:val="32"/>
          <w:lang w:val="en-US" w:eastAsia="zh-CN"/>
        </w:rPr>
        <w:t>北京市按病组</w:t>
      </w:r>
      <w:r>
        <w:rPr>
          <w:rFonts w:hint="eastAsia" w:ascii="仿宋_GB2312" w:hAnsi="仿宋_GB2312" w:eastAsia="仿宋_GB2312" w:cs="仿宋_GB2312"/>
          <w:sz w:val="32"/>
          <w:szCs w:val="32"/>
        </w:rPr>
        <w:t>DRG付费</w:t>
      </w:r>
      <w:r>
        <w:rPr>
          <w:rStyle w:val="29"/>
          <w:rFonts w:hint="eastAsia" w:ascii="仿宋_GB2312" w:hAnsi="仿宋_GB2312" w:eastAsia="仿宋_GB2312" w:cs="仿宋_GB2312"/>
          <w:sz w:val="32"/>
          <w:szCs w:val="32"/>
        </w:rPr>
        <w:footnoteReference w:id="21"/>
      </w:r>
      <w:r>
        <w:rPr>
          <w:rFonts w:hint="eastAsia" w:ascii="仿宋_GB2312" w:hAnsi="仿宋_GB2312" w:eastAsia="仿宋_GB2312" w:cs="仿宋_GB2312"/>
          <w:sz w:val="32"/>
          <w:szCs w:val="32"/>
          <w:lang w:val="en-US" w:eastAsia="zh-CN"/>
        </w:rPr>
        <w:t>配套政策</w:t>
      </w:r>
      <w:r>
        <w:rPr>
          <w:rFonts w:hint="eastAsia" w:ascii="仿宋_GB2312" w:hAnsi="仿宋_GB2312" w:eastAsia="仿宋_GB2312" w:cs="仿宋_GB2312"/>
          <w:sz w:val="32"/>
          <w:szCs w:val="32"/>
        </w:rPr>
        <w:t>精准落地，加强DRG付费特例单议审核等工作。常态化实施药品、医用耗材集中带量采购，优化基金支付结构，切实提升基金使用效能。常态化开展基金安全警示教育，压实经办机构及参保单位责任，提升全行业风险意识。</w:t>
      </w:r>
    </w:p>
    <w:p w14:paraId="3C23C4C6">
      <w:pPr>
        <w:autoSpaceDE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强化数据赋能与技防支撑。</w:t>
      </w:r>
      <w:r>
        <w:rPr>
          <w:rFonts w:hint="eastAsia" w:ascii="仿宋_GB2312" w:hAnsi="仿宋_GB2312" w:eastAsia="仿宋_GB2312" w:cs="仿宋_GB2312"/>
          <w:sz w:val="32"/>
          <w:szCs w:val="32"/>
        </w:rPr>
        <w:t>深度融合政务数据，推动风控规则深度嵌入业务经办系统。强化疑点数据核查效能，实现社保基金使用事前预警、事中拦截、事后追溯的全流程监管。加强行刑衔接联动配合，建立案件移送快速通道，完善联合查处程序，全面提升基金风险防控水平。探索建立定点医疗机构“信用+风险”双评价信用管理体系，提升基金使用精准性和安全性，构建以信用为基础的新型基金监管格局。</w:t>
      </w:r>
    </w:p>
    <w:p w14:paraId="25A07A71">
      <w:pPr>
        <w:pStyle w:val="10"/>
        <w:overflowPunct w:val="0"/>
        <w:spacing w:line="560" w:lineRule="exact"/>
        <w:ind w:firstLine="640" w:firstLineChars="200"/>
        <w:outlineLvl w:val="1"/>
        <w:rPr>
          <w:rFonts w:hint="eastAsia" w:ascii="楷体_GB2312" w:hAnsi="楷体_GB2312" w:eastAsia="楷体_GB2312" w:cs="楷体_GB2312"/>
          <w:smallCaps/>
          <w:sz w:val="32"/>
          <w:szCs w:val="32"/>
          <w:highlight w:val="green"/>
          <w:lang w:eastAsia="zh-CN" w:bidi="bo-CN"/>
        </w:rPr>
      </w:pPr>
      <w:bookmarkStart w:id="58" w:name="_Toc30350"/>
      <w:bookmarkStart w:id="59" w:name="_Toc28820"/>
      <w:r>
        <w:rPr>
          <w:rFonts w:hint="eastAsia" w:ascii="楷体_GB2312" w:hAnsi="楷体_GB2312" w:eastAsia="楷体_GB2312" w:cs="楷体_GB2312"/>
          <w:sz w:val="32"/>
          <w:szCs w:val="32"/>
        </w:rPr>
        <w:t>（三）</w:t>
      </w:r>
      <w:r>
        <w:rPr>
          <w:rFonts w:hint="eastAsia" w:ascii="楷体_GB2312" w:hAnsi="楷体_GB2312" w:eastAsia="楷体_GB2312" w:cs="楷体_GB2312"/>
          <w:smallCaps/>
          <w:sz w:val="32"/>
          <w:szCs w:val="32"/>
          <w:lang w:bidi="bo-CN"/>
        </w:rPr>
        <w:t>聚焦高质量发展，构建人才发展一体化格局</w:t>
      </w:r>
    </w:p>
    <w:p w14:paraId="39446627">
      <w:pPr>
        <w:tabs>
          <w:tab w:val="right" w:leader="dot" w:pos="8834"/>
        </w:tabs>
        <w:adjustRightInd w:val="0"/>
        <w:snapToGrid w:val="0"/>
        <w:spacing w:line="560" w:lineRule="exact"/>
        <w:ind w:firstLine="640" w:firstLineChars="200"/>
        <w:outlineLvl w:val="1"/>
        <w:rPr>
          <w:rFonts w:hint="eastAsia" w:ascii="仿宋_GB2312" w:hAnsi="仿宋_GB2312" w:eastAsia="仿宋_GB2312" w:cs="楷体_GB2312"/>
          <w:bCs/>
          <w:smallCaps/>
          <w:sz w:val="32"/>
          <w:szCs w:val="32"/>
          <w:lang w:bidi="bo-CN"/>
        </w:rPr>
      </w:pPr>
      <w:r>
        <w:rPr>
          <w:rFonts w:hint="eastAsia" w:ascii="仿宋_GB2312" w:hAnsi="仿宋_GB2312" w:eastAsia="仿宋_GB2312" w:cs="楷体_GB2312"/>
          <w:bCs/>
          <w:smallCaps/>
          <w:sz w:val="32"/>
          <w:szCs w:val="32"/>
          <w:lang w:bidi="bo-CN"/>
        </w:rPr>
        <w:t>围绕高水平人才高地建设，以人力资</w:t>
      </w:r>
      <w:r>
        <w:rPr>
          <w:rFonts w:hint="eastAsia" w:ascii="仿宋_GB2312" w:hAnsi="仿宋_GB2312" w:eastAsia="仿宋_GB2312" w:cs="楷体_GB2312"/>
          <w:bCs/>
          <w:smallCaps/>
          <w:sz w:val="32"/>
          <w:szCs w:val="32"/>
          <w:highlight w:val="none"/>
          <w:lang w:bidi="bo-CN"/>
        </w:rPr>
        <w:t>源协同开发为主线，以技术</w:t>
      </w:r>
      <w:r>
        <w:rPr>
          <w:rFonts w:hint="eastAsia" w:ascii="仿宋_GB2312" w:hAnsi="仿宋_GB2312" w:eastAsia="仿宋_GB2312" w:cs="楷体_GB2312"/>
          <w:bCs/>
          <w:smallCaps/>
          <w:sz w:val="32"/>
          <w:szCs w:val="32"/>
          <w:highlight w:val="none"/>
          <w:lang w:eastAsia="zh-CN" w:bidi="bo-CN"/>
        </w:rPr>
        <w:t>、</w:t>
      </w:r>
      <w:r>
        <w:rPr>
          <w:rFonts w:hint="eastAsia" w:ascii="仿宋_GB2312" w:hAnsi="仿宋_GB2312" w:eastAsia="仿宋_GB2312" w:cs="楷体_GB2312"/>
          <w:bCs/>
          <w:smallCaps/>
          <w:sz w:val="32"/>
          <w:szCs w:val="32"/>
          <w:highlight w:val="none"/>
          <w:lang w:bidi="bo-CN"/>
        </w:rPr>
        <w:t>技能人才队伍</w:t>
      </w:r>
      <w:r>
        <w:rPr>
          <w:rFonts w:hint="eastAsia" w:ascii="仿宋_GB2312" w:hAnsi="仿宋_GB2312" w:eastAsia="仿宋_GB2312" w:cs="楷体_GB2312"/>
          <w:bCs/>
          <w:smallCaps/>
          <w:sz w:val="32"/>
          <w:szCs w:val="32"/>
          <w:highlight w:val="none"/>
          <w:lang w:val="en-US" w:eastAsia="zh-CN" w:bidi="bo-CN"/>
        </w:rPr>
        <w:t>建设</w:t>
      </w:r>
      <w:r>
        <w:rPr>
          <w:rFonts w:hint="eastAsia" w:ascii="仿宋_GB2312" w:hAnsi="仿宋_GB2312" w:eastAsia="仿宋_GB2312" w:cs="楷体_GB2312"/>
          <w:bCs/>
          <w:smallCaps/>
          <w:sz w:val="32"/>
          <w:szCs w:val="32"/>
          <w:highlight w:val="none"/>
          <w:lang w:bidi="bo-CN"/>
        </w:rPr>
        <w:t>为</w:t>
      </w:r>
      <w:r>
        <w:rPr>
          <w:rFonts w:hint="eastAsia" w:ascii="仿宋_GB2312" w:hAnsi="仿宋_GB2312" w:eastAsia="仿宋_GB2312" w:cs="楷体_GB2312"/>
          <w:bCs/>
          <w:smallCaps/>
          <w:sz w:val="32"/>
          <w:szCs w:val="32"/>
          <w:highlight w:val="none"/>
          <w:lang w:val="en-US" w:eastAsia="zh-CN" w:bidi="bo-CN"/>
        </w:rPr>
        <w:t>重点</w:t>
      </w:r>
      <w:r>
        <w:rPr>
          <w:rFonts w:hint="eastAsia" w:ascii="仿宋_GB2312" w:hAnsi="仿宋_GB2312" w:eastAsia="仿宋_GB2312" w:cs="楷体_GB2312"/>
          <w:bCs/>
          <w:smallCaps/>
          <w:sz w:val="32"/>
          <w:szCs w:val="32"/>
          <w:highlight w:val="none"/>
          <w:lang w:bidi="bo-CN"/>
        </w:rPr>
        <w:t>，通过精准</w:t>
      </w:r>
      <w:r>
        <w:rPr>
          <w:rFonts w:hint="eastAsia" w:ascii="仿宋_GB2312" w:hAnsi="仿宋_GB2312" w:eastAsia="仿宋_GB2312" w:cs="楷体_GB2312"/>
          <w:bCs/>
          <w:smallCaps/>
          <w:sz w:val="32"/>
          <w:szCs w:val="32"/>
          <w:lang w:bidi="bo-CN"/>
        </w:rPr>
        <w:t>引才、系统育才、优化环境，加快构建重质量、重能力、重贡献的人才发展一体化格局，全面激发人才创新创造活力，为高质量发展提供人才保障和智力支撑。</w:t>
      </w:r>
    </w:p>
    <w:p w14:paraId="751C196D">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
          <w:smallCaps/>
          <w:sz w:val="32"/>
          <w:szCs w:val="32"/>
          <w:lang w:bidi="bo-CN"/>
        </w:rPr>
      </w:pPr>
      <w:r>
        <w:rPr>
          <w:rFonts w:hint="eastAsia" w:ascii="仿宋_GB2312" w:hAnsi="仿宋_GB2312" w:eastAsia="仿宋_GB2312" w:cs="楷体_GB2312"/>
          <w:b/>
          <w:smallCaps/>
          <w:sz w:val="32"/>
          <w:szCs w:val="32"/>
          <w:lang w:bidi="bo-CN"/>
        </w:rPr>
        <w:t>1.聚焦</w:t>
      </w:r>
      <w:r>
        <w:rPr>
          <w:rFonts w:hint="eastAsia" w:ascii="仿宋_GB2312" w:hAnsi="仿宋_GB2312" w:eastAsia="仿宋_GB2312" w:cs="楷体_GB2312"/>
          <w:b/>
          <w:smallCaps/>
          <w:sz w:val="32"/>
          <w:szCs w:val="32"/>
          <w:lang w:eastAsia="zh-CN" w:bidi="bo-CN"/>
        </w:rPr>
        <w:t>“</w:t>
      </w:r>
      <w:r>
        <w:rPr>
          <w:rFonts w:hint="eastAsia" w:ascii="仿宋_GB2312" w:hAnsi="仿宋_GB2312" w:eastAsia="仿宋_GB2312" w:cs="楷体_GB2312"/>
          <w:b/>
          <w:smallCaps/>
          <w:sz w:val="32"/>
          <w:szCs w:val="32"/>
          <w:lang w:val="en-US" w:eastAsia="zh-CN" w:bidi="bo-CN"/>
        </w:rPr>
        <w:t>新国门”</w:t>
      </w:r>
      <w:r>
        <w:rPr>
          <w:rFonts w:hint="eastAsia" w:ascii="仿宋_GB2312" w:hAnsi="仿宋_GB2312" w:eastAsia="仿宋_GB2312" w:cs="楷体_GB2312"/>
          <w:b/>
          <w:smallCaps/>
          <w:sz w:val="32"/>
          <w:szCs w:val="32"/>
          <w:lang w:bidi="bo-CN"/>
        </w:rPr>
        <w:t>发展强化精准引才</w:t>
      </w:r>
    </w:p>
    <w:p w14:paraId="48FEF39D">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lang w:bidi="bo-CN"/>
        </w:rPr>
        <w:t>强化公共服务人才选聘统筹管理。</w:t>
      </w:r>
      <w:r>
        <w:rPr>
          <w:rFonts w:hint="eastAsia" w:ascii="仿宋_GB2312" w:hAnsi="仿宋_GB2312" w:eastAsia="仿宋_GB2312" w:cs="楷体_GB2312"/>
          <w:bCs/>
          <w:smallCaps/>
          <w:sz w:val="32"/>
          <w:szCs w:val="32"/>
          <w:lang w:bidi="bo-CN"/>
        </w:rPr>
        <w:t>立足高质量发展，统筹教育、卫生、社会治理、产业服务等公共事业领域引才需求，合理配置资源，提升招聘引才的科学性和精准性。分级分类强化事业单位集中招聘，优化岗位资格条件设置，完善考试评价机制，严格规范招聘工作程序，提高招聘工作质效，筑牢公共服务人才基础。持续做好退役大学生士兵、乡村振兴协理员、优秀社区工作者等群体定向招聘，落实各项优惠政策，推动招聘岗位向镇、街道等基层单位和一线岗位倾斜，优化公共服务人才配置。</w:t>
      </w:r>
    </w:p>
    <w:p w14:paraId="627CC2FF">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lang w:bidi="bo-CN"/>
        </w:rPr>
        <w:t>扩大产业人才引进规模和质量。</w:t>
      </w:r>
      <w:r>
        <w:rPr>
          <w:rFonts w:hint="eastAsia" w:ascii="仿宋_GB2312" w:hAnsi="仿宋_GB2312" w:eastAsia="仿宋_GB2312" w:cs="楷体_GB2312"/>
          <w:bCs/>
          <w:smallCaps/>
          <w:sz w:val="32"/>
          <w:szCs w:val="32"/>
          <w:lang w:bidi="bo-CN"/>
        </w:rPr>
        <w:t>坚持人才引聚与产业发展深度融合，持续深化“英才选聘”系列活动，采取“组织企业进高校”“邀请高校来大兴”等方式，搭建校企对接平台，精准对接产业人才需求，加大非京籍高校毕业生引进力度，提升产业人才招聘引进的适配性和整体质量。编制博士后青年科技人才需求目录，梳理明确重点产业科技研发、科研攻关、科技成果转化与紧缺人才</w:t>
      </w:r>
      <w:r>
        <w:rPr>
          <w:rFonts w:hint="eastAsia" w:ascii="仿宋_GB2312" w:hAnsi="仿宋_GB2312" w:eastAsia="仿宋_GB2312" w:cs="楷体_GB2312"/>
          <w:bCs/>
          <w:smallCaps/>
          <w:sz w:val="32"/>
          <w:szCs w:val="32"/>
          <w:lang w:val="en-US" w:eastAsia="zh-CN" w:bidi="bo-CN"/>
        </w:rPr>
        <w:t>需求</w:t>
      </w:r>
      <w:r>
        <w:rPr>
          <w:rFonts w:hint="eastAsia" w:ascii="仿宋_GB2312" w:hAnsi="仿宋_GB2312" w:eastAsia="仿宋_GB2312" w:cs="楷体_GB2312"/>
          <w:bCs/>
          <w:smallCaps/>
          <w:sz w:val="32"/>
          <w:szCs w:val="32"/>
          <w:lang w:bidi="bo-CN"/>
        </w:rPr>
        <w:t>，深化博士后招收洽谈活动。鼓励博士后设站企业与高校、科研院所建立联合培养和协同引进机制，拓宽博士后引才渠道，广泛吸引海内外优秀博士后进站从事科研工作。</w:t>
      </w:r>
    </w:p>
    <w:p w14:paraId="67413582">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lang w:bidi="bo-CN"/>
        </w:rPr>
        <w:t>深化人力资源开发利用和服务保障。</w:t>
      </w:r>
      <w:r>
        <w:rPr>
          <w:rFonts w:hint="eastAsia" w:ascii="仿宋_GB2312" w:hAnsi="仿宋_GB2312" w:eastAsia="仿宋_GB2312" w:cs="楷体_GB2312"/>
          <w:bCs/>
          <w:smallCaps/>
          <w:sz w:val="32"/>
          <w:szCs w:val="32"/>
          <w:lang w:bidi="bo-CN"/>
        </w:rPr>
        <w:t>打造博士后青年科技人才全链条服务，整合集体户、人事档案等资源，完善博士后人才数据库，健全日常联系机制，提供“一站式”服务。优化积分落户政策咨询、申报解答、落户申报等“全流程”服务。聚焦生物医药、未来能源等战略性新兴产业和未来产业发展方向，推动实施人力资源服务业高质量发展专项政策，加强人力资源供给需求前瞻性研究，拓展北京市人力资源开发目录应用场景，探索建设</w:t>
      </w:r>
      <w:r>
        <w:rPr>
          <w:rFonts w:hint="eastAsia" w:ascii="仿宋_GB2312" w:hAnsi="仿宋_GB2312" w:eastAsia="仿宋_GB2312" w:cs="仿宋_GB2312"/>
          <w:sz w:val="32"/>
          <w:szCs w:val="32"/>
          <w:lang w:bidi="bo-CN"/>
        </w:rPr>
        <w:t>人力资源开发目录</w:t>
      </w:r>
      <w:r>
        <w:rPr>
          <w:rStyle w:val="29"/>
          <w:rFonts w:hint="eastAsia" w:ascii="仿宋_GB2312" w:hAnsi="仿宋_GB2312" w:eastAsia="仿宋_GB2312" w:cs="楷体_GB2312"/>
          <w:bCs/>
          <w:smallCaps/>
          <w:sz w:val="32"/>
          <w:szCs w:val="32"/>
          <w:lang w:bidi="bo-CN"/>
        </w:rPr>
        <w:footnoteReference w:id="22"/>
      </w:r>
      <w:r>
        <w:rPr>
          <w:rFonts w:hint="eastAsia" w:ascii="仿宋_GB2312" w:hAnsi="仿宋_GB2312" w:eastAsia="仿宋_GB2312" w:cs="楷体_GB2312"/>
          <w:bCs/>
          <w:smallCaps/>
          <w:sz w:val="32"/>
          <w:szCs w:val="32"/>
          <w:lang w:bidi="bo-CN"/>
        </w:rPr>
        <w:t>、国际职业资格认可目录等配套保障机制建设，促进人力资源精准适配产业发展需求。</w:t>
      </w:r>
    </w:p>
    <w:p w14:paraId="1D9C86DE">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
          <w:smallCaps/>
          <w:sz w:val="32"/>
          <w:szCs w:val="32"/>
          <w:lang w:bidi="bo-CN"/>
        </w:rPr>
      </w:pPr>
      <w:r>
        <w:rPr>
          <w:rFonts w:hint="eastAsia" w:ascii="仿宋_GB2312" w:hAnsi="仿宋_GB2312" w:eastAsia="仿宋_GB2312" w:cs="楷体_GB2312"/>
          <w:b/>
          <w:smallCaps/>
          <w:sz w:val="32"/>
          <w:szCs w:val="32"/>
          <w:lang w:bidi="bo-CN"/>
        </w:rPr>
        <w:t>2.加强技术技能人才培养和自主培育</w:t>
      </w:r>
    </w:p>
    <w:p w14:paraId="75B02FD3">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lang w:bidi="bo-CN"/>
        </w:rPr>
        <w:t>推进人才评价与产业发展深度适配。</w:t>
      </w:r>
      <w:r>
        <w:rPr>
          <w:rFonts w:hint="eastAsia" w:ascii="仿宋_GB2312" w:hAnsi="仿宋_GB2312" w:eastAsia="仿宋_GB2312" w:cs="楷体_GB2312"/>
          <w:bCs/>
          <w:smallCaps/>
          <w:sz w:val="32"/>
          <w:szCs w:val="32"/>
          <w:lang w:bidi="bo-CN"/>
        </w:rPr>
        <w:t>构建以创新价值、能力贡献为导向的技术技能人才评价机制，提升人才评价与产业发展的协同效能。推进生物医药、未来能源、数字经济等特色优势产业职称自主评审，完善高层次、急需紧缺、特殊特艺人才高级职称评审“绿色通道”，有序实施工程技术系列职称评审。深化技能人才评价改革，支持符合条件企业申报新职业评价资质，加强新就业形态技能人才培训评价，逐步推进特级技师、首席技师评聘，畅通技能人才职业发展通道。</w:t>
      </w:r>
    </w:p>
    <w:p w14:paraId="7FFC1A71">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lang w:bidi="bo-CN"/>
        </w:rPr>
        <w:t>持续提升人才综合职业能力。</w:t>
      </w:r>
      <w:r>
        <w:rPr>
          <w:rFonts w:hint="eastAsia" w:ascii="仿宋_GB2312" w:hAnsi="仿宋_GB2312" w:eastAsia="仿宋_GB2312" w:cs="楷体_GB2312"/>
          <w:bCs/>
          <w:smallCaps/>
          <w:sz w:val="32"/>
          <w:szCs w:val="32"/>
          <w:lang w:bidi="bo-CN"/>
        </w:rPr>
        <w:t>深入实施</w:t>
      </w:r>
      <w:r>
        <w:rPr>
          <w:rFonts w:hint="eastAsia" w:ascii="仿宋_GB2312" w:hAnsi="仿宋_GB2312" w:eastAsia="仿宋_GB2312" w:cs="仿宋_GB2312"/>
          <w:sz w:val="32"/>
          <w:szCs w:val="32"/>
          <w:lang w:bidi="bo-CN"/>
        </w:rPr>
        <w:t>专业技术人才知识更新工程</w:t>
      </w:r>
      <w:r>
        <w:rPr>
          <w:rStyle w:val="29"/>
          <w:rFonts w:hint="eastAsia" w:ascii="仿宋_GB2312" w:hAnsi="仿宋_GB2312" w:eastAsia="仿宋_GB2312" w:cs="楷体_GB2312"/>
          <w:bCs/>
          <w:smallCaps/>
          <w:sz w:val="32"/>
          <w:szCs w:val="32"/>
          <w:lang w:bidi="bo-CN"/>
        </w:rPr>
        <w:footnoteReference w:id="23"/>
      </w:r>
      <w:r>
        <w:rPr>
          <w:rFonts w:hint="eastAsia" w:ascii="仿宋_GB2312" w:hAnsi="仿宋_GB2312" w:eastAsia="仿宋_GB2312" w:cs="楷体_GB2312"/>
          <w:bCs/>
          <w:smallCaps/>
          <w:sz w:val="32"/>
          <w:szCs w:val="32"/>
          <w:lang w:bidi="bo-CN"/>
        </w:rPr>
        <w:t>，实施</w:t>
      </w:r>
      <w:r>
        <w:rPr>
          <w:rFonts w:hint="eastAsia" w:ascii="仿宋_GB2312" w:hAnsi="仿宋_GB2312" w:eastAsia="仿宋_GB2312" w:cs="仿宋_GB2312"/>
          <w:sz w:val="32"/>
          <w:szCs w:val="32"/>
          <w:lang w:bidi="bo-CN"/>
        </w:rPr>
        <w:t>数字技术工程师</w:t>
      </w:r>
      <w:r>
        <w:rPr>
          <w:rStyle w:val="29"/>
          <w:rFonts w:hint="eastAsia" w:ascii="仿宋_GB2312" w:hAnsi="仿宋_GB2312" w:eastAsia="仿宋_GB2312" w:cs="楷体_GB2312"/>
          <w:bCs/>
          <w:smallCaps/>
          <w:sz w:val="32"/>
          <w:szCs w:val="32"/>
          <w:lang w:bidi="bo-CN"/>
        </w:rPr>
        <w:footnoteReference w:id="24"/>
      </w:r>
      <w:r>
        <w:rPr>
          <w:rFonts w:hint="eastAsia" w:ascii="仿宋_GB2312" w:hAnsi="仿宋_GB2312" w:eastAsia="仿宋_GB2312" w:cs="楷体_GB2312"/>
          <w:bCs/>
          <w:smallCaps/>
          <w:sz w:val="32"/>
          <w:szCs w:val="32"/>
          <w:lang w:bidi="bo-CN"/>
        </w:rPr>
        <w:t>、氢燃料电池测试员等新兴产业人才培育项目。探索完善卓越工程师培养体系，深化产教融合、校企合作，提升工程技术人才整体水平。完善职业技能竞赛管理制度，广泛开展多层次、多形式的职业技能竞赛，强化“以研促学、以赛促训”，推动破解关键领域技术技能难题。打通专业技术人才与高技能人才职业发展通道，积极落实</w:t>
      </w:r>
      <w:r>
        <w:rPr>
          <w:rFonts w:hint="eastAsia" w:ascii="仿宋_GB2312" w:hAnsi="仿宋_GB2312" w:eastAsia="仿宋_GB2312" w:cs="仿宋_GB2312"/>
          <w:sz w:val="32"/>
          <w:szCs w:val="32"/>
          <w:lang w:bidi="bo-CN"/>
        </w:rPr>
        <w:t>京津冀人才评价成果互认</w:t>
      </w:r>
      <w:r>
        <w:rPr>
          <w:rStyle w:val="29"/>
          <w:rFonts w:hint="eastAsia" w:ascii="仿宋_GB2312" w:hAnsi="仿宋_GB2312" w:eastAsia="仿宋_GB2312" w:cs="楷体_GB2312"/>
          <w:bCs/>
          <w:smallCaps/>
          <w:sz w:val="32"/>
          <w:szCs w:val="32"/>
          <w:lang w:bidi="bo-CN"/>
        </w:rPr>
        <w:footnoteReference w:id="25"/>
      </w:r>
      <w:r>
        <w:rPr>
          <w:rFonts w:hint="eastAsia" w:ascii="仿宋_GB2312" w:hAnsi="仿宋_GB2312" w:eastAsia="仿宋_GB2312" w:cs="楷体_GB2312"/>
          <w:bCs/>
          <w:smallCaps/>
          <w:sz w:val="32"/>
          <w:szCs w:val="32"/>
          <w:lang w:bidi="bo-CN"/>
        </w:rPr>
        <w:t>、职业资格（职业技能等级）与职称对应关系、境外职业资格认可等政策，培育符合发展的技术技能复合型人才。规范评比表彰管理，做好表彰获得者待遇落实与跟踪服务。</w:t>
      </w:r>
    </w:p>
    <w:p w14:paraId="643C67B1">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highlight w:val="none"/>
          <w:lang w:bidi="bo-CN"/>
        </w:rPr>
      </w:pPr>
      <w:r>
        <w:rPr>
          <w:rFonts w:hint="eastAsia" w:ascii="仿宋_GB2312" w:hAnsi="仿宋_GB2312" w:eastAsia="仿宋_GB2312" w:cs="楷体_GB2312"/>
          <w:b/>
          <w:smallCaps/>
          <w:sz w:val="32"/>
          <w:szCs w:val="32"/>
          <w:highlight w:val="none"/>
          <w:lang w:bidi="bo-CN"/>
        </w:rPr>
        <w:t>优化高技能人才发展通道。</w:t>
      </w:r>
      <w:r>
        <w:rPr>
          <w:rFonts w:hint="eastAsia" w:ascii="仿宋_GB2312" w:hAnsi="仿宋_GB2312" w:eastAsia="仿宋_GB2312" w:cs="楷体_GB2312"/>
          <w:bCs/>
          <w:smallCaps/>
          <w:sz w:val="32"/>
          <w:szCs w:val="32"/>
          <w:highlight w:val="none"/>
          <w:lang w:bidi="bo-CN"/>
        </w:rPr>
        <w:t>聚焦生物医药、临空经济、氢能等产业和新职业领域布局建设一批技能大师工作室，鼓励工作室与职业院校、产业链重点企业协同开展技术攻关与成果转化，到2030年新建区级技能大师工作室</w:t>
      </w:r>
      <w:r>
        <w:rPr>
          <w:rFonts w:hint="eastAsia" w:ascii="仿宋_GB2312" w:hAnsi="仿宋_GB2312" w:eastAsia="仿宋_GB2312" w:cs="楷体_GB2312"/>
          <w:bCs/>
          <w:smallCaps/>
          <w:sz w:val="32"/>
          <w:szCs w:val="32"/>
          <w:highlight w:val="none"/>
          <w:lang w:val="en-US" w:eastAsia="zh-CN" w:bidi="bo-CN"/>
        </w:rPr>
        <w:t>5家</w:t>
      </w:r>
      <w:r>
        <w:rPr>
          <w:rFonts w:hint="eastAsia" w:ascii="仿宋_GB2312" w:hAnsi="仿宋_GB2312" w:eastAsia="仿宋_GB2312" w:cs="楷体_GB2312"/>
          <w:bCs/>
          <w:smallCaps/>
          <w:sz w:val="32"/>
          <w:szCs w:val="32"/>
          <w:highlight w:val="none"/>
          <w:lang w:bidi="bo-CN"/>
        </w:rPr>
        <w:t>，支持优质成果转化项目不少于30项，促进企业提质增效。</w:t>
      </w:r>
      <w:r>
        <w:rPr>
          <w:rFonts w:hint="eastAsia" w:ascii="仿宋_GB2312" w:hAnsi="仿宋_GB2312" w:eastAsia="仿宋_GB2312" w:cs="楷体_GB2312"/>
          <w:bCs/>
          <w:smallCaps/>
          <w:sz w:val="32"/>
          <w:szCs w:val="32"/>
          <w:highlight w:val="none"/>
          <w:lang w:val="en-US" w:eastAsia="zh-CN" w:bidi="bo-CN"/>
        </w:rPr>
        <w:t>开展</w:t>
      </w:r>
      <w:r>
        <w:rPr>
          <w:rFonts w:hint="eastAsia" w:ascii="仿宋_GB2312" w:hAnsi="仿宋_GB2312" w:eastAsia="仿宋_GB2312" w:cs="楷体_GB2312"/>
          <w:bCs/>
          <w:smallCaps/>
          <w:sz w:val="32"/>
          <w:szCs w:val="32"/>
          <w:highlight w:val="none"/>
          <w:lang w:bidi="bo-CN"/>
        </w:rPr>
        <w:t>技能人才研修培训，持续提升技术革新、技能攻关等专业能力。落实国家、市区高技能人才奖励激励措施，大力弘扬工匠精神，营造崇技尚能良好氛围。</w:t>
      </w:r>
    </w:p>
    <w:p w14:paraId="236A422B">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
          <w:smallCaps/>
          <w:sz w:val="32"/>
          <w:szCs w:val="32"/>
          <w:lang w:bidi="bo-CN"/>
        </w:rPr>
      </w:pPr>
      <w:r>
        <w:rPr>
          <w:rFonts w:hint="eastAsia" w:ascii="仿宋_GB2312" w:hAnsi="仿宋_GB2312" w:eastAsia="仿宋_GB2312" w:cs="楷体_GB2312"/>
          <w:b/>
          <w:smallCaps/>
          <w:sz w:val="32"/>
          <w:szCs w:val="32"/>
          <w:lang w:bidi="bo-CN"/>
        </w:rPr>
        <w:t>3.优化人才发展生态与服务保障</w:t>
      </w:r>
    </w:p>
    <w:p w14:paraId="0EC38FF4">
      <w:pPr>
        <w:tabs>
          <w:tab w:val="right" w:leader="dot" w:pos="8834"/>
        </w:tabs>
        <w:adjustRightInd w:val="0"/>
        <w:snapToGrid w:val="0"/>
        <w:spacing w:line="560" w:lineRule="exact"/>
        <w:ind w:firstLine="643" w:firstLineChars="200"/>
        <w:outlineLvl w:val="1"/>
        <w:rPr>
          <w:rFonts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highlight w:val="none"/>
          <w:lang w:bidi="bo-CN"/>
        </w:rPr>
        <w:t>推进事业单位人事制度改革和人员队伍建设。</w:t>
      </w:r>
      <w:r>
        <w:rPr>
          <w:rFonts w:hint="eastAsia" w:ascii="仿宋_GB2312" w:hAnsi="仿宋_GB2312" w:eastAsia="仿宋_GB2312" w:cs="楷体_GB2312"/>
          <w:bCs/>
          <w:smallCaps/>
          <w:sz w:val="32"/>
          <w:szCs w:val="32"/>
          <w:lang w:bidi="bo-CN"/>
        </w:rPr>
        <w:t>深化事业单位岗位设置、人员聘用等用人制度和薪酬制度改革，健全管理岗位职员等级晋升制度，建立健全岗位动态调整和统筹管理机制，开展人员交流、竞聘上岗等措施，激发事业单位人员队伍活力。探索建立事业单位人事管理监督体系，强化人事管理事项清单，逐步推动人事管理事项纳入常规监督检查范畴，提高人事管理制度化规范化水平。推动教育、卫生等重点行业建立以行业属性为基础的分级分类考核评价体系，完善事业单位考核奖励指标统筹管理机制，支持和鼓励符合条件的主管单位申报</w:t>
      </w:r>
      <w:r>
        <w:rPr>
          <w:rFonts w:hint="eastAsia" w:ascii="仿宋_GB2312" w:hAnsi="仿宋_GB2312" w:eastAsia="仿宋_GB2312" w:cs="仿宋_GB2312"/>
          <w:sz w:val="32"/>
          <w:szCs w:val="32"/>
          <w:lang w:bidi="bo-CN"/>
        </w:rPr>
        <w:t>及时奖励</w:t>
      </w:r>
      <w:r>
        <w:rPr>
          <w:rStyle w:val="29"/>
          <w:rFonts w:hint="eastAsia" w:ascii="仿宋_GB2312" w:hAnsi="仿宋_GB2312" w:eastAsia="仿宋_GB2312" w:cs="楷体_GB2312"/>
          <w:bCs/>
          <w:smallCaps/>
          <w:sz w:val="32"/>
          <w:szCs w:val="32"/>
          <w:lang w:bidi="bo-CN"/>
        </w:rPr>
        <w:footnoteReference w:id="26"/>
      </w:r>
      <w:r>
        <w:rPr>
          <w:rFonts w:hint="eastAsia" w:ascii="仿宋_GB2312" w:hAnsi="仿宋_GB2312" w:eastAsia="仿宋_GB2312" w:cs="楷体_GB2312"/>
          <w:bCs/>
          <w:smallCaps/>
          <w:sz w:val="32"/>
          <w:szCs w:val="32"/>
          <w:lang w:bidi="bo-CN"/>
        </w:rPr>
        <w:t>。配合做好各级表彰奖励活动组织实施，依法依规推荐评选，提升表彰奖励规范化水平，发挥表彰奖励示范引领作用。</w:t>
      </w:r>
    </w:p>
    <w:p w14:paraId="119598DE">
      <w:pPr>
        <w:tabs>
          <w:tab w:val="right" w:leader="dot" w:pos="8834"/>
        </w:tabs>
        <w:adjustRightInd w:val="0"/>
        <w:snapToGrid w:val="0"/>
        <w:spacing w:line="560" w:lineRule="exact"/>
        <w:ind w:firstLine="643" w:firstLineChars="200"/>
        <w:outlineLvl w:val="1"/>
        <w:rPr>
          <w:rFonts w:ascii="仿宋_GB2312" w:hAnsi="仿宋_GB2312" w:eastAsia="仿宋_GB2312" w:cs="楷体_GB2312"/>
          <w:bCs/>
          <w:smallCaps/>
          <w:sz w:val="32"/>
          <w:szCs w:val="32"/>
          <w:lang w:bidi="bo-CN"/>
        </w:rPr>
      </w:pPr>
      <w:r>
        <w:rPr>
          <w:rFonts w:hint="eastAsia" w:ascii="仿宋_GB2312" w:hAnsi="仿宋_GB2312" w:eastAsia="仿宋_GB2312" w:cs="楷体_GB2312"/>
          <w:b/>
          <w:smallCaps/>
          <w:sz w:val="32"/>
          <w:szCs w:val="32"/>
          <w:lang w:bidi="bo-CN"/>
        </w:rPr>
        <w:t>提升博士后青年科技人才发展环境。</w:t>
      </w:r>
      <w:r>
        <w:rPr>
          <w:rFonts w:hint="eastAsia" w:ascii="仿宋_GB2312" w:hAnsi="仿宋_GB2312" w:eastAsia="仿宋_GB2312" w:cs="楷体_GB2312"/>
          <w:bCs/>
          <w:smallCaps/>
          <w:sz w:val="32"/>
          <w:szCs w:val="32"/>
          <w:lang w:bidi="bo-CN"/>
        </w:rPr>
        <w:t>锚定临空经济、</w:t>
      </w:r>
      <w:r>
        <w:rPr>
          <w:rFonts w:hint="eastAsia" w:ascii="仿宋_GB2312" w:hAnsi="仿宋_GB2312" w:eastAsia="仿宋_GB2312" w:cs="楷体_GB2312"/>
          <w:bCs/>
          <w:smallCaps/>
          <w:sz w:val="32"/>
          <w:szCs w:val="32"/>
          <w:lang w:val="en-US" w:eastAsia="zh-CN" w:bidi="bo-CN"/>
        </w:rPr>
        <w:t>生命健康</w:t>
      </w:r>
      <w:r>
        <w:rPr>
          <w:rFonts w:hint="eastAsia" w:ascii="仿宋_GB2312" w:hAnsi="仿宋_GB2312" w:eastAsia="仿宋_GB2312" w:cs="楷体_GB2312"/>
          <w:bCs/>
          <w:smallCaps/>
          <w:sz w:val="32"/>
          <w:szCs w:val="32"/>
          <w:lang w:bidi="bo-CN"/>
        </w:rPr>
        <w:t>、数字经济、未来能源、商业航天、农林科技等主导产业</w:t>
      </w:r>
      <w:r>
        <w:rPr>
          <w:rFonts w:hint="eastAsia" w:ascii="仿宋_GB2312" w:hAnsi="仿宋_GB2312" w:eastAsia="仿宋_GB2312" w:cs="楷体_GB2312"/>
          <w:bCs/>
          <w:smallCaps/>
          <w:sz w:val="32"/>
          <w:szCs w:val="32"/>
          <w:highlight w:val="none"/>
          <w:lang w:bidi="bo-CN"/>
        </w:rPr>
        <w:t>，持续加大专精特新、独角兽、隐形冠军等高精尖企业申报设站支持力度，有序推动博士后科研工作站提质扩面，到2030年底全区设站总量达到70家。</w:t>
      </w:r>
      <w:r>
        <w:rPr>
          <w:rFonts w:hint="eastAsia" w:ascii="仿宋_GB2312" w:hAnsi="仿宋_GB2312" w:eastAsia="仿宋_GB2312" w:cs="楷体_GB2312"/>
          <w:bCs/>
          <w:smallCaps/>
          <w:sz w:val="32"/>
          <w:szCs w:val="32"/>
          <w:lang w:bidi="bo-CN"/>
        </w:rPr>
        <w:t>深入实施北京全球优秀博士后激励计划，修订和优化区级博士后支持保障政策，支持博士后人才深度参与科研创新、“卡脖子”技术攻关、原创性基础研究和科研成果转化，吸引出站博士后青年科技人才留兴发展。支持符合条件的博士后设站企业申请独立招收培养权，鼓励博士后设站企业举办行业前沿研讨、学术交流、人才项目对接等活动，深化与高校、科研院所等联动交流。</w:t>
      </w:r>
    </w:p>
    <w:p w14:paraId="3A102080">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Cs/>
          <w:smallCaps/>
          <w:sz w:val="32"/>
          <w:szCs w:val="32"/>
          <w:highlight w:val="yellow"/>
          <w:lang w:bidi="bo-CN"/>
        </w:rPr>
      </w:pPr>
      <w:r>
        <w:rPr>
          <w:rFonts w:hint="eastAsia" w:ascii="仿宋_GB2312" w:hAnsi="仿宋_GB2312" w:eastAsia="仿宋_GB2312" w:cs="楷体_GB2312"/>
          <w:b/>
          <w:smallCaps/>
          <w:sz w:val="32"/>
          <w:szCs w:val="32"/>
          <w:highlight w:val="none"/>
          <w:lang w:bidi="bo-CN"/>
        </w:rPr>
        <w:t>深化公开公平公正</w:t>
      </w:r>
      <w:r>
        <w:rPr>
          <w:rFonts w:hint="eastAsia" w:ascii="仿宋_GB2312" w:hAnsi="仿宋_GB2312" w:eastAsia="仿宋_GB2312" w:cs="楷体_GB2312"/>
          <w:b/>
          <w:smallCaps/>
          <w:sz w:val="32"/>
          <w:szCs w:val="32"/>
          <w:highlight w:val="none"/>
          <w:lang w:val="en-US" w:eastAsia="zh-CN" w:bidi="bo-CN"/>
        </w:rPr>
        <w:t>人事考评</w:t>
      </w:r>
      <w:r>
        <w:rPr>
          <w:rFonts w:hint="eastAsia" w:ascii="仿宋_GB2312" w:hAnsi="仿宋_GB2312" w:eastAsia="仿宋_GB2312" w:cs="楷体_GB2312"/>
          <w:b/>
          <w:smallCaps/>
          <w:sz w:val="32"/>
          <w:szCs w:val="32"/>
          <w:highlight w:val="none"/>
          <w:lang w:bidi="bo-CN"/>
        </w:rPr>
        <w:t>机制</w:t>
      </w:r>
      <w:r>
        <w:rPr>
          <w:rFonts w:hint="eastAsia" w:ascii="仿宋_GB2312" w:hAnsi="仿宋_GB2312" w:eastAsia="仿宋_GB2312" w:cs="楷体_GB2312"/>
          <w:bCs/>
          <w:smallCaps/>
          <w:sz w:val="32"/>
          <w:szCs w:val="32"/>
          <w:highlight w:val="none"/>
          <w:lang w:bidi="bo-CN"/>
        </w:rPr>
        <w:t>。平稳有序推进人事考试工作，加强考场资源统筹协调，科学规划考点布局，优化考点设置和考务组织安排，强化考务人员专业化培训，持续提升人事考试组织实施规范化水平。</w:t>
      </w:r>
      <w:r>
        <w:rPr>
          <w:rFonts w:hint="eastAsia" w:ascii="仿宋_GB2312" w:hAnsi="仿宋_GB2312" w:eastAsia="仿宋_GB2312" w:cs="楷体_GB2312"/>
          <w:bCs/>
          <w:smallCaps/>
          <w:sz w:val="32"/>
          <w:szCs w:val="32"/>
          <w:highlight w:val="none"/>
          <w:lang w:eastAsia="zh-CN" w:bidi="bo-CN"/>
        </w:rPr>
        <w:t>健全</w:t>
      </w:r>
      <w:r>
        <w:rPr>
          <w:rFonts w:hint="eastAsia" w:ascii="仿宋_GB2312" w:hAnsi="仿宋_GB2312" w:eastAsia="仿宋_GB2312" w:cs="楷体_GB2312"/>
          <w:bCs/>
          <w:smallCaps/>
          <w:sz w:val="32"/>
          <w:szCs w:val="32"/>
          <w:highlight w:val="none"/>
          <w:lang w:bidi="bo-CN"/>
        </w:rPr>
        <w:t>考试风险监测防控机制，系统梳理考务组织各环节风险点，筑牢考试安全防线。加强人工智能技术在人事考试工作中的应用，提升人事考试组织效率和智能化服务水平，发挥人事考试在人才选拔</w:t>
      </w:r>
      <w:r>
        <w:rPr>
          <w:rFonts w:hint="eastAsia" w:ascii="仿宋_GB2312" w:hAnsi="仿宋_GB2312" w:eastAsia="仿宋_GB2312" w:cs="楷体_GB2312"/>
          <w:bCs/>
          <w:smallCaps/>
          <w:sz w:val="32"/>
          <w:szCs w:val="32"/>
          <w:highlight w:val="none"/>
          <w:lang w:eastAsia="zh-CN" w:bidi="bo-CN"/>
        </w:rPr>
        <w:t>、</w:t>
      </w:r>
      <w:r>
        <w:rPr>
          <w:rFonts w:hint="eastAsia" w:ascii="仿宋_GB2312" w:hAnsi="仿宋_GB2312" w:eastAsia="仿宋_GB2312" w:cs="楷体_GB2312"/>
          <w:bCs/>
          <w:smallCaps/>
          <w:sz w:val="32"/>
          <w:szCs w:val="32"/>
          <w:highlight w:val="none"/>
          <w:lang w:bidi="bo-CN"/>
        </w:rPr>
        <w:t>培育中的基础性保障作用。</w:t>
      </w:r>
    </w:p>
    <w:bookmarkEnd w:id="58"/>
    <w:bookmarkEnd w:id="59"/>
    <w:p w14:paraId="3CF55EDA">
      <w:pPr>
        <w:tabs>
          <w:tab w:val="right" w:leader="dot" w:pos="8834"/>
        </w:tabs>
        <w:adjustRightInd w:val="0"/>
        <w:snapToGrid w:val="0"/>
        <w:spacing w:line="560" w:lineRule="exact"/>
        <w:ind w:firstLine="643" w:firstLineChars="200"/>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bookmarkStart w:id="60" w:name="_Toc16450"/>
      <w:bookmarkStart w:id="61" w:name="_Toc16649"/>
      <w:r>
        <w:rPr>
          <w:rFonts w:hint="eastAsia" w:ascii="楷体_GB2312" w:hAnsi="楷体_GB2312" w:eastAsia="楷体_GB2312" w:cs="楷体_GB2312"/>
          <w:b/>
          <w:smallCaps/>
          <w:color w:val="000000" w:themeColor="text1"/>
          <w:sz w:val="32"/>
          <w:szCs w:val="32"/>
          <w:highlight w:val="none"/>
          <w:lang w:bidi="bo-CN"/>
          <w14:textFill>
            <w14:solidFill>
              <w14:schemeClr w14:val="tx1"/>
            </w14:solidFill>
          </w14:textFill>
        </w:rPr>
        <w:t>（四）深化多元协同治理，维护劳动关系和谐稳定</w:t>
      </w:r>
      <w:bookmarkEnd w:id="60"/>
      <w:bookmarkEnd w:id="61"/>
    </w:p>
    <w:p w14:paraId="03CCBE89">
      <w:pPr>
        <w:adjustRightInd w:val="0"/>
        <w:snapToGrid w:val="0"/>
        <w:spacing w:line="560" w:lineRule="exact"/>
        <w:ind w:firstLine="616" w:firstLineChars="200"/>
        <w:rPr>
          <w:rFonts w:hint="eastAsia" w:ascii="仿宋_GB2312" w:hAnsi="仿宋_GB2312" w:eastAsia="仿宋_GB2312"/>
          <w:color w:val="000000" w:themeColor="text1"/>
          <w:sz w:val="32"/>
          <w:szCs w:val="32"/>
          <w:highlight w:val="none"/>
          <w14:textFill>
            <w14:solidFill>
              <w14:schemeClr w14:val="tx1"/>
            </w14:solidFill>
          </w14:textFill>
        </w:rPr>
      </w:pPr>
      <w:bookmarkStart w:id="62" w:name="_Toc11786"/>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坚持保障劳动者合法权益和促进企业发展相统一，</w:t>
      </w:r>
      <w:r>
        <w:rPr>
          <w:rFonts w:hint="eastAsia" w:ascii="仿宋_GB2312" w:hAnsi="仿宋_GB2312" w:eastAsia="仿宋_GB2312" w:cs="仿宋_GB2312"/>
          <w:color w:val="000000" w:themeColor="text1"/>
          <w:sz w:val="32"/>
          <w:szCs w:val="32"/>
          <w:highlight w:val="none"/>
          <w14:textFill>
            <w14:solidFill>
              <w14:schemeClr w14:val="tx1"/>
            </w14:solidFill>
          </w14:textFill>
        </w:rPr>
        <w:t>以构建和谐劳动关系、助推经济高质量发展为目标，</w:t>
      </w:r>
      <w:r>
        <w:rPr>
          <w:rFonts w:hint="eastAsia" w:ascii="仿宋_GB2312" w:hAnsi="仿宋_GB2312" w:eastAsia="仿宋_GB2312" w:cs="仿宋_GB2312"/>
          <w:color w:val="000000" w:themeColor="text1"/>
          <w:spacing w:val="5"/>
          <w:kern w:val="0"/>
          <w:sz w:val="32"/>
          <w:szCs w:val="32"/>
          <w:highlight w:val="none"/>
          <w14:textFill>
            <w14:solidFill>
              <w14:schemeClr w14:val="tx1"/>
            </w14:solidFill>
          </w14:textFill>
        </w:rPr>
        <w:t>完善劳动争议多元协同治理机制。推动企业与职工建立常态化沟通协商渠道。聚焦新兴产业、重点行业，推进行业性、区域性集体协商。探索行业性劳动定额、薪酬保障等协商模式，不断提高劳动争议调处能力。</w:t>
      </w:r>
      <w:r>
        <w:rPr>
          <w:rFonts w:hint="eastAsia" w:ascii="仿宋_GB2312" w:hAnsi="仿宋_GB2312" w:eastAsia="仿宋_GB2312"/>
          <w:color w:val="000000" w:themeColor="text1"/>
          <w:sz w:val="32"/>
          <w:szCs w:val="32"/>
          <w:highlight w:val="none"/>
          <w14:textFill>
            <w14:solidFill>
              <w14:schemeClr w14:val="tx1"/>
            </w14:solidFill>
          </w14:textFill>
        </w:rPr>
        <w:t>持续深化欠薪治理，加强新就业形态劳动者、妇女职业全周期合法权益和超龄劳动者权益保护，在保障劳有所得的同时，助力优化营商环境。</w:t>
      </w:r>
    </w:p>
    <w:p w14:paraId="444D7F52">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
          <w:smallCaps/>
          <w:color w:val="000000" w:themeColor="text1"/>
          <w:sz w:val="32"/>
          <w:szCs w:val="32"/>
          <w:highlight w:val="none"/>
          <w:lang w:bidi="bo-CN"/>
          <w14:textFill>
            <w14:solidFill>
              <w14:schemeClr w14:val="tx1"/>
            </w14:solidFill>
          </w14:textFill>
        </w:rPr>
      </w:pPr>
      <w:r>
        <w:rPr>
          <w:rFonts w:hint="eastAsia" w:ascii="仿宋_GB2312" w:hAnsi="仿宋_GB2312" w:eastAsia="仿宋_GB2312" w:cs="楷体_GB2312"/>
          <w:b/>
          <w:smallCaps/>
          <w:color w:val="000000" w:themeColor="text1"/>
          <w:sz w:val="32"/>
          <w:szCs w:val="32"/>
          <w:highlight w:val="none"/>
          <w:lang w:bidi="bo-CN"/>
          <w14:textFill>
            <w14:solidFill>
              <w14:schemeClr w14:val="tx1"/>
            </w14:solidFill>
          </w14:textFill>
        </w:rPr>
        <w:t>1.持续健全劳动关系治理机制</w:t>
      </w:r>
    </w:p>
    <w:p w14:paraId="48368B3D">
      <w:pPr>
        <w:pStyle w:val="10"/>
        <w:tabs>
          <w:tab w:val="center" w:pos="4153"/>
          <w:tab w:val="right" w:pos="8306"/>
        </w:tabs>
        <w:adjustRightInd w:val="0"/>
        <w:spacing w:line="560" w:lineRule="exact"/>
        <w:ind w:firstLine="663" w:firstLineChars="200"/>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pPr>
      <w:r>
        <w:rPr>
          <w:rFonts w:hint="eastAsia" w:ascii="仿宋_GB2312" w:hAnsi="仿宋_GB2312" w:eastAsia="仿宋_GB2312" w:cs="仿宋_GB2312"/>
          <w:b/>
          <w:color w:val="000000" w:themeColor="text1"/>
          <w:spacing w:val="5"/>
          <w:sz w:val="32"/>
          <w:szCs w:val="32"/>
          <w:highlight w:val="none"/>
          <w14:textFill>
            <w14:solidFill>
              <w14:schemeClr w14:val="tx1"/>
            </w14:solidFill>
          </w14:textFill>
        </w:rPr>
        <w:t>强化劳动关系源头治理。</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广泛开展送法进工地、进园区、进校园等普法服务活动，</w:t>
      </w:r>
      <w:r>
        <w:rPr>
          <w:rFonts w:hint="eastAsia" w:ascii="仿宋_GB2312" w:hAnsi="仿宋_GB2312" w:eastAsia="仿宋_GB2312" w:cs="仿宋_GB2312"/>
          <w:color w:val="000000" w:themeColor="text1"/>
          <w:spacing w:val="5"/>
          <w:sz w:val="32"/>
          <w:szCs w:val="32"/>
          <w:highlight w:val="none"/>
          <w14:textFill>
            <w14:solidFill>
              <w14:schemeClr w14:val="tx1"/>
            </w14:solidFill>
          </w14:textFill>
        </w:rPr>
        <w:t>支持企业建立健全内部劳动人事争议解决机制，指导企业依法合规用工，引导劳动者依法理性表达利益诉求，</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从源头防范矛盾纠纷。</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建立劳动保障监察一体化</w:t>
      </w:r>
      <w:r>
        <w:rPr>
          <w:rFonts w:hint="eastAsia" w:ascii="仿宋_GB2312" w:hAnsi="仿宋_GB2312" w:eastAsia="仿宋_GB2312" w:cs="仿宋_GB2312"/>
          <w:color w:val="000000" w:themeColor="text1"/>
          <w:spacing w:val="-6"/>
          <w:kern w:val="2"/>
          <w:sz w:val="32"/>
          <w:szCs w:val="32"/>
          <w:highlight w:val="none"/>
          <w:lang w:eastAsia="zh-CN"/>
          <w14:textFill>
            <w14:solidFill>
              <w14:schemeClr w14:val="tx1"/>
            </w14:solidFill>
          </w14:textFill>
        </w:rPr>
        <w:t>服务</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平台，归集各渠道</w:t>
      </w:r>
      <w:r>
        <w:rPr>
          <w:rFonts w:hint="eastAsia" w:ascii="仿宋_GB2312" w:hAnsi="仿宋_GB2312" w:eastAsia="仿宋_GB2312" w:cs="仿宋_GB2312"/>
          <w:color w:val="000000" w:themeColor="text1"/>
          <w:spacing w:val="-6"/>
          <w:kern w:val="2"/>
          <w:sz w:val="32"/>
          <w:szCs w:val="32"/>
          <w:highlight w:val="none"/>
          <w:lang w:eastAsia="zh-CN"/>
          <w14:textFill>
            <w14:solidFill>
              <w14:schemeClr w14:val="tx1"/>
            </w14:solidFill>
          </w14:textFill>
        </w:rPr>
        <w:t>劳动纠纷</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线索，提前</w:t>
      </w:r>
      <w:r>
        <w:rPr>
          <w:rFonts w:ascii="仿宋_GB2312" w:hAnsi="仿宋_GB2312" w:eastAsia="仿宋_GB2312" w:cs="仿宋_GB2312"/>
          <w:color w:val="000000" w:themeColor="text1"/>
          <w:spacing w:val="-6"/>
          <w:kern w:val="2"/>
          <w:sz w:val="32"/>
          <w:szCs w:val="32"/>
          <w:highlight w:val="none"/>
          <w14:textFill>
            <w14:solidFill>
              <w14:schemeClr w14:val="tx1"/>
            </w14:solidFill>
          </w14:textFill>
        </w:rPr>
        <w:t>研判劳动人事争议态势</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实现对欠薪、规模裁员等风险早发现、早预警。</w:t>
      </w:r>
      <w:r>
        <w:rPr>
          <w:rFonts w:ascii="仿宋_GB2312" w:hAnsi="仿宋_GB2312" w:eastAsia="仿宋_GB2312" w:cs="仿宋_GB2312"/>
          <w:color w:val="000000" w:themeColor="text1"/>
          <w:spacing w:val="-6"/>
          <w:kern w:val="2"/>
          <w:sz w:val="32"/>
          <w:szCs w:val="32"/>
          <w:highlight w:val="none"/>
          <w14:textFill>
            <w14:solidFill>
              <w14:schemeClr w14:val="tx1"/>
            </w14:solidFill>
          </w14:textFill>
        </w:rPr>
        <w:t>聚焦</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农民工等重点群体</w:t>
      </w:r>
      <w:r>
        <w:rPr>
          <w:rFonts w:ascii="仿宋_GB2312" w:hAnsi="仿宋_GB2312" w:eastAsia="仿宋_GB2312" w:cs="仿宋_GB2312"/>
          <w:color w:val="000000" w:themeColor="text1"/>
          <w:spacing w:val="-6"/>
          <w:kern w:val="2"/>
          <w:sz w:val="32"/>
          <w:szCs w:val="32"/>
          <w:highlight w:val="none"/>
          <w14:textFill>
            <w14:solidFill>
              <w14:schemeClr w14:val="tx1"/>
            </w14:solidFill>
          </w14:textFill>
        </w:rPr>
        <w:t>，围绕确认劳动关系、追索劳动报酬、</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工伤待遇</w:t>
      </w:r>
      <w:r>
        <w:rPr>
          <w:rFonts w:ascii="仿宋_GB2312" w:hAnsi="仿宋_GB2312" w:eastAsia="仿宋_GB2312" w:cs="仿宋_GB2312"/>
          <w:color w:val="000000" w:themeColor="text1"/>
          <w:spacing w:val="-6"/>
          <w:kern w:val="2"/>
          <w:sz w:val="32"/>
          <w:szCs w:val="32"/>
          <w:highlight w:val="none"/>
          <w14:textFill>
            <w14:solidFill>
              <w14:schemeClr w14:val="tx1"/>
            </w14:solidFill>
          </w14:textFill>
        </w:rPr>
        <w:t>等争议类型，强化监测预警，</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完善</w:t>
      </w:r>
      <w:r>
        <w:rPr>
          <w:rFonts w:ascii="仿宋_GB2312" w:hAnsi="仿宋_GB2312" w:eastAsia="仿宋_GB2312" w:cs="仿宋_GB2312"/>
          <w:color w:val="000000" w:themeColor="text1"/>
          <w:spacing w:val="-6"/>
          <w:kern w:val="2"/>
          <w:sz w:val="32"/>
          <w:szCs w:val="32"/>
          <w:highlight w:val="none"/>
          <w14:textFill>
            <w14:solidFill>
              <w14:schemeClr w14:val="tx1"/>
            </w14:solidFill>
          </w14:textFill>
        </w:rPr>
        <w:t>应对预案</w:t>
      </w:r>
      <w:r>
        <w:rPr>
          <w:rFonts w:hint="eastAsia" w:ascii="仿宋_GB2312" w:hAnsi="仿宋_GB2312" w:eastAsia="仿宋_GB2312" w:cs="仿宋_GB2312"/>
          <w:color w:val="000000" w:themeColor="text1"/>
          <w:sz w:val="32"/>
          <w:szCs w:val="32"/>
          <w:highlight w:val="none"/>
          <w14:textFill>
            <w14:solidFill>
              <w14:schemeClr w14:val="tx1"/>
            </w14:solidFill>
          </w14:textFill>
        </w:rPr>
        <w:t>，提高劳动用工风险处置能力</w:t>
      </w:r>
      <w:r>
        <w:rPr>
          <w:rFonts w:ascii="仿宋_GB2312" w:hAnsi="仿宋_GB2312" w:eastAsia="仿宋_GB2312" w:cs="仿宋_GB2312"/>
          <w:color w:val="000000" w:themeColor="text1"/>
          <w:spacing w:val="-6"/>
          <w:kern w:val="2"/>
          <w:sz w:val="32"/>
          <w:szCs w:val="32"/>
          <w:highlight w:val="none"/>
          <w14:textFill>
            <w14:solidFill>
              <w14:schemeClr w14:val="tx1"/>
            </w14:solidFill>
          </w14:textFill>
        </w:rPr>
        <w:t>。</w:t>
      </w:r>
    </w:p>
    <w:p w14:paraId="7F7E685C">
      <w:pPr>
        <w:pStyle w:val="11"/>
        <w:adjustRightInd w:val="0"/>
        <w:spacing w:line="560" w:lineRule="exact"/>
        <w:ind w:firstLine="663" w:firstLineChars="200"/>
        <w:jc w:val="both"/>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_GB2312" w:eastAsia="仿宋_GB2312" w:cs="仿宋_GB2312"/>
          <w:b/>
          <w:color w:val="000000" w:themeColor="text1"/>
          <w:spacing w:val="5"/>
          <w:kern w:val="0"/>
          <w:sz w:val="32"/>
          <w:szCs w:val="32"/>
          <w:highlight w:val="none"/>
          <w14:textFill>
            <w14:solidFill>
              <w14:schemeClr w14:val="tx1"/>
            </w14:solidFill>
          </w14:textFill>
        </w:rPr>
        <w:t>完善协同联动工作机制。</w:t>
      </w:r>
      <w:r>
        <w:rPr>
          <w:rFonts w:hint="eastAsia" w:ascii="仿宋_GB2312" w:hAnsi="仿宋_GB2312" w:eastAsia="仿宋_GB2312" w:cs="仿宋_GB2312"/>
          <w:color w:val="000000" w:themeColor="text1"/>
          <w:spacing w:val="5"/>
          <w:kern w:val="0"/>
          <w:sz w:val="32"/>
          <w:szCs w:val="32"/>
          <w:highlight w:val="none"/>
          <w14:textFill>
            <w14:solidFill>
              <w14:schemeClr w14:val="tx1"/>
            </w14:solidFill>
          </w14:textFill>
        </w:rPr>
        <w:t>发挥就业促进和劳动保护工作联席会议制度作用</w:t>
      </w:r>
      <w:r>
        <w:rPr>
          <w:rFonts w:hint="eastAsia" w:ascii="仿宋_GB2312" w:hAnsi="仿宋_GB2312" w:eastAsia="仿宋_GB2312" w:cs="仿宋_GB2312"/>
          <w:color w:val="000000" w:themeColor="text1"/>
          <w:spacing w:val="5"/>
          <w:kern w:val="0"/>
          <w:sz w:val="32"/>
          <w:szCs w:val="32"/>
          <w:highlight w:val="none"/>
          <w:lang w:eastAsia="zh-CN"/>
          <w14:textFill>
            <w14:solidFill>
              <w14:schemeClr w14:val="tx1"/>
            </w14:solidFill>
          </w14:textFill>
        </w:rPr>
        <w:t>，</w:t>
      </w:r>
      <w:r>
        <w:rPr>
          <w:rFonts w:hint="eastAsia" w:ascii="仿宋_GB2312" w:hAnsi="仿宋_GB2312" w:eastAsia="仿宋_GB2312" w:cs="仿宋_GB2312"/>
          <w:sz w:val="32"/>
          <w:szCs w:val="32"/>
          <w:highlight w:val="none"/>
          <w:lang w:val="en-US" w:eastAsia="zh-CN"/>
        </w:rPr>
        <w:t>压实“企业主体、属地管理、行业监管、人社统筹、政法公安兜底”五级责任，</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加强</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部门</w:t>
      </w:r>
      <w:r>
        <w:rPr>
          <w:rFonts w:ascii="仿宋_GB2312" w:hAnsi="仿宋_GB2312" w:eastAsia="仿宋_GB2312" w:cs="仿宋_GB2312"/>
          <w:color w:val="000000" w:themeColor="text1"/>
          <w:spacing w:val="-6"/>
          <w:sz w:val="32"/>
          <w:szCs w:val="32"/>
          <w:highlight w:val="none"/>
          <w14:textFill>
            <w14:solidFill>
              <w14:schemeClr w14:val="tx1"/>
            </w14:solidFill>
          </w14:textFill>
        </w:rPr>
        <w:t>协调联动</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深化</w:t>
      </w:r>
      <w:r>
        <w:rPr>
          <w:rFonts w:ascii="仿宋_GB2312" w:hAnsi="仿宋_GB2312" w:eastAsia="仿宋_GB2312" w:cs="仿宋_GB2312"/>
          <w:color w:val="000000" w:themeColor="text1"/>
          <w:spacing w:val="-6"/>
          <w:sz w:val="32"/>
          <w:szCs w:val="32"/>
          <w:highlight w:val="none"/>
          <w14:textFill>
            <w14:solidFill>
              <w14:schemeClr w14:val="tx1"/>
            </w14:solidFill>
          </w14:textFill>
        </w:rPr>
        <w:t>劳动</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纠纷</w:t>
      </w:r>
      <w:r>
        <w:rPr>
          <w:rFonts w:ascii="仿宋_GB2312" w:hAnsi="仿宋_GB2312" w:eastAsia="仿宋_GB2312" w:cs="仿宋_GB2312"/>
          <w:color w:val="000000" w:themeColor="text1"/>
          <w:spacing w:val="-6"/>
          <w:sz w:val="32"/>
          <w:szCs w:val="32"/>
          <w:highlight w:val="none"/>
          <w14:textFill>
            <w14:solidFill>
              <w14:schemeClr w14:val="tx1"/>
            </w14:solidFill>
          </w14:textFill>
        </w:rPr>
        <w:t>协同治理</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5"/>
          <w:kern w:val="0"/>
          <w:sz w:val="32"/>
          <w:szCs w:val="32"/>
          <w:highlight w:val="none"/>
          <w14:textFill>
            <w14:solidFill>
              <w14:schemeClr w14:val="tx1"/>
            </w14:solidFill>
          </w14:textFill>
        </w:rPr>
        <w:t>细化平安建设对劳动人事争议多元调处工作考核</w:t>
      </w:r>
      <w:r>
        <w:rPr>
          <w:rFonts w:hint="eastAsia" w:ascii="仿宋_GB2312" w:hAnsi="仿宋_GB2312" w:eastAsia="仿宋_GB2312" w:cs="仿宋_GB2312"/>
          <w:color w:val="000000" w:themeColor="text1"/>
          <w:spacing w:val="5"/>
          <w:kern w:val="0"/>
          <w:sz w:val="32"/>
          <w:szCs w:val="32"/>
          <w:highlight w:val="none"/>
          <w:lang w:val="en-US" w:eastAsia="zh-CN"/>
          <w14:textFill>
            <w14:solidFill>
              <w14:schemeClr w14:val="tx1"/>
            </w14:solidFill>
          </w14:textFill>
        </w:rPr>
        <w:t>指标，提升劳动争议调处质效</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。加大矛盾纠纷处置力度，</w:t>
      </w:r>
      <w:r>
        <w:rPr>
          <w:rFonts w:ascii="仿宋_GB2312" w:hAnsi="仿宋_GB2312" w:eastAsia="仿宋_GB2312" w:cs="仿宋_GB2312"/>
          <w:color w:val="000000" w:themeColor="text1"/>
          <w:spacing w:val="-6"/>
          <w:sz w:val="32"/>
          <w:szCs w:val="32"/>
          <w:highlight w:val="none"/>
          <w14:textFill>
            <w14:solidFill>
              <w14:schemeClr w14:val="tx1"/>
            </w14:solidFill>
          </w14:textFill>
        </w:rPr>
        <w:t>建立重点区域、重点行业、重点企业联系</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机制</w:t>
      </w:r>
      <w:r>
        <w:rPr>
          <w:rFonts w:ascii="仿宋_GB2312" w:hAnsi="仿宋_GB2312" w:eastAsia="仿宋_GB2312" w:cs="仿宋_GB2312"/>
          <w:color w:val="000000" w:themeColor="text1"/>
          <w:spacing w:val="-6"/>
          <w:sz w:val="32"/>
          <w:szCs w:val="32"/>
          <w:highlight w:val="none"/>
          <w14:textFill>
            <w14:solidFill>
              <w14:schemeClr w14:val="tx1"/>
            </w14:solidFill>
          </w14:textFill>
        </w:rPr>
        <w:t>，</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强化对</w:t>
      </w:r>
      <w:r>
        <w:rPr>
          <w:rFonts w:ascii="仿宋_GB2312" w:hAnsi="仿宋_GB2312" w:eastAsia="仿宋_GB2312" w:cs="仿宋_GB2312"/>
          <w:color w:val="000000" w:themeColor="text1"/>
          <w:spacing w:val="-6"/>
          <w:sz w:val="32"/>
          <w:szCs w:val="32"/>
          <w:highlight w:val="none"/>
          <w14:textFill>
            <w14:solidFill>
              <w14:schemeClr w14:val="tx1"/>
            </w14:solidFill>
          </w14:textFill>
        </w:rPr>
        <w:t>建筑施工、</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产业</w:t>
      </w:r>
      <w:r>
        <w:rPr>
          <w:rFonts w:ascii="仿宋_GB2312" w:hAnsi="仿宋_GB2312" w:eastAsia="仿宋_GB2312" w:cs="仿宋_GB2312"/>
          <w:color w:val="000000" w:themeColor="text1"/>
          <w:spacing w:val="-6"/>
          <w:sz w:val="32"/>
          <w:szCs w:val="32"/>
          <w:highlight w:val="none"/>
          <w14:textFill>
            <w14:solidFill>
              <w14:schemeClr w14:val="tx1"/>
            </w14:solidFill>
          </w14:textFill>
        </w:rPr>
        <w:t>园区</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 xml:space="preserve">等重点行业和重点区域矛盾纠纷排查和化解。针对集体降薪、裁员风险的企业，落实“镇街吹哨+部门报到”，联合开展约谈处置工作。 </w:t>
      </w:r>
    </w:p>
    <w:p w14:paraId="4DB1C34C">
      <w:pPr>
        <w:tabs>
          <w:tab w:val="right" w:leader="dot" w:pos="8834"/>
        </w:tabs>
        <w:adjustRightInd w:val="0"/>
        <w:snapToGrid w:val="0"/>
        <w:spacing w:line="560" w:lineRule="exact"/>
        <w:ind w:firstLine="643" w:firstLineChars="200"/>
        <w:outlineLvl w:val="1"/>
        <w:rPr>
          <w:rFonts w:hint="eastAsia" w:ascii="仿宋_GB2312" w:hAnsi="仿宋_GB2312" w:eastAsia="仿宋_GB2312" w:cs="楷体_GB2312"/>
          <w:b/>
          <w:smallCaps/>
          <w:color w:val="000000" w:themeColor="text1"/>
          <w:sz w:val="32"/>
          <w:szCs w:val="32"/>
          <w:highlight w:val="none"/>
          <w:lang w:bidi="bo-CN"/>
          <w14:textFill>
            <w14:solidFill>
              <w14:schemeClr w14:val="tx1"/>
            </w14:solidFill>
          </w14:textFill>
        </w:rPr>
      </w:pPr>
      <w:r>
        <w:rPr>
          <w:rFonts w:hint="eastAsia" w:ascii="仿宋_GB2312" w:hAnsi="仿宋_GB2312" w:eastAsia="仿宋_GB2312" w:cs="楷体_GB2312"/>
          <w:b/>
          <w:smallCaps/>
          <w:color w:val="000000" w:themeColor="text1"/>
          <w:sz w:val="32"/>
          <w:szCs w:val="32"/>
          <w:highlight w:val="none"/>
          <w:lang w:bidi="bo-CN"/>
          <w14:textFill>
            <w14:solidFill>
              <w14:schemeClr w14:val="tx1"/>
            </w14:solidFill>
          </w14:textFill>
        </w:rPr>
        <w:t>2.构建多元纠纷调处机制</w:t>
      </w:r>
    </w:p>
    <w:p w14:paraId="7F7C8472">
      <w:pPr>
        <w:pStyle w:val="11"/>
        <w:spacing w:line="560" w:lineRule="exact"/>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b/>
          <w:color w:val="000000" w:themeColor="text1"/>
          <w:spacing w:val="5"/>
          <w:kern w:val="0"/>
          <w:sz w:val="32"/>
          <w:szCs w:val="32"/>
          <w:highlight w:val="none"/>
          <w14:textFill>
            <w14:solidFill>
              <w14:schemeClr w14:val="tx1"/>
            </w14:solidFill>
          </w14:textFill>
        </w:rPr>
        <w:t>加强基层调解组织建设。</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织密基层调解组织网络，重点在产业园区、行业协会、规模以上企业等区域新增调解组织，为周边企业和劳动者提供就近调处服务。推动大中型企业普遍建立劳动争议调解委员会，建立健全以乡镇（街道）、工会、行业商（协）会、区域性等调解组织为支撑、调解员（信息员）为落点的小微型企业劳动争议协商调解机制。加强新就业形态劳动纠纷一站式调解站点</w:t>
      </w:r>
      <w:r>
        <w:rPr>
          <w:rStyle w:val="29"/>
          <w:rFonts w:hint="eastAsia" w:ascii="仿宋_GB2312" w:hAnsi="仿宋_GB2312" w:eastAsia="仿宋_GB2312" w:cs="仿宋_GB2312"/>
          <w:color w:val="000000" w:themeColor="text1"/>
          <w:spacing w:val="-6"/>
          <w:sz w:val="32"/>
          <w:szCs w:val="32"/>
          <w:highlight w:val="none"/>
          <w14:textFill>
            <w14:solidFill>
              <w14:schemeClr w14:val="tx1"/>
            </w14:solidFill>
          </w14:textFill>
        </w:rPr>
        <w:footnoteReference w:id="27"/>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建设。</w:t>
      </w:r>
    </w:p>
    <w:p w14:paraId="4EA178E1">
      <w:pPr>
        <w:pStyle w:val="10"/>
        <w:adjustRightInd w:val="0"/>
        <w:spacing w:line="560" w:lineRule="exact"/>
        <w:ind w:firstLine="663" w:firstLineChars="200"/>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_GB2312" w:eastAsia="仿宋_GB2312" w:cs="仿宋_GB2312"/>
          <w:b/>
          <w:color w:val="000000" w:themeColor="text1"/>
          <w:spacing w:val="5"/>
          <w:sz w:val="32"/>
          <w:szCs w:val="32"/>
          <w:highlight w:val="none"/>
          <w14:textFill>
            <w14:solidFill>
              <w14:schemeClr w14:val="tx1"/>
            </w14:solidFill>
          </w14:textFill>
        </w:rPr>
        <w:t>健全劳动争议调解工作体系。</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建立健全重大劳动人事争议应急联合调处机制，整合司法、工会等跨领域、多部门资源，推动形成矛盾联调、力量联动、信息联通的工作格局。强化各类调解资源整合，推动调解员、专家库共享机制，灵活调配人员，</w:t>
      </w:r>
      <w:r>
        <w:rPr>
          <w:rFonts w:hint="eastAsia" w:ascii="仿宋_GB2312" w:hAnsi="仿宋_GB2312" w:eastAsia="仿宋_GB2312" w:cs="仿宋_GB2312"/>
          <w:color w:val="000000" w:themeColor="text1"/>
          <w:spacing w:val="5"/>
          <w:sz w:val="32"/>
          <w:szCs w:val="32"/>
          <w:highlight w:val="none"/>
          <w14:textFill>
            <w14:solidFill>
              <w14:schemeClr w14:val="tx1"/>
            </w14:solidFill>
          </w14:textFill>
        </w:rPr>
        <w:t>鼓励、引导律师参与法律援助和劳动争议调处，</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增强劳动争议调解专业性。落实劳动争议调处纳入综治中心工作要求，通过派驻调解仲裁工作人员、开展就地调解、开设流动仲裁庭等形式，实现劳动争议纠纷有效化解。</w:t>
      </w:r>
    </w:p>
    <w:p w14:paraId="3D18D155">
      <w:pPr>
        <w:adjustRightInd w:val="0"/>
        <w:snapToGrid w:val="0"/>
        <w:spacing w:line="560" w:lineRule="exact"/>
        <w:ind w:firstLine="619" w:firstLineChars="200"/>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pacing w:val="-6"/>
          <w:sz w:val="32"/>
          <w:szCs w:val="32"/>
          <w:highlight w:val="none"/>
          <w14:textFill>
            <w14:solidFill>
              <w14:schemeClr w14:val="tx1"/>
            </w14:solidFill>
          </w14:textFill>
        </w:rPr>
        <w:t>提升劳动争议调处服务效能</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推进仲裁机构标准化建设，加强队伍专业化建设，规范案件办理流程，强化效能监管，提升案件办理质量。推动仲裁服务下沉，开展上门开庭、现场裁决服务，将仲裁服务直接送到园区、企业和特殊群众“家门口”，推动矛盾纠纷就近就地化解。对“延迟退休、新就业形态、竞业限制、三期女职工</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6"/>
          <w:sz w:val="32"/>
          <w:szCs w:val="32"/>
          <w:highlight w:val="none"/>
          <w:lang w:val="en-US" w:eastAsia="zh-CN"/>
          <w14:textFill>
            <w14:solidFill>
              <w14:schemeClr w14:val="tx1"/>
            </w14:solidFill>
          </w14:textFill>
        </w:rPr>
        <w:t>工伤待遇</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”等类型化案件实行类案专审，提升仲裁效率与公信力。做好延迟退休创新试点工作，为政策全面实施积累实践经验。</w:t>
      </w:r>
    </w:p>
    <w:p w14:paraId="6823A43E">
      <w:pPr>
        <w:pStyle w:val="10"/>
        <w:keepNext w:val="0"/>
        <w:keepLines w:val="0"/>
        <w:pageBreakBefore w:val="0"/>
        <w:widowControl w:val="0"/>
        <w:kinsoku/>
        <w:wordWrap/>
        <w:overflowPunct/>
        <w:topLinePunct w:val="0"/>
        <w:autoSpaceDE/>
        <w:autoSpaceDN/>
        <w:bidi w:val="0"/>
        <w:adjustRightInd w:val="0"/>
        <w:snapToGrid w:val="0"/>
        <w:spacing w:line="560" w:lineRule="exact"/>
        <w:ind w:firstLine="663" w:firstLineChars="200"/>
        <w:jc w:val="both"/>
        <w:textAlignment w:val="auto"/>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pPr>
      <w:r>
        <w:rPr>
          <w:rFonts w:hint="eastAsia" w:ascii="仿宋_GB2312" w:hAnsi="仿宋_GB2312" w:eastAsia="仿宋_GB2312" w:cs="仿宋_GB2312"/>
          <w:b/>
          <w:color w:val="000000" w:themeColor="text1"/>
          <w:spacing w:val="5"/>
          <w:sz w:val="32"/>
          <w:szCs w:val="32"/>
          <w:highlight w:val="none"/>
          <w14:textFill>
            <w14:solidFill>
              <w14:schemeClr w14:val="tx1"/>
            </w14:solidFill>
          </w14:textFill>
        </w:rPr>
        <w:t>推动调裁审一体化衔接。</w:t>
      </w:r>
      <w:r>
        <w:rPr>
          <w:rFonts w:hint="eastAsia" w:ascii="仿宋_GB2312" w:hAnsi="仿宋_GB2312" w:eastAsia="仿宋_GB2312" w:cs="仿宋_GB2312"/>
          <w:color w:val="000000" w:themeColor="text1"/>
          <w:spacing w:val="-6"/>
          <w:kern w:val="2"/>
          <w:sz w:val="32"/>
          <w:szCs w:val="32"/>
          <w:highlight w:val="none"/>
          <w14:textFill>
            <w14:solidFill>
              <w14:schemeClr w14:val="tx1"/>
            </w14:solidFill>
          </w14:textFill>
        </w:rPr>
        <w:t>完善调解与仲裁的衔接，深化仲裁员分片联系调解组织制度，通过建议调解、委托调解等方式，积极引导未经调解的当事人到调解组织先行调解。</w:t>
      </w:r>
      <w:r>
        <w:rPr>
          <w:rFonts w:hint="eastAsia" w:ascii="仿宋_GB2312" w:hAnsi="仿宋_GB2312" w:eastAsia="仿宋_GB2312" w:cs="仿宋_GB2312"/>
          <w:color w:val="auto"/>
          <w:spacing w:val="-6"/>
          <w:kern w:val="2"/>
          <w:sz w:val="32"/>
          <w:szCs w:val="32"/>
          <w:highlight w:val="none"/>
          <w:u w:val="none"/>
        </w:rPr>
        <w:t>着力加强裁审衔接机制建设，重点围绕新就业形态劳动者和超龄劳动者权益保障等新型争议领域，深化劳动仲裁与人民法院的类案专题研讨，促进法律适用与裁审标准统一。深入推进劳动人事争议“总对总”在线诉调对接工作，充分运用信息化手段，规范开展全流程在线委派调解、委托调解、音视频调解，并依法做好调解协议的司法确认衔接工作，为劳动者提供高效便捷的维权通道。</w:t>
      </w:r>
    </w:p>
    <w:p w14:paraId="71141314">
      <w:pPr>
        <w:widowControl/>
        <w:spacing w:line="560" w:lineRule="exact"/>
        <w:ind w:firstLine="619" w:firstLineChars="200"/>
        <w:jc w:val="left"/>
        <w:rPr>
          <w:rFonts w:hint="eastAsia" w:ascii="仿宋_GB2312" w:hAnsi="仿宋_GB2312" w:eastAsia="仿宋_GB2312" w:cs="楷体_GB2312"/>
          <w:b/>
          <w:smallCaps/>
          <w:color w:val="000000" w:themeColor="text1"/>
          <w:sz w:val="32"/>
          <w:szCs w:val="32"/>
          <w:highlight w:val="none"/>
          <w:lang w:bidi="bo-CN"/>
          <w14:textFill>
            <w14:solidFill>
              <w14:schemeClr w14:val="tx1"/>
            </w14:solidFill>
          </w14:textFill>
        </w:rPr>
      </w:pPr>
      <w:r>
        <w:rPr>
          <w:rFonts w:hint="eastAsia" w:ascii="仿宋_GB2312" w:hAnsi="仿宋_GB2312" w:eastAsia="仿宋_GB2312" w:cs="仿宋_GB2312"/>
          <w:b/>
          <w:bCs/>
          <w:color w:val="000000" w:themeColor="text1"/>
          <w:spacing w:val="-6"/>
          <w:sz w:val="32"/>
          <w:szCs w:val="32"/>
          <w:highlight w:val="none"/>
          <w14:textFill>
            <w14:solidFill>
              <w14:schemeClr w14:val="tx1"/>
            </w14:solidFill>
          </w14:textFill>
        </w:rPr>
        <w:t>3.依法保障劳动者合法权益</w:t>
      </w:r>
    </w:p>
    <w:p w14:paraId="7AC4C328">
      <w:pPr>
        <w:pStyle w:val="11"/>
        <w:spacing w:line="560" w:lineRule="exact"/>
        <w:ind w:firstLine="663" w:firstLineChars="200"/>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pPr>
      <w:bookmarkStart w:id="63" w:name="OLE_LINK11"/>
      <w:bookmarkStart w:id="64" w:name="OLE_LINK10"/>
      <w:r>
        <w:rPr>
          <w:rFonts w:hint="eastAsia" w:ascii="仿宋_GB2312" w:hAnsi="仿宋_GB2312" w:eastAsia="仿宋_GB2312" w:cs="仿宋_GB2312"/>
          <w:b/>
          <w:color w:val="000000" w:themeColor="text1"/>
          <w:spacing w:val="5"/>
          <w:kern w:val="0"/>
          <w:sz w:val="32"/>
          <w:szCs w:val="32"/>
          <w:highlight w:val="none"/>
          <w:lang w:eastAsia="zh-CN"/>
          <w14:textFill>
            <w14:solidFill>
              <w14:schemeClr w14:val="tx1"/>
            </w14:solidFill>
          </w14:textFill>
        </w:rPr>
        <w:t>提升企业合规管理水平</w:t>
      </w:r>
      <w:r>
        <w:rPr>
          <w:rFonts w:hint="eastAsia" w:ascii="仿宋_GB2312" w:hAnsi="仿宋_GB2312" w:eastAsia="仿宋_GB2312" w:cs="仿宋_GB2312"/>
          <w:b/>
          <w:color w:val="000000" w:themeColor="text1"/>
          <w:spacing w:val="5"/>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指导企业完善民主管理制度，保障劳动者对用人单位重大决策和重大事项的知情权、参与权、表达权、监督权。</w:t>
      </w:r>
      <w:r>
        <w:rPr>
          <w:rFonts w:hint="eastAsia" w:ascii="仿宋_GB2312" w:hAnsi="仿宋_GB2312" w:eastAsia="仿宋_GB2312" w:cs="仿宋_GB2312"/>
          <w:color w:val="auto"/>
          <w:spacing w:val="-6"/>
          <w:sz w:val="32"/>
          <w:szCs w:val="32"/>
          <w:highlight w:val="none"/>
          <w:u w:val="none"/>
        </w:rPr>
        <w:t>深化企业规范用工指导，常态化开展用工“法治体检”；以健全劳动关系集体协商机制为长效制度支撑，以推行仲裁建议书为精准纠偏手段，以规范重点企业用工为关键管控抓手，引导企业健全内部劳动规章制度、强化全流程用工合规管理，从源头减少劳动人事争议、防范规模性裁员风险。</w:t>
      </w:r>
    </w:p>
    <w:p w14:paraId="4CA9EE30">
      <w:pPr>
        <w:pStyle w:val="11"/>
        <w:adjustRightInd w:val="0"/>
        <w:spacing w:line="560" w:lineRule="exact"/>
        <w:ind w:firstLine="663" w:firstLineChars="200"/>
        <w:jc w:val="both"/>
        <w:rPr>
          <w:rFonts w:hint="eastAsia" w:ascii="仿宋_GB2312" w:hAnsi="仿宋_GB2312" w:eastAsia="仿宋_GB2312" w:cs="仿宋_GB2312"/>
          <w:color w:val="000000" w:themeColor="text1"/>
          <w:spacing w:val="-6"/>
          <w:sz w:val="36"/>
          <w:szCs w:val="36"/>
          <w:highlight w:val="none"/>
          <w14:textFill>
            <w14:solidFill>
              <w14:schemeClr w14:val="tx1"/>
            </w14:solidFill>
          </w14:textFill>
        </w:rPr>
      </w:pPr>
      <w:r>
        <w:rPr>
          <w:rFonts w:hint="eastAsia" w:ascii="仿宋_GB2312" w:hAnsi="仿宋_GB2312" w:eastAsia="仿宋_GB2312" w:cs="仿宋_GB2312"/>
          <w:b/>
          <w:color w:val="000000" w:themeColor="text1"/>
          <w:spacing w:val="5"/>
          <w:kern w:val="0"/>
          <w:sz w:val="32"/>
          <w:szCs w:val="32"/>
          <w:highlight w:val="none"/>
          <w14:textFill>
            <w14:solidFill>
              <w14:schemeClr w14:val="tx1"/>
            </w14:solidFill>
          </w14:textFill>
        </w:rPr>
        <w:t>深入推进欠薪治理工作。</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持续开展矛盾隐患排查，落实在施项目动态监管要求，完善项目台账管理，提升在施项目工资支付制度落实质量。健全欠薪风险信息互通机制，推动部门间共享项目审批、资金拨付等关键信息，对风险问题提前介入处</w:t>
      </w:r>
      <w:r>
        <w:rPr>
          <w:rFonts w:hint="eastAsia" w:ascii="仿宋_GB2312" w:hAnsi="仿宋_GB2312" w:eastAsia="仿宋_GB2312" w:cs="仿宋_GB2312"/>
          <w:color w:val="auto"/>
          <w:spacing w:val="-6"/>
          <w:sz w:val="32"/>
          <w:szCs w:val="32"/>
          <w:highlight w:val="none"/>
          <w:u w:val="none"/>
        </w:rPr>
        <w:t>置。</w:t>
      </w:r>
      <w:r>
        <w:rPr>
          <w:rFonts w:hint="eastAsia" w:ascii="仿宋_GB2312" w:hAnsi="仿宋_GB2312" w:eastAsia="仿宋_GB2312" w:cs="仿宋_GB2312"/>
          <w:b w:val="0"/>
          <w:bCs/>
          <w:color w:val="auto"/>
          <w:spacing w:val="5"/>
          <w:kern w:val="0"/>
          <w:sz w:val="32"/>
          <w:szCs w:val="32"/>
          <w:highlight w:val="none"/>
          <w:u w:val="none"/>
          <w:lang w:val="en-US" w:eastAsia="zh-CN"/>
        </w:rPr>
        <w:t>完善突发事件应急处置体系，强化快速响应、联动处置、全力维护安全稳定大局。</w:t>
      </w:r>
      <w:r>
        <w:rPr>
          <w:rFonts w:hint="eastAsia" w:ascii="仿宋_GB2312" w:hAnsi="仿宋_GB2312" w:eastAsia="仿宋_GB2312" w:cs="仿宋_GB2312"/>
          <w:color w:val="auto"/>
          <w:spacing w:val="-6"/>
          <w:sz w:val="32"/>
          <w:szCs w:val="32"/>
          <w:highlight w:val="none"/>
          <w:u w:val="none"/>
        </w:rPr>
        <w:t>落实</w:t>
      </w:r>
      <w:r>
        <w:rPr>
          <w:rFonts w:hint="eastAsia" w:ascii="仿宋_GB2312" w:hAnsi="仿宋_GB2312" w:eastAsia="仿宋_GB2312" w:cs="仿宋_GB2312"/>
          <w:color w:val="auto"/>
          <w:spacing w:val="-6"/>
          <w:sz w:val="32"/>
          <w:szCs w:val="32"/>
          <w:highlight w:val="none"/>
          <w:u w:val="none"/>
          <w:lang w:eastAsia="zh-CN"/>
        </w:rPr>
        <w:t>一体化</w:t>
      </w:r>
      <w:r>
        <w:rPr>
          <w:rFonts w:hint="eastAsia" w:ascii="仿宋_GB2312" w:hAnsi="仿宋_GB2312" w:eastAsia="仿宋_GB2312" w:cs="仿宋_GB2312"/>
          <w:color w:val="auto"/>
          <w:spacing w:val="-6"/>
          <w:sz w:val="32"/>
          <w:szCs w:val="32"/>
          <w:highlight w:val="none"/>
          <w:u w:val="none"/>
        </w:rPr>
        <w:t>综合监管要求，</w:t>
      </w:r>
      <w:r>
        <w:rPr>
          <w:rFonts w:hint="eastAsia" w:ascii="仿宋_GB2312" w:hAnsi="仿宋_GB2312" w:eastAsia="仿宋_GB2312" w:cs="仿宋_GB2312"/>
          <w:color w:val="auto"/>
          <w:spacing w:val="0"/>
          <w:kern w:val="2"/>
          <w:sz w:val="32"/>
          <w:szCs w:val="32"/>
          <w:highlight w:val="none"/>
          <w:u w:val="none"/>
          <w:lang w:val="en-US" w:eastAsia="zh-CN" w:bidi="ar-SA"/>
        </w:rPr>
        <w:t>强化非现场驱</w:t>
      </w:r>
      <w:r>
        <w:rPr>
          <w:rFonts w:hint="eastAsia" w:ascii="仿宋_GB2312" w:hAnsi="仿宋_GB2312" w:eastAsia="仿宋_GB2312" w:cs="仿宋_GB2312"/>
          <w:spacing w:val="0"/>
          <w:kern w:val="2"/>
          <w:sz w:val="32"/>
          <w:szCs w:val="32"/>
          <w:highlight w:val="none"/>
          <w:lang w:val="en-US" w:eastAsia="zh-CN" w:bidi="ar-SA"/>
        </w:rPr>
        <w:t>动</w:t>
      </w:r>
      <w:r>
        <w:rPr>
          <w:rFonts w:hint="eastAsia" w:ascii="仿宋_GB2312" w:hAnsi="仿宋_GB2312" w:eastAsia="仿宋_GB2312" w:cs="仿宋_GB2312"/>
          <w:spacing w:val="-6"/>
          <w:sz w:val="32"/>
          <w:szCs w:val="32"/>
          <w:highlight w:val="none"/>
        </w:rPr>
        <w:t>，持续提升监管效能。</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依法查处各类劳动保障违法行为，发挥部门职能优势，采取联合约谈、“一案双查”“一案三函”等举措，对重点欠薪问题开展多部门联动处置，限时推进问题化解。</w:t>
      </w:r>
    </w:p>
    <w:bookmarkEnd w:id="63"/>
    <w:bookmarkEnd w:id="64"/>
    <w:p w14:paraId="7C03CDC6">
      <w:pPr>
        <w:tabs>
          <w:tab w:val="right" w:leader="dot" w:pos="8834"/>
        </w:tabs>
        <w:adjustRightInd w:val="0"/>
        <w:snapToGrid w:val="0"/>
        <w:spacing w:line="560" w:lineRule="exact"/>
        <w:ind w:firstLine="616" w:firstLineChars="200"/>
        <w:outlineLvl w:val="1"/>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pP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 xml:space="preserve"> </w:t>
      </w:r>
      <w:bookmarkEnd w:id="62"/>
      <w:r>
        <w:rPr>
          <w:rFonts w:hint="eastAsia" w:ascii="仿宋_GB2312" w:hAnsi="仿宋_GB2312" w:eastAsia="仿宋_GB2312" w:cs="仿宋_GB2312"/>
          <w:b/>
          <w:color w:val="000000" w:themeColor="text1"/>
          <w:spacing w:val="5"/>
          <w:kern w:val="0"/>
          <w:sz w:val="32"/>
          <w:szCs w:val="32"/>
          <w:highlight w:val="none"/>
          <w14:textFill>
            <w14:solidFill>
              <w14:schemeClr w14:val="tx1"/>
            </w14:solidFill>
          </w14:textFill>
        </w:rPr>
        <w:t>加强重点群体权益保障。</w:t>
      </w:r>
      <w:r>
        <w:rPr>
          <w:rFonts w:hint="eastAsia" w:ascii="仿宋_GB2312" w:hAnsi="仿宋_GB2312" w:eastAsia="仿宋_GB2312" w:cs="仿宋_GB2312"/>
          <w:color w:val="000000" w:themeColor="text1"/>
          <w:spacing w:val="-6"/>
          <w:sz w:val="32"/>
          <w:szCs w:val="32"/>
          <w:highlight w:val="none"/>
          <w14:textFill>
            <w14:solidFill>
              <w14:schemeClr w14:val="tx1"/>
            </w14:solidFill>
          </w14:textFill>
        </w:rPr>
        <w:t>整合资源，为农民工、“三期”女职工等群体提供法律咨询和援助，增强重点群体法律维权意识。建立企业恳谈机制，研究区域内特殊群体劳动纠纷处</w:t>
      </w:r>
      <w:r>
        <w:rPr>
          <w:rFonts w:hint="eastAsia" w:ascii="仿宋_GB2312" w:hAnsi="仿宋_GB2312" w:eastAsia="仿宋_GB2312" w:cs="仿宋_GB2312"/>
          <w:color w:val="auto"/>
          <w:spacing w:val="-6"/>
          <w:sz w:val="32"/>
          <w:szCs w:val="32"/>
          <w:highlight w:val="none"/>
          <w:u w:val="none"/>
        </w:rPr>
        <w:t>置，</w:t>
      </w:r>
      <w:r>
        <w:rPr>
          <w:rFonts w:hint="eastAsia" w:ascii="仿宋_GB2312" w:hAnsi="仿宋_GB2312" w:eastAsia="仿宋_GB2312" w:cs="仿宋_GB2312"/>
          <w:color w:val="auto"/>
          <w:sz w:val="32"/>
          <w:szCs w:val="32"/>
          <w:highlight w:val="none"/>
          <w:u w:val="none"/>
          <w:shd w:val="clear" w:color="auto" w:fill="FFFFFF"/>
        </w:rPr>
        <w:t>加大对欠薪企业监管和惩处力度，确保劳动者工资按时足额发放。</w:t>
      </w:r>
      <w:r>
        <w:rPr>
          <w:rFonts w:hint="eastAsia" w:ascii="仿宋_GB2312" w:hAnsi="仿宋_GB2312" w:eastAsia="仿宋_GB2312" w:cs="仿宋_GB2312"/>
          <w:b w:val="0"/>
          <w:bCs/>
          <w:color w:val="auto"/>
          <w:spacing w:val="5"/>
          <w:kern w:val="0"/>
          <w:sz w:val="32"/>
          <w:szCs w:val="32"/>
          <w:highlight w:val="none"/>
          <w:u w:val="none"/>
          <w:lang w:val="en-US" w:eastAsia="zh-CN" w:bidi="ar-SA"/>
        </w:rPr>
        <w:t>落实《关于维护新就业形态劳动者劳动保障权益的指导意见》《超龄劳动者基本权益保障暂行规定》等要求，引导企业保障新就业形态劳动者、超龄劳动者等群体合法权益。</w:t>
      </w:r>
    </w:p>
    <w:p w14:paraId="213C09B7">
      <w:pPr>
        <w:pStyle w:val="1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五、保障措施</w:t>
      </w:r>
    </w:p>
    <w:p w14:paraId="30CCD4A9">
      <w:pPr>
        <w:pStyle w:val="11"/>
        <w:spacing w:line="56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（一）强化组织领导</w:t>
      </w:r>
    </w:p>
    <w:p w14:paraId="67ED94F4">
      <w:pPr>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坚持把党的领导贯穿到专项规划实施的各领域和全过程，推动</w:t>
      </w:r>
      <w:r>
        <w:rPr>
          <w:rFonts w:hint="eastAsia" w:ascii="仿宋_GB2312" w:hAnsi="宋体" w:eastAsia="仿宋_GB2312" w:cs="仿宋_GB2312"/>
          <w:bCs/>
          <w:kern w:val="0"/>
          <w:sz w:val="32"/>
          <w:szCs w:val="32"/>
          <w:highlight w:val="none"/>
          <w:lang w:bidi="bo-CN"/>
        </w:rPr>
        <w:t>人力资源和社会保障各项事业发展。</w:t>
      </w:r>
      <w:r>
        <w:rPr>
          <w:rFonts w:hint="eastAsia" w:ascii="仿宋_GB2312" w:hAnsi="仿宋_GB2312" w:eastAsia="仿宋_GB2312" w:cs="仿宋_GB2312"/>
          <w:sz w:val="32"/>
          <w:szCs w:val="32"/>
          <w:highlight w:val="none"/>
        </w:rPr>
        <w:t>强化党建引领，健全跨部门协调机制，</w:t>
      </w:r>
      <w:r>
        <w:rPr>
          <w:rFonts w:hint="eastAsia" w:ascii="仿宋_GB2312" w:hAnsi="仿宋_GB2312" w:eastAsia="仿宋_GB2312" w:cs="仿宋_GB2312"/>
          <w:sz w:val="32"/>
          <w:szCs w:val="32"/>
          <w:highlight w:val="none"/>
          <w:lang w:val="en-US" w:eastAsia="zh-CN"/>
        </w:rPr>
        <w:t>加大信息化支持力度，</w:t>
      </w:r>
      <w:r>
        <w:rPr>
          <w:rFonts w:hint="eastAsia" w:ascii="仿宋_GB2312" w:hAnsi="仿宋_GB2312" w:eastAsia="仿宋_GB2312" w:cs="仿宋_GB2312"/>
          <w:sz w:val="32"/>
          <w:szCs w:val="32"/>
          <w:highlight w:val="none"/>
        </w:rPr>
        <w:t>推动</w:t>
      </w:r>
      <w:r>
        <w:rPr>
          <w:rFonts w:hint="eastAsia" w:ascii="仿宋_GB2312" w:hAnsi="仿宋_GB2312" w:eastAsia="仿宋_GB2312" w:cs="仿宋_GB2312"/>
          <w:sz w:val="32"/>
          <w:szCs w:val="32"/>
          <w:highlight w:val="none"/>
          <w:lang w:val="en-US" w:eastAsia="zh-CN"/>
        </w:rPr>
        <w:t>人力社保事业与</w:t>
      </w:r>
      <w:r>
        <w:rPr>
          <w:rFonts w:hint="eastAsia" w:ascii="仿宋_GB2312" w:hAnsi="仿宋_GB2312" w:eastAsia="仿宋_GB2312" w:cs="仿宋_GB2312"/>
          <w:sz w:val="32"/>
          <w:szCs w:val="32"/>
          <w:highlight w:val="none"/>
        </w:rPr>
        <w:t>产业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教育等</w:t>
      </w:r>
      <w:r>
        <w:rPr>
          <w:rFonts w:hint="eastAsia" w:ascii="仿宋_GB2312" w:hAnsi="仿宋_GB2312" w:eastAsia="仿宋_GB2312" w:cs="仿宋_GB2312"/>
          <w:sz w:val="32"/>
          <w:szCs w:val="32"/>
          <w:highlight w:val="none"/>
        </w:rPr>
        <w:t>协同</w:t>
      </w:r>
      <w:r>
        <w:rPr>
          <w:rFonts w:hint="eastAsia" w:ascii="仿宋_GB2312" w:hAnsi="仿宋_GB2312" w:eastAsia="仿宋_GB2312" w:cs="仿宋_GB2312"/>
          <w:sz w:val="32"/>
          <w:szCs w:val="32"/>
          <w:highlight w:val="none"/>
          <w:lang w:val="en-US" w:eastAsia="zh-CN"/>
        </w:rPr>
        <w:t>联动</w:t>
      </w:r>
      <w:r>
        <w:rPr>
          <w:rFonts w:hint="eastAsia" w:ascii="仿宋_GB2312" w:hAnsi="仿宋_GB2312" w:eastAsia="仿宋_GB2312" w:cs="仿宋_GB2312"/>
          <w:sz w:val="32"/>
          <w:szCs w:val="32"/>
          <w:highlight w:val="none"/>
        </w:rPr>
        <w:t>，形成专项规划实施合力</w:t>
      </w:r>
      <w:r>
        <w:rPr>
          <w:rFonts w:hint="eastAsia" w:ascii="仿宋_GB2312" w:hAnsi="宋体" w:eastAsia="仿宋_GB2312" w:cs="仿宋_GB2312"/>
          <w:bCs/>
          <w:kern w:val="0"/>
          <w:sz w:val="32"/>
          <w:szCs w:val="32"/>
          <w:highlight w:val="none"/>
          <w:lang w:bidi="bo-CN"/>
        </w:rPr>
        <w:t>。持之以恒落实中央八项规定，严防推进规划实施过程中的形式主义</w:t>
      </w:r>
      <w:r>
        <w:rPr>
          <w:rFonts w:ascii="仿宋_GB2312" w:hAnsi="仿宋_GB2312" w:eastAsia="仿宋_GB2312" w:cs="仿宋_GB2312"/>
          <w:sz w:val="32"/>
          <w:szCs w:val="32"/>
          <w:highlight w:val="none"/>
        </w:rPr>
        <w:t>、</w:t>
      </w:r>
      <w:r>
        <w:rPr>
          <w:rFonts w:hint="eastAsia" w:ascii="仿宋_GB2312" w:hAnsi="宋体" w:eastAsia="仿宋_GB2312" w:cs="仿宋_GB2312"/>
          <w:bCs/>
          <w:kern w:val="0"/>
          <w:sz w:val="32"/>
          <w:szCs w:val="32"/>
          <w:highlight w:val="none"/>
          <w:lang w:bidi="bo-CN"/>
        </w:rPr>
        <w:t>官僚主义问题，为</w:t>
      </w:r>
      <w:r>
        <w:rPr>
          <w:rFonts w:hint="eastAsia" w:ascii="仿宋_GB2312" w:hAnsi="宋体" w:eastAsia="仿宋_GB2312" w:cs="仿宋_GB2312"/>
          <w:bCs/>
          <w:kern w:val="0"/>
          <w:sz w:val="32"/>
          <w:szCs w:val="32"/>
          <w:highlight w:val="none"/>
          <w:lang w:val="en-US" w:eastAsia="zh-CN" w:bidi="bo-CN"/>
        </w:rPr>
        <w:t>人力社保</w:t>
      </w:r>
      <w:r>
        <w:rPr>
          <w:rFonts w:hint="eastAsia" w:ascii="仿宋_GB2312" w:hAnsi="宋体" w:eastAsia="仿宋_GB2312" w:cs="仿宋_GB2312"/>
          <w:bCs/>
          <w:kern w:val="0"/>
          <w:sz w:val="32"/>
          <w:szCs w:val="32"/>
          <w:highlight w:val="none"/>
          <w:lang w:bidi="bo-CN"/>
        </w:rPr>
        <w:t>事业发展规划实施创造良好条件。</w:t>
      </w:r>
    </w:p>
    <w:p w14:paraId="4ED5CF4F">
      <w:pPr>
        <w:pStyle w:val="11"/>
        <w:spacing w:line="56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（二）强化资金保障</w:t>
      </w:r>
    </w:p>
    <w:p w14:paraId="623F4EA8">
      <w:pPr>
        <w:pStyle w:val="12"/>
        <w:spacing w:line="560" w:lineRule="exact"/>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加大财政基本民生投入，积极争取有关部门对人力资源和社会保障事业的资金支持力度，推动建立同人力资源和社会保障基本公共服务需求相适应、同经济社会发展水平相匹配的公共财政投入机制。加强人力资源和社会保障专项资金使用、评估、监督和管理，提高专项资金使用效率。</w:t>
      </w:r>
    </w:p>
    <w:p w14:paraId="52354639">
      <w:pPr>
        <w:pStyle w:val="11"/>
        <w:spacing w:line="56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（三）强化监测评估</w:t>
      </w:r>
    </w:p>
    <w:p w14:paraId="0B4313BF">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健全规划实施监测评估和绩效评价机制，开展专项规划中期评估和总结评估工作，分析规划实施效果，查找规划实施中的问题，提出解决问题的针对性对策建议。加强规划重点指标考核评估，加强评估分析与结果应用，依据评估结果对专项规划进行必要调整，提高专项规划的科学性和有效性。</w:t>
      </w:r>
    </w:p>
    <w:p w14:paraId="1C0A022A">
      <w:pPr>
        <w:pStyle w:val="11"/>
        <w:spacing w:line="56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（四）强化宣传引导</w:t>
      </w:r>
    </w:p>
    <w:p w14:paraId="55A6F92F">
      <w:pPr>
        <w:spacing w:line="560" w:lineRule="exact"/>
        <w:ind w:firstLine="640" w:firstLineChars="200"/>
        <w:rPr>
          <w:highlight w:val="none"/>
        </w:rPr>
      </w:pPr>
      <w:r>
        <w:rPr>
          <w:rFonts w:hint="eastAsia" w:ascii="仿宋_GB2312" w:hAnsi="仿宋_GB2312" w:eastAsia="仿宋_GB2312" w:cs="仿宋_GB2312"/>
          <w:sz w:val="32"/>
          <w:szCs w:val="32"/>
          <w:highlight w:val="none"/>
        </w:rPr>
        <w:t>持续做大做强人社宣传阵地，创新和丰富宣传形式，加强政策宣传解读和典型事例推广，营造有利于专项规划实施的舆论环境。加强舆情监测，及时回应社会关切，引导社会各界共同关心和支持人社工作。</w:t>
      </w:r>
    </w:p>
    <w:sectPr>
      <w:footerReference r:id="rId6"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211687-97CB-4718-B5EB-1EE0CAAA70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BB4CE0F-3FF0-47F2-ABB2-D14719A60E4D}"/>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B4C3BEC4-A975-4F20-ACE8-C7E72BADBAED}"/>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4" w:fontKey="{8045F8E3-3D3E-4191-B7BD-35883138AE91}"/>
  </w:font>
  <w:font w:name="楷体_GB2312">
    <w:panose1 w:val="02010609030101010101"/>
    <w:charset w:val="86"/>
    <w:family w:val="auto"/>
    <w:pitch w:val="default"/>
    <w:sig w:usb0="00000001" w:usb1="080E0000" w:usb2="00000000" w:usb3="00000000" w:csb0="00040000" w:csb1="00000000"/>
    <w:embedRegular r:id="rId5" w:fontKey="{4BCC523A-2D66-468E-9DBA-B0043CAFBAC2}"/>
  </w:font>
  <w:font w:name="___WRD_EMBED_SUB_39">
    <w:panose1 w:val="02010609030101010101"/>
    <w:charset w:val="86"/>
    <w:family w:val="modern"/>
    <w:pitch w:val="default"/>
    <w:sig w:usb0="00000001" w:usb1="080E0000" w:usb2="00000000" w:usb3="00000000" w:csb0="00040000" w:csb1="00000000"/>
    <w:embedRegular r:id="rId6" w:fontKey="{1CD3396D-74D0-4DE8-A084-477AE8A779CB}"/>
  </w:font>
  <w:font w:name="WPSEMBED1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9A19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7ED3FC">
                          <w:pPr>
                            <w:pStyle w:val="11"/>
                          </w:pP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HkLeGxgEAAJsDAAAOAAAAAAAAAAEAIAAAAB4BAABkcnMvZTJvRG9jLnht&#10;bFBLBQYAAAAABgAGAFkBAABWBQAAAAA=&#10;">
              <v:fill on="f" focussize="0,0"/>
              <v:stroke on="f"/>
              <v:imagedata o:title=""/>
              <o:lock v:ext="edit" aspectratio="f"/>
              <v:textbox inset="0mm,0mm,0mm,0mm" style="mso-fit-shape-to-text:t;">
                <w:txbxContent>
                  <w:p w14:paraId="1A7ED3FC">
                    <w:pPr>
                      <w:pStyle w:val="11"/>
                    </w:pPr>
                  </w:p>
                </w:txbxContent>
              </v:textbox>
            </v:shape>
          </w:pict>
        </mc:Fallback>
      </mc:AlternateContent>
    </w:r>
  </w:p>
  <w:p w14:paraId="0B603DC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43881">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2EBB210">
                          <w:pPr>
                            <w:pStyle w:val="11"/>
                          </w:pP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3nU08YBAACbAwAADgAAAGRycy9lMm9Eb2MueG1srVPNjtMwEL4j8Q6W&#10;7zTZIkEV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15xZYejBzz9/nH/9Of/+zt4m&#10;eXqPFVXdeqqLw3s30NLMcaRgYj20waQv8WGUJ3FPF3FhiEymS6vlalVSSlJudgi/uL/uA8YP4AxL&#10;Rs0DvV4WVRw/YRxL55LUzbobpXV+QW3/CxDmGIG8AtPtxGScOFlx2A0TvZ1rTsSupzWouaWt50x/&#10;tKRy2pjZCLOxm4zUEf27Q6Qx8nQJdYQiVsmhN8v8pv1KS/Gvn6vu/6nN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vedTTxgEAAJsDAAAOAAAAAAAAAAEAIAAAAB4BAABkcnMvZTJvRG9jLnht&#10;bFBLBQYAAAAABgAGAFkBAABWBQAAAAA=&#10;">
              <v:fill on="f" focussize="0,0"/>
              <v:stroke on="f"/>
              <v:imagedata o:title=""/>
              <o:lock v:ext="edit" aspectratio="f"/>
              <v:textbox inset="0mm,0mm,0mm,0mm" style="mso-fit-shape-to-text:t;">
                <w:txbxContent>
                  <w:p w14:paraId="32EBB210">
                    <w:pPr>
                      <w:pStyle w:val="11"/>
                    </w:pPr>
                  </w:p>
                </w:txbxContent>
              </v:textbox>
            </v:shape>
          </w:pict>
        </mc:Fallback>
      </mc:AlternateContent>
    </w:r>
  </w:p>
  <w:p w14:paraId="3FAFACE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BFC42">
    <w:pPr>
      <w:pStyle w:val="11"/>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6D66EA">
                          <w:pPr>
                            <w:pStyle w:val="1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- 28 -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20"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Sp2sgBAACaAwAADgAAAGRycy9lMm9Eb2MueG1srVNNrtMwEN4jcQfL&#10;e+q0Eq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Lylx3OLAL9+/XX78uvz8SlZF&#10;nz5AjWkPARPT8MYPuDVZt+wHdGbag4o2f5EQwTiqe76qK4dERH60Xq3XFYYExuYL4rDb8xAhvZXe&#10;kmw0NOL4iqr89B7SmDqn5GrO32tjygiN+8uBmNnDbj1mKw37YWp879sz8ulx8g11uOiUmHcOhc1L&#10;MhtxNvazcQxRHzpsbVn6gvD6mLCJ0luuMMJOhXFkhd20Xnkn/ryXrNsv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f0qdrIAQAAmgMAAA4AAAAAAAAAAQAgAAAAHgEAAGRycy9lMm9Eb2Mu&#10;eG1sUEsFBgAAAAAGAAYAWQEAAFgFAAAAAA==&#10;">
              <v:fill on="f" focussize="0,0"/>
              <v:stroke on="f"/>
              <v:imagedata o:title=""/>
              <o:lock v:ext="edit" aspectratio="f"/>
              <v:textbox inset="0mm,0mm,0mm,0mm" style="mso-fit-shape-to-text:t;">
                <w:txbxContent>
                  <w:p w14:paraId="5C6D66EA">
                    <w:pPr>
                      <w:pStyle w:val="11"/>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- 28 -</w:t>
                    </w:r>
                    <w:r>
                      <w:rPr>
                        <w:rFonts w:hint="eastAsia" w:ascii="宋体" w:hAnsi="宋体" w:cs="宋体"/>
                        <w:sz w:val="28"/>
                        <w:szCs w:val="28"/>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5EB43AE">
                          <w:pPr>
                            <w:pStyle w:val="11"/>
                          </w:pP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&#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uy4WuxgEAAJsDAAAOAAAAAAAAAAEAIAAAAB4BAABkcnMvZTJvRG9jLnht&#10;bFBLBQYAAAAABgAGAFkBAABWBQAAAAA=&#10;">
              <v:fill on="f" focussize="0,0"/>
              <v:stroke on="f"/>
              <v:imagedata o:title=""/>
              <o:lock v:ext="edit" aspectratio="f"/>
              <v:textbox inset="0mm,0mm,0mm,0mm" style="mso-fit-shape-to-text:t;">
                <w:txbxContent>
                  <w:p w14:paraId="05EB43AE">
                    <w:pPr>
                      <w:pStyle w:val="11"/>
                    </w:pPr>
                  </w:p>
                </w:txbxContent>
              </v:textbox>
            </v:shape>
          </w:pict>
        </mc:Fallback>
      </mc:AlternateContent>
    </w:r>
  </w:p>
  <w:p w14:paraId="12A6CCEC">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6">
    <w:p>
      <w:r>
        <w:separator/>
      </w:r>
    </w:p>
  </w:footnote>
  <w:footnote w:type="continuationSeparator" w:id="57">
    <w:p>
      <w:r>
        <w:continuationSeparator/>
      </w:r>
    </w:p>
  </w:footnote>
  <w:footnote w:id="0">
    <w:p w14:paraId="45835D32">
      <w:pPr>
        <w:pStyle w:val="20"/>
        <w:rPr>
          <w:rFonts w:hint="eastAsia" w:ascii="宋体" w:hAnsi="宋体" w:cs="宋体"/>
          <w:sz w:val="20"/>
          <w:szCs w:val="22"/>
        </w:rPr>
      </w:pPr>
      <w:r>
        <w:rPr>
          <w:rFonts w:hint="eastAsia" w:ascii="宋体" w:hAnsi="宋体" w:cs="宋体"/>
          <w:sz w:val="20"/>
          <w:szCs w:val="22"/>
        </w:rPr>
        <w:t>1.</w:t>
      </w:r>
      <w:r>
        <w:rPr>
          <w:rFonts w:hint="eastAsia" w:ascii="宋体" w:hAnsi="宋体" w:cs="宋体"/>
          <w:sz w:val="20"/>
          <w:szCs w:val="20"/>
        </w:rPr>
        <w:t>充分就业指城乡人力资源得到充分开发和利用，市场就业机制完善，就业渠道通畅，劳动者流动就业、自主择业、自主创业的环境良好；有劳动能力和就业愿望的劳动者都能够得到就业机会或处于积极准备就业状态，失业率调控在社会可承受的水平；大多数劳动者实现比较稳定就业，并通过不断提高就业质量持续地增加收入，劳动关系稳定和谐的一种就业状态。</w:t>
      </w:r>
    </w:p>
  </w:footnote>
  <w:footnote w:id="1">
    <w:p w14:paraId="512CE1CC">
      <w:pPr>
        <w:pStyle w:val="20"/>
        <w:rPr>
          <w:rFonts w:hint="eastAsia" w:ascii="宋体" w:hAnsi="宋体" w:cs="宋体"/>
          <w:sz w:val="20"/>
          <w:szCs w:val="20"/>
        </w:rPr>
      </w:pPr>
      <w:r>
        <w:rPr>
          <w:rFonts w:hint="eastAsia" w:ascii="宋体" w:hAnsi="宋体" w:cs="宋体"/>
          <w:sz w:val="20"/>
          <w:szCs w:val="20"/>
        </w:rPr>
        <w:t>2.同事同标指京津冀社会保险公共服务事项清单和办事指南，规范明确了事项名称、事项简述、办理方式、办理材料、办理时限等内容，确保实现“同事项名称、同受理标准、同申请材料、同办理时限”。</w:t>
      </w:r>
    </w:p>
  </w:footnote>
  <w:footnote w:id="2">
    <w:p w14:paraId="7A3434C8">
      <w:pPr>
        <w:pStyle w:val="20"/>
        <w:rPr>
          <w:sz w:val="20"/>
          <w:szCs w:val="20"/>
        </w:rPr>
      </w:pPr>
      <w:r>
        <w:rPr>
          <w:rFonts w:hint="eastAsia" w:ascii="宋体" w:hAnsi="宋体" w:cs="宋体"/>
          <w:sz w:val="20"/>
          <w:szCs w:val="20"/>
        </w:rPr>
        <w:footnoteRef/>
      </w:r>
      <w:r>
        <w:rPr>
          <w:rFonts w:hint="eastAsia" w:ascii="宋体" w:hAnsi="宋体" w:cs="宋体"/>
          <w:sz w:val="20"/>
          <w:szCs w:val="20"/>
        </w:rPr>
        <w:t>.社银合作指社会保险经办机构（简称“社保部门”）与银行（金融机构）通过签订合作协议，建立战略合作关系，将社保业务经办窗口延伸至银行网点，委托银行受理、办理部分社保业务的一种服务模式。</w:t>
      </w:r>
    </w:p>
  </w:footnote>
  <w:footnote w:id="3">
    <w:p w14:paraId="69AAD512">
      <w:pPr>
        <w:pStyle w:val="20"/>
        <w:rPr>
          <w:rFonts w:hint="eastAsia" w:ascii="宋体" w:hAnsi="宋体" w:eastAsia="宋体" w:cs="宋体"/>
          <w:sz w:val="20"/>
          <w:szCs w:val="20"/>
        </w:rPr>
      </w:pPr>
      <w:r>
        <w:rPr>
          <w:rFonts w:hint="eastAsia" w:ascii="宋体" w:hAnsi="宋体" w:eastAsia="宋体" w:cs="宋体"/>
          <w:sz w:val="20"/>
          <w:szCs w:val="20"/>
        </w:rPr>
        <w:footnoteRef/>
      </w:r>
      <w:r>
        <w:rPr>
          <w:rFonts w:hint="eastAsia" w:ascii="宋体" w:hAnsi="宋体" w:eastAsia="宋体" w:cs="宋体"/>
          <w:sz w:val="20"/>
          <w:szCs w:val="20"/>
        </w:rPr>
        <w:t>.博士后科研工作站是指经人力资源社会保障部批准备案，在具备独立法人资格的企业、从事科学研究和技术开发的事业单位、省级以上高新技术开发区和经济技术开发区设立的，可以招收和培养博士后研究人员的科研组织。</w:t>
      </w:r>
    </w:p>
  </w:footnote>
  <w:footnote w:id="4">
    <w:p w14:paraId="5FAB0B5C">
      <w:pPr>
        <w:pStyle w:val="20"/>
        <w:rPr>
          <w:rFonts w:hint="eastAsia" w:ascii="宋体" w:hAnsi="宋体" w:eastAsia="宋体" w:cs="宋体"/>
          <w:sz w:val="20"/>
          <w:szCs w:val="20"/>
        </w:rPr>
      </w:pPr>
      <w:r>
        <w:rPr>
          <w:rFonts w:hint="eastAsia" w:ascii="宋体" w:hAnsi="宋体" w:eastAsia="宋体" w:cs="宋体"/>
          <w:sz w:val="20"/>
          <w:szCs w:val="20"/>
        </w:rPr>
        <w:footnoteRef/>
      </w:r>
      <w:r>
        <w:rPr>
          <w:rFonts w:hint="eastAsia" w:ascii="宋体" w:hAnsi="宋体" w:eastAsia="宋体" w:cs="宋体"/>
          <w:sz w:val="20"/>
          <w:szCs w:val="20"/>
        </w:rPr>
        <w:t>.技能大师工作室是指大兴区范围内的企事业单位依托有突出贡献的优秀技能人才建立的团队，旨在发挥技能领军人才组织技术攻关、引领创新作用，推进名师带徒制度，加快培养一批精通专业理论知识、掌握精湛技艺的优秀骨干技能人才。</w:t>
      </w:r>
    </w:p>
    <w:p w14:paraId="59C65EAA">
      <w:pPr>
        <w:pStyle w:val="20"/>
      </w:pPr>
    </w:p>
  </w:footnote>
  <w:footnote w:id="5">
    <w:p w14:paraId="1FAC6ED8">
      <w:pPr>
        <w:pStyle w:val="20"/>
        <w:rPr>
          <w:rFonts w:hint="eastAsia" w:ascii="宋体" w:hAnsi="宋体" w:cs="宋体"/>
          <w:sz w:val="20"/>
          <w:szCs w:val="22"/>
        </w:rPr>
      </w:pPr>
      <w:r>
        <w:rPr>
          <w:rFonts w:ascii="宋体" w:hAnsi="宋体" w:cs="宋体"/>
          <w:sz w:val="20"/>
          <w:szCs w:val="22"/>
        </w:rPr>
        <w:t>6</w:t>
      </w:r>
      <w:r>
        <w:rPr>
          <w:rFonts w:hint="eastAsia" w:ascii="宋体" w:hAnsi="宋体" w:cs="宋体"/>
          <w:sz w:val="20"/>
          <w:szCs w:val="22"/>
        </w:rPr>
        <w:t>.</w:t>
      </w:r>
      <w:r>
        <w:rPr>
          <w:rFonts w:hint="eastAsia" w:ascii="宋体" w:hAnsi="宋体" w:cs="宋体"/>
          <w:sz w:val="20"/>
          <w:szCs w:val="22"/>
          <w:lang w:val="en-US" w:eastAsia="zh-CN"/>
        </w:rPr>
        <w:t>城镇</w:t>
      </w:r>
      <w:r>
        <w:rPr>
          <w:rFonts w:hint="eastAsia" w:ascii="宋体" w:hAnsi="宋体" w:cs="宋体"/>
          <w:sz w:val="20"/>
          <w:szCs w:val="22"/>
        </w:rPr>
        <w:t>登记失业率指在报告期末城镇登记失业人数占期末城镇从业人员总数与期末实有城镇登记失业人数之和的比重。分子是登记的失业人数，分母是从业的人数与登记失业人数之和。在城镇单位从业人员中，不包括使用的农村劳动力、聘用的离退休人员、港澳台及外方人员。</w:t>
      </w:r>
    </w:p>
  </w:footnote>
  <w:footnote w:id="6">
    <w:p w14:paraId="6F0CDF33">
      <w:pPr>
        <w:pStyle w:val="20"/>
        <w:rPr>
          <w:sz w:val="20"/>
          <w:szCs w:val="20"/>
        </w:rPr>
      </w:pPr>
      <w:r>
        <w:rPr>
          <w:rFonts w:ascii="宋体" w:hAnsi="宋体" w:cs="宋体"/>
          <w:sz w:val="20"/>
          <w:szCs w:val="20"/>
        </w:rPr>
        <w:t>7</w:t>
      </w:r>
      <w:r>
        <w:rPr>
          <w:rFonts w:hint="eastAsia" w:ascii="宋体" w:hAnsi="宋体" w:cs="宋体"/>
          <w:sz w:val="20"/>
          <w:szCs w:val="20"/>
        </w:rPr>
        <w:t>.</w:t>
      </w:r>
      <w:r>
        <w:rPr>
          <w:rFonts w:ascii="宋体" w:hAnsi="宋体" w:cs="宋体"/>
          <w:sz w:val="20"/>
          <w:szCs w:val="20"/>
        </w:rPr>
        <w:t>”</w:t>
      </w:r>
      <w:r>
        <w:rPr>
          <w:rFonts w:hint="eastAsia" w:ascii="宋体" w:hAnsi="宋体" w:cs="宋体"/>
          <w:sz w:val="20"/>
          <w:szCs w:val="20"/>
        </w:rPr>
        <w:t>6+5+3</w:t>
      </w:r>
      <w:r>
        <w:rPr>
          <w:rFonts w:ascii="宋体" w:hAnsi="宋体" w:cs="宋体"/>
          <w:sz w:val="20"/>
          <w:szCs w:val="20"/>
        </w:rPr>
        <w:t>”</w:t>
      </w:r>
      <w:r>
        <w:rPr>
          <w:rFonts w:hint="eastAsia" w:ascii="宋体" w:hAnsi="宋体" w:cs="宋体"/>
          <w:sz w:val="20"/>
          <w:szCs w:val="20"/>
        </w:rPr>
        <w:t>指</w:t>
      </w:r>
      <w:r>
        <w:rPr>
          <w:rFonts w:hint="eastAsia" w:ascii="宋体" w:hAnsi="宋体" w:cs="宋体"/>
          <w:sz w:val="20"/>
          <w:szCs w:val="20"/>
          <w:lang w:eastAsia="zh"/>
        </w:rPr>
        <w:t>6大产业功能区</w:t>
      </w:r>
      <w:r>
        <w:rPr>
          <w:rFonts w:hint="eastAsia" w:ascii="宋体" w:hAnsi="宋体" w:cs="宋体"/>
          <w:sz w:val="20"/>
          <w:szCs w:val="20"/>
        </w:rPr>
        <w:t>、</w:t>
      </w:r>
      <w:r>
        <w:rPr>
          <w:rFonts w:hint="eastAsia" w:ascii="宋体" w:hAnsi="宋体" w:cs="宋体"/>
          <w:sz w:val="20"/>
          <w:szCs w:val="20"/>
          <w:lang w:eastAsia="zh"/>
        </w:rPr>
        <w:t>5</w:t>
      </w:r>
      <w:r>
        <w:rPr>
          <w:rFonts w:hint="eastAsia" w:ascii="宋体" w:hAnsi="宋体" w:cs="宋体"/>
          <w:sz w:val="20"/>
          <w:szCs w:val="20"/>
        </w:rPr>
        <w:t>个特色产业集聚区、</w:t>
      </w:r>
      <w:r>
        <w:rPr>
          <w:rFonts w:hint="eastAsia" w:ascii="宋体" w:hAnsi="宋体" w:cs="宋体"/>
          <w:sz w:val="20"/>
          <w:szCs w:val="20"/>
          <w:lang w:eastAsia="zh"/>
        </w:rPr>
        <w:t>3</w:t>
      </w:r>
      <w:r>
        <w:rPr>
          <w:rFonts w:hint="eastAsia" w:ascii="宋体" w:hAnsi="宋体" w:cs="宋体"/>
          <w:sz w:val="20"/>
          <w:szCs w:val="20"/>
        </w:rPr>
        <w:t>大发展新片区</w:t>
      </w:r>
      <w:r>
        <w:rPr>
          <w:rFonts w:hint="eastAsia" w:ascii="宋体" w:hAnsi="宋体" w:cs="宋体"/>
          <w:sz w:val="20"/>
          <w:szCs w:val="20"/>
          <w:lang w:eastAsia="zh"/>
        </w:rPr>
        <w:t>。其中，6大产业功能区分别为：大兴国际机场临空经济区、大兴生物医药产业基地、数字经济示范区、国际氢能示范区、北京中日创新合作示范区、北京商业航天产业基地</w:t>
      </w:r>
      <w:r>
        <w:rPr>
          <w:rFonts w:hint="eastAsia" w:ascii="宋体" w:hAnsi="宋体" w:cs="宋体"/>
          <w:sz w:val="20"/>
          <w:szCs w:val="20"/>
        </w:rPr>
        <w:t>；5个特色产业集聚区</w:t>
      </w:r>
      <w:r>
        <w:rPr>
          <w:rFonts w:hint="eastAsia" w:ascii="宋体" w:hAnsi="宋体" w:cs="宋体"/>
          <w:sz w:val="20"/>
          <w:szCs w:val="20"/>
          <w:lang w:eastAsia="zh"/>
        </w:rPr>
        <w:t>分别为：荟聚商务科技集聚区、国家新媒体产业基地、念坛金融商务区、京南物流基地、京南农林科技园；</w:t>
      </w:r>
      <w:r>
        <w:rPr>
          <w:rFonts w:hint="eastAsia" w:ascii="宋体" w:hAnsi="宋体" w:cs="宋体"/>
          <w:sz w:val="20"/>
          <w:szCs w:val="20"/>
        </w:rPr>
        <w:t>3大发展新片区</w:t>
      </w:r>
      <w:r>
        <w:rPr>
          <w:rFonts w:hint="eastAsia" w:ascii="宋体" w:hAnsi="宋体" w:cs="宋体"/>
          <w:sz w:val="20"/>
          <w:szCs w:val="20"/>
          <w:lang w:eastAsia="zh"/>
        </w:rPr>
        <w:t>分别为：</w:t>
      </w:r>
      <w:r>
        <w:rPr>
          <w:rFonts w:hint="eastAsia" w:ascii="宋体" w:hAnsi="宋体" w:cs="宋体"/>
          <w:sz w:val="20"/>
          <w:szCs w:val="20"/>
        </w:rPr>
        <w:t>花园城市永定湾、大兴国际旅游度假区和产业协同发展示范区。</w:t>
      </w:r>
    </w:p>
  </w:footnote>
  <w:footnote w:id="7">
    <w:p w14:paraId="6A886BB5">
      <w:pPr>
        <w:rPr>
          <w:rFonts w:hint="eastAsia" w:ascii="宋体" w:hAnsi="宋体" w:eastAsia="宋体" w:cs="宋体"/>
          <w:sz w:val="20"/>
          <w:szCs w:val="20"/>
        </w:rPr>
      </w:pPr>
      <w:r>
        <w:rPr>
          <w:rFonts w:hint="eastAsia" w:ascii="宋体" w:hAnsi="宋体" w:eastAsia="宋体" w:cs="宋体"/>
          <w:sz w:val="20"/>
          <w:szCs w:val="20"/>
          <w:lang w:eastAsia="zh"/>
        </w:rPr>
        <w:footnoteRef/>
      </w:r>
      <w:r>
        <w:rPr>
          <w:rFonts w:hint="eastAsia" w:ascii="宋体" w:hAnsi="宋体" w:eastAsia="宋体" w:cs="宋体"/>
          <w:sz w:val="20"/>
          <w:szCs w:val="20"/>
        </w:rPr>
        <w:t>.</w:t>
      </w:r>
      <w:r>
        <w:rPr>
          <w:rFonts w:hint="eastAsia" w:ascii="宋体" w:hAnsi="宋体" w:eastAsia="宋体" w:cs="宋体"/>
          <w:sz w:val="20"/>
          <w:szCs w:val="20"/>
          <w:lang w:eastAsia="zh"/>
        </w:rPr>
        <w:t>城镇调查失业率是通过城镇劳动力情况抽样调查所取得的</w:t>
      </w:r>
      <w:r>
        <w:rPr>
          <w:rFonts w:hint="eastAsia" w:ascii="宋体" w:hAnsi="宋体" w:eastAsia="宋体" w:cs="宋体"/>
          <w:sz w:val="20"/>
          <w:szCs w:val="20"/>
          <w:lang w:eastAsia="zh"/>
        </w:rPr>
        <w:fldChar w:fldCharType="begin"/>
      </w:r>
      <w:r>
        <w:rPr>
          <w:rFonts w:hint="eastAsia" w:ascii="宋体" w:hAnsi="宋体" w:eastAsia="宋体" w:cs="宋体"/>
          <w:sz w:val="20"/>
          <w:szCs w:val="20"/>
          <w:lang w:eastAsia="zh"/>
        </w:rPr>
        <w:instrText xml:space="preserve"> HYPERLINK "https://baike.weixin.qq.com/m/v66601732.htm?g_ut=3" \t "https://baike.weixin.qq.com/_blank" </w:instrText>
      </w:r>
      <w:r>
        <w:rPr>
          <w:rFonts w:hint="eastAsia" w:ascii="宋体" w:hAnsi="宋体" w:eastAsia="宋体" w:cs="宋体"/>
          <w:sz w:val="20"/>
          <w:szCs w:val="20"/>
          <w:lang w:eastAsia="zh"/>
        </w:rPr>
        <w:fldChar w:fldCharType="separate"/>
      </w:r>
      <w:r>
        <w:rPr>
          <w:rFonts w:hint="eastAsia" w:ascii="宋体" w:hAnsi="宋体" w:eastAsia="宋体" w:cs="宋体"/>
          <w:sz w:val="20"/>
          <w:szCs w:val="20"/>
          <w:lang w:eastAsia="zh"/>
        </w:rPr>
        <w:t>城镇就业</w:t>
      </w:r>
      <w:r>
        <w:rPr>
          <w:rFonts w:hint="eastAsia" w:ascii="宋体" w:hAnsi="宋体" w:eastAsia="宋体" w:cs="宋体"/>
          <w:sz w:val="20"/>
          <w:szCs w:val="20"/>
          <w:lang w:eastAsia="zh"/>
        </w:rPr>
        <w:fldChar w:fldCharType="end"/>
      </w:r>
      <w:r>
        <w:rPr>
          <w:rFonts w:hint="eastAsia" w:ascii="宋体" w:hAnsi="宋体" w:eastAsia="宋体" w:cs="宋体"/>
          <w:sz w:val="20"/>
          <w:szCs w:val="20"/>
          <w:lang w:eastAsia="zh"/>
        </w:rPr>
        <w:t>与失业汇总数据进行计算的，</w:t>
      </w:r>
      <w:r>
        <w:rPr>
          <w:rFonts w:hint="eastAsia" w:ascii="宋体" w:hAnsi="宋体" w:eastAsia="宋体" w:cs="宋体"/>
          <w:sz w:val="20"/>
          <w:szCs w:val="20"/>
          <w:lang w:val="en-US" w:eastAsia="zh-CN"/>
        </w:rPr>
        <w:t>为</w:t>
      </w:r>
      <w:r>
        <w:rPr>
          <w:rFonts w:hint="eastAsia" w:ascii="宋体" w:hAnsi="宋体" w:eastAsia="宋体" w:cs="宋体"/>
          <w:sz w:val="20"/>
          <w:szCs w:val="20"/>
          <w:lang w:eastAsia="zh"/>
        </w:rPr>
        <w:t>城镇调查失业人数占城镇调查从业人数与城镇调查失业人数之和的比。</w:t>
      </w:r>
    </w:p>
  </w:footnote>
  <w:footnote w:id="8">
    <w:p w14:paraId="64D06BBA">
      <w:pPr>
        <w:rPr>
          <w:rFonts w:hint="eastAsia" w:ascii="宋体" w:hAnsi="宋体" w:eastAsia="宋体" w:cs="宋体"/>
          <w:sz w:val="20"/>
          <w:szCs w:val="20"/>
        </w:rPr>
      </w:pPr>
      <w:r>
        <w:rPr>
          <w:rFonts w:hint="eastAsia" w:ascii="宋体" w:hAnsi="宋体" w:eastAsia="宋体" w:cs="宋体"/>
          <w:sz w:val="20"/>
          <w:szCs w:val="20"/>
          <w:lang w:eastAsia="zh"/>
        </w:rPr>
        <w:footnoteRef/>
      </w:r>
      <w:r>
        <w:rPr>
          <w:rFonts w:hint="eastAsia" w:ascii="宋体" w:hAnsi="宋体" w:eastAsia="宋体" w:cs="宋体"/>
          <w:sz w:val="20"/>
          <w:szCs w:val="20"/>
        </w:rPr>
        <w:t>.</w:t>
      </w:r>
      <w:r>
        <w:rPr>
          <w:rFonts w:hint="eastAsia" w:ascii="宋体" w:hAnsi="宋体" w:eastAsia="宋体" w:cs="宋体"/>
          <w:sz w:val="20"/>
          <w:szCs w:val="20"/>
          <w:lang w:eastAsia="zh"/>
        </w:rPr>
        <w:t>居民人均可支配收入</w:t>
      </w:r>
      <w:r>
        <w:rPr>
          <w:rFonts w:hint="eastAsia" w:ascii="宋体" w:hAnsi="宋体" w:eastAsia="宋体" w:cs="宋体"/>
          <w:sz w:val="20"/>
          <w:szCs w:val="20"/>
        </w:rPr>
        <w:t>指</w:t>
      </w:r>
      <w:r>
        <w:rPr>
          <w:rFonts w:hint="eastAsia" w:ascii="宋体" w:hAnsi="宋体" w:eastAsia="宋体" w:cs="宋体"/>
          <w:sz w:val="20"/>
          <w:szCs w:val="20"/>
          <w:lang w:eastAsia="zh"/>
        </w:rPr>
        <w:t>居民可支配收入除以常住人口数后得到的平均数。居民可支配收入指居民能够自由支配的收入，是居民可用于最终消费支出和储蓄的总和</w:t>
      </w:r>
      <w:r>
        <w:rPr>
          <w:rFonts w:hint="eastAsia" w:ascii="宋体" w:hAnsi="宋体" w:eastAsia="宋体" w:cs="宋体"/>
          <w:sz w:val="20"/>
          <w:szCs w:val="20"/>
        </w:rPr>
        <w:t>，</w:t>
      </w:r>
      <w:r>
        <w:rPr>
          <w:rFonts w:hint="eastAsia" w:ascii="宋体" w:hAnsi="宋体" w:eastAsia="宋体" w:cs="宋体"/>
          <w:sz w:val="20"/>
          <w:szCs w:val="20"/>
          <w:lang w:eastAsia="zh"/>
        </w:rPr>
        <w:t>既包括现金收入，也包括实物收入。按照收入来源，可支配收入包含四项，分别为工资性收入、经营净收入、财产净收入和转移净收入。</w:t>
      </w:r>
    </w:p>
  </w:footnote>
  <w:footnote w:id="9">
    <w:p w14:paraId="3DC4AB8B">
      <w:pPr>
        <w:rPr>
          <w:rFonts w:hint="eastAsia" w:ascii="宋体" w:hAnsi="宋体" w:eastAsia="宋体" w:cs="宋体"/>
          <w:sz w:val="20"/>
          <w:szCs w:val="20"/>
          <w:lang w:eastAsia="zh"/>
        </w:rPr>
      </w:pPr>
      <w:r>
        <w:rPr>
          <w:rFonts w:hint="eastAsia" w:ascii="宋体" w:hAnsi="宋体" w:eastAsia="宋体" w:cs="宋体"/>
          <w:sz w:val="20"/>
          <w:szCs w:val="20"/>
          <w:lang w:eastAsia="zh"/>
        </w:rPr>
        <w:footnoteRef/>
      </w:r>
      <w:r>
        <w:rPr>
          <w:rFonts w:hint="eastAsia" w:ascii="宋体" w:hAnsi="宋体" w:eastAsia="宋体" w:cs="宋体"/>
          <w:sz w:val="20"/>
          <w:szCs w:val="20"/>
        </w:rPr>
        <w:t>.</w:t>
      </w:r>
      <w:r>
        <w:rPr>
          <w:rFonts w:hint="eastAsia" w:ascii="宋体" w:hAnsi="宋体" w:eastAsia="宋体" w:cs="宋体"/>
          <w:sz w:val="20"/>
          <w:szCs w:val="20"/>
          <w:lang w:eastAsia="zh"/>
        </w:rPr>
        <w:t>监控企业的劳动合同签订率指报告期期末与企业签订劳动合同职工时点数占报告期期末企业职工时点数比重。分子是签订劳动合同职工人数，分母是职工人数。职工人数为在岗职工和不在岗职工之和。</w:t>
      </w:r>
    </w:p>
  </w:footnote>
  <w:footnote w:id="10">
    <w:p w14:paraId="43519CBC">
      <w:pPr>
        <w:rPr>
          <w:rFonts w:hint="eastAsia" w:ascii="宋体" w:hAnsi="宋体" w:eastAsia="宋体" w:cs="宋体"/>
          <w:sz w:val="20"/>
          <w:szCs w:val="20"/>
          <w:lang w:eastAsia="zh"/>
        </w:rPr>
      </w:pPr>
      <w:r>
        <w:rPr>
          <w:rFonts w:hint="eastAsia" w:ascii="宋体" w:hAnsi="宋体" w:eastAsia="宋体" w:cs="宋体"/>
          <w:sz w:val="20"/>
          <w:szCs w:val="20"/>
          <w:lang w:eastAsia="zh"/>
        </w:rPr>
        <w:footnoteRef/>
      </w:r>
      <w:r>
        <w:rPr>
          <w:rFonts w:hint="eastAsia" w:ascii="宋体" w:hAnsi="宋体" w:eastAsia="宋体" w:cs="宋体"/>
          <w:sz w:val="20"/>
          <w:szCs w:val="20"/>
        </w:rPr>
        <w:t>.城镇</w:t>
      </w:r>
      <w:r>
        <w:rPr>
          <w:rFonts w:hint="eastAsia" w:ascii="宋体" w:hAnsi="宋体" w:eastAsia="宋体" w:cs="宋体"/>
          <w:sz w:val="20"/>
          <w:szCs w:val="20"/>
          <w:lang w:eastAsia="zh"/>
        </w:rPr>
        <w:t>劳动合同续订率指报告期内续订劳动合同人数占报告期内劳动合同到期人数的比重。分子</w:t>
      </w:r>
      <w:r>
        <w:rPr>
          <w:rFonts w:hint="eastAsia" w:ascii="宋体" w:hAnsi="宋体" w:eastAsia="宋体" w:cs="宋体"/>
          <w:sz w:val="20"/>
          <w:szCs w:val="20"/>
          <w:lang w:val="en-US" w:eastAsia="zh-CN"/>
        </w:rPr>
        <w:t>是</w:t>
      </w:r>
      <w:r>
        <w:rPr>
          <w:rFonts w:hint="eastAsia" w:ascii="宋体" w:hAnsi="宋体" w:eastAsia="宋体" w:cs="宋体"/>
          <w:sz w:val="20"/>
          <w:szCs w:val="20"/>
          <w:lang w:eastAsia="zh"/>
        </w:rPr>
        <w:t>续订劳动合同人数，分母</w:t>
      </w:r>
      <w:r>
        <w:rPr>
          <w:rFonts w:hint="eastAsia" w:ascii="宋体" w:hAnsi="宋体" w:eastAsia="宋体" w:cs="宋体"/>
          <w:sz w:val="20"/>
          <w:szCs w:val="20"/>
          <w:lang w:val="en-US" w:eastAsia="zh-CN"/>
        </w:rPr>
        <w:t>是</w:t>
      </w:r>
      <w:r>
        <w:rPr>
          <w:rFonts w:hint="eastAsia" w:ascii="宋体" w:hAnsi="宋体" w:eastAsia="宋体" w:cs="宋体"/>
          <w:sz w:val="20"/>
          <w:szCs w:val="20"/>
          <w:lang w:eastAsia="zh"/>
        </w:rPr>
        <w:t>本期劳动合同届满人数。</w:t>
      </w:r>
    </w:p>
  </w:footnote>
  <w:footnote w:id="11">
    <w:p w14:paraId="103CA982">
      <w:pPr>
        <w:rPr>
          <w:rFonts w:hint="eastAsia" w:ascii="宋体" w:hAnsi="宋体" w:eastAsia="宋体" w:cs="宋体"/>
          <w:sz w:val="20"/>
          <w:szCs w:val="20"/>
        </w:rPr>
      </w:pPr>
      <w:r>
        <w:rPr>
          <w:rFonts w:hint="eastAsia" w:ascii="宋体" w:hAnsi="宋体" w:eastAsia="宋体" w:cs="宋体"/>
          <w:sz w:val="20"/>
          <w:szCs w:val="20"/>
          <w:lang w:eastAsia="zh"/>
        </w:rPr>
        <w:footnoteRef/>
      </w:r>
      <w:r>
        <w:rPr>
          <w:rFonts w:hint="eastAsia" w:ascii="宋体" w:hAnsi="宋体" w:eastAsia="宋体" w:cs="宋体"/>
          <w:sz w:val="20"/>
          <w:szCs w:val="20"/>
        </w:rPr>
        <w:t>.</w:t>
      </w:r>
      <w:r>
        <w:rPr>
          <w:rFonts w:hint="eastAsia" w:ascii="宋体" w:hAnsi="宋体" w:eastAsia="宋体" w:cs="宋体"/>
          <w:sz w:val="20"/>
          <w:szCs w:val="20"/>
          <w:lang w:eastAsia="zh"/>
        </w:rPr>
        <w:t>工资集体协商的比率指年末正常经营建会并开展集体协商企业数占全区正常经营建会企业数的比重。分子是正常经营建会并开展集体协商企业数，分母是全区正常经营建会企业数。正常经营建会企业指注册地或经营地在大兴区域内且在本区域缴纳工会经费，能正常经营的企业。</w:t>
      </w:r>
    </w:p>
  </w:footnote>
  <w:footnote w:id="12">
    <w:p w14:paraId="4B6083F8">
      <w:pPr>
        <w:widowControl/>
        <w:rPr>
          <w:rFonts w:hint="eastAsia" w:ascii="宋体" w:hAnsi="宋体" w:eastAsia="宋体" w:cs="宋体"/>
          <w:sz w:val="20"/>
          <w:szCs w:val="20"/>
          <w:lang w:eastAsia="zh"/>
        </w:rPr>
      </w:pPr>
      <w:r>
        <w:rPr>
          <w:rFonts w:hint="eastAsia" w:ascii="宋体" w:hAnsi="宋体" w:eastAsia="宋体" w:cs="宋体"/>
          <w:sz w:val="20"/>
          <w:szCs w:val="20"/>
          <w:lang w:eastAsia="zh"/>
        </w:rPr>
        <w:t>13.</w:t>
      </w:r>
      <w:r>
        <w:rPr>
          <w:rFonts w:hint="eastAsia" w:ascii="宋体" w:hAnsi="宋体" w:eastAsia="宋体" w:cs="宋体"/>
          <w:sz w:val="20"/>
          <w:szCs w:val="20"/>
          <w:lang w:val="zh-TW" w:eastAsia="zh"/>
        </w:rPr>
        <w:t>劳动人事争议仲裁案件结案率</w:t>
      </w:r>
      <w:r>
        <w:rPr>
          <w:rFonts w:hint="eastAsia" w:ascii="宋体" w:hAnsi="宋体" w:eastAsia="宋体" w:cs="宋体"/>
          <w:sz w:val="20"/>
          <w:szCs w:val="20"/>
          <w:lang w:eastAsia="zh"/>
        </w:rPr>
        <w:t>指全年审理的当年度劳动人事争议案件办结结案数占当年度受理劳动人事争议案件总数的比例。</w:t>
      </w:r>
    </w:p>
  </w:footnote>
  <w:footnote w:id="13">
    <w:p w14:paraId="7E2E4905">
      <w:pPr>
        <w:widowControl/>
        <w:rPr>
          <w:rFonts w:hint="eastAsia" w:ascii="宋体" w:hAnsi="宋体" w:eastAsia="宋体" w:cs="宋体"/>
          <w:sz w:val="20"/>
          <w:szCs w:val="20"/>
          <w:lang w:eastAsia="zh"/>
        </w:rPr>
      </w:pPr>
      <w:r>
        <w:rPr>
          <w:rFonts w:hint="eastAsia" w:ascii="宋体" w:hAnsi="宋体" w:eastAsia="宋体" w:cs="宋体"/>
          <w:sz w:val="20"/>
          <w:szCs w:val="20"/>
        </w:rPr>
        <w:t>14.</w:t>
      </w:r>
      <w:r>
        <w:rPr>
          <w:rFonts w:hint="eastAsia" w:ascii="宋体" w:hAnsi="宋体" w:eastAsia="宋体" w:cs="宋体"/>
          <w:sz w:val="20"/>
          <w:szCs w:val="20"/>
          <w:lang w:eastAsia="zh"/>
        </w:rPr>
        <w:t>劳动人事争议仲裁终结率指仲裁阶段调解结案数和终局裁决数的总和占审结案件总量的比例。</w:t>
      </w:r>
    </w:p>
  </w:footnote>
  <w:footnote w:id="14">
    <w:p w14:paraId="2EC13755">
      <w:pPr>
        <w:widowControl/>
        <w:rPr>
          <w:rFonts w:hint="eastAsia" w:ascii="宋体" w:hAnsi="宋体" w:eastAsia="宋体" w:cs="宋体"/>
          <w:sz w:val="20"/>
          <w:szCs w:val="20"/>
          <w:lang w:eastAsia="zh"/>
        </w:rPr>
      </w:pPr>
      <w:r>
        <w:rPr>
          <w:rFonts w:hint="eastAsia" w:ascii="宋体" w:hAnsi="宋体" w:eastAsia="宋体" w:cs="宋体"/>
          <w:sz w:val="20"/>
          <w:szCs w:val="20"/>
          <w:lang w:eastAsia="zh"/>
        </w:rPr>
        <w:footnoteRef/>
      </w:r>
      <w:r>
        <w:rPr>
          <w:rFonts w:hint="eastAsia" w:ascii="宋体" w:hAnsi="宋体" w:eastAsia="宋体" w:cs="宋体"/>
          <w:sz w:val="20"/>
          <w:szCs w:val="20"/>
        </w:rPr>
        <w:t>.</w:t>
      </w:r>
      <w:r>
        <w:rPr>
          <w:rFonts w:hint="eastAsia" w:ascii="宋体" w:hAnsi="宋体" w:eastAsia="宋体" w:cs="宋体"/>
          <w:sz w:val="20"/>
          <w:szCs w:val="20"/>
          <w:lang w:eastAsia="zh"/>
        </w:rPr>
        <w:t>劳动保障监察举报投诉案件结案率指全年办理的当年度劳动保障监察举报投诉案件办结结案数占当年度受理案件总数的比例。</w:t>
      </w:r>
    </w:p>
    <w:p w14:paraId="68ACC5C0">
      <w:pPr>
        <w:pStyle w:val="20"/>
      </w:pPr>
    </w:p>
  </w:footnote>
  <w:footnote w:id="15">
    <w:p w14:paraId="15A6EC0A">
      <w:pPr>
        <w:widowControl/>
        <w:jc w:val="left"/>
        <w:rPr>
          <w:rFonts w:hint="eastAsia" w:ascii="宋体" w:hAnsi="宋体" w:cs="宋体"/>
          <w:sz w:val="20"/>
          <w:szCs w:val="22"/>
          <w:lang w:eastAsia="zh"/>
        </w:rPr>
      </w:pPr>
      <w:r>
        <w:rPr>
          <w:rFonts w:hint="eastAsia" w:ascii="宋体" w:hAnsi="宋体" w:cs="宋体"/>
          <w:sz w:val="20"/>
          <w:szCs w:val="22"/>
          <w:lang w:eastAsia="zh"/>
        </w:rPr>
        <w:footnoteRef/>
      </w:r>
      <w:r>
        <w:rPr>
          <w:rFonts w:hint="eastAsia" w:ascii="宋体" w:hAnsi="宋体" w:cs="宋体"/>
          <w:sz w:val="20"/>
          <w:szCs w:val="22"/>
        </w:rPr>
        <w:t>.“兴滨雄”</w:t>
      </w:r>
      <w:r>
        <w:rPr>
          <w:rFonts w:hint="eastAsia" w:ascii="宋体" w:hAnsi="宋体" w:cs="宋体"/>
          <w:sz w:val="20"/>
          <w:szCs w:val="22"/>
          <w:lang w:eastAsia="zh"/>
        </w:rPr>
        <w:t>指北京市</w:t>
      </w:r>
      <w:r>
        <w:rPr>
          <w:rFonts w:hint="eastAsia" w:ascii="宋体" w:hAnsi="宋体" w:cs="宋体"/>
          <w:sz w:val="20"/>
          <w:szCs w:val="22"/>
          <w:lang w:eastAsia="zh" w:bidi="ar"/>
        </w:rPr>
        <w:t>大兴区、天津滨海新区、河北雄安新区</w:t>
      </w:r>
    </w:p>
    <w:p w14:paraId="1EB532FB">
      <w:pPr>
        <w:pStyle w:val="20"/>
      </w:pPr>
    </w:p>
  </w:footnote>
  <w:footnote w:id="16">
    <w:p w14:paraId="5E9332DD">
      <w:pPr>
        <w:pStyle w:val="11"/>
        <w:rPr>
          <w:rFonts w:hint="eastAsia" w:ascii="宋体" w:hAnsi="宋体" w:eastAsia="宋体" w:cs="宋体"/>
          <w:sz w:val="20"/>
          <w:szCs w:val="20"/>
        </w:rPr>
      </w:pPr>
      <w:r>
        <w:rPr>
          <w:rFonts w:hint="eastAsia" w:ascii="宋体" w:hAnsi="宋体" w:eastAsia="宋体" w:cs="宋体"/>
          <w:sz w:val="20"/>
          <w:szCs w:val="20"/>
          <w:lang w:eastAsia="zh" w:bidi="ar"/>
        </w:rPr>
        <w:footnoteRef/>
      </w:r>
      <w:r>
        <w:rPr>
          <w:rFonts w:hint="eastAsia" w:ascii="宋体" w:hAnsi="宋体" w:eastAsia="宋体" w:cs="宋体"/>
          <w:sz w:val="20"/>
          <w:szCs w:val="20"/>
        </w:rPr>
        <w:t>.</w:t>
      </w:r>
      <w:r>
        <w:rPr>
          <w:rFonts w:hint="eastAsia" w:ascii="宋体" w:hAnsi="宋体" w:eastAsia="宋体" w:cs="宋体"/>
          <w:sz w:val="20"/>
          <w:szCs w:val="20"/>
          <w:lang w:eastAsia="zh" w:bidi="ar"/>
        </w:rPr>
        <w:t>零工市场是一种新兴的就业形态，为灵活就业人员与用工主体提供就业服务的重要载体。零工市场的核心在于提供多样化的就业岗位和灵活的工作时间安排。零工市场的主要参与者包括平台企业、灵活就业者和用工单位三方主体。灵活就业者通过平台接单完成工作任务，而用工单位则根据需求发布任务或岗位信息。这种模式打破了传统的固定雇佣关系，为劳动者提供了更多选择余地。</w:t>
      </w:r>
    </w:p>
  </w:footnote>
  <w:footnote w:id="17">
    <w:p w14:paraId="5F2BB3A2">
      <w:pPr>
        <w:rPr>
          <w:rFonts w:hint="eastAsia" w:ascii="宋体" w:hAnsi="宋体" w:eastAsia="宋体" w:cs="宋体"/>
          <w:sz w:val="20"/>
          <w:szCs w:val="20"/>
          <w:lang w:eastAsia="zh" w:bidi="ar"/>
        </w:rPr>
      </w:pPr>
      <w:r>
        <w:rPr>
          <w:rFonts w:hint="eastAsia" w:ascii="宋体" w:hAnsi="宋体" w:eastAsia="宋体" w:cs="宋体"/>
          <w:sz w:val="20"/>
          <w:szCs w:val="20"/>
          <w:lang w:eastAsia="zh" w:bidi="ar"/>
        </w:rPr>
        <w:footnoteRef/>
      </w:r>
      <w:r>
        <w:rPr>
          <w:rFonts w:hint="eastAsia" w:ascii="宋体" w:hAnsi="宋体" w:eastAsia="宋体" w:cs="宋体"/>
          <w:sz w:val="20"/>
          <w:szCs w:val="20"/>
          <w:lang w:eastAsia="zh" w:bidi="ar"/>
        </w:rPr>
        <w:t>.就业见习指由各级人力资源社会保障部门根据离校未就业高校毕业生本人意愿，组织其到经政府认定的就业见习单位进行见习锻炼、积累工作经验、提升就业能力的一项就业促进措施。</w:t>
      </w:r>
    </w:p>
  </w:footnote>
  <w:footnote w:id="18">
    <w:p w14:paraId="2AAB3DC5">
      <w:pPr>
        <w:pStyle w:val="20"/>
        <w:rPr>
          <w:rFonts w:hint="eastAsia" w:ascii="宋体" w:hAnsi="宋体" w:cs="宋体"/>
          <w:sz w:val="20"/>
          <w:szCs w:val="22"/>
          <w:lang w:bidi="ar"/>
        </w:rPr>
      </w:pPr>
      <w:r>
        <w:rPr>
          <w:rFonts w:hint="eastAsia" w:ascii="宋体" w:hAnsi="宋体" w:cs="宋体"/>
          <w:sz w:val="20"/>
          <w:szCs w:val="22"/>
          <w:lang w:eastAsia="zh" w:bidi="ar"/>
        </w:rPr>
        <w:footnoteRef/>
      </w:r>
      <w:r>
        <w:rPr>
          <w:rFonts w:hint="eastAsia" w:ascii="宋体" w:hAnsi="宋体" w:cs="宋体"/>
          <w:sz w:val="20"/>
          <w:szCs w:val="22"/>
          <w:lang w:bidi="ar"/>
        </w:rPr>
        <w:t>.</w:t>
      </w:r>
      <w:r>
        <w:rPr>
          <w:rFonts w:hint="eastAsia" w:ascii="宋体" w:hAnsi="宋体" w:cs="宋体"/>
          <w:sz w:val="20"/>
          <w:szCs w:val="22"/>
          <w:lang w:eastAsia="zh" w:bidi="ar"/>
        </w:rPr>
        <w:t>就业困难人员指在法定劳动年龄内，有劳动能力和就业愿望，处于无业状态并难以实现就业的本市城乡劳动者。具体包括零就业家庭成员、享受最低生活保障待遇人员、残疾人员、连续失业一年以上人员等群体</w:t>
      </w:r>
      <w:r>
        <w:rPr>
          <w:rFonts w:hint="eastAsia" w:ascii="宋体" w:hAnsi="宋体" w:cs="宋体"/>
          <w:sz w:val="20"/>
          <w:szCs w:val="22"/>
          <w:lang w:bidi="ar"/>
        </w:rPr>
        <w:t>.。</w:t>
      </w:r>
    </w:p>
  </w:footnote>
  <w:footnote w:id="19">
    <w:p w14:paraId="3C5F41CF">
      <w:pPr>
        <w:pStyle w:val="20"/>
        <w:rPr>
          <w:rFonts w:hint="eastAsia" w:ascii="宋体" w:hAnsi="宋体" w:eastAsia="宋体" w:cs="宋体"/>
          <w:sz w:val="20"/>
          <w:szCs w:val="22"/>
          <w:lang w:eastAsia="zh-CN" w:bidi="ar"/>
        </w:rPr>
      </w:pPr>
      <w:r>
        <w:rPr>
          <w:rFonts w:hint="eastAsia" w:ascii="宋体" w:hAnsi="宋体" w:cs="宋体"/>
          <w:sz w:val="20"/>
          <w:szCs w:val="22"/>
          <w:lang w:eastAsia="zh" w:bidi="ar"/>
        </w:rPr>
        <w:footnoteRef/>
      </w:r>
      <w:r>
        <w:rPr>
          <w:rFonts w:hint="eastAsia" w:ascii="宋体" w:hAnsi="宋体" w:cs="宋体"/>
          <w:sz w:val="20"/>
          <w:szCs w:val="22"/>
          <w:lang w:bidi="ar"/>
        </w:rPr>
        <w:t>.</w:t>
      </w:r>
      <w:r>
        <w:rPr>
          <w:rFonts w:hint="eastAsia" w:ascii="宋体" w:hAnsi="宋体" w:cs="宋体"/>
          <w:sz w:val="20"/>
          <w:szCs w:val="22"/>
          <w:lang w:eastAsia="zh" w:bidi="ar"/>
        </w:rPr>
        <w:t>多支柱养老保险体系是一种旨在为劳动者提供全面、可持续养老保障的制度框架，由三个相互补充的支柱构成，基本养老保险为第一支柱、补充养老保险（企业年金/职业年金）为第二支柱、个人养老金和商业养老保险为第三支柱</w:t>
      </w:r>
      <w:r>
        <w:rPr>
          <w:rFonts w:hint="eastAsia" w:ascii="宋体" w:hAnsi="宋体" w:cs="宋体"/>
          <w:sz w:val="20"/>
          <w:szCs w:val="22"/>
          <w:lang w:eastAsia="zh-CN" w:bidi="ar"/>
        </w:rPr>
        <w:t>。</w:t>
      </w:r>
    </w:p>
    <w:p w14:paraId="11C4530A">
      <w:pPr>
        <w:pStyle w:val="20"/>
        <w:rPr>
          <w:rFonts w:hint="eastAsia" w:ascii="宋体" w:hAnsi="宋体" w:cs="宋体"/>
          <w:sz w:val="20"/>
          <w:szCs w:val="22"/>
          <w:lang w:eastAsia="zh" w:bidi="ar"/>
        </w:rPr>
      </w:pPr>
    </w:p>
  </w:footnote>
  <w:footnote w:id="20">
    <w:p w14:paraId="6329412B">
      <w:pPr>
        <w:rPr>
          <w:rFonts w:hint="eastAsia" w:ascii="宋体" w:hAnsi="宋体" w:cs="宋体"/>
          <w:sz w:val="20"/>
          <w:szCs w:val="20"/>
          <w:lang w:eastAsia="zh" w:bidi="ar"/>
        </w:rPr>
      </w:pPr>
      <w:r>
        <w:rPr>
          <w:rFonts w:hint="eastAsia" w:ascii="宋体" w:hAnsi="宋体" w:cs="宋体"/>
          <w:sz w:val="20"/>
          <w:szCs w:val="20"/>
          <w:lang w:eastAsia="zh" w:bidi="ar"/>
        </w:rPr>
        <w:footnoteRef/>
      </w:r>
      <w:r>
        <w:rPr>
          <w:rFonts w:hint="eastAsia" w:ascii="宋体" w:hAnsi="宋体" w:cs="宋体"/>
          <w:sz w:val="20"/>
          <w:szCs w:val="20"/>
          <w:lang w:bidi="ar"/>
        </w:rPr>
        <w:t>.</w:t>
      </w:r>
      <w:r>
        <w:rPr>
          <w:rFonts w:hint="eastAsia" w:ascii="宋体" w:hAnsi="宋体" w:cs="宋体"/>
          <w:sz w:val="20"/>
          <w:szCs w:val="20"/>
          <w:lang w:eastAsia="zh" w:bidi="ar"/>
        </w:rPr>
        <w:t>高效办成一件事：党中央、国务院关于优化政务服务、提升行政效能作出的重大决策部署，是从企业和群众需求角度出发，将需要多个部门办理或跨层级办理的关联性强、办理量大、办理时间相对集中的多个事项集成一个事项办理，打造定制化、套餐式、模块化的服务场景，提供精准化、个性化的优质服务。</w:t>
      </w:r>
    </w:p>
    <w:p w14:paraId="6B91D959">
      <w:pPr>
        <w:pStyle w:val="20"/>
      </w:pPr>
    </w:p>
  </w:footnote>
  <w:footnote w:id="21">
    <w:p w14:paraId="148814ED">
      <w:r>
        <w:rPr>
          <w:rFonts w:hint="eastAsia" w:ascii="宋体" w:hAnsi="宋体" w:eastAsia="宋体" w:cs="宋体"/>
          <w:sz w:val="20"/>
          <w:szCs w:val="20"/>
          <w:lang w:eastAsia="zh" w:bidi="ar"/>
        </w:rPr>
        <w:footnoteRef/>
      </w:r>
      <w:r>
        <w:rPr>
          <w:rFonts w:hint="eastAsia" w:ascii="宋体" w:hAnsi="宋体" w:eastAsia="宋体" w:cs="宋体"/>
          <w:sz w:val="20"/>
          <w:szCs w:val="20"/>
        </w:rPr>
        <w:t>.</w:t>
      </w:r>
      <w:r>
        <w:rPr>
          <w:rFonts w:hint="eastAsia" w:ascii="宋体" w:hAnsi="宋体" w:eastAsia="宋体" w:cs="宋体"/>
          <w:sz w:val="20"/>
          <w:szCs w:val="20"/>
          <w:lang w:eastAsia="zh" w:bidi="ar"/>
        </w:rPr>
        <w:t>DRG</w:t>
      </w:r>
      <w:r>
        <w:rPr>
          <w:rFonts w:hint="eastAsia" w:ascii="宋体" w:hAnsi="宋体" w:eastAsia="宋体" w:cs="宋体"/>
          <w:sz w:val="20"/>
          <w:szCs w:val="20"/>
          <w:lang w:bidi="ar"/>
        </w:rPr>
        <w:t>是</w:t>
      </w:r>
      <w:r>
        <w:rPr>
          <w:rFonts w:hint="eastAsia" w:ascii="宋体" w:hAnsi="宋体" w:eastAsia="宋体" w:cs="宋体"/>
          <w:sz w:val="20"/>
          <w:szCs w:val="20"/>
          <w:lang w:eastAsia="zh" w:bidi="ar"/>
        </w:rPr>
        <w:t>DiagnosisRelatedGroups（疾病诊断相关分组）的缩写,是国际通用的医疗费用支付与管理工具。是以出院病案首页为基础，综合考虑病例的疾病诊断、治疗方式、合并症并发症以及年龄等个体特征，按照临床路径相似、资源消耗相近的原则将疾病分入若干疾病诊断组进行临床管理的一种工具。DRG付费指医院与医保机构经谈判确定各诊断组付费标准，医保机构根据这个标准向医院支付费用，以此建立更加管用高效的支付机制，进一步规范诊疗行为，控制费用不合理增长，提高医保利用效率。</w:t>
      </w:r>
    </w:p>
  </w:footnote>
  <w:footnote w:id="22">
    <w:p w14:paraId="28823E26">
      <w:pPr>
        <w:pStyle w:val="20"/>
        <w:rPr>
          <w:rFonts w:hint="eastAsia" w:ascii="宋体" w:hAnsi="宋体" w:eastAsia="宋体" w:cs="宋体"/>
          <w:sz w:val="20"/>
          <w:szCs w:val="20"/>
        </w:rPr>
      </w:pPr>
      <w:r>
        <w:rPr>
          <w:rFonts w:hint="eastAsia" w:ascii="宋体" w:hAnsi="宋体" w:eastAsia="宋体" w:cs="宋体"/>
          <w:sz w:val="20"/>
          <w:szCs w:val="20"/>
          <w:lang w:eastAsia="zh" w:bidi="ar"/>
        </w:rPr>
        <w:footnoteRef/>
      </w:r>
      <w:r>
        <w:rPr>
          <w:rFonts w:hint="eastAsia" w:ascii="宋体" w:hAnsi="宋体" w:eastAsia="宋体" w:cs="宋体"/>
          <w:sz w:val="20"/>
          <w:szCs w:val="20"/>
        </w:rPr>
        <w:t>.人力资源开发目录是指由北京市人力资源社会保障局组织编制和发布的《北京市新质生产力人力资源开发目录》，主要内容包括重点产业领域人力资源开发目录、技能人才需求目录和技术技能人才专业评价指引目录。</w:t>
      </w:r>
    </w:p>
  </w:footnote>
  <w:footnote w:id="23">
    <w:p w14:paraId="13911108">
      <w:pPr>
        <w:pStyle w:val="20"/>
        <w:rPr>
          <w:rFonts w:hint="eastAsia" w:ascii="宋体" w:hAnsi="宋体" w:eastAsia="宋体" w:cs="宋体"/>
          <w:sz w:val="20"/>
          <w:szCs w:val="20"/>
        </w:rPr>
      </w:pPr>
      <w:r>
        <w:rPr>
          <w:rFonts w:hint="eastAsia" w:ascii="宋体" w:hAnsi="宋体" w:eastAsia="宋体" w:cs="宋体"/>
          <w:sz w:val="20"/>
          <w:szCs w:val="20"/>
          <w:lang w:eastAsia="zh" w:bidi="ar"/>
        </w:rPr>
        <w:footnoteRef/>
      </w:r>
      <w:r>
        <w:rPr>
          <w:rFonts w:hint="eastAsia" w:ascii="宋体" w:hAnsi="宋体" w:eastAsia="宋体" w:cs="宋体"/>
          <w:sz w:val="20"/>
          <w:szCs w:val="20"/>
        </w:rPr>
        <w:t>.专业技术人才知识更新工程是指根据国家有关规定，结合北京市专业技术人才队伍建设发展需要，在新一代信息技术、生物技术等14个重点领域和知识产权、现代物流等10个现代服务业领域开展知识更新继续教育。知识更新工程开展形式主要包括高级研修项目、能力提升项目、数字技术工程师培育项目等。</w:t>
      </w:r>
    </w:p>
  </w:footnote>
  <w:footnote w:id="24">
    <w:p w14:paraId="15784D0E">
      <w:pPr>
        <w:pStyle w:val="20"/>
        <w:rPr>
          <w:rFonts w:hint="eastAsia" w:ascii="宋体" w:hAnsi="宋体" w:eastAsia="宋体" w:cs="宋体"/>
          <w:sz w:val="20"/>
          <w:szCs w:val="20"/>
        </w:rPr>
      </w:pPr>
      <w:r>
        <w:rPr>
          <w:rFonts w:hint="eastAsia" w:ascii="宋体" w:hAnsi="宋体" w:eastAsia="宋体" w:cs="宋体"/>
          <w:sz w:val="20"/>
          <w:szCs w:val="20"/>
          <w:lang w:eastAsia="zh" w:bidi="ar"/>
        </w:rPr>
        <w:footnoteRef/>
      </w:r>
      <w:r>
        <w:rPr>
          <w:rFonts w:hint="eastAsia" w:ascii="宋体" w:hAnsi="宋体" w:eastAsia="宋体" w:cs="宋体"/>
          <w:sz w:val="20"/>
          <w:szCs w:val="20"/>
        </w:rPr>
        <w:t>.数字技术工程师是指围绕人工智能、物联网、大数据、云计算、数字化管理、智能制造、工业互联网、虚拟现实、区块链、集成电路等数字技术技能领域，通过开展规范化培训、社会化评价等方式培育的数字技术工程师人才队伍。</w:t>
      </w:r>
    </w:p>
  </w:footnote>
  <w:footnote w:id="25">
    <w:p w14:paraId="2B306496">
      <w:pPr>
        <w:pStyle w:val="20"/>
        <w:rPr>
          <w:rFonts w:hint="eastAsia" w:ascii="宋体" w:hAnsi="宋体" w:eastAsia="宋体" w:cs="宋体"/>
          <w:sz w:val="20"/>
          <w:szCs w:val="20"/>
        </w:rPr>
      </w:pPr>
      <w:r>
        <w:rPr>
          <w:rFonts w:hint="eastAsia" w:ascii="宋体" w:hAnsi="宋体" w:eastAsia="宋体" w:cs="宋体"/>
          <w:sz w:val="20"/>
          <w:szCs w:val="20"/>
          <w:lang w:eastAsia="zh" w:bidi="ar"/>
        </w:rPr>
        <w:footnoteRef/>
      </w:r>
      <w:r>
        <w:rPr>
          <w:rFonts w:hint="eastAsia" w:ascii="宋体" w:hAnsi="宋体" w:eastAsia="宋体" w:cs="宋体"/>
          <w:sz w:val="20"/>
          <w:szCs w:val="20"/>
        </w:rPr>
        <w:t>.京津冀人才评价成果互认是指北京、天津、河北三地共同制定签署《关于京津冀专业技术人员职称资格互认协议》，符合互认协议范围的职称在京津冀三地人才引进、培养选拔、专业技术职务聘任、服务保障等方面享受同等待遇。</w:t>
      </w:r>
    </w:p>
  </w:footnote>
  <w:footnote w:id="26">
    <w:p w14:paraId="0D7E6F82">
      <w:pPr>
        <w:pStyle w:val="20"/>
        <w:rPr>
          <w:rFonts w:hint="eastAsia" w:ascii="宋体" w:hAnsi="宋体" w:eastAsia="宋体" w:cs="宋体"/>
          <w:sz w:val="20"/>
          <w:szCs w:val="20"/>
        </w:rPr>
      </w:pPr>
      <w:r>
        <w:rPr>
          <w:rFonts w:hint="eastAsia" w:ascii="宋体" w:hAnsi="宋体" w:eastAsia="宋体" w:cs="宋体"/>
          <w:sz w:val="20"/>
          <w:szCs w:val="20"/>
          <w:lang w:eastAsia="zh" w:bidi="ar"/>
        </w:rPr>
        <w:footnoteRef/>
      </w:r>
      <w:r>
        <w:rPr>
          <w:rFonts w:hint="eastAsia" w:ascii="宋体" w:hAnsi="宋体" w:eastAsia="宋体" w:cs="宋体"/>
          <w:sz w:val="20"/>
          <w:szCs w:val="20"/>
        </w:rPr>
        <w:t>.事业单位及时奖励是指根据《北京市事业单位工作人员奖励实施办法》，对本市承担重大专项工作、参与重大活动、办理重大专案、处置重大突发事件中，有显著成绩和贡献，或有其他突出事迹的事业单位工作人员和集体及时给予奖励。</w:t>
      </w:r>
    </w:p>
  </w:footnote>
  <w:footnote w:id="27">
    <w:p w14:paraId="61E3781E">
      <w:pPr>
        <w:widowControl/>
        <w:rPr>
          <w:rFonts w:hint="eastAsia" w:ascii="宋体" w:hAnsi="宋体" w:eastAsia="宋体" w:cs="宋体"/>
          <w:sz w:val="20"/>
          <w:szCs w:val="20"/>
          <w:lang w:eastAsia="zh" w:bidi="ar"/>
        </w:rPr>
      </w:pPr>
      <w:r>
        <w:rPr>
          <w:rFonts w:hint="eastAsia" w:ascii="宋体" w:hAnsi="宋体" w:eastAsia="宋体" w:cs="宋体"/>
          <w:sz w:val="20"/>
          <w:szCs w:val="20"/>
          <w:lang w:eastAsia="zh" w:bidi="ar"/>
        </w:rPr>
        <w:footnoteRef/>
      </w:r>
      <w:r>
        <w:rPr>
          <w:rFonts w:hint="eastAsia" w:ascii="宋体" w:hAnsi="宋体" w:eastAsia="宋体" w:cs="宋体"/>
          <w:sz w:val="20"/>
          <w:szCs w:val="20"/>
        </w:rPr>
        <w:t>.</w:t>
      </w:r>
      <w:r>
        <w:rPr>
          <w:rFonts w:hint="eastAsia" w:ascii="宋体" w:hAnsi="宋体" w:eastAsia="宋体" w:cs="宋体"/>
          <w:sz w:val="20"/>
          <w:szCs w:val="20"/>
          <w:lang w:eastAsia="zh" w:bidi="ar"/>
        </w:rPr>
        <w:t>新就业形态劳动纠纷一站式调解站点是指依托街道（乡镇）劳动人事争议调解组织、基层劳动关系公共服务站等设立新就业形态劳动纠纷调解站点，与同级人民调解委员会、工会调解组织协调联动，充分利用“职工之家”“小哥驿站”等服务载体，提供一站式调解服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5E5D0"/>
    <w:multiLevelType w:val="singleLevel"/>
    <w:tmpl w:val="AB95E5D0"/>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none"/>
      <w:pStyle w:val="2"/>
      <w:suff w:val="nothing"/>
      <w:lvlText w:val=""/>
      <w:lvlJc w:val="left"/>
      <w:pPr>
        <w:tabs>
          <w:tab w:val="left" w:pos="0"/>
        </w:tabs>
        <w:ind w:left="840" w:firstLine="0"/>
      </w:pPr>
    </w:lvl>
    <w:lvl w:ilvl="1" w:tentative="0">
      <w:start w:val="1"/>
      <w:numFmt w:val="none"/>
      <w:suff w:val="nothing"/>
      <w:lvlText w:val=""/>
      <w:lvlJc w:val="left"/>
      <w:pPr>
        <w:tabs>
          <w:tab w:val="left" w:pos="0"/>
        </w:tabs>
        <w:ind w:left="840" w:firstLine="0"/>
      </w:pPr>
    </w:lvl>
    <w:lvl w:ilvl="2" w:tentative="0">
      <w:start w:val="1"/>
      <w:numFmt w:val="none"/>
      <w:suff w:val="nothing"/>
      <w:lvlText w:val=""/>
      <w:lvlJc w:val="left"/>
      <w:pPr>
        <w:tabs>
          <w:tab w:val="left" w:pos="0"/>
        </w:tabs>
        <w:ind w:left="840" w:firstLine="0"/>
      </w:pPr>
    </w:lvl>
    <w:lvl w:ilvl="3" w:tentative="0">
      <w:start w:val="1"/>
      <w:numFmt w:val="none"/>
      <w:suff w:val="nothing"/>
      <w:lvlText w:val=""/>
      <w:lvlJc w:val="left"/>
      <w:pPr>
        <w:tabs>
          <w:tab w:val="left" w:pos="0"/>
        </w:tabs>
        <w:ind w:left="840" w:firstLine="0"/>
      </w:pPr>
    </w:lvl>
    <w:lvl w:ilvl="4" w:tentative="0">
      <w:start w:val="1"/>
      <w:numFmt w:val="none"/>
      <w:suff w:val="nothing"/>
      <w:lvlText w:val=""/>
      <w:lvlJc w:val="left"/>
      <w:pPr>
        <w:tabs>
          <w:tab w:val="left" w:pos="0"/>
        </w:tabs>
        <w:ind w:left="840" w:firstLine="0"/>
      </w:pPr>
    </w:lvl>
    <w:lvl w:ilvl="5" w:tentative="0">
      <w:start w:val="1"/>
      <w:numFmt w:val="none"/>
      <w:suff w:val="nothing"/>
      <w:lvlText w:val=""/>
      <w:lvlJc w:val="left"/>
      <w:pPr>
        <w:tabs>
          <w:tab w:val="left" w:pos="0"/>
        </w:tabs>
        <w:ind w:left="840" w:firstLine="0"/>
      </w:pPr>
    </w:lvl>
    <w:lvl w:ilvl="6" w:tentative="0">
      <w:start w:val="1"/>
      <w:numFmt w:val="none"/>
      <w:suff w:val="nothing"/>
      <w:lvlText w:val=""/>
      <w:lvlJc w:val="left"/>
      <w:pPr>
        <w:tabs>
          <w:tab w:val="left" w:pos="0"/>
        </w:tabs>
        <w:ind w:left="840" w:firstLine="0"/>
      </w:pPr>
    </w:lvl>
    <w:lvl w:ilvl="7" w:tentative="0">
      <w:start w:val="1"/>
      <w:numFmt w:val="none"/>
      <w:suff w:val="nothing"/>
      <w:lvlText w:val=""/>
      <w:lvlJc w:val="left"/>
      <w:pPr>
        <w:tabs>
          <w:tab w:val="left" w:pos="0"/>
        </w:tabs>
        <w:ind w:left="840" w:firstLine="0"/>
      </w:pPr>
    </w:lvl>
    <w:lvl w:ilvl="8" w:tentative="0">
      <w:start w:val="1"/>
      <w:numFmt w:val="none"/>
      <w:suff w:val="nothing"/>
      <w:lvlText w:val=""/>
      <w:lvlJc w:val="left"/>
      <w:pPr>
        <w:tabs>
          <w:tab w:val="left" w:pos="0"/>
        </w:tabs>
        <w:ind w:left="84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56"/>
    <w:footnote w:id="57"/>
  </w:foot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MTJhN2Q4NDc2ZGNmNmRmMzkzM2RiOTNhMGZhZWUifQ=="/>
  </w:docVars>
  <w:rsids>
    <w:rsidRoot w:val="0026438E"/>
    <w:rsid w:val="000056C8"/>
    <w:rsid w:val="00022798"/>
    <w:rsid w:val="00045154"/>
    <w:rsid w:val="000467C2"/>
    <w:rsid w:val="00046AC6"/>
    <w:rsid w:val="0006563B"/>
    <w:rsid w:val="00074508"/>
    <w:rsid w:val="00075387"/>
    <w:rsid w:val="0008045F"/>
    <w:rsid w:val="000A49A6"/>
    <w:rsid w:val="000A69FB"/>
    <w:rsid w:val="000E1BDD"/>
    <w:rsid w:val="000E2731"/>
    <w:rsid w:val="00136B24"/>
    <w:rsid w:val="00140F31"/>
    <w:rsid w:val="001665CF"/>
    <w:rsid w:val="00190CB6"/>
    <w:rsid w:val="001A2968"/>
    <w:rsid w:val="001E0A04"/>
    <w:rsid w:val="001E23BA"/>
    <w:rsid w:val="001E4944"/>
    <w:rsid w:val="001F42AE"/>
    <w:rsid w:val="0020255D"/>
    <w:rsid w:val="002109EF"/>
    <w:rsid w:val="00250BBC"/>
    <w:rsid w:val="002600B5"/>
    <w:rsid w:val="0026438E"/>
    <w:rsid w:val="002643C3"/>
    <w:rsid w:val="0027766D"/>
    <w:rsid w:val="00281EA2"/>
    <w:rsid w:val="002864C5"/>
    <w:rsid w:val="00296707"/>
    <w:rsid w:val="00324AFE"/>
    <w:rsid w:val="00366845"/>
    <w:rsid w:val="00377D06"/>
    <w:rsid w:val="003864A8"/>
    <w:rsid w:val="003C514D"/>
    <w:rsid w:val="003E6103"/>
    <w:rsid w:val="0042145B"/>
    <w:rsid w:val="00423F12"/>
    <w:rsid w:val="00426FB8"/>
    <w:rsid w:val="004354A1"/>
    <w:rsid w:val="00436A71"/>
    <w:rsid w:val="0044082B"/>
    <w:rsid w:val="004430F0"/>
    <w:rsid w:val="0045586D"/>
    <w:rsid w:val="00483B84"/>
    <w:rsid w:val="004B2C52"/>
    <w:rsid w:val="004C48B9"/>
    <w:rsid w:val="004D5395"/>
    <w:rsid w:val="004E5CE4"/>
    <w:rsid w:val="0050623B"/>
    <w:rsid w:val="00526A98"/>
    <w:rsid w:val="00535CFD"/>
    <w:rsid w:val="00565AD3"/>
    <w:rsid w:val="0059389F"/>
    <w:rsid w:val="00626A7F"/>
    <w:rsid w:val="00652605"/>
    <w:rsid w:val="00673787"/>
    <w:rsid w:val="00685463"/>
    <w:rsid w:val="006872B2"/>
    <w:rsid w:val="006A1A88"/>
    <w:rsid w:val="006B6506"/>
    <w:rsid w:val="006D22FD"/>
    <w:rsid w:val="006D52B7"/>
    <w:rsid w:val="006E6CFE"/>
    <w:rsid w:val="006F2C45"/>
    <w:rsid w:val="006F6654"/>
    <w:rsid w:val="00716B2E"/>
    <w:rsid w:val="007200AE"/>
    <w:rsid w:val="00760619"/>
    <w:rsid w:val="00776C60"/>
    <w:rsid w:val="007805C0"/>
    <w:rsid w:val="0079030C"/>
    <w:rsid w:val="007A7EA8"/>
    <w:rsid w:val="007E324B"/>
    <w:rsid w:val="007F357D"/>
    <w:rsid w:val="008169BF"/>
    <w:rsid w:val="00841F8B"/>
    <w:rsid w:val="00874B63"/>
    <w:rsid w:val="00877B85"/>
    <w:rsid w:val="008948F1"/>
    <w:rsid w:val="008D664E"/>
    <w:rsid w:val="009000C3"/>
    <w:rsid w:val="009109EC"/>
    <w:rsid w:val="009157DF"/>
    <w:rsid w:val="0092799E"/>
    <w:rsid w:val="00941163"/>
    <w:rsid w:val="009873A2"/>
    <w:rsid w:val="009A4E61"/>
    <w:rsid w:val="009C3AF6"/>
    <w:rsid w:val="009E57A5"/>
    <w:rsid w:val="009F7733"/>
    <w:rsid w:val="00A0402B"/>
    <w:rsid w:val="00A17421"/>
    <w:rsid w:val="00AA1208"/>
    <w:rsid w:val="00AA18A0"/>
    <w:rsid w:val="00AA4D34"/>
    <w:rsid w:val="00AB5792"/>
    <w:rsid w:val="00AC7339"/>
    <w:rsid w:val="00AE01C2"/>
    <w:rsid w:val="00AE551D"/>
    <w:rsid w:val="00B52472"/>
    <w:rsid w:val="00B60626"/>
    <w:rsid w:val="00B60AA4"/>
    <w:rsid w:val="00B66695"/>
    <w:rsid w:val="00B8246B"/>
    <w:rsid w:val="00B906A8"/>
    <w:rsid w:val="00BA5818"/>
    <w:rsid w:val="00BB27FF"/>
    <w:rsid w:val="00BB280E"/>
    <w:rsid w:val="00C04795"/>
    <w:rsid w:val="00C12559"/>
    <w:rsid w:val="00C23330"/>
    <w:rsid w:val="00C2716E"/>
    <w:rsid w:val="00C447F9"/>
    <w:rsid w:val="00CA103B"/>
    <w:rsid w:val="00CC6BF7"/>
    <w:rsid w:val="00CF5033"/>
    <w:rsid w:val="00D109D9"/>
    <w:rsid w:val="00D14DC4"/>
    <w:rsid w:val="00D63B0A"/>
    <w:rsid w:val="00D65837"/>
    <w:rsid w:val="00D67B03"/>
    <w:rsid w:val="00D86D0E"/>
    <w:rsid w:val="00DB23D4"/>
    <w:rsid w:val="00DE2D34"/>
    <w:rsid w:val="00E0584A"/>
    <w:rsid w:val="00E15142"/>
    <w:rsid w:val="00E35DBC"/>
    <w:rsid w:val="00E632F3"/>
    <w:rsid w:val="00E63350"/>
    <w:rsid w:val="00EA3B05"/>
    <w:rsid w:val="00EA7907"/>
    <w:rsid w:val="00EB4D0A"/>
    <w:rsid w:val="00EE39D1"/>
    <w:rsid w:val="00F06CE7"/>
    <w:rsid w:val="00F1669A"/>
    <w:rsid w:val="00F25774"/>
    <w:rsid w:val="00F37C03"/>
    <w:rsid w:val="00F408B2"/>
    <w:rsid w:val="00F45B22"/>
    <w:rsid w:val="00F45BED"/>
    <w:rsid w:val="00F46E57"/>
    <w:rsid w:val="00F70CDC"/>
    <w:rsid w:val="00F71A52"/>
    <w:rsid w:val="00F75A9C"/>
    <w:rsid w:val="00F91941"/>
    <w:rsid w:val="00F92F08"/>
    <w:rsid w:val="00FB4A61"/>
    <w:rsid w:val="00FB7112"/>
    <w:rsid w:val="01385378"/>
    <w:rsid w:val="01680986"/>
    <w:rsid w:val="01770B33"/>
    <w:rsid w:val="020531A4"/>
    <w:rsid w:val="020B6A0C"/>
    <w:rsid w:val="022C0730"/>
    <w:rsid w:val="02306473"/>
    <w:rsid w:val="0279102D"/>
    <w:rsid w:val="02A464AF"/>
    <w:rsid w:val="02D908B8"/>
    <w:rsid w:val="03011BBD"/>
    <w:rsid w:val="033F6241"/>
    <w:rsid w:val="03430BF7"/>
    <w:rsid w:val="038325D2"/>
    <w:rsid w:val="03920A67"/>
    <w:rsid w:val="039968F4"/>
    <w:rsid w:val="03A51691"/>
    <w:rsid w:val="03AC38D7"/>
    <w:rsid w:val="03B0291E"/>
    <w:rsid w:val="03C33F93"/>
    <w:rsid w:val="03D35307"/>
    <w:rsid w:val="03EF7C67"/>
    <w:rsid w:val="04447FB3"/>
    <w:rsid w:val="0486237A"/>
    <w:rsid w:val="049520F8"/>
    <w:rsid w:val="04FC43EA"/>
    <w:rsid w:val="054F4E62"/>
    <w:rsid w:val="0580326D"/>
    <w:rsid w:val="0580501B"/>
    <w:rsid w:val="05A0390C"/>
    <w:rsid w:val="05F477B7"/>
    <w:rsid w:val="05FC1578"/>
    <w:rsid w:val="0730535A"/>
    <w:rsid w:val="07414C7E"/>
    <w:rsid w:val="074B1294"/>
    <w:rsid w:val="075E1860"/>
    <w:rsid w:val="07615D1F"/>
    <w:rsid w:val="076B1359"/>
    <w:rsid w:val="07707311"/>
    <w:rsid w:val="077C5CB6"/>
    <w:rsid w:val="07AC7A21"/>
    <w:rsid w:val="07E918B2"/>
    <w:rsid w:val="08141D96"/>
    <w:rsid w:val="0817778D"/>
    <w:rsid w:val="08B576D2"/>
    <w:rsid w:val="08BA2B9D"/>
    <w:rsid w:val="090C4E18"/>
    <w:rsid w:val="091A7535"/>
    <w:rsid w:val="091F2D9D"/>
    <w:rsid w:val="09440A55"/>
    <w:rsid w:val="094822F4"/>
    <w:rsid w:val="09D767CB"/>
    <w:rsid w:val="09F74B6A"/>
    <w:rsid w:val="09FF429B"/>
    <w:rsid w:val="0A03446D"/>
    <w:rsid w:val="0A047B35"/>
    <w:rsid w:val="0A402FCB"/>
    <w:rsid w:val="0A702E51"/>
    <w:rsid w:val="0A7D421F"/>
    <w:rsid w:val="0AC21C32"/>
    <w:rsid w:val="0B536DFE"/>
    <w:rsid w:val="0B8C422C"/>
    <w:rsid w:val="0BFA53FB"/>
    <w:rsid w:val="0C0F668B"/>
    <w:rsid w:val="0C324B95"/>
    <w:rsid w:val="0C4C3EA9"/>
    <w:rsid w:val="0DBB0ABD"/>
    <w:rsid w:val="0DE8590A"/>
    <w:rsid w:val="0DF0636D"/>
    <w:rsid w:val="0E0A1E1D"/>
    <w:rsid w:val="0E6E1608"/>
    <w:rsid w:val="0EBE4E06"/>
    <w:rsid w:val="0EBE6BB4"/>
    <w:rsid w:val="0EC75A69"/>
    <w:rsid w:val="0EF83E74"/>
    <w:rsid w:val="0F1C6C56"/>
    <w:rsid w:val="0F76123D"/>
    <w:rsid w:val="0F9F69E6"/>
    <w:rsid w:val="0FB81855"/>
    <w:rsid w:val="0FCC3CE7"/>
    <w:rsid w:val="0FD90E26"/>
    <w:rsid w:val="0FE91A0F"/>
    <w:rsid w:val="10125409"/>
    <w:rsid w:val="10321608"/>
    <w:rsid w:val="10611EED"/>
    <w:rsid w:val="108D683E"/>
    <w:rsid w:val="108E19C0"/>
    <w:rsid w:val="109E0A4B"/>
    <w:rsid w:val="10DD1863"/>
    <w:rsid w:val="10EF3E27"/>
    <w:rsid w:val="11194576"/>
    <w:rsid w:val="111A4E7A"/>
    <w:rsid w:val="11446D08"/>
    <w:rsid w:val="114B5962"/>
    <w:rsid w:val="117E1DE6"/>
    <w:rsid w:val="11BD75F7"/>
    <w:rsid w:val="121A2353"/>
    <w:rsid w:val="12920868"/>
    <w:rsid w:val="12A33949"/>
    <w:rsid w:val="12AD766B"/>
    <w:rsid w:val="12C50511"/>
    <w:rsid w:val="12DD1CFF"/>
    <w:rsid w:val="12E41216"/>
    <w:rsid w:val="12EB2C55"/>
    <w:rsid w:val="130D1EB8"/>
    <w:rsid w:val="13111FB3"/>
    <w:rsid w:val="1337355E"/>
    <w:rsid w:val="13806B2E"/>
    <w:rsid w:val="1392596C"/>
    <w:rsid w:val="13AF2F6F"/>
    <w:rsid w:val="13DD5D2E"/>
    <w:rsid w:val="13F16E56"/>
    <w:rsid w:val="141D437D"/>
    <w:rsid w:val="143C4803"/>
    <w:rsid w:val="145058F3"/>
    <w:rsid w:val="1457788F"/>
    <w:rsid w:val="1460156A"/>
    <w:rsid w:val="14A625C4"/>
    <w:rsid w:val="14C111AC"/>
    <w:rsid w:val="151D0F07"/>
    <w:rsid w:val="156B1131"/>
    <w:rsid w:val="15C727F2"/>
    <w:rsid w:val="15DF0CA1"/>
    <w:rsid w:val="1616542B"/>
    <w:rsid w:val="162B4831"/>
    <w:rsid w:val="164E76BD"/>
    <w:rsid w:val="16585B40"/>
    <w:rsid w:val="16832BBD"/>
    <w:rsid w:val="168B1A72"/>
    <w:rsid w:val="1695644C"/>
    <w:rsid w:val="16D36FFF"/>
    <w:rsid w:val="17171557"/>
    <w:rsid w:val="17183AE1"/>
    <w:rsid w:val="173914CE"/>
    <w:rsid w:val="17463BEB"/>
    <w:rsid w:val="1752258F"/>
    <w:rsid w:val="17692023"/>
    <w:rsid w:val="17A37718"/>
    <w:rsid w:val="17AD0E8A"/>
    <w:rsid w:val="17CA3FAA"/>
    <w:rsid w:val="17F145C7"/>
    <w:rsid w:val="18510A99"/>
    <w:rsid w:val="18832F01"/>
    <w:rsid w:val="188D7D23"/>
    <w:rsid w:val="18EE62E8"/>
    <w:rsid w:val="1923584D"/>
    <w:rsid w:val="19726F19"/>
    <w:rsid w:val="19801636"/>
    <w:rsid w:val="19A277FE"/>
    <w:rsid w:val="1A0C111B"/>
    <w:rsid w:val="1A5B5BFF"/>
    <w:rsid w:val="1AE45C69"/>
    <w:rsid w:val="1B0F2659"/>
    <w:rsid w:val="1B3A5814"/>
    <w:rsid w:val="1B7A507E"/>
    <w:rsid w:val="1BAB1AAC"/>
    <w:rsid w:val="1BAD248A"/>
    <w:rsid w:val="1BF34341"/>
    <w:rsid w:val="1BF423F7"/>
    <w:rsid w:val="1C0D2BCA"/>
    <w:rsid w:val="1C0F309D"/>
    <w:rsid w:val="1C6C7C4F"/>
    <w:rsid w:val="1C715266"/>
    <w:rsid w:val="1C84143D"/>
    <w:rsid w:val="1CD778EF"/>
    <w:rsid w:val="1CEC26AD"/>
    <w:rsid w:val="1D305121"/>
    <w:rsid w:val="1D4D3791"/>
    <w:rsid w:val="1D8F1E47"/>
    <w:rsid w:val="1DA13929"/>
    <w:rsid w:val="1DB52284"/>
    <w:rsid w:val="1E605764"/>
    <w:rsid w:val="1E9C42C4"/>
    <w:rsid w:val="1EBF49AE"/>
    <w:rsid w:val="1ECE699F"/>
    <w:rsid w:val="1F1C3919"/>
    <w:rsid w:val="1F3F6296"/>
    <w:rsid w:val="1F42517D"/>
    <w:rsid w:val="1F8A4EEE"/>
    <w:rsid w:val="1FCB2EDF"/>
    <w:rsid w:val="1FD955FC"/>
    <w:rsid w:val="1FDB71F6"/>
    <w:rsid w:val="1FDD5D27"/>
    <w:rsid w:val="1FE1290E"/>
    <w:rsid w:val="1FFA5529"/>
    <w:rsid w:val="2007660D"/>
    <w:rsid w:val="20782EB6"/>
    <w:rsid w:val="20831A0C"/>
    <w:rsid w:val="208878AE"/>
    <w:rsid w:val="208B3AD2"/>
    <w:rsid w:val="209B39D8"/>
    <w:rsid w:val="20F12E19"/>
    <w:rsid w:val="211D59BC"/>
    <w:rsid w:val="215562A2"/>
    <w:rsid w:val="215D225D"/>
    <w:rsid w:val="21940426"/>
    <w:rsid w:val="21CD1190"/>
    <w:rsid w:val="21D63B12"/>
    <w:rsid w:val="2203294A"/>
    <w:rsid w:val="22051CA3"/>
    <w:rsid w:val="220628F4"/>
    <w:rsid w:val="22097CEF"/>
    <w:rsid w:val="2228286B"/>
    <w:rsid w:val="225D5F69"/>
    <w:rsid w:val="22C613CE"/>
    <w:rsid w:val="22E23811"/>
    <w:rsid w:val="22F86DBB"/>
    <w:rsid w:val="23040BE2"/>
    <w:rsid w:val="2342795C"/>
    <w:rsid w:val="23FE7D27"/>
    <w:rsid w:val="242022A8"/>
    <w:rsid w:val="24286B52"/>
    <w:rsid w:val="246123DC"/>
    <w:rsid w:val="24976AE9"/>
    <w:rsid w:val="24B6415E"/>
    <w:rsid w:val="24F73466"/>
    <w:rsid w:val="25583467"/>
    <w:rsid w:val="25897AC4"/>
    <w:rsid w:val="25BC39F6"/>
    <w:rsid w:val="25E90563"/>
    <w:rsid w:val="26130C91"/>
    <w:rsid w:val="2633152B"/>
    <w:rsid w:val="263B256E"/>
    <w:rsid w:val="267E514F"/>
    <w:rsid w:val="26CB3076"/>
    <w:rsid w:val="26CC2F6D"/>
    <w:rsid w:val="26E9654A"/>
    <w:rsid w:val="27080D14"/>
    <w:rsid w:val="271B299E"/>
    <w:rsid w:val="2728428B"/>
    <w:rsid w:val="272F1FA5"/>
    <w:rsid w:val="27A6495D"/>
    <w:rsid w:val="27B9574A"/>
    <w:rsid w:val="27C272BD"/>
    <w:rsid w:val="27CF45F4"/>
    <w:rsid w:val="27D40A3E"/>
    <w:rsid w:val="27F21951"/>
    <w:rsid w:val="282107A4"/>
    <w:rsid w:val="28360506"/>
    <w:rsid w:val="28461C9C"/>
    <w:rsid w:val="284C7BD1"/>
    <w:rsid w:val="2873188A"/>
    <w:rsid w:val="289575D6"/>
    <w:rsid w:val="289F4F84"/>
    <w:rsid w:val="28B7663A"/>
    <w:rsid w:val="28DF06F1"/>
    <w:rsid w:val="29042132"/>
    <w:rsid w:val="29143B49"/>
    <w:rsid w:val="291D29FD"/>
    <w:rsid w:val="2922556E"/>
    <w:rsid w:val="29237920"/>
    <w:rsid w:val="29644A95"/>
    <w:rsid w:val="2971094E"/>
    <w:rsid w:val="29714AF7"/>
    <w:rsid w:val="29A2755B"/>
    <w:rsid w:val="29D37560"/>
    <w:rsid w:val="29DA269C"/>
    <w:rsid w:val="29F47432"/>
    <w:rsid w:val="2A263B34"/>
    <w:rsid w:val="2A876183"/>
    <w:rsid w:val="2AA44A58"/>
    <w:rsid w:val="2AA66A22"/>
    <w:rsid w:val="2AB7166E"/>
    <w:rsid w:val="2AD51570"/>
    <w:rsid w:val="2B2B7C24"/>
    <w:rsid w:val="2B3808F6"/>
    <w:rsid w:val="2B465CD1"/>
    <w:rsid w:val="2B6F6CF1"/>
    <w:rsid w:val="2B717030"/>
    <w:rsid w:val="2B77216D"/>
    <w:rsid w:val="2B96153B"/>
    <w:rsid w:val="2BB60EE7"/>
    <w:rsid w:val="2BC90C1A"/>
    <w:rsid w:val="2BE221F0"/>
    <w:rsid w:val="2C84116D"/>
    <w:rsid w:val="2C8B5ED0"/>
    <w:rsid w:val="2C9734BD"/>
    <w:rsid w:val="2CAD22EA"/>
    <w:rsid w:val="2CD15454"/>
    <w:rsid w:val="2D352925"/>
    <w:rsid w:val="2D522E91"/>
    <w:rsid w:val="2D962D7E"/>
    <w:rsid w:val="2D9B0395"/>
    <w:rsid w:val="2DA52FC1"/>
    <w:rsid w:val="2E1D524D"/>
    <w:rsid w:val="2E6C1D31"/>
    <w:rsid w:val="2E6E3CFB"/>
    <w:rsid w:val="2E7110F5"/>
    <w:rsid w:val="2E8A1E39"/>
    <w:rsid w:val="2EF97A69"/>
    <w:rsid w:val="2F0059D4"/>
    <w:rsid w:val="2F0F0341"/>
    <w:rsid w:val="2F251F91"/>
    <w:rsid w:val="2F4907FC"/>
    <w:rsid w:val="2F525233"/>
    <w:rsid w:val="2F7964B4"/>
    <w:rsid w:val="2FA21030"/>
    <w:rsid w:val="2FCB7E49"/>
    <w:rsid w:val="2FCD06E2"/>
    <w:rsid w:val="2FD645F5"/>
    <w:rsid w:val="30216B85"/>
    <w:rsid w:val="30393E95"/>
    <w:rsid w:val="30442F65"/>
    <w:rsid w:val="30446AC1"/>
    <w:rsid w:val="304C5976"/>
    <w:rsid w:val="30B67293"/>
    <w:rsid w:val="30D047F9"/>
    <w:rsid w:val="30D36097"/>
    <w:rsid w:val="30DD07F9"/>
    <w:rsid w:val="30DF0B3A"/>
    <w:rsid w:val="31272878"/>
    <w:rsid w:val="31813D45"/>
    <w:rsid w:val="31AD4BBE"/>
    <w:rsid w:val="31D01382"/>
    <w:rsid w:val="31D976DD"/>
    <w:rsid w:val="31F56119"/>
    <w:rsid w:val="32090B90"/>
    <w:rsid w:val="320D55D9"/>
    <w:rsid w:val="32222E32"/>
    <w:rsid w:val="323D2377"/>
    <w:rsid w:val="324C1333"/>
    <w:rsid w:val="32582CF8"/>
    <w:rsid w:val="3281224F"/>
    <w:rsid w:val="329D7E38"/>
    <w:rsid w:val="331D6CCA"/>
    <w:rsid w:val="33250945"/>
    <w:rsid w:val="334119DE"/>
    <w:rsid w:val="33524E23"/>
    <w:rsid w:val="33ED2D62"/>
    <w:rsid w:val="33EF6D1C"/>
    <w:rsid w:val="33F97BC3"/>
    <w:rsid w:val="342C05E8"/>
    <w:rsid w:val="34554734"/>
    <w:rsid w:val="346C2A8B"/>
    <w:rsid w:val="34CA155F"/>
    <w:rsid w:val="34EC506F"/>
    <w:rsid w:val="353115DE"/>
    <w:rsid w:val="357235B0"/>
    <w:rsid w:val="358D0F0B"/>
    <w:rsid w:val="35951B88"/>
    <w:rsid w:val="359A7184"/>
    <w:rsid w:val="35A16764"/>
    <w:rsid w:val="35AD209F"/>
    <w:rsid w:val="35C30488"/>
    <w:rsid w:val="35DE52C2"/>
    <w:rsid w:val="35EDF35C"/>
    <w:rsid w:val="35F42D38"/>
    <w:rsid w:val="36251AC5"/>
    <w:rsid w:val="36287CF1"/>
    <w:rsid w:val="36353F91"/>
    <w:rsid w:val="363870C8"/>
    <w:rsid w:val="363C5955"/>
    <w:rsid w:val="36575075"/>
    <w:rsid w:val="3667350A"/>
    <w:rsid w:val="366C5BED"/>
    <w:rsid w:val="36BE50F4"/>
    <w:rsid w:val="36C26992"/>
    <w:rsid w:val="36D641EB"/>
    <w:rsid w:val="36E65B19"/>
    <w:rsid w:val="36F24425"/>
    <w:rsid w:val="370569EA"/>
    <w:rsid w:val="37080128"/>
    <w:rsid w:val="37781A80"/>
    <w:rsid w:val="37A74F85"/>
    <w:rsid w:val="37B833F9"/>
    <w:rsid w:val="37CF580A"/>
    <w:rsid w:val="37EF5EA7"/>
    <w:rsid w:val="37FC5ED4"/>
    <w:rsid w:val="381E22EE"/>
    <w:rsid w:val="388C7258"/>
    <w:rsid w:val="38B13162"/>
    <w:rsid w:val="38CA3AF0"/>
    <w:rsid w:val="38D256AA"/>
    <w:rsid w:val="38E47094"/>
    <w:rsid w:val="38F00BB2"/>
    <w:rsid w:val="391159AF"/>
    <w:rsid w:val="39292CF8"/>
    <w:rsid w:val="393671C3"/>
    <w:rsid w:val="39513FFD"/>
    <w:rsid w:val="397C3FDE"/>
    <w:rsid w:val="39D215E2"/>
    <w:rsid w:val="39EE7A9E"/>
    <w:rsid w:val="3A0E0140"/>
    <w:rsid w:val="3A2E433E"/>
    <w:rsid w:val="3A3E06F2"/>
    <w:rsid w:val="3A4A73CA"/>
    <w:rsid w:val="3A4B0E0A"/>
    <w:rsid w:val="3A683CF4"/>
    <w:rsid w:val="3A922B1F"/>
    <w:rsid w:val="3AC70A1B"/>
    <w:rsid w:val="3AC727C9"/>
    <w:rsid w:val="3AD44EE6"/>
    <w:rsid w:val="3AD9074E"/>
    <w:rsid w:val="3AF92745"/>
    <w:rsid w:val="3B060608"/>
    <w:rsid w:val="3B4D7DFB"/>
    <w:rsid w:val="3B6C000D"/>
    <w:rsid w:val="3B847D5B"/>
    <w:rsid w:val="3B8C756F"/>
    <w:rsid w:val="3B977727"/>
    <w:rsid w:val="3B985F13"/>
    <w:rsid w:val="3BA01AA3"/>
    <w:rsid w:val="3BE05BAE"/>
    <w:rsid w:val="3BFC2946"/>
    <w:rsid w:val="3C090BBF"/>
    <w:rsid w:val="3C245D0D"/>
    <w:rsid w:val="3C377FA0"/>
    <w:rsid w:val="3C460065"/>
    <w:rsid w:val="3C7A7BC5"/>
    <w:rsid w:val="3CAA7D9E"/>
    <w:rsid w:val="3CC913D4"/>
    <w:rsid w:val="3D2F0AF9"/>
    <w:rsid w:val="3D727D17"/>
    <w:rsid w:val="3D844A46"/>
    <w:rsid w:val="3D89645B"/>
    <w:rsid w:val="3D9B7F3D"/>
    <w:rsid w:val="3DA43295"/>
    <w:rsid w:val="3DBC1A54"/>
    <w:rsid w:val="3DC8314D"/>
    <w:rsid w:val="3DEC2546"/>
    <w:rsid w:val="3DF5589F"/>
    <w:rsid w:val="3DF8713D"/>
    <w:rsid w:val="3EE33949"/>
    <w:rsid w:val="3EEA09C3"/>
    <w:rsid w:val="3F0A7128"/>
    <w:rsid w:val="3F4F7231"/>
    <w:rsid w:val="3F665AC7"/>
    <w:rsid w:val="3F740A45"/>
    <w:rsid w:val="3FE91433"/>
    <w:rsid w:val="401633E7"/>
    <w:rsid w:val="404D19C2"/>
    <w:rsid w:val="404D6960"/>
    <w:rsid w:val="406B3BF6"/>
    <w:rsid w:val="40C96B6F"/>
    <w:rsid w:val="40CD078D"/>
    <w:rsid w:val="40ED6D01"/>
    <w:rsid w:val="4171348E"/>
    <w:rsid w:val="41777F37"/>
    <w:rsid w:val="41A35612"/>
    <w:rsid w:val="41D349E5"/>
    <w:rsid w:val="41F8595E"/>
    <w:rsid w:val="420C31B7"/>
    <w:rsid w:val="421309EA"/>
    <w:rsid w:val="423F4623"/>
    <w:rsid w:val="42424E2B"/>
    <w:rsid w:val="42714011"/>
    <w:rsid w:val="428B67D2"/>
    <w:rsid w:val="42D14E9D"/>
    <w:rsid w:val="42D24401"/>
    <w:rsid w:val="42F7784A"/>
    <w:rsid w:val="43770B04"/>
    <w:rsid w:val="437E00E5"/>
    <w:rsid w:val="43B0415C"/>
    <w:rsid w:val="43B463B2"/>
    <w:rsid w:val="43E22422"/>
    <w:rsid w:val="44943816"/>
    <w:rsid w:val="44980682"/>
    <w:rsid w:val="44C61D43"/>
    <w:rsid w:val="44D02BC2"/>
    <w:rsid w:val="44DD0B0C"/>
    <w:rsid w:val="44F85426"/>
    <w:rsid w:val="45313B87"/>
    <w:rsid w:val="457E43CC"/>
    <w:rsid w:val="45905269"/>
    <w:rsid w:val="45BE6EBE"/>
    <w:rsid w:val="46191D3A"/>
    <w:rsid w:val="46272681"/>
    <w:rsid w:val="467001B9"/>
    <w:rsid w:val="46E6047B"/>
    <w:rsid w:val="47133546"/>
    <w:rsid w:val="47C85937"/>
    <w:rsid w:val="47E04ECA"/>
    <w:rsid w:val="480C5CBF"/>
    <w:rsid w:val="480F01B7"/>
    <w:rsid w:val="48124F71"/>
    <w:rsid w:val="482024E1"/>
    <w:rsid w:val="49137521"/>
    <w:rsid w:val="4924150C"/>
    <w:rsid w:val="49901EC0"/>
    <w:rsid w:val="4998551B"/>
    <w:rsid w:val="49A330DF"/>
    <w:rsid w:val="49FF457B"/>
    <w:rsid w:val="4A3C7EBA"/>
    <w:rsid w:val="4A571FA5"/>
    <w:rsid w:val="4A6F5CAB"/>
    <w:rsid w:val="4A750D6A"/>
    <w:rsid w:val="4ABB26A2"/>
    <w:rsid w:val="4B1970E5"/>
    <w:rsid w:val="4B1E0AF8"/>
    <w:rsid w:val="4B294DDA"/>
    <w:rsid w:val="4B4439C2"/>
    <w:rsid w:val="4B6A3D2F"/>
    <w:rsid w:val="4B9837E7"/>
    <w:rsid w:val="4BD77D58"/>
    <w:rsid w:val="4C040475"/>
    <w:rsid w:val="4C0F31F9"/>
    <w:rsid w:val="4C4243A5"/>
    <w:rsid w:val="4C4A1DD7"/>
    <w:rsid w:val="4C75199E"/>
    <w:rsid w:val="4CEF2DA1"/>
    <w:rsid w:val="4CFA5B94"/>
    <w:rsid w:val="4D357A66"/>
    <w:rsid w:val="4D651122"/>
    <w:rsid w:val="4D84279B"/>
    <w:rsid w:val="4D9C5D37"/>
    <w:rsid w:val="4DEE5E67"/>
    <w:rsid w:val="4E602B3F"/>
    <w:rsid w:val="4EA9615A"/>
    <w:rsid w:val="4EAA4484"/>
    <w:rsid w:val="4EDF237F"/>
    <w:rsid w:val="4EE94FAC"/>
    <w:rsid w:val="4EEA2AD2"/>
    <w:rsid w:val="4EF63225"/>
    <w:rsid w:val="4F196F13"/>
    <w:rsid w:val="4F281161"/>
    <w:rsid w:val="4F6603AB"/>
    <w:rsid w:val="4F81478D"/>
    <w:rsid w:val="4FEE344F"/>
    <w:rsid w:val="4FF37764"/>
    <w:rsid w:val="50213603"/>
    <w:rsid w:val="5043693E"/>
    <w:rsid w:val="5087335C"/>
    <w:rsid w:val="50A76ECD"/>
    <w:rsid w:val="51566BAA"/>
    <w:rsid w:val="518E5997"/>
    <w:rsid w:val="519C6848"/>
    <w:rsid w:val="51A258E6"/>
    <w:rsid w:val="51C27D36"/>
    <w:rsid w:val="51C622AD"/>
    <w:rsid w:val="51FE13CF"/>
    <w:rsid w:val="52045C59"/>
    <w:rsid w:val="52304CA0"/>
    <w:rsid w:val="52326C6A"/>
    <w:rsid w:val="5236478B"/>
    <w:rsid w:val="52636E23"/>
    <w:rsid w:val="52AE3108"/>
    <w:rsid w:val="52E55658"/>
    <w:rsid w:val="52FE4D9E"/>
    <w:rsid w:val="53157F45"/>
    <w:rsid w:val="53230361"/>
    <w:rsid w:val="533B026F"/>
    <w:rsid w:val="534E0F46"/>
    <w:rsid w:val="53501CA2"/>
    <w:rsid w:val="53587821"/>
    <w:rsid w:val="53A72D40"/>
    <w:rsid w:val="53FA6CE3"/>
    <w:rsid w:val="540421F0"/>
    <w:rsid w:val="54104D89"/>
    <w:rsid w:val="544919E4"/>
    <w:rsid w:val="54701694"/>
    <w:rsid w:val="54712998"/>
    <w:rsid w:val="54A454D1"/>
    <w:rsid w:val="54D836B4"/>
    <w:rsid w:val="54E8383A"/>
    <w:rsid w:val="54F975CB"/>
    <w:rsid w:val="55030E5B"/>
    <w:rsid w:val="5512547D"/>
    <w:rsid w:val="557B4484"/>
    <w:rsid w:val="55935C72"/>
    <w:rsid w:val="55C67DF5"/>
    <w:rsid w:val="56073D33"/>
    <w:rsid w:val="565F5B54"/>
    <w:rsid w:val="566118CC"/>
    <w:rsid w:val="567C04B4"/>
    <w:rsid w:val="56BD287A"/>
    <w:rsid w:val="570861EB"/>
    <w:rsid w:val="571526B6"/>
    <w:rsid w:val="571E156B"/>
    <w:rsid w:val="57272B15"/>
    <w:rsid w:val="5796679A"/>
    <w:rsid w:val="57E268BF"/>
    <w:rsid w:val="57F84385"/>
    <w:rsid w:val="5829466B"/>
    <w:rsid w:val="586302CC"/>
    <w:rsid w:val="588E44CE"/>
    <w:rsid w:val="590F4F2D"/>
    <w:rsid w:val="591446EA"/>
    <w:rsid w:val="59213594"/>
    <w:rsid w:val="5927687C"/>
    <w:rsid w:val="59285934"/>
    <w:rsid w:val="59592D2E"/>
    <w:rsid w:val="597E4543"/>
    <w:rsid w:val="5996337C"/>
    <w:rsid w:val="599C52A8"/>
    <w:rsid w:val="59B47F65"/>
    <w:rsid w:val="5A0C5E52"/>
    <w:rsid w:val="5A19426B"/>
    <w:rsid w:val="5A2C091C"/>
    <w:rsid w:val="5A437FB8"/>
    <w:rsid w:val="5A93303B"/>
    <w:rsid w:val="5B8C4589"/>
    <w:rsid w:val="5BE96A18"/>
    <w:rsid w:val="5C1E3DBB"/>
    <w:rsid w:val="5C4A4BB0"/>
    <w:rsid w:val="5CBE1C57"/>
    <w:rsid w:val="5CF60894"/>
    <w:rsid w:val="5D2E62B6"/>
    <w:rsid w:val="5DAE1EDD"/>
    <w:rsid w:val="5DDF66DA"/>
    <w:rsid w:val="5E007C1C"/>
    <w:rsid w:val="5E8C14B0"/>
    <w:rsid w:val="5E901F34"/>
    <w:rsid w:val="5EF231C3"/>
    <w:rsid w:val="5EF37781"/>
    <w:rsid w:val="5F171720"/>
    <w:rsid w:val="5F2913F5"/>
    <w:rsid w:val="5F616F40"/>
    <w:rsid w:val="5F724B4A"/>
    <w:rsid w:val="5F7D0235"/>
    <w:rsid w:val="5F830E3A"/>
    <w:rsid w:val="5FD40E8D"/>
    <w:rsid w:val="604007A4"/>
    <w:rsid w:val="60646459"/>
    <w:rsid w:val="60960285"/>
    <w:rsid w:val="60A81B06"/>
    <w:rsid w:val="60AB4474"/>
    <w:rsid w:val="60B307CA"/>
    <w:rsid w:val="60BB2ED0"/>
    <w:rsid w:val="60D158A0"/>
    <w:rsid w:val="60DB17CF"/>
    <w:rsid w:val="60EF45E4"/>
    <w:rsid w:val="61560149"/>
    <w:rsid w:val="61776447"/>
    <w:rsid w:val="61962E8E"/>
    <w:rsid w:val="61C3168D"/>
    <w:rsid w:val="61D11B21"/>
    <w:rsid w:val="61D2367E"/>
    <w:rsid w:val="620B1E5D"/>
    <w:rsid w:val="620F042E"/>
    <w:rsid w:val="620F6476"/>
    <w:rsid w:val="621A0C7A"/>
    <w:rsid w:val="6263077A"/>
    <w:rsid w:val="62DB0C58"/>
    <w:rsid w:val="6300421A"/>
    <w:rsid w:val="63057A83"/>
    <w:rsid w:val="6314335D"/>
    <w:rsid w:val="63493E13"/>
    <w:rsid w:val="635A4F2F"/>
    <w:rsid w:val="638301C9"/>
    <w:rsid w:val="63870498"/>
    <w:rsid w:val="63AB062A"/>
    <w:rsid w:val="6408782B"/>
    <w:rsid w:val="64110625"/>
    <w:rsid w:val="64122457"/>
    <w:rsid w:val="64283A29"/>
    <w:rsid w:val="645858EA"/>
    <w:rsid w:val="64876A1C"/>
    <w:rsid w:val="649317EA"/>
    <w:rsid w:val="64B14881"/>
    <w:rsid w:val="65240694"/>
    <w:rsid w:val="65515201"/>
    <w:rsid w:val="65AB6F91"/>
    <w:rsid w:val="66486604"/>
    <w:rsid w:val="6665325E"/>
    <w:rsid w:val="666845B1"/>
    <w:rsid w:val="668F3F75"/>
    <w:rsid w:val="66A82BFF"/>
    <w:rsid w:val="66C269FA"/>
    <w:rsid w:val="66FE3167"/>
    <w:rsid w:val="672E7154"/>
    <w:rsid w:val="67535261"/>
    <w:rsid w:val="676254A4"/>
    <w:rsid w:val="678B74EE"/>
    <w:rsid w:val="67C563CE"/>
    <w:rsid w:val="67C73559"/>
    <w:rsid w:val="67D85766"/>
    <w:rsid w:val="67DA328C"/>
    <w:rsid w:val="67EC2FBF"/>
    <w:rsid w:val="67F62F51"/>
    <w:rsid w:val="68033E77"/>
    <w:rsid w:val="682312F4"/>
    <w:rsid w:val="68705D78"/>
    <w:rsid w:val="6876663B"/>
    <w:rsid w:val="688F5177"/>
    <w:rsid w:val="68915E18"/>
    <w:rsid w:val="68AE4B9A"/>
    <w:rsid w:val="69083E29"/>
    <w:rsid w:val="69776A2E"/>
    <w:rsid w:val="698A2A90"/>
    <w:rsid w:val="699E5515"/>
    <w:rsid w:val="69B95123"/>
    <w:rsid w:val="69BCD290"/>
    <w:rsid w:val="69BF6BDD"/>
    <w:rsid w:val="69C73CE4"/>
    <w:rsid w:val="69D53B1C"/>
    <w:rsid w:val="6A000277"/>
    <w:rsid w:val="6A107439"/>
    <w:rsid w:val="6A3F1ACC"/>
    <w:rsid w:val="6AC27B02"/>
    <w:rsid w:val="6B621F16"/>
    <w:rsid w:val="6BDC2189"/>
    <w:rsid w:val="6BEA5A68"/>
    <w:rsid w:val="6C0E1756"/>
    <w:rsid w:val="6C1A459F"/>
    <w:rsid w:val="6CC005E7"/>
    <w:rsid w:val="6CE62F65"/>
    <w:rsid w:val="6D855A48"/>
    <w:rsid w:val="6D9B0AC5"/>
    <w:rsid w:val="6DB4457F"/>
    <w:rsid w:val="6DC9627D"/>
    <w:rsid w:val="6DE41E81"/>
    <w:rsid w:val="6E396A65"/>
    <w:rsid w:val="6E647D53"/>
    <w:rsid w:val="6EB5235D"/>
    <w:rsid w:val="6EBA5BC5"/>
    <w:rsid w:val="6F0F5F11"/>
    <w:rsid w:val="6F777EF0"/>
    <w:rsid w:val="6F985605"/>
    <w:rsid w:val="6F9F7969"/>
    <w:rsid w:val="6FB43D46"/>
    <w:rsid w:val="6FC47009"/>
    <w:rsid w:val="6FD1581C"/>
    <w:rsid w:val="702335BA"/>
    <w:rsid w:val="705A3390"/>
    <w:rsid w:val="705E5576"/>
    <w:rsid w:val="705F6A24"/>
    <w:rsid w:val="70AF084F"/>
    <w:rsid w:val="70D70CB1"/>
    <w:rsid w:val="712437CA"/>
    <w:rsid w:val="71526589"/>
    <w:rsid w:val="7157594D"/>
    <w:rsid w:val="71BF4E3A"/>
    <w:rsid w:val="71F72C8D"/>
    <w:rsid w:val="724A7260"/>
    <w:rsid w:val="72630343"/>
    <w:rsid w:val="72773620"/>
    <w:rsid w:val="728531C9"/>
    <w:rsid w:val="72897D89"/>
    <w:rsid w:val="7298621E"/>
    <w:rsid w:val="72A56A12"/>
    <w:rsid w:val="72AC7F1B"/>
    <w:rsid w:val="72EC5D52"/>
    <w:rsid w:val="73076EFF"/>
    <w:rsid w:val="73094067"/>
    <w:rsid w:val="730A3279"/>
    <w:rsid w:val="730A5199"/>
    <w:rsid w:val="735F1CEE"/>
    <w:rsid w:val="73641AE8"/>
    <w:rsid w:val="73A806E2"/>
    <w:rsid w:val="73B9644B"/>
    <w:rsid w:val="73E159A2"/>
    <w:rsid w:val="745746B1"/>
    <w:rsid w:val="749A63B4"/>
    <w:rsid w:val="74FD680C"/>
    <w:rsid w:val="75091655"/>
    <w:rsid w:val="75196C85"/>
    <w:rsid w:val="751C3136"/>
    <w:rsid w:val="752153EA"/>
    <w:rsid w:val="752E4D9D"/>
    <w:rsid w:val="75880001"/>
    <w:rsid w:val="759E7FEF"/>
    <w:rsid w:val="75FEE0AC"/>
    <w:rsid w:val="76301101"/>
    <w:rsid w:val="769B7323"/>
    <w:rsid w:val="77080F7E"/>
    <w:rsid w:val="772C162A"/>
    <w:rsid w:val="777803CC"/>
    <w:rsid w:val="778F7950"/>
    <w:rsid w:val="77A86F03"/>
    <w:rsid w:val="77DC095A"/>
    <w:rsid w:val="77FE6CF7"/>
    <w:rsid w:val="78623556"/>
    <w:rsid w:val="7895FCAE"/>
    <w:rsid w:val="78A551F0"/>
    <w:rsid w:val="79053EE1"/>
    <w:rsid w:val="79084BE7"/>
    <w:rsid w:val="79167E9C"/>
    <w:rsid w:val="79492E4B"/>
    <w:rsid w:val="79BA4057"/>
    <w:rsid w:val="79CB0C87"/>
    <w:rsid w:val="79CC49FF"/>
    <w:rsid w:val="7A5B7B52"/>
    <w:rsid w:val="7A5C3FD5"/>
    <w:rsid w:val="7A8157E9"/>
    <w:rsid w:val="7AE2272C"/>
    <w:rsid w:val="7AEE8CD6"/>
    <w:rsid w:val="7B453D8F"/>
    <w:rsid w:val="7B4909FD"/>
    <w:rsid w:val="7B4937FF"/>
    <w:rsid w:val="7B4E7DC1"/>
    <w:rsid w:val="7B784E3E"/>
    <w:rsid w:val="7BA852E7"/>
    <w:rsid w:val="7BFA5853"/>
    <w:rsid w:val="7C174657"/>
    <w:rsid w:val="7C3B6629"/>
    <w:rsid w:val="7C6122F0"/>
    <w:rsid w:val="7C75184C"/>
    <w:rsid w:val="7C9A5EE9"/>
    <w:rsid w:val="7CA103C5"/>
    <w:rsid w:val="7D6E64F9"/>
    <w:rsid w:val="7D7D04EA"/>
    <w:rsid w:val="7D7D65D2"/>
    <w:rsid w:val="7D937D0D"/>
    <w:rsid w:val="7D982DF0"/>
    <w:rsid w:val="7DD77589"/>
    <w:rsid w:val="7DFD3C28"/>
    <w:rsid w:val="7E005CFC"/>
    <w:rsid w:val="7E0270D7"/>
    <w:rsid w:val="7E266DD3"/>
    <w:rsid w:val="7E665422"/>
    <w:rsid w:val="7EBB576E"/>
    <w:rsid w:val="7ED56D14"/>
    <w:rsid w:val="7FAC155A"/>
    <w:rsid w:val="7FAC908A"/>
    <w:rsid w:val="7FB34697"/>
    <w:rsid w:val="7FFF78DC"/>
    <w:rsid w:val="DBBDA953"/>
    <w:rsid w:val="DD7FC80D"/>
    <w:rsid w:val="F7B8BC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0" w:semiHidden="0" w:name="heading 2"/>
    <w:lsdException w:qFormat="1" w:unhideWhenUsed="0" w:uiPriority="9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2"/>
    <w:pPr>
      <w:keepNext/>
      <w:keepLines/>
      <w:numPr>
        <w:ilvl w:val="0"/>
        <w:numId w:val="1"/>
      </w:numPr>
      <w:jc w:val="left"/>
      <w:outlineLvl w:val="0"/>
    </w:pPr>
    <w:rPr>
      <w:rFonts w:eastAsia="黑体"/>
      <w:bCs/>
      <w:sz w:val="32"/>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9"/>
    <w:pPr>
      <w:keepNext/>
      <w:keepLines/>
      <w:ind w:firstLine="200" w:firstLineChars="200"/>
      <w:outlineLvl w:val="2"/>
    </w:pPr>
    <w:rPr>
      <w:rFonts w:ascii="仿宋" w:hAnsi="仿宋" w:eastAsia="仿宋"/>
      <w:b/>
      <w:bCs/>
      <w:sz w:val="32"/>
      <w:szCs w:val="32"/>
    </w:rPr>
  </w:style>
  <w:style w:type="paragraph" w:styleId="5">
    <w:name w:val="heading 4"/>
    <w:basedOn w:val="1"/>
    <w:next w:val="1"/>
    <w:qFormat/>
    <w:uiPriority w:val="9"/>
    <w:pPr>
      <w:keepNext/>
      <w:keepLines/>
      <w:spacing w:before="280" w:after="290" w:line="376" w:lineRule="auto"/>
      <w:outlineLvl w:val="3"/>
    </w:pPr>
    <w:rPr>
      <w:bCs/>
      <w:kern w:val="0"/>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0"/>
    <w:pPr>
      <w:ind w:firstLine="420" w:firstLineChars="200"/>
    </w:p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index 6"/>
    <w:basedOn w:val="1"/>
    <w:next w:val="1"/>
    <w:qFormat/>
    <w:uiPriority w:val="0"/>
    <w:pPr>
      <w:ind w:firstLine="840"/>
    </w:pPr>
    <w:rPr>
      <w:rFonts w:cs="Arial"/>
    </w:rPr>
  </w:style>
  <w:style w:type="paragraph" w:styleId="10">
    <w:name w:val="Body Text"/>
    <w:basedOn w:val="1"/>
    <w:next w:val="11"/>
    <w:qFormat/>
    <w:uiPriority w:val="0"/>
    <w:rPr>
      <w:kern w:val="0"/>
      <w:sz w:val="30"/>
      <w:szCs w:val="20"/>
    </w:rPr>
  </w:style>
  <w:style w:type="paragraph" w:styleId="11">
    <w:name w:val="footer"/>
    <w:basedOn w:val="1"/>
    <w:next w:val="12"/>
    <w:link w:val="44"/>
    <w:qFormat/>
    <w:uiPriority w:val="0"/>
    <w:pPr>
      <w:tabs>
        <w:tab w:val="center" w:pos="4153"/>
        <w:tab w:val="right" w:pos="8306"/>
      </w:tabs>
      <w:snapToGrid w:val="0"/>
      <w:jc w:val="left"/>
    </w:pPr>
    <w:rPr>
      <w:sz w:val="18"/>
      <w:szCs w:val="18"/>
    </w:rPr>
  </w:style>
  <w:style w:type="paragraph" w:customStyle="1" w:styleId="12">
    <w:name w:val="UserStyle_0"/>
    <w:basedOn w:val="13"/>
    <w:next w:val="1"/>
    <w:qFormat/>
    <w:uiPriority w:val="0"/>
    <w:pPr>
      <w:ind w:left="1680"/>
    </w:pPr>
  </w:style>
  <w:style w:type="paragraph" w:customStyle="1" w:styleId="13">
    <w:name w:val="正文 New"/>
    <w:next w:val="14"/>
    <w:qFormat/>
    <w:uiPriority w:val="0"/>
    <w:pPr>
      <w:jc w:val="both"/>
      <w:textAlignment w:val="baseline"/>
    </w:pPr>
    <w:rPr>
      <w:rFonts w:ascii="Times New Roman" w:hAnsi="Times New Roman" w:eastAsia="宋体" w:cs="黑体"/>
      <w:kern w:val="2"/>
      <w:sz w:val="21"/>
      <w:szCs w:val="24"/>
      <w:lang w:val="en-US" w:eastAsia="zh-CN" w:bidi="ar-SA"/>
    </w:rPr>
  </w:style>
  <w:style w:type="paragraph" w:customStyle="1" w:styleId="14">
    <w:name w:val="页脚 New"/>
    <w:basedOn w:val="13"/>
    <w:next w:val="12"/>
    <w:qFormat/>
    <w:uiPriority w:val="0"/>
    <w:pPr>
      <w:tabs>
        <w:tab w:val="center" w:pos="4153"/>
        <w:tab w:val="right" w:pos="8306"/>
      </w:tabs>
      <w:snapToGrid w:val="0"/>
      <w:jc w:val="left"/>
    </w:pPr>
    <w:rPr>
      <w:rFonts w:ascii="Calibri" w:hAnsi="Calibri"/>
      <w:sz w:val="18"/>
    </w:rPr>
  </w:style>
  <w:style w:type="paragraph" w:styleId="15">
    <w:name w:val="Body Text Indent"/>
    <w:basedOn w:val="1"/>
    <w:qFormat/>
    <w:uiPriority w:val="0"/>
    <w:pPr>
      <w:suppressAutoHyphens/>
      <w:spacing w:line="420" w:lineRule="exact"/>
      <w:ind w:firstLine="480"/>
    </w:pPr>
    <w:rPr>
      <w:kern w:val="1"/>
      <w:sz w:val="24"/>
      <w:szCs w:val="20"/>
      <w:lang w:eastAsia="ar-SA"/>
    </w:rPr>
  </w:style>
  <w:style w:type="paragraph" w:styleId="16">
    <w:name w:val="toc 3"/>
    <w:basedOn w:val="1"/>
    <w:next w:val="1"/>
    <w:qFormat/>
    <w:uiPriority w:val="0"/>
    <w:pPr>
      <w:ind w:left="840" w:leftChars="400"/>
    </w:pPr>
  </w:style>
  <w:style w:type="paragraph" w:styleId="17">
    <w:name w:val="Balloon Text"/>
    <w:basedOn w:val="1"/>
    <w:link w:val="43"/>
    <w:qFormat/>
    <w:uiPriority w:val="0"/>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footnote text"/>
    <w:basedOn w:val="1"/>
    <w:qFormat/>
    <w:uiPriority w:val="0"/>
    <w:pPr>
      <w:snapToGrid w:val="0"/>
      <w:jc w:val="left"/>
    </w:pPr>
    <w:rPr>
      <w:rFonts w:ascii="Calibri" w:hAnsi="Calibri" w:cs="Arial"/>
    </w:rPr>
  </w:style>
  <w:style w:type="paragraph" w:styleId="21">
    <w:name w:val="toc 2"/>
    <w:basedOn w:val="1"/>
    <w:next w:val="1"/>
    <w:qFormat/>
    <w:uiPriority w:val="0"/>
    <w:pPr>
      <w:ind w:left="420" w:leftChars="200"/>
    </w:pPr>
  </w:style>
  <w:style w:type="paragraph" w:styleId="22">
    <w:name w:val="Normal (Web)"/>
    <w:basedOn w:val="1"/>
    <w:qFormat/>
    <w:uiPriority w:val="0"/>
    <w:pPr>
      <w:spacing w:before="100" w:beforeAutospacing="1" w:after="100" w:afterAutospacing="1"/>
      <w:jc w:val="left"/>
    </w:pPr>
    <w:rPr>
      <w:kern w:val="0"/>
      <w:sz w:val="24"/>
    </w:rPr>
  </w:style>
  <w:style w:type="paragraph" w:styleId="23">
    <w:name w:val="Body Text First Indent"/>
    <w:basedOn w:val="10"/>
    <w:next w:val="9"/>
    <w:qFormat/>
    <w:uiPriority w:val="0"/>
    <w:pPr>
      <w:ind w:firstLine="200" w:firstLineChars="200"/>
    </w:pPr>
    <w:rPr>
      <w:rFonts w:cs="Arial"/>
    </w:rPr>
  </w:style>
  <w:style w:type="character" w:styleId="26">
    <w:name w:val="Strong"/>
    <w:basedOn w:val="25"/>
    <w:qFormat/>
    <w:uiPriority w:val="0"/>
    <w:rPr>
      <w:b/>
    </w:rPr>
  </w:style>
  <w:style w:type="character" w:styleId="27">
    <w:name w:val="Hyperlink"/>
    <w:qFormat/>
    <w:uiPriority w:val="0"/>
    <w:rPr>
      <w:color w:val="467886"/>
      <w:u w:val="single"/>
    </w:rPr>
  </w:style>
  <w:style w:type="character" w:styleId="28">
    <w:name w:val="annotation reference"/>
    <w:basedOn w:val="25"/>
    <w:qFormat/>
    <w:uiPriority w:val="0"/>
    <w:rPr>
      <w:sz w:val="21"/>
      <w:szCs w:val="21"/>
    </w:rPr>
  </w:style>
  <w:style w:type="character" w:styleId="29">
    <w:name w:val="footnote reference"/>
    <w:qFormat/>
    <w:uiPriority w:val="0"/>
    <w:rPr>
      <w:vertAlign w:val="superscript"/>
    </w:rPr>
  </w:style>
  <w:style w:type="paragraph" w:customStyle="1" w:styleId="30">
    <w:name w:val="Default"/>
    <w:qFormat/>
    <w:uiPriority w:val="99"/>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31">
    <w:name w:val="页脚1"/>
    <w:basedOn w:val="1"/>
    <w:next w:val="32"/>
    <w:qFormat/>
    <w:uiPriority w:val="0"/>
    <w:pPr>
      <w:tabs>
        <w:tab w:val="center" w:pos="4153"/>
        <w:tab w:val="right" w:pos="8306"/>
      </w:tabs>
      <w:snapToGrid w:val="0"/>
      <w:jc w:val="left"/>
      <w:textAlignment w:val="baseline"/>
    </w:pPr>
    <w:rPr>
      <w:rFonts w:ascii="Calibri" w:hAnsi="Calibri"/>
      <w:sz w:val="18"/>
      <w:szCs w:val="18"/>
    </w:rPr>
  </w:style>
  <w:style w:type="paragraph" w:customStyle="1" w:styleId="32">
    <w:name w:val="Index5"/>
    <w:basedOn w:val="1"/>
    <w:next w:val="1"/>
    <w:qFormat/>
    <w:uiPriority w:val="0"/>
    <w:pPr>
      <w:ind w:left="1680"/>
      <w:textAlignment w:val="baseline"/>
    </w:pPr>
  </w:style>
  <w:style w:type="paragraph" w:customStyle="1" w:styleId="33">
    <w:name w:val="BodyText"/>
    <w:basedOn w:val="1"/>
    <w:next w:val="31"/>
    <w:qFormat/>
    <w:uiPriority w:val="0"/>
    <w:pPr>
      <w:textAlignment w:val="baseline"/>
    </w:pPr>
  </w:style>
  <w:style w:type="paragraph" w:customStyle="1" w:styleId="34">
    <w:name w:val="样式1"/>
    <w:basedOn w:val="15"/>
    <w:qFormat/>
    <w:uiPriority w:val="0"/>
    <w:pPr>
      <w:spacing w:line="400" w:lineRule="exact"/>
      <w:ind w:firstLine="200" w:firstLineChars="200"/>
    </w:pPr>
    <w:rPr>
      <w:rFonts w:ascii="宋体" w:hAnsi="宋体" w:cs="仿宋"/>
      <w:sz w:val="21"/>
      <w:szCs w:val="21"/>
      <w:lang w:eastAsia="zh-CN"/>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7">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8">
    <w:name w:val="_Style 32"/>
    <w:semiHidden/>
    <w:unhideWhenUsed/>
    <w:qFormat/>
    <w:uiPriority w:val="99"/>
    <w:rPr>
      <w:color w:val="605E5C"/>
      <w:shd w:val="clear" w:color="auto" w:fill="E1DFDD"/>
    </w:rPr>
  </w:style>
  <w:style w:type="paragraph" w:customStyle="1" w:styleId="39">
    <w:name w:val="公文正文"/>
    <w:basedOn w:val="1"/>
    <w:qFormat/>
    <w:uiPriority w:val="0"/>
    <w:pPr>
      <w:suppressAutoHyphens/>
      <w:adjustRightInd w:val="0"/>
      <w:snapToGrid w:val="0"/>
      <w:spacing w:line="560" w:lineRule="exact"/>
      <w:ind w:firstLine="640" w:firstLineChars="200"/>
    </w:pPr>
    <w:rPr>
      <w:rFonts w:ascii="仿宋_GB2312" w:hAnsi="仿宋_GB2312" w:eastAsia="仿宋_GB2312" w:cs="宋体"/>
      <w:sz w:val="32"/>
      <w:szCs w:val="32"/>
    </w:rPr>
  </w:style>
  <w:style w:type="paragraph" w:customStyle="1" w:styleId="40">
    <w:name w:val="_Style 34"/>
    <w:basedOn w:val="1"/>
    <w:next w:val="1"/>
    <w:qFormat/>
    <w:uiPriority w:val="0"/>
    <w:pPr>
      <w:ind w:left="840" w:leftChars="400"/>
    </w:pPr>
  </w:style>
  <w:style w:type="paragraph" w:customStyle="1" w:styleId="41">
    <w:name w:val="k正文"/>
    <w:basedOn w:val="1"/>
    <w:qFormat/>
    <w:uiPriority w:val="0"/>
    <w:pPr>
      <w:spacing w:line="360" w:lineRule="auto"/>
      <w:ind w:firstLine="480"/>
    </w:pPr>
  </w:style>
  <w:style w:type="paragraph" w:customStyle="1" w:styleId="42">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43">
    <w:name w:val="批注框文本 字符"/>
    <w:basedOn w:val="25"/>
    <w:link w:val="17"/>
    <w:qFormat/>
    <w:uiPriority w:val="0"/>
    <w:rPr>
      <w:kern w:val="2"/>
      <w:sz w:val="18"/>
      <w:szCs w:val="18"/>
    </w:rPr>
  </w:style>
  <w:style w:type="character" w:customStyle="1" w:styleId="44">
    <w:name w:val="页脚 字符"/>
    <w:basedOn w:val="25"/>
    <w:link w:val="11"/>
    <w:qFormat/>
    <w:uiPriority w:val="0"/>
    <w:rPr>
      <w:kern w:val="2"/>
      <w:sz w:val="18"/>
      <w:szCs w:val="18"/>
    </w:rPr>
  </w:style>
  <w:style w:type="paragraph" w:customStyle="1" w:styleId="4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3.xml><?xml version="1.0" encoding="utf-8"?>
<contractReview xmlns="http://schemas.wps.cn/vas-ai-hub/contract-review">
  <reviewItems>
    <reviewItem>
      <errorID>5fa5c7e9-e02d-4b6a-b74a-e1e1c3766b15</errorID>
      <errorWord>多层次保障体系</errorWord>
      <group>L1_Political</group>
      <groupName>政治性问题</groupName>
      <ability>L2_Keyword</ability>
      <abilityName>固定表述</abilityName>
      <candidateList>
        <item>多层次社会保障体系</item>
      </candidateList>
      <explain>词汇“多层次社会保障体系”在特定场景下为固定表述形式，请确认此处的“多层次保障体系”是否存在不当。</explain>
      <paraID>4C5E656D</paraID>
      <start>5</start>
      <end>12</end>
      <status>ignored</status>
      <modifiedWord/>
      <trackRevisions>false</trackRevisions>
    </reviewItem>
    <reviewItem>
      <errorID>11e4e4a2-d84a-404e-8097-3de005c40731</errorID>
      <errorWord>-</errorWord>
      <group>L1_Format</group>
      <groupName>格式问题</groupName>
      <ability>L2_HalfPunc_CN</ability>
      <abilityName>全半角检查</abilityName>
      <candidateList>
        <item>－</item>
      </candidateList>
      <explain>文本全半角错误。</explain>
      <paraID>1B607036</paraID>
      <start>121</start>
      <end>122</end>
      <status>unmodified</status>
      <modifiedWord/>
      <trackRevisions>false</trackRevisions>
    </reviewItem>
    <reviewItem>
      <errorID>b86d9127-41f3-416f-9925-6aeb5b21539b</errorID>
      <errorWord>,</errorWord>
      <group>L1_Format</group>
      <groupName>格式问题</groupName>
      <ability>L2_HalfPunc_CN</ability>
      <abilityName>全半角检查</abilityName>
      <candidateList>
        <item>，</item>
      </candidateList>
      <explain>文本全半角错误。</explain>
      <paraID> 12A462E</paraID>
      <start>153</start>
      <end>154</end>
      <status>unmodified</status>
      <modifiedWord/>
      <trackRevisions>false</trackRevisions>
    </reviewItem>
    <reviewItem>
      <errorID>4156c9db-f091-4ce4-851a-f57568b33eee</errorID>
      <errorWord>,</errorWord>
      <group>L1_Format</group>
      <groupName>格式问题</groupName>
      <ability>L2_HalfPunc_CN</ability>
      <abilityName>全半角检查</abilityName>
      <candidateList>
        <item>，</item>
      </candidateList>
      <explain>文本全半角错误。</explain>
      <paraID> 12A462E</paraID>
      <start>165</start>
      <end>166</end>
      <status>unmodified</status>
      <modifiedWord/>
      <trackRevisions>false</trackRevisions>
    </reviewItem>
    <reviewItem>
      <errorID>33584df1-55d4-431f-9949-f22cf4f453d4</errorID>
      <errorWord>人民群众日益增长的美好生活需要</errorWord>
      <group>L1_Political</group>
      <groupName>政治性问题</groupName>
      <ability>L2_Unpolitical</ability>
      <abilityName>政治敏感错误</abilityName>
      <candidateList>
        <item>人民日益增长的美好生活需要</item>
      </candidateList>
      <explain/>
      <paraID>7D1BE1E0</paraID>
      <start>162</start>
      <end>177</end>
      <status>unmodified</status>
      <modifiedWord/>
      <trackRevisions>false</trackRevisions>
    </reviewItem>
    <reviewItem>
      <errorID>fa9f6f9e-66bd-420a-bd63-af9488c03c4b</errorID>
      <errorWord>＜</errorWord>
      <group>L1_Format</group>
      <groupName>格式问题</groupName>
      <ability>L2_HalfPunc_CN</ability>
      <abilityName>全半角检查</abilityName>
      <candidateList>
        <item>&lt;</item>
      </candidateList>
      <explain>文本全半角错误。</explain>
      <paraID>3E9837CB</paraID>
      <start>0</start>
      <end>1</end>
      <status>unmodified</status>
      <modifiedWord/>
      <trackRevisions>false</trackRevisions>
    </reviewItem>
    <reviewItem>
      <errorID>90dbcde1-f3ff-47dc-bbd1-8970f645c891</errorID>
      <errorWord>＞</errorWord>
      <group>L1_Format</group>
      <groupName>格式问题</groupName>
      <ability>L2_HalfPunc_CN</ability>
      <abilityName>全半角检查</abilityName>
      <candidateList>
        <item>&gt;</item>
      </candidateList>
      <explain>文本全半角错误。</explain>
      <paraID> 28F96B5</paraID>
      <start>0</start>
      <end>1</end>
      <status>unmodified</status>
      <modifiedWord/>
      <trackRevisions>false</trackRevisions>
    </reviewItem>
    <reviewItem>
      <errorID>878a521d-927c-4f3f-8811-7924b08f8963</errorID>
      <errorWord>＞</errorWord>
      <group>L1_Format</group>
      <groupName>格式问题</groupName>
      <ability>L2_HalfPunc_CN</ability>
      <abilityName>全半角检查</abilityName>
      <candidateList>
        <item>&gt;</item>
      </candidateList>
      <explain>文本全半角错误。</explain>
      <paraID>3B4E85D8</paraID>
      <start>0</start>
      <end>1</end>
      <status>unmodified</status>
      <modifiedWord/>
      <trackRevisions>false</trackRevisions>
    </reviewItem>
    <reviewItem>
      <errorID>ffb63550-5f1f-41b9-a362-615a73821e61</errorID>
      <errorWord>＞</errorWord>
      <group>L1_Format</group>
      <groupName>格式问题</groupName>
      <ability>L2_HalfPunc_CN</ability>
      <abilityName>全半角检查</abilityName>
      <candidateList>
        <item>&gt;</item>
      </candidateList>
      <explain>文本全半角错误。</explain>
      <paraID>6FC06D13</paraID>
      <start>0</start>
      <end>1</end>
      <status>unmodified</status>
      <modifiedWord/>
      <trackRevisions>false</trackRevisions>
    </reviewItem>
    <reviewItem>
      <errorID>eb0064b7-db08-4e07-bceb-90c453b07a56</errorID>
      <errorWord>地区</errorWord>
      <group>L1_Word</group>
      <groupName>字词问题</groupName>
      <ability>L2_Typo</ability>
      <abilityName>字词错误</abilityName>
      <candidateList>
        <item>区</item>
      </candidateList>
      <explain/>
      <paraID>660131E3</paraID>
      <start>85</start>
      <end>87</end>
      <status>unmodified</status>
      <modifiedWord/>
      <trackRevisions>false</trackRevisions>
    </reviewItem>
    <reviewItem>
      <errorID>eb09e639-16bc-4e34-9a4c-de401834ec3c</errorID>
      <errorWord>高素质就业</errorWord>
      <group>L1_Political</group>
      <groupName>政治性问题</groupName>
      <ability>L2_Keyword</ability>
      <abilityName>固定表述</abilityName>
      <candidateList>
        <item>高质量就业</item>
      </candidateList>
      <explain>词汇“高质量就业”在特定场景下为固定表述形式，请确认此处的“高素质就业”是否存在不当。</explain>
      <paraID> 89B4F3C</paraID>
      <start>171</start>
      <end>176</end>
      <status>unmodified</status>
      <modifiedWord/>
      <trackRevisions>false</trackRevisions>
    </reviewItem>
    <reviewItem>
      <errorID>5db534eb-ccc5-43a8-a44e-b82e9521af6e</errorID>
      <errorWord>多层次保障体系</errorWord>
      <group>L1_Political</group>
      <groupName>政治性问题</groupName>
      <ability>L2_Keyword</ability>
      <abilityName>固定表述</abilityName>
      <candidateList>
        <item>多层次社会保障体系</item>
      </candidateList>
      <explain>词汇“多层次社会保障体系”在特定场景下为固定表述形式，请确认此处的“多层次保障体系”是否存在不当。</explain>
      <paraID>31F6D2EC</paraID>
      <start>5</start>
      <end>12</end>
      <status>unmodified</status>
      <modifiedWord/>
      <trackRevisions>false</trackRevisions>
    </reviewItem>
    <reviewItem>
      <errorID>ba4d2fd5-85a1-4815-bdd4-a7da87820133</errorID>
      <errorWord>中枢统筹</errorWord>
      <group>L1_Political</group>
      <groupName>政治性问题</groupName>
      <ability>L2_Keyword</ability>
      <abilityName>固定表述</abilityName>
      <candidateList>
        <item>中央统筹</item>
      </candidateList>
      <explain>词汇“中央统筹”在特定场景下为固定表述形式，请确认此处的“中枢统筹”是否存在不当。</explain>
      <paraID> 305D31A</paraID>
      <start>73</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E0E406-B999-449D-902B-49C4C407082C}">
  <ds:schemaRefs/>
</ds:datastoreItem>
</file>

<file path=customXml/itemProps3.xml><?xml version="1.0" encoding="utf-8"?>
<ds:datastoreItem xmlns:ds="http://schemas.openxmlformats.org/officeDocument/2006/customXml" ds:itemID="{c221cc06-77fe-4a24-93a1-1eb93332bbc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35</Pages>
  <Words>10541</Words>
  <Characters>10893</Characters>
  <Lines>468</Lines>
  <Paragraphs>314</Paragraphs>
  <TotalTime>277</TotalTime>
  <ScaleCrop>false</ScaleCrop>
  <LinksUpToDate>false</LinksUpToDate>
  <CharactersWithSpaces>10950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2025-12-06T03:10:00Z</dcterms:created>
  <dc:creator>ll</dc:creator>
  <cp:lastModifiedBy>扬帆起航</cp:lastModifiedBy>
  <cp:lastPrinted>2026-07-29T08:45:00Z</cp:lastPrinted>
  <dcterms:modified xsi:type="dcterms:W3CDTF">2026-08-13T06:30:33Z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751BD96CA62145A88FCBF0F70F9F45F4_13</vt:lpwstr>
  </property>
  <property fmtid="{D5CDD505-2E9C-101B-9397-08002B2CF9AE}" pid="4" name="KSOTemplateDocerSaveRecord">
    <vt:lpwstr>eyJoZGlkIjoiZDFkYjZmNDE0ZWVjM2U0ODMzZDcxMTE5NWU2ODJkN2YiLCJ1c2VySWQiOiI0MzEyNzc3MTgifQ==</vt:lpwstr>
  </property>
</Properties>
</file>