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4266C1">
      <w:pPr>
        <w:adjustRightInd w:val="0"/>
        <w:snapToGrid w:val="0"/>
        <w:rPr>
          <w:rStyle w:val="36"/>
          <w:rFonts w:hint="eastAsia" w:ascii="黑体" w:hAnsi="黑体" w:eastAsia="黑体"/>
        </w:rPr>
      </w:pPr>
      <w:r>
        <w:rPr>
          <w:rStyle w:val="36"/>
          <w:rFonts w:ascii="黑体" w:hAnsi="黑体" w:eastAsia="黑体"/>
        </w:rPr>
        <w:t>附件</w:t>
      </w:r>
      <w:r>
        <w:rPr>
          <w:rStyle w:val="36"/>
          <w:rFonts w:hint="eastAsia" w:ascii="黑体" w:hAnsi="黑体" w:eastAsia="黑体"/>
        </w:rPr>
        <w:t>1</w:t>
      </w:r>
    </w:p>
    <w:p w14:paraId="28EA1030">
      <w:pPr>
        <w:snapToGrid w:val="0"/>
        <w:spacing w:before="100" w:beforeAutospacing="1" w:after="100" w:afterAutospacing="1"/>
        <w:ind w:right="-160" w:rightChars="-50"/>
        <w:jc w:val="center"/>
        <w:rPr>
          <w:rFonts w:eastAsia="方正小标宋简体"/>
          <w:color w:val="000000" w:themeColor="text1"/>
          <w:szCs w:val="32"/>
          <w14:textFill>
            <w14:solidFill>
              <w14:schemeClr w14:val="tx1"/>
            </w14:solidFill>
          </w14:textFill>
        </w:rPr>
      </w:pPr>
    </w:p>
    <w:p w14:paraId="47CECD84">
      <w:pPr>
        <w:snapToGrid w:val="0"/>
        <w:spacing w:before="100" w:beforeAutospacing="1" w:after="100" w:afterAutospacing="1"/>
        <w:ind w:right="-160" w:rightChars="-50"/>
        <w:jc w:val="center"/>
        <w:rPr>
          <w:rFonts w:eastAsia="方正小标宋简体"/>
          <w:color w:val="000000" w:themeColor="text1"/>
          <w:szCs w:val="32"/>
          <w14:textFill>
            <w14:solidFill>
              <w14:schemeClr w14:val="tx1"/>
            </w14:solidFill>
          </w14:textFill>
        </w:rPr>
      </w:pPr>
    </w:p>
    <w:p w14:paraId="7402BA06">
      <w:pPr>
        <w:spacing w:line="360" w:lineRule="auto"/>
        <w:jc w:val="center"/>
        <w:rPr>
          <w:rFonts w:hint="eastAsia" w:ascii="方正小标宋简体" w:hAnsi="仿宋_GB2312" w:eastAsia="方正小标宋简体"/>
          <w:color w:val="000000" w:themeColor="text1"/>
          <w:sz w:val="44"/>
          <w:szCs w:val="44"/>
          <w14:textFill>
            <w14:solidFill>
              <w14:schemeClr w14:val="tx1"/>
            </w14:solidFill>
          </w14:textFill>
        </w:rPr>
      </w:pPr>
      <w:r>
        <w:rPr>
          <w:rFonts w:hint="eastAsia" w:ascii="方正小标宋简体" w:hAnsi="仿宋_GB2312" w:eastAsia="方正小标宋简体"/>
          <w:color w:val="000000" w:themeColor="text1"/>
          <w:sz w:val="44"/>
          <w:szCs w:val="44"/>
          <w14:textFill>
            <w14:solidFill>
              <w14:schemeClr w14:val="tx1"/>
            </w14:solidFill>
          </w14:textFill>
        </w:rPr>
        <w:t>顺义区“十五五”时期</w:t>
      </w:r>
    </w:p>
    <w:p w14:paraId="41F46014">
      <w:pPr>
        <w:spacing w:line="360" w:lineRule="auto"/>
        <w:jc w:val="center"/>
        <w:rPr>
          <w:rFonts w:hint="eastAsia" w:ascii="方正小标宋简体" w:hAnsi="仿宋_GB2312" w:eastAsia="方正小标宋简体"/>
          <w:color w:val="000000" w:themeColor="text1"/>
          <w:sz w:val="44"/>
          <w:szCs w:val="44"/>
          <w14:textFill>
            <w14:solidFill>
              <w14:schemeClr w14:val="tx1"/>
            </w14:solidFill>
          </w14:textFill>
        </w:rPr>
      </w:pPr>
      <w:r>
        <w:rPr>
          <w:rFonts w:hint="eastAsia" w:ascii="方正小标宋简体" w:hAnsi="仿宋_GB2312" w:eastAsia="方正小标宋简体"/>
          <w:color w:val="000000" w:themeColor="text1"/>
          <w:sz w:val="44"/>
          <w:szCs w:val="44"/>
          <w14:textFill>
            <w14:solidFill>
              <w14:schemeClr w14:val="tx1"/>
            </w14:solidFill>
          </w14:textFill>
        </w:rPr>
        <w:t>现代化综合交通体系发展规划</w:t>
      </w:r>
    </w:p>
    <w:p w14:paraId="493B7159">
      <w:pPr>
        <w:spacing w:line="360" w:lineRule="auto"/>
        <w:jc w:val="center"/>
        <w:rPr>
          <w:rFonts w:hint="eastAsia" w:ascii="仿宋_GB2312" w:hAnsi="仿宋_GB2312"/>
          <w:color w:val="000000" w:themeColor="text1"/>
          <w:sz w:val="28"/>
          <w:szCs w:val="28"/>
          <w14:textFill>
            <w14:solidFill>
              <w14:schemeClr w14:val="tx1"/>
            </w14:solidFill>
          </w14:textFill>
        </w:rPr>
      </w:pPr>
    </w:p>
    <w:p w14:paraId="3C2D04CB">
      <w:pPr>
        <w:spacing w:line="360" w:lineRule="auto"/>
        <w:jc w:val="center"/>
        <w:rPr>
          <w:rFonts w:hint="eastAsia" w:ascii="仿宋_GB2312" w:hAnsi="仿宋_GB2312"/>
          <w:color w:val="000000" w:themeColor="text1"/>
          <w:sz w:val="28"/>
          <w:szCs w:val="28"/>
          <w14:textFill>
            <w14:solidFill>
              <w14:schemeClr w14:val="tx1"/>
            </w14:solidFill>
          </w14:textFill>
        </w:rPr>
      </w:pPr>
    </w:p>
    <w:p w14:paraId="5E3BBE61">
      <w:pPr>
        <w:snapToGrid w:val="0"/>
        <w:spacing w:before="100" w:beforeAutospacing="1" w:after="100" w:afterAutospacing="1"/>
        <w:ind w:right="-160" w:rightChars="-50"/>
        <w:jc w:val="center"/>
        <w:rPr>
          <w:rFonts w:eastAsia="方正小标宋简体"/>
          <w:color w:val="000000" w:themeColor="text1"/>
          <w:szCs w:val="32"/>
          <w14:textFill>
            <w14:solidFill>
              <w14:schemeClr w14:val="tx1"/>
            </w14:solidFill>
          </w14:textFill>
        </w:rPr>
      </w:pPr>
    </w:p>
    <w:p w14:paraId="495ACA4F">
      <w:pPr>
        <w:snapToGrid w:val="0"/>
        <w:spacing w:before="100" w:beforeAutospacing="1" w:after="100" w:afterAutospacing="1"/>
        <w:ind w:right="-160" w:rightChars="-50"/>
        <w:jc w:val="center"/>
        <w:rPr>
          <w:rFonts w:eastAsia="方正小标宋简体"/>
          <w:color w:val="000000" w:themeColor="text1"/>
          <w:szCs w:val="32"/>
          <w14:textFill>
            <w14:solidFill>
              <w14:schemeClr w14:val="tx1"/>
            </w14:solidFill>
          </w14:textFill>
        </w:rPr>
      </w:pPr>
    </w:p>
    <w:p w14:paraId="5E3F1D4F">
      <w:pPr>
        <w:snapToGrid w:val="0"/>
        <w:spacing w:before="100" w:beforeAutospacing="1" w:after="100" w:afterAutospacing="1"/>
        <w:ind w:right="-160" w:rightChars="-50"/>
        <w:jc w:val="center"/>
        <w:rPr>
          <w:rFonts w:eastAsia="方正小标宋简体"/>
          <w:color w:val="000000" w:themeColor="text1"/>
          <w:szCs w:val="32"/>
          <w14:textFill>
            <w14:solidFill>
              <w14:schemeClr w14:val="tx1"/>
            </w14:solidFill>
          </w14:textFill>
        </w:rPr>
      </w:pPr>
    </w:p>
    <w:p w14:paraId="36543DCF">
      <w:pPr>
        <w:jc w:val="center"/>
        <w:rPr>
          <w:color w:val="000000" w:themeColor="text1"/>
          <w:szCs w:val="32"/>
          <w14:textFill>
            <w14:solidFill>
              <w14:schemeClr w14:val="tx1"/>
            </w14:solidFill>
          </w14:textFill>
        </w:rPr>
      </w:pPr>
    </w:p>
    <w:p w14:paraId="689AEA57">
      <w:pPr>
        <w:jc w:val="center"/>
        <w:rPr>
          <w:color w:val="000000" w:themeColor="text1"/>
          <w:szCs w:val="32"/>
          <w14:textFill>
            <w14:solidFill>
              <w14:schemeClr w14:val="tx1"/>
            </w14:solidFill>
          </w14:textFill>
        </w:rPr>
      </w:pPr>
    </w:p>
    <w:p w14:paraId="7514A10B">
      <w:pPr>
        <w:jc w:val="center"/>
        <w:rPr>
          <w:color w:val="000000" w:themeColor="text1"/>
          <w:szCs w:val="32"/>
          <w14:textFill>
            <w14:solidFill>
              <w14:schemeClr w14:val="tx1"/>
            </w14:solidFill>
          </w14:textFill>
        </w:rPr>
      </w:pPr>
    </w:p>
    <w:p w14:paraId="0C67FD93">
      <w:pPr>
        <w:jc w:val="center"/>
        <w:rPr>
          <w:color w:val="000000" w:themeColor="text1"/>
          <w:szCs w:val="32"/>
          <w14:textFill>
            <w14:solidFill>
              <w14:schemeClr w14:val="tx1"/>
            </w14:solidFill>
          </w14:textFill>
        </w:rPr>
        <w:sectPr>
          <w:footerReference r:id="rId5" w:type="default"/>
          <w:pgSz w:w="11906" w:h="16838"/>
          <w:pgMar w:top="2098" w:right="1474" w:bottom="1984" w:left="1587" w:header="851" w:footer="992" w:gutter="0"/>
          <w:pgNumType w:fmt="numberInDash"/>
          <w:cols w:space="425" w:num="1"/>
          <w:docGrid w:type="lines" w:linePitch="312" w:charSpace="0"/>
        </w:sectPr>
      </w:pPr>
      <w:r>
        <w:rPr>
          <w:rFonts w:hint="eastAsia"/>
          <w:color w:val="000000" w:themeColor="text1"/>
          <w:szCs w:val="32"/>
          <w14:textFill>
            <w14:solidFill>
              <w14:schemeClr w14:val="tx1"/>
            </w14:solidFill>
          </w14:textFill>
        </w:rPr>
        <w:t>二</w:t>
      </w:r>
      <w:r>
        <w:rPr>
          <w:rFonts w:hint="eastAsia" w:ascii="微软雅黑" w:hAnsi="微软雅黑" w:eastAsia="微软雅黑" w:cs="微软雅黑"/>
          <w:color w:val="000000" w:themeColor="text1"/>
          <w:szCs w:val="32"/>
          <w14:textFill>
            <w14:solidFill>
              <w14:schemeClr w14:val="tx1"/>
            </w14:solidFill>
          </w14:textFill>
        </w:rPr>
        <w:t>〇</w:t>
      </w:r>
      <w:r>
        <w:rPr>
          <w:rFonts w:hint="eastAsia"/>
          <w:color w:val="000000" w:themeColor="text1"/>
          <w:szCs w:val="32"/>
          <w14:textFill>
            <w14:solidFill>
              <w14:schemeClr w14:val="tx1"/>
            </w14:solidFill>
          </w14:textFill>
        </w:rPr>
        <w:t>二六年八月</w:t>
      </w:r>
    </w:p>
    <w:sdt>
      <w:sdtPr>
        <w:rPr>
          <w:rFonts w:ascii="Times New Roman" w:hAnsi="Times New Roman" w:eastAsia="仿宋_GB2312" w:cs="Times New Roman"/>
          <w:b w:val="0"/>
          <w:bCs w:val="0"/>
          <w:color w:val="000000" w:themeColor="text1"/>
          <w:kern w:val="2"/>
          <w:szCs w:val="24"/>
          <w:lang w:val="zh-CN"/>
          <w14:textFill>
            <w14:solidFill>
              <w14:schemeClr w14:val="tx1"/>
            </w14:solidFill>
          </w14:textFill>
        </w:rPr>
        <w:id w:val="-1252741959"/>
        <w:docPartObj>
          <w:docPartGallery w:val="Table of Contents"/>
          <w:docPartUnique/>
        </w:docPartObj>
      </w:sdtPr>
      <w:sdtEndPr>
        <w:rPr>
          <w:rFonts w:ascii="Times New Roman" w:hAnsi="Times New Roman" w:eastAsia="仿宋_GB2312" w:cs="Times New Roman"/>
          <w:b w:val="0"/>
          <w:bCs w:val="0"/>
          <w:color w:val="000000" w:themeColor="text1"/>
          <w:kern w:val="2"/>
          <w:szCs w:val="24"/>
          <w:lang w:val="zh-CN"/>
          <w14:textFill>
            <w14:solidFill>
              <w14:schemeClr w14:val="tx1"/>
            </w14:solidFill>
          </w14:textFill>
        </w:rPr>
      </w:sdtEndPr>
      <w:sdtContent>
        <w:p w14:paraId="378AFD9D">
          <w:pPr>
            <w:pStyle w:val="27"/>
            <w:rPr>
              <w:rFonts w:hint="eastAsia" w:ascii="黑体" w:hAnsi="黑体" w:eastAsia="黑体"/>
              <w:color w:val="000000" w:themeColor="text1"/>
              <w14:textFill>
                <w14:solidFill>
                  <w14:schemeClr w14:val="tx1"/>
                </w14:solidFill>
              </w14:textFill>
            </w:rPr>
          </w:pPr>
          <w:r>
            <w:rPr>
              <w:rFonts w:hint="eastAsia" w:ascii="黑体" w:hAnsi="黑体" w:eastAsia="黑体"/>
              <w:color w:val="000000" w:themeColor="text1"/>
              <w:lang w:val="zh-CN"/>
              <w14:textFill>
                <w14:solidFill>
                  <w14:schemeClr w14:val="tx1"/>
                </w14:solidFill>
              </w14:textFill>
            </w:rPr>
            <w:t>目录</w:t>
          </w:r>
        </w:p>
        <w:p w14:paraId="0C087366">
          <w:pPr>
            <w:pStyle w:val="9"/>
            <w:tabs>
              <w:tab w:val="right" w:leader="dot" w:pos="8835"/>
            </w:tabs>
            <w:rPr>
              <w:rFonts w:cstheme="minorBidi"/>
              <w:kern w:val="2"/>
              <w:szCs w:val="24"/>
              <w14:ligatures w14:val="standardContextual"/>
            </w:rPr>
          </w:pPr>
          <w:r>
            <w:rPr>
              <w:rFonts w:hint="eastAsia" w:ascii="黑体" w:hAnsi="黑体" w:eastAsia="黑体"/>
              <w:color w:val="000000" w:themeColor="text1"/>
              <w14:textFill>
                <w14:solidFill>
                  <w14:schemeClr w14:val="tx1"/>
                </w14:solidFill>
              </w14:textFill>
            </w:rPr>
            <w:fldChar w:fldCharType="begin"/>
          </w:r>
          <w:r>
            <w:rPr>
              <w:rFonts w:ascii="黑体" w:hAnsi="黑体" w:eastAsia="黑体"/>
              <w:color w:val="000000" w:themeColor="text1"/>
              <w14:textFill>
                <w14:solidFill>
                  <w14:schemeClr w14:val="tx1"/>
                </w14:solidFill>
              </w14:textFill>
            </w:rPr>
            <w:instrText xml:space="preserve"> TOC \o "1-3" \h \z \u </w:instrText>
          </w:r>
          <w:r>
            <w:rPr>
              <w:rFonts w:hint="eastAsia" w:ascii="黑体" w:hAnsi="黑体" w:eastAsia="黑体"/>
              <w:color w:val="000000" w:themeColor="text1"/>
              <w14:textFill>
                <w14:solidFill>
                  <w14:schemeClr w14:val="tx1"/>
                </w14:solidFill>
              </w14:textFill>
            </w:rPr>
            <w:fldChar w:fldCharType="separate"/>
          </w:r>
          <w:r>
            <w:fldChar w:fldCharType="begin"/>
          </w:r>
          <w:r>
            <w:instrText xml:space="preserve"> HYPERLINK \l "_Toc236834145" </w:instrText>
          </w:r>
          <w:r>
            <w:fldChar w:fldCharType="separate"/>
          </w:r>
          <w:r>
            <w:rPr>
              <w:rStyle w:val="16"/>
              <w:rFonts w:hint="eastAsia"/>
            </w:rPr>
            <w:t>一、 规划背景</w:t>
          </w:r>
          <w:r>
            <w:rPr>
              <w:rFonts w:hint="eastAsia"/>
            </w:rPr>
            <w:tab/>
          </w:r>
          <w:r>
            <w:rPr>
              <w:rFonts w:hint="eastAsia"/>
            </w:rPr>
            <w:fldChar w:fldCharType="begin"/>
          </w:r>
          <w:r>
            <w:rPr>
              <w:rFonts w:hint="eastAsia"/>
            </w:rPr>
            <w:instrText xml:space="preserve"> </w:instrText>
          </w:r>
          <w:r>
            <w:instrText xml:space="preserve">PAGEREF _Toc236834145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3B3FB7C4">
          <w:pPr>
            <w:pStyle w:val="10"/>
            <w:tabs>
              <w:tab w:val="right" w:leader="dot" w:pos="8835"/>
            </w:tabs>
            <w:rPr>
              <w:rFonts w:cstheme="minorBidi"/>
              <w:kern w:val="2"/>
              <w:szCs w:val="24"/>
              <w14:ligatures w14:val="standardContextual"/>
            </w:rPr>
          </w:pPr>
          <w:r>
            <w:fldChar w:fldCharType="begin"/>
          </w:r>
          <w:r>
            <w:instrText xml:space="preserve"> HYPERLINK \l "_Toc236834146" </w:instrText>
          </w:r>
          <w:r>
            <w:fldChar w:fldCharType="separate"/>
          </w:r>
          <w:r>
            <w:rPr>
              <w:rStyle w:val="16"/>
              <w:rFonts w:hint="eastAsia" w:ascii="楷体_GB2312" w:eastAsia="楷体_GB2312"/>
            </w:rPr>
            <w:t>（一） 工作背景</w:t>
          </w:r>
          <w:r>
            <w:rPr>
              <w:rFonts w:hint="eastAsia"/>
            </w:rPr>
            <w:tab/>
          </w:r>
          <w:r>
            <w:rPr>
              <w:rFonts w:hint="eastAsia"/>
            </w:rPr>
            <w:fldChar w:fldCharType="begin"/>
          </w:r>
          <w:r>
            <w:rPr>
              <w:rFonts w:hint="eastAsia"/>
            </w:rPr>
            <w:instrText xml:space="preserve"> </w:instrText>
          </w:r>
          <w:r>
            <w:instrText xml:space="preserve">PAGEREF _Toc236834146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1679BE63">
          <w:pPr>
            <w:pStyle w:val="10"/>
            <w:tabs>
              <w:tab w:val="right" w:leader="dot" w:pos="8835"/>
            </w:tabs>
            <w:rPr>
              <w:rFonts w:cstheme="minorBidi"/>
              <w:kern w:val="2"/>
              <w:szCs w:val="24"/>
              <w14:ligatures w14:val="standardContextual"/>
            </w:rPr>
          </w:pPr>
          <w:r>
            <w:fldChar w:fldCharType="begin"/>
          </w:r>
          <w:r>
            <w:instrText xml:space="preserve"> HYPERLINK \l "_Toc236834147" </w:instrText>
          </w:r>
          <w:r>
            <w:fldChar w:fldCharType="separate"/>
          </w:r>
          <w:r>
            <w:rPr>
              <w:rStyle w:val="16"/>
              <w:rFonts w:hint="eastAsia" w:ascii="楷体_GB2312" w:eastAsia="楷体_GB2312"/>
            </w:rPr>
            <w:t>（二） 规划范围</w:t>
          </w:r>
          <w:r>
            <w:rPr>
              <w:rFonts w:hint="eastAsia"/>
            </w:rPr>
            <w:tab/>
          </w:r>
          <w:r>
            <w:rPr>
              <w:rFonts w:hint="eastAsia"/>
            </w:rPr>
            <w:fldChar w:fldCharType="begin"/>
          </w:r>
          <w:r>
            <w:rPr>
              <w:rFonts w:hint="eastAsia"/>
            </w:rPr>
            <w:instrText xml:space="preserve"> </w:instrText>
          </w:r>
          <w:r>
            <w:instrText xml:space="preserve">PAGEREF _Toc236834147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578989D2">
          <w:pPr>
            <w:pStyle w:val="10"/>
            <w:tabs>
              <w:tab w:val="right" w:leader="dot" w:pos="8835"/>
            </w:tabs>
            <w:rPr>
              <w:rFonts w:cstheme="minorBidi"/>
              <w:kern w:val="2"/>
              <w:szCs w:val="24"/>
              <w14:ligatures w14:val="standardContextual"/>
            </w:rPr>
          </w:pPr>
          <w:r>
            <w:fldChar w:fldCharType="begin"/>
          </w:r>
          <w:r>
            <w:instrText xml:space="preserve"> HYPERLINK \l "_Toc236834148" </w:instrText>
          </w:r>
          <w:r>
            <w:fldChar w:fldCharType="separate"/>
          </w:r>
          <w:r>
            <w:rPr>
              <w:rStyle w:val="16"/>
              <w:rFonts w:hint="eastAsia" w:ascii="楷体_GB2312" w:eastAsia="楷体_GB2312"/>
            </w:rPr>
            <w:t>（三） 规划依据</w:t>
          </w:r>
          <w:r>
            <w:rPr>
              <w:rFonts w:hint="eastAsia"/>
            </w:rPr>
            <w:tab/>
          </w:r>
          <w:r>
            <w:rPr>
              <w:rFonts w:hint="eastAsia"/>
            </w:rPr>
            <w:fldChar w:fldCharType="begin"/>
          </w:r>
          <w:r>
            <w:rPr>
              <w:rFonts w:hint="eastAsia"/>
            </w:rPr>
            <w:instrText xml:space="preserve"> </w:instrText>
          </w:r>
          <w:r>
            <w:instrText xml:space="preserve">PAGEREF _Toc236834148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52791D6C">
          <w:pPr>
            <w:pStyle w:val="9"/>
            <w:tabs>
              <w:tab w:val="right" w:leader="dot" w:pos="8835"/>
            </w:tabs>
            <w:rPr>
              <w:rFonts w:cstheme="minorBidi"/>
              <w:kern w:val="2"/>
              <w:szCs w:val="24"/>
              <w14:ligatures w14:val="standardContextual"/>
            </w:rPr>
          </w:pPr>
          <w:r>
            <w:fldChar w:fldCharType="begin"/>
          </w:r>
          <w:r>
            <w:instrText xml:space="preserve"> HYPERLINK \l "_Toc236834149" </w:instrText>
          </w:r>
          <w:r>
            <w:fldChar w:fldCharType="separate"/>
          </w:r>
          <w:r>
            <w:rPr>
              <w:rStyle w:val="16"/>
              <w:rFonts w:hint="eastAsia"/>
            </w:rPr>
            <w:t>二、 “十四五”时期顺义区交通发展建设基础</w:t>
          </w:r>
          <w:r>
            <w:rPr>
              <w:rFonts w:hint="eastAsia"/>
            </w:rPr>
            <w:tab/>
          </w:r>
          <w:r>
            <w:rPr>
              <w:rFonts w:hint="eastAsia"/>
            </w:rPr>
            <w:fldChar w:fldCharType="begin"/>
          </w:r>
          <w:r>
            <w:rPr>
              <w:rFonts w:hint="eastAsia"/>
            </w:rPr>
            <w:instrText xml:space="preserve"> </w:instrText>
          </w:r>
          <w:r>
            <w:instrText xml:space="preserve">PAGEREF _Toc236834149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0B6A93CD">
          <w:pPr>
            <w:pStyle w:val="10"/>
            <w:tabs>
              <w:tab w:val="right" w:leader="dot" w:pos="8835"/>
            </w:tabs>
            <w:rPr>
              <w:rFonts w:cstheme="minorBidi"/>
              <w:kern w:val="2"/>
              <w:szCs w:val="24"/>
              <w14:ligatures w14:val="standardContextual"/>
            </w:rPr>
          </w:pPr>
          <w:r>
            <w:fldChar w:fldCharType="begin"/>
          </w:r>
          <w:r>
            <w:instrText xml:space="preserve"> HYPERLINK \l "_Toc236834150" </w:instrText>
          </w:r>
          <w:r>
            <w:fldChar w:fldCharType="separate"/>
          </w:r>
          <w:r>
            <w:rPr>
              <w:rStyle w:val="16"/>
              <w:rFonts w:hint="eastAsia" w:ascii="楷体_GB2312" w:eastAsia="楷体_GB2312"/>
            </w:rPr>
            <w:t>（一） “十四五”时期交通发展成绩</w:t>
          </w:r>
          <w:r>
            <w:rPr>
              <w:rFonts w:hint="eastAsia"/>
            </w:rPr>
            <w:tab/>
          </w:r>
          <w:r>
            <w:rPr>
              <w:rFonts w:hint="eastAsia"/>
            </w:rPr>
            <w:fldChar w:fldCharType="begin"/>
          </w:r>
          <w:r>
            <w:rPr>
              <w:rFonts w:hint="eastAsia"/>
            </w:rPr>
            <w:instrText xml:space="preserve"> </w:instrText>
          </w:r>
          <w:r>
            <w:instrText xml:space="preserve">PAGEREF _Toc236834150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12B4D19A">
          <w:pPr>
            <w:pStyle w:val="6"/>
            <w:tabs>
              <w:tab w:val="right" w:leader="dot" w:pos="8835"/>
            </w:tabs>
            <w:rPr>
              <w:rFonts w:cstheme="minorBidi"/>
              <w:kern w:val="2"/>
              <w:szCs w:val="24"/>
              <w14:ligatures w14:val="standardContextual"/>
            </w:rPr>
          </w:pPr>
          <w:r>
            <w:fldChar w:fldCharType="begin"/>
          </w:r>
          <w:r>
            <w:instrText xml:space="preserve"> HYPERLINK \l "_Toc236834151" </w:instrText>
          </w:r>
          <w:r>
            <w:fldChar w:fldCharType="separate"/>
          </w:r>
          <w:r>
            <w:rPr>
              <w:rStyle w:val="16"/>
              <w:rFonts w:hint="eastAsia"/>
            </w:rPr>
            <w:t>1. 公交优先战略深化落地，运输效率与接驳服务全面提升</w:t>
          </w:r>
          <w:r>
            <w:rPr>
              <w:rFonts w:hint="eastAsia"/>
            </w:rPr>
            <w:tab/>
          </w:r>
          <w:r>
            <w:rPr>
              <w:rFonts w:hint="eastAsia"/>
            </w:rPr>
            <w:fldChar w:fldCharType="begin"/>
          </w:r>
          <w:r>
            <w:rPr>
              <w:rFonts w:hint="eastAsia"/>
            </w:rPr>
            <w:instrText xml:space="preserve"> </w:instrText>
          </w:r>
          <w:r>
            <w:instrText xml:space="preserve">PAGEREF _Toc236834151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3DD9C847">
          <w:pPr>
            <w:pStyle w:val="6"/>
            <w:tabs>
              <w:tab w:val="right" w:leader="dot" w:pos="8835"/>
            </w:tabs>
            <w:rPr>
              <w:rFonts w:cstheme="minorBidi"/>
              <w:kern w:val="2"/>
              <w:szCs w:val="24"/>
              <w14:ligatures w14:val="standardContextual"/>
            </w:rPr>
          </w:pPr>
          <w:r>
            <w:fldChar w:fldCharType="begin"/>
          </w:r>
          <w:r>
            <w:instrText xml:space="preserve"> HYPERLINK \l "_Toc236834152" </w:instrText>
          </w:r>
          <w:r>
            <w:fldChar w:fldCharType="separate"/>
          </w:r>
          <w:r>
            <w:rPr>
              <w:rStyle w:val="16"/>
              <w:rFonts w:hint="eastAsia"/>
            </w:rPr>
            <w:t>2. 路网结构进一步优化，区域联系不断完善</w:t>
          </w:r>
          <w:r>
            <w:rPr>
              <w:rFonts w:hint="eastAsia"/>
            </w:rPr>
            <w:tab/>
          </w:r>
          <w:r>
            <w:rPr>
              <w:rFonts w:hint="eastAsia"/>
            </w:rPr>
            <w:fldChar w:fldCharType="begin"/>
          </w:r>
          <w:r>
            <w:rPr>
              <w:rFonts w:hint="eastAsia"/>
            </w:rPr>
            <w:instrText xml:space="preserve"> </w:instrText>
          </w:r>
          <w:r>
            <w:instrText xml:space="preserve">PAGEREF _Toc236834152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66E522A2">
          <w:pPr>
            <w:pStyle w:val="6"/>
            <w:tabs>
              <w:tab w:val="right" w:leader="dot" w:pos="8835"/>
            </w:tabs>
            <w:rPr>
              <w:rFonts w:cstheme="minorBidi"/>
              <w:kern w:val="2"/>
              <w:szCs w:val="24"/>
              <w14:ligatures w14:val="standardContextual"/>
            </w:rPr>
          </w:pPr>
          <w:r>
            <w:fldChar w:fldCharType="begin"/>
          </w:r>
          <w:r>
            <w:instrText xml:space="preserve"> HYPERLINK \l "_Toc236834153" </w:instrText>
          </w:r>
          <w:r>
            <w:fldChar w:fldCharType="separate"/>
          </w:r>
          <w:r>
            <w:rPr>
              <w:rStyle w:val="16"/>
              <w:rFonts w:hint="eastAsia"/>
            </w:rPr>
            <w:t>3. 慢行系统持续优化，滨水慢行体验显著提升</w:t>
          </w:r>
          <w:r>
            <w:rPr>
              <w:rFonts w:hint="eastAsia"/>
            </w:rPr>
            <w:tab/>
          </w:r>
          <w:r>
            <w:rPr>
              <w:rFonts w:hint="eastAsia"/>
            </w:rPr>
            <w:fldChar w:fldCharType="begin"/>
          </w:r>
          <w:r>
            <w:rPr>
              <w:rFonts w:hint="eastAsia"/>
            </w:rPr>
            <w:instrText xml:space="preserve"> </w:instrText>
          </w:r>
          <w:r>
            <w:instrText xml:space="preserve">PAGEREF _Toc236834153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F6E8EB1">
          <w:pPr>
            <w:pStyle w:val="6"/>
            <w:tabs>
              <w:tab w:val="right" w:leader="dot" w:pos="8835"/>
            </w:tabs>
            <w:rPr>
              <w:rFonts w:cstheme="minorBidi"/>
              <w:kern w:val="2"/>
              <w:szCs w:val="24"/>
              <w14:ligatures w14:val="standardContextual"/>
            </w:rPr>
          </w:pPr>
          <w:r>
            <w:fldChar w:fldCharType="begin"/>
          </w:r>
          <w:r>
            <w:instrText xml:space="preserve"> HYPERLINK \l "_Toc236834154" </w:instrText>
          </w:r>
          <w:r>
            <w:fldChar w:fldCharType="separate"/>
          </w:r>
          <w:r>
            <w:rPr>
              <w:rStyle w:val="16"/>
              <w:rFonts w:hint="eastAsia"/>
            </w:rPr>
            <w:t>4. 静态交通共享扩容，停车秩序有所改善</w:t>
          </w:r>
          <w:r>
            <w:rPr>
              <w:rFonts w:hint="eastAsia"/>
            </w:rPr>
            <w:tab/>
          </w:r>
          <w:r>
            <w:rPr>
              <w:rFonts w:hint="eastAsia"/>
            </w:rPr>
            <w:fldChar w:fldCharType="begin"/>
          </w:r>
          <w:r>
            <w:rPr>
              <w:rFonts w:hint="eastAsia"/>
            </w:rPr>
            <w:instrText xml:space="preserve"> </w:instrText>
          </w:r>
          <w:r>
            <w:instrText xml:space="preserve">PAGEREF _Toc236834154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4F652771">
          <w:pPr>
            <w:pStyle w:val="6"/>
            <w:tabs>
              <w:tab w:val="right" w:leader="dot" w:pos="8835"/>
            </w:tabs>
            <w:rPr>
              <w:rFonts w:cstheme="minorBidi"/>
              <w:kern w:val="2"/>
              <w:szCs w:val="24"/>
              <w14:ligatures w14:val="standardContextual"/>
            </w:rPr>
          </w:pPr>
          <w:r>
            <w:fldChar w:fldCharType="begin"/>
          </w:r>
          <w:r>
            <w:instrText xml:space="preserve"> HYPERLINK \l "_Toc236834155" </w:instrText>
          </w:r>
          <w:r>
            <w:fldChar w:fldCharType="separate"/>
          </w:r>
          <w:r>
            <w:rPr>
              <w:rStyle w:val="16"/>
              <w:rFonts w:hint="eastAsia"/>
            </w:rPr>
            <w:t>5. 综合治理持续强化，交通秩序不断改善</w:t>
          </w:r>
          <w:r>
            <w:rPr>
              <w:rFonts w:hint="eastAsia"/>
            </w:rPr>
            <w:tab/>
          </w:r>
          <w:r>
            <w:rPr>
              <w:rFonts w:hint="eastAsia"/>
            </w:rPr>
            <w:fldChar w:fldCharType="begin"/>
          </w:r>
          <w:r>
            <w:rPr>
              <w:rFonts w:hint="eastAsia"/>
            </w:rPr>
            <w:instrText xml:space="preserve"> </w:instrText>
          </w:r>
          <w:r>
            <w:instrText xml:space="preserve">PAGEREF _Toc236834155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76A6FFBA">
          <w:pPr>
            <w:pStyle w:val="6"/>
            <w:tabs>
              <w:tab w:val="right" w:leader="dot" w:pos="8835"/>
            </w:tabs>
            <w:rPr>
              <w:rFonts w:cstheme="minorBidi"/>
              <w:kern w:val="2"/>
              <w:szCs w:val="24"/>
              <w14:ligatures w14:val="standardContextual"/>
            </w:rPr>
          </w:pPr>
          <w:r>
            <w:fldChar w:fldCharType="begin"/>
          </w:r>
          <w:r>
            <w:instrText xml:space="preserve"> HYPERLINK \l "_Toc236834156" </w:instrText>
          </w:r>
          <w:r>
            <w:fldChar w:fldCharType="separate"/>
          </w:r>
          <w:r>
            <w:rPr>
              <w:rStyle w:val="16"/>
              <w:rFonts w:hint="eastAsia"/>
            </w:rPr>
            <w:t>6. 货运物流体系与管理制度不断完善</w:t>
          </w:r>
          <w:r>
            <w:rPr>
              <w:rFonts w:hint="eastAsia"/>
            </w:rPr>
            <w:tab/>
          </w:r>
          <w:r>
            <w:rPr>
              <w:rFonts w:hint="eastAsia"/>
            </w:rPr>
            <w:fldChar w:fldCharType="begin"/>
          </w:r>
          <w:r>
            <w:rPr>
              <w:rFonts w:hint="eastAsia"/>
            </w:rPr>
            <w:instrText xml:space="preserve"> </w:instrText>
          </w:r>
          <w:r>
            <w:instrText xml:space="preserve">PAGEREF _Toc236834156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7FAD6F10">
          <w:pPr>
            <w:pStyle w:val="6"/>
            <w:tabs>
              <w:tab w:val="right" w:leader="dot" w:pos="8835"/>
            </w:tabs>
            <w:rPr>
              <w:rFonts w:cstheme="minorBidi"/>
              <w:kern w:val="2"/>
              <w:szCs w:val="24"/>
              <w14:ligatures w14:val="standardContextual"/>
            </w:rPr>
          </w:pPr>
          <w:r>
            <w:fldChar w:fldCharType="begin"/>
          </w:r>
          <w:r>
            <w:instrText xml:space="preserve"> HYPERLINK \l "_Toc236834157" </w:instrText>
          </w:r>
          <w:r>
            <w:fldChar w:fldCharType="separate"/>
          </w:r>
          <w:r>
            <w:rPr>
              <w:rStyle w:val="16"/>
              <w:rFonts w:hint="eastAsia"/>
            </w:rPr>
            <w:t>7. 智慧、低碳交通高速发展</w:t>
          </w:r>
          <w:r>
            <w:rPr>
              <w:rFonts w:hint="eastAsia"/>
            </w:rPr>
            <w:tab/>
          </w:r>
          <w:r>
            <w:rPr>
              <w:rFonts w:hint="eastAsia"/>
            </w:rPr>
            <w:fldChar w:fldCharType="begin"/>
          </w:r>
          <w:r>
            <w:rPr>
              <w:rFonts w:hint="eastAsia"/>
            </w:rPr>
            <w:instrText xml:space="preserve"> </w:instrText>
          </w:r>
          <w:r>
            <w:instrText xml:space="preserve">PAGEREF _Toc236834157 \h</w:instrText>
          </w:r>
          <w:r>
            <w:rPr>
              <w:rFonts w:hint="eastAsia"/>
            </w:rPr>
            <w:instrText xml:space="preserve"> </w:instrText>
          </w:r>
          <w:r>
            <w:rPr>
              <w:rFonts w:hint="eastAsia"/>
            </w:rPr>
            <w:fldChar w:fldCharType="separate"/>
          </w:r>
          <w:r>
            <w:t>- 8 -</w:t>
          </w:r>
          <w:r>
            <w:rPr>
              <w:rFonts w:hint="eastAsia"/>
            </w:rPr>
            <w:fldChar w:fldCharType="end"/>
          </w:r>
          <w:r>
            <w:rPr>
              <w:rFonts w:hint="eastAsia"/>
            </w:rPr>
            <w:fldChar w:fldCharType="end"/>
          </w:r>
        </w:p>
        <w:p w14:paraId="3B8AB99D">
          <w:pPr>
            <w:pStyle w:val="6"/>
            <w:tabs>
              <w:tab w:val="right" w:leader="dot" w:pos="8835"/>
            </w:tabs>
            <w:rPr>
              <w:rFonts w:cstheme="minorBidi"/>
              <w:kern w:val="2"/>
              <w:szCs w:val="24"/>
              <w14:ligatures w14:val="standardContextual"/>
            </w:rPr>
          </w:pPr>
          <w:r>
            <w:fldChar w:fldCharType="begin"/>
          </w:r>
          <w:r>
            <w:instrText xml:space="preserve"> HYPERLINK \l "_Toc236834158" </w:instrText>
          </w:r>
          <w:r>
            <w:fldChar w:fldCharType="separate"/>
          </w:r>
          <w:r>
            <w:rPr>
              <w:rStyle w:val="16"/>
              <w:rFonts w:hint="eastAsia"/>
            </w:rPr>
            <w:t>8. 维护交通安全稳定，落实重大活动保障任务</w:t>
          </w:r>
          <w:r>
            <w:rPr>
              <w:rFonts w:hint="eastAsia"/>
            </w:rPr>
            <w:tab/>
          </w:r>
          <w:r>
            <w:rPr>
              <w:rFonts w:hint="eastAsia"/>
            </w:rPr>
            <w:fldChar w:fldCharType="begin"/>
          </w:r>
          <w:r>
            <w:rPr>
              <w:rFonts w:hint="eastAsia"/>
            </w:rPr>
            <w:instrText xml:space="preserve"> </w:instrText>
          </w:r>
          <w:r>
            <w:instrText xml:space="preserve">PAGEREF _Toc236834158 \h</w:instrText>
          </w:r>
          <w:r>
            <w:rPr>
              <w:rFonts w:hint="eastAsia"/>
            </w:rPr>
            <w:instrText xml:space="preserve"> </w:instrText>
          </w:r>
          <w:r>
            <w:rPr>
              <w:rFonts w:hint="eastAsia"/>
            </w:rPr>
            <w:fldChar w:fldCharType="separate"/>
          </w:r>
          <w:r>
            <w:t>- 8 -</w:t>
          </w:r>
          <w:r>
            <w:rPr>
              <w:rFonts w:hint="eastAsia"/>
            </w:rPr>
            <w:fldChar w:fldCharType="end"/>
          </w:r>
          <w:r>
            <w:rPr>
              <w:rFonts w:hint="eastAsia"/>
            </w:rPr>
            <w:fldChar w:fldCharType="end"/>
          </w:r>
        </w:p>
        <w:p w14:paraId="53FF9F2A">
          <w:pPr>
            <w:pStyle w:val="10"/>
            <w:tabs>
              <w:tab w:val="right" w:leader="dot" w:pos="8835"/>
            </w:tabs>
            <w:rPr>
              <w:rFonts w:cstheme="minorBidi"/>
              <w:kern w:val="2"/>
              <w:szCs w:val="24"/>
              <w14:ligatures w14:val="standardContextual"/>
            </w:rPr>
          </w:pPr>
          <w:r>
            <w:fldChar w:fldCharType="begin"/>
          </w:r>
          <w:r>
            <w:instrText xml:space="preserve"> HYPERLINK \l "_Toc236834159" </w:instrText>
          </w:r>
          <w:r>
            <w:fldChar w:fldCharType="separate"/>
          </w:r>
          <w:r>
            <w:rPr>
              <w:rStyle w:val="16"/>
              <w:rFonts w:hint="eastAsia" w:ascii="楷体_GB2312" w:eastAsia="楷体_GB2312"/>
            </w:rPr>
            <w:t>（二） 存在问题</w:t>
          </w:r>
          <w:r>
            <w:rPr>
              <w:rFonts w:hint="eastAsia"/>
            </w:rPr>
            <w:tab/>
          </w:r>
          <w:r>
            <w:rPr>
              <w:rFonts w:hint="eastAsia"/>
            </w:rPr>
            <w:fldChar w:fldCharType="begin"/>
          </w:r>
          <w:r>
            <w:rPr>
              <w:rFonts w:hint="eastAsia"/>
            </w:rPr>
            <w:instrText xml:space="preserve"> </w:instrText>
          </w:r>
          <w:r>
            <w:instrText xml:space="preserve">PAGEREF _Toc236834159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14:paraId="1089F403">
          <w:pPr>
            <w:pStyle w:val="9"/>
            <w:tabs>
              <w:tab w:val="right" w:leader="dot" w:pos="8835"/>
            </w:tabs>
            <w:rPr>
              <w:rFonts w:cstheme="minorBidi"/>
              <w:kern w:val="2"/>
              <w:szCs w:val="24"/>
              <w14:ligatures w14:val="standardContextual"/>
            </w:rPr>
          </w:pPr>
          <w:r>
            <w:fldChar w:fldCharType="begin"/>
          </w:r>
          <w:r>
            <w:instrText xml:space="preserve"> HYPERLINK \l "_Toc236834160" </w:instrText>
          </w:r>
          <w:r>
            <w:fldChar w:fldCharType="separate"/>
          </w:r>
          <w:r>
            <w:rPr>
              <w:rStyle w:val="16"/>
              <w:rFonts w:hint="eastAsia"/>
            </w:rPr>
            <w:t>三、 “十五五”时期顺义区交通发展形势</w:t>
          </w:r>
          <w:r>
            <w:rPr>
              <w:rFonts w:hint="eastAsia"/>
            </w:rPr>
            <w:tab/>
          </w:r>
          <w:r>
            <w:rPr>
              <w:rFonts w:hint="eastAsia"/>
            </w:rPr>
            <w:fldChar w:fldCharType="begin"/>
          </w:r>
          <w:r>
            <w:rPr>
              <w:rFonts w:hint="eastAsia"/>
            </w:rPr>
            <w:instrText xml:space="preserve"> </w:instrText>
          </w:r>
          <w:r>
            <w:instrText xml:space="preserve">PAGEREF _Toc236834160 \h</w:instrText>
          </w:r>
          <w:r>
            <w:rPr>
              <w:rFonts w:hint="eastAsia"/>
            </w:rPr>
            <w:instrText xml:space="preserve"> </w:instrText>
          </w:r>
          <w:r>
            <w:rPr>
              <w:rFonts w:hint="eastAsia"/>
            </w:rPr>
            <w:fldChar w:fldCharType="separate"/>
          </w:r>
          <w:r>
            <w:t>- 10 -</w:t>
          </w:r>
          <w:r>
            <w:rPr>
              <w:rFonts w:hint="eastAsia"/>
            </w:rPr>
            <w:fldChar w:fldCharType="end"/>
          </w:r>
          <w:r>
            <w:rPr>
              <w:rFonts w:hint="eastAsia"/>
            </w:rPr>
            <w:fldChar w:fldCharType="end"/>
          </w:r>
        </w:p>
        <w:p w14:paraId="1762E432">
          <w:pPr>
            <w:pStyle w:val="10"/>
            <w:tabs>
              <w:tab w:val="right" w:leader="dot" w:pos="8835"/>
            </w:tabs>
            <w:rPr>
              <w:rFonts w:cstheme="minorBidi"/>
              <w:kern w:val="2"/>
              <w:szCs w:val="24"/>
              <w14:ligatures w14:val="standardContextual"/>
            </w:rPr>
          </w:pPr>
          <w:r>
            <w:fldChar w:fldCharType="begin"/>
          </w:r>
          <w:r>
            <w:instrText xml:space="preserve"> HYPERLINK \l "_Toc236834161" </w:instrText>
          </w:r>
          <w:r>
            <w:fldChar w:fldCharType="separate"/>
          </w:r>
          <w:r>
            <w:rPr>
              <w:rStyle w:val="16"/>
              <w:rFonts w:hint="eastAsia" w:ascii="楷体_GB2312" w:eastAsia="楷体_GB2312"/>
            </w:rPr>
            <w:t>（一） 服务核心战略定位，构建多层次立体交通网络</w:t>
          </w:r>
          <w:r>
            <w:rPr>
              <w:rFonts w:hint="eastAsia"/>
            </w:rPr>
            <w:tab/>
          </w:r>
          <w:r>
            <w:rPr>
              <w:rFonts w:hint="eastAsia"/>
            </w:rPr>
            <w:fldChar w:fldCharType="begin"/>
          </w:r>
          <w:r>
            <w:rPr>
              <w:rFonts w:hint="eastAsia"/>
            </w:rPr>
            <w:instrText xml:space="preserve"> </w:instrText>
          </w:r>
          <w:r>
            <w:instrText xml:space="preserve">PAGEREF _Toc236834161 \h</w:instrText>
          </w:r>
          <w:r>
            <w:rPr>
              <w:rFonts w:hint="eastAsia"/>
            </w:rPr>
            <w:instrText xml:space="preserve"> </w:instrText>
          </w:r>
          <w:r>
            <w:rPr>
              <w:rFonts w:hint="eastAsia"/>
            </w:rPr>
            <w:fldChar w:fldCharType="separate"/>
          </w:r>
          <w:r>
            <w:t>- 10 -</w:t>
          </w:r>
          <w:r>
            <w:rPr>
              <w:rFonts w:hint="eastAsia"/>
            </w:rPr>
            <w:fldChar w:fldCharType="end"/>
          </w:r>
          <w:r>
            <w:rPr>
              <w:rFonts w:hint="eastAsia"/>
            </w:rPr>
            <w:fldChar w:fldCharType="end"/>
          </w:r>
        </w:p>
        <w:p w14:paraId="47D9021E">
          <w:pPr>
            <w:pStyle w:val="10"/>
            <w:tabs>
              <w:tab w:val="right" w:leader="dot" w:pos="8835"/>
            </w:tabs>
            <w:rPr>
              <w:rFonts w:cstheme="minorBidi"/>
              <w:kern w:val="2"/>
              <w:szCs w:val="24"/>
              <w14:ligatures w14:val="standardContextual"/>
            </w:rPr>
          </w:pPr>
          <w:r>
            <w:fldChar w:fldCharType="begin"/>
          </w:r>
          <w:r>
            <w:instrText xml:space="preserve"> HYPERLINK \l "_Toc236834162" </w:instrText>
          </w:r>
          <w:r>
            <w:fldChar w:fldCharType="separate"/>
          </w:r>
          <w:r>
            <w:rPr>
              <w:rStyle w:val="16"/>
              <w:rFonts w:hint="eastAsia" w:ascii="楷体_GB2312" w:eastAsia="楷体_GB2312"/>
            </w:rPr>
            <w:t>（二） 服务产业发展，构建产城融合的高标准交通体系</w:t>
          </w:r>
          <w:r>
            <w:rPr>
              <w:rFonts w:hint="eastAsia"/>
            </w:rPr>
            <w:tab/>
          </w:r>
          <w:r>
            <w:rPr>
              <w:rFonts w:hint="eastAsia"/>
            </w:rPr>
            <w:fldChar w:fldCharType="begin"/>
          </w:r>
          <w:r>
            <w:rPr>
              <w:rFonts w:hint="eastAsia"/>
            </w:rPr>
            <w:instrText xml:space="preserve"> </w:instrText>
          </w:r>
          <w:r>
            <w:instrText xml:space="preserve">PAGEREF _Toc236834162 \h</w:instrText>
          </w:r>
          <w:r>
            <w:rPr>
              <w:rFonts w:hint="eastAsia"/>
            </w:rPr>
            <w:instrText xml:space="preserve"> </w:instrText>
          </w:r>
          <w:r>
            <w:rPr>
              <w:rFonts w:hint="eastAsia"/>
            </w:rPr>
            <w:fldChar w:fldCharType="separate"/>
          </w:r>
          <w:r>
            <w:t>- 11 -</w:t>
          </w:r>
          <w:r>
            <w:rPr>
              <w:rFonts w:hint="eastAsia"/>
            </w:rPr>
            <w:fldChar w:fldCharType="end"/>
          </w:r>
          <w:r>
            <w:rPr>
              <w:rFonts w:hint="eastAsia"/>
            </w:rPr>
            <w:fldChar w:fldCharType="end"/>
          </w:r>
        </w:p>
        <w:p w14:paraId="6B331C53">
          <w:pPr>
            <w:pStyle w:val="10"/>
            <w:tabs>
              <w:tab w:val="right" w:leader="dot" w:pos="8835"/>
            </w:tabs>
            <w:rPr>
              <w:rFonts w:cstheme="minorBidi"/>
              <w:kern w:val="2"/>
              <w:szCs w:val="24"/>
              <w14:ligatures w14:val="standardContextual"/>
            </w:rPr>
          </w:pPr>
          <w:r>
            <w:fldChar w:fldCharType="begin"/>
          </w:r>
          <w:r>
            <w:instrText xml:space="preserve"> HYPERLINK \l "_Toc236834163" </w:instrText>
          </w:r>
          <w:r>
            <w:fldChar w:fldCharType="separate"/>
          </w:r>
          <w:r>
            <w:rPr>
              <w:rStyle w:val="16"/>
              <w:rFonts w:hint="eastAsia" w:ascii="楷体_GB2312" w:eastAsia="楷体_GB2312"/>
            </w:rPr>
            <w:t>（三） 服务老城更新，构建绿色、智慧导向的出行服务升级</w:t>
          </w:r>
          <w:r>
            <w:rPr>
              <w:rFonts w:hint="eastAsia"/>
            </w:rPr>
            <w:tab/>
          </w:r>
          <w:r>
            <w:rPr>
              <w:rFonts w:hint="eastAsia"/>
            </w:rPr>
            <w:fldChar w:fldCharType="begin"/>
          </w:r>
          <w:r>
            <w:rPr>
              <w:rFonts w:hint="eastAsia"/>
            </w:rPr>
            <w:instrText xml:space="preserve"> </w:instrText>
          </w:r>
          <w:r>
            <w:instrText xml:space="preserve">PAGEREF _Toc236834163 \h</w:instrText>
          </w:r>
          <w:r>
            <w:rPr>
              <w:rFonts w:hint="eastAsia"/>
            </w:rPr>
            <w:instrText xml:space="preserve"> </w:instrText>
          </w:r>
          <w:r>
            <w:rPr>
              <w:rFonts w:hint="eastAsia"/>
            </w:rPr>
            <w:fldChar w:fldCharType="separate"/>
          </w:r>
          <w:r>
            <w:t>- 11 -</w:t>
          </w:r>
          <w:r>
            <w:rPr>
              <w:rFonts w:hint="eastAsia"/>
            </w:rPr>
            <w:fldChar w:fldCharType="end"/>
          </w:r>
          <w:r>
            <w:rPr>
              <w:rFonts w:hint="eastAsia"/>
            </w:rPr>
            <w:fldChar w:fldCharType="end"/>
          </w:r>
        </w:p>
        <w:p w14:paraId="22D29DC8">
          <w:pPr>
            <w:pStyle w:val="10"/>
            <w:tabs>
              <w:tab w:val="right" w:leader="dot" w:pos="8835"/>
            </w:tabs>
            <w:rPr>
              <w:rFonts w:cstheme="minorBidi"/>
              <w:kern w:val="2"/>
              <w:szCs w:val="24"/>
              <w14:ligatures w14:val="standardContextual"/>
            </w:rPr>
          </w:pPr>
          <w:r>
            <w:fldChar w:fldCharType="begin"/>
          </w:r>
          <w:r>
            <w:instrText xml:space="preserve"> HYPERLINK \l "_Toc236834164" </w:instrText>
          </w:r>
          <w:r>
            <w:fldChar w:fldCharType="separate"/>
          </w:r>
          <w:r>
            <w:rPr>
              <w:rStyle w:val="16"/>
              <w:rFonts w:hint="eastAsia" w:ascii="楷体_GB2312" w:eastAsia="楷体_GB2312"/>
            </w:rPr>
            <w:t>（四） 服务安全韧性，打造可持续交通标杆</w:t>
          </w:r>
          <w:r>
            <w:rPr>
              <w:rFonts w:hint="eastAsia"/>
            </w:rPr>
            <w:tab/>
          </w:r>
          <w:r>
            <w:rPr>
              <w:rFonts w:hint="eastAsia"/>
            </w:rPr>
            <w:fldChar w:fldCharType="begin"/>
          </w:r>
          <w:r>
            <w:rPr>
              <w:rFonts w:hint="eastAsia"/>
            </w:rPr>
            <w:instrText xml:space="preserve"> </w:instrText>
          </w:r>
          <w:r>
            <w:instrText xml:space="preserve">PAGEREF _Toc236834164 \h</w:instrText>
          </w:r>
          <w:r>
            <w:rPr>
              <w:rFonts w:hint="eastAsia"/>
            </w:rPr>
            <w:instrText xml:space="preserve"> </w:instrText>
          </w:r>
          <w:r>
            <w:rPr>
              <w:rFonts w:hint="eastAsia"/>
            </w:rPr>
            <w:fldChar w:fldCharType="separate"/>
          </w:r>
          <w:r>
            <w:t>- 12 -</w:t>
          </w:r>
          <w:r>
            <w:rPr>
              <w:rFonts w:hint="eastAsia"/>
            </w:rPr>
            <w:fldChar w:fldCharType="end"/>
          </w:r>
          <w:r>
            <w:rPr>
              <w:rFonts w:hint="eastAsia"/>
            </w:rPr>
            <w:fldChar w:fldCharType="end"/>
          </w:r>
        </w:p>
        <w:p w14:paraId="04FBBE6D">
          <w:pPr>
            <w:pStyle w:val="9"/>
            <w:tabs>
              <w:tab w:val="right" w:leader="dot" w:pos="8835"/>
            </w:tabs>
            <w:rPr>
              <w:rFonts w:cstheme="minorBidi"/>
              <w:kern w:val="2"/>
              <w:szCs w:val="24"/>
              <w14:ligatures w14:val="standardContextual"/>
            </w:rPr>
          </w:pPr>
          <w:r>
            <w:fldChar w:fldCharType="begin"/>
          </w:r>
          <w:r>
            <w:instrText xml:space="preserve"> HYPERLINK \l "_Toc236834165" </w:instrText>
          </w:r>
          <w:r>
            <w:fldChar w:fldCharType="separate"/>
          </w:r>
          <w:r>
            <w:rPr>
              <w:rStyle w:val="16"/>
              <w:rFonts w:hint="eastAsia"/>
            </w:rPr>
            <w:t>四、 “十五五”时期现代化综合交通体系发展重点任务</w:t>
          </w:r>
          <w:r>
            <w:rPr>
              <w:rFonts w:hint="eastAsia"/>
            </w:rPr>
            <w:tab/>
          </w:r>
          <w:r>
            <w:rPr>
              <w:rFonts w:hint="eastAsia"/>
            </w:rPr>
            <w:fldChar w:fldCharType="begin"/>
          </w:r>
          <w:r>
            <w:rPr>
              <w:rFonts w:hint="eastAsia"/>
            </w:rPr>
            <w:instrText xml:space="preserve"> </w:instrText>
          </w:r>
          <w:r>
            <w:instrText xml:space="preserve">PAGEREF _Toc236834165 \h</w:instrText>
          </w:r>
          <w:r>
            <w:rPr>
              <w:rFonts w:hint="eastAsia"/>
            </w:rPr>
            <w:instrText xml:space="preserve"> </w:instrText>
          </w:r>
          <w:r>
            <w:rPr>
              <w:rFonts w:hint="eastAsia"/>
            </w:rPr>
            <w:fldChar w:fldCharType="separate"/>
          </w:r>
          <w:r>
            <w:t>- 12 -</w:t>
          </w:r>
          <w:r>
            <w:rPr>
              <w:rFonts w:hint="eastAsia"/>
            </w:rPr>
            <w:fldChar w:fldCharType="end"/>
          </w:r>
          <w:r>
            <w:rPr>
              <w:rFonts w:hint="eastAsia"/>
            </w:rPr>
            <w:fldChar w:fldCharType="end"/>
          </w:r>
        </w:p>
        <w:p w14:paraId="48C51AFD">
          <w:pPr>
            <w:pStyle w:val="10"/>
            <w:tabs>
              <w:tab w:val="right" w:leader="dot" w:pos="8835"/>
            </w:tabs>
            <w:rPr>
              <w:rFonts w:cstheme="minorBidi"/>
              <w:kern w:val="2"/>
              <w:szCs w:val="24"/>
              <w14:ligatures w14:val="standardContextual"/>
            </w:rPr>
          </w:pPr>
          <w:r>
            <w:fldChar w:fldCharType="begin"/>
          </w:r>
          <w:r>
            <w:instrText xml:space="preserve"> HYPERLINK \l "_Toc236834166" </w:instrText>
          </w:r>
          <w:r>
            <w:fldChar w:fldCharType="separate"/>
          </w:r>
          <w:r>
            <w:rPr>
              <w:rStyle w:val="16"/>
              <w:rFonts w:hint="eastAsia" w:ascii="楷体_GB2312" w:eastAsia="楷体_GB2312"/>
            </w:rPr>
            <w:t>（一） 发展目标与思路</w:t>
          </w:r>
          <w:r>
            <w:rPr>
              <w:rFonts w:hint="eastAsia"/>
            </w:rPr>
            <w:tab/>
          </w:r>
          <w:r>
            <w:rPr>
              <w:rFonts w:hint="eastAsia"/>
            </w:rPr>
            <w:fldChar w:fldCharType="begin"/>
          </w:r>
          <w:r>
            <w:rPr>
              <w:rFonts w:hint="eastAsia"/>
            </w:rPr>
            <w:instrText xml:space="preserve"> </w:instrText>
          </w:r>
          <w:r>
            <w:instrText xml:space="preserve">PAGEREF _Toc236834166 \h</w:instrText>
          </w:r>
          <w:r>
            <w:rPr>
              <w:rFonts w:hint="eastAsia"/>
            </w:rPr>
            <w:instrText xml:space="preserve"> </w:instrText>
          </w:r>
          <w:r>
            <w:rPr>
              <w:rFonts w:hint="eastAsia"/>
            </w:rPr>
            <w:fldChar w:fldCharType="separate"/>
          </w:r>
          <w:r>
            <w:t>- 12 -</w:t>
          </w:r>
          <w:r>
            <w:rPr>
              <w:rFonts w:hint="eastAsia"/>
            </w:rPr>
            <w:fldChar w:fldCharType="end"/>
          </w:r>
          <w:r>
            <w:rPr>
              <w:rFonts w:hint="eastAsia"/>
            </w:rPr>
            <w:fldChar w:fldCharType="end"/>
          </w:r>
        </w:p>
        <w:p w14:paraId="4CA92903">
          <w:pPr>
            <w:pStyle w:val="10"/>
            <w:tabs>
              <w:tab w:val="right" w:leader="dot" w:pos="8835"/>
            </w:tabs>
            <w:rPr>
              <w:rFonts w:cstheme="minorBidi"/>
              <w:kern w:val="2"/>
              <w:szCs w:val="24"/>
              <w14:ligatures w14:val="standardContextual"/>
            </w:rPr>
          </w:pPr>
          <w:r>
            <w:fldChar w:fldCharType="begin"/>
          </w:r>
          <w:r>
            <w:instrText xml:space="preserve"> HYPERLINK \l "_Toc236834167" </w:instrText>
          </w:r>
          <w:r>
            <w:fldChar w:fldCharType="separate"/>
          </w:r>
          <w:r>
            <w:rPr>
              <w:rStyle w:val="16"/>
              <w:rFonts w:hint="eastAsia" w:ascii="楷体_GB2312" w:eastAsia="楷体_GB2312"/>
            </w:rPr>
            <w:t>（二） 重点任务</w:t>
          </w:r>
          <w:r>
            <w:rPr>
              <w:rFonts w:hint="eastAsia"/>
            </w:rPr>
            <w:tab/>
          </w:r>
          <w:r>
            <w:rPr>
              <w:rFonts w:hint="eastAsia"/>
            </w:rPr>
            <w:fldChar w:fldCharType="begin"/>
          </w:r>
          <w:r>
            <w:rPr>
              <w:rFonts w:hint="eastAsia"/>
            </w:rPr>
            <w:instrText xml:space="preserve"> </w:instrText>
          </w:r>
          <w:r>
            <w:instrText xml:space="preserve">PAGEREF _Toc236834167 \h</w:instrText>
          </w:r>
          <w:r>
            <w:rPr>
              <w:rFonts w:hint="eastAsia"/>
            </w:rPr>
            <w:instrText xml:space="preserve"> </w:instrText>
          </w:r>
          <w:r>
            <w:rPr>
              <w:rFonts w:hint="eastAsia"/>
            </w:rPr>
            <w:fldChar w:fldCharType="separate"/>
          </w:r>
          <w:r>
            <w:t>- 13 -</w:t>
          </w:r>
          <w:r>
            <w:rPr>
              <w:rFonts w:hint="eastAsia"/>
            </w:rPr>
            <w:fldChar w:fldCharType="end"/>
          </w:r>
          <w:r>
            <w:rPr>
              <w:rFonts w:hint="eastAsia"/>
            </w:rPr>
            <w:fldChar w:fldCharType="end"/>
          </w:r>
        </w:p>
        <w:p w14:paraId="10972E69">
          <w:pPr>
            <w:pStyle w:val="6"/>
            <w:tabs>
              <w:tab w:val="right" w:leader="dot" w:pos="8835"/>
            </w:tabs>
            <w:rPr>
              <w:rFonts w:cstheme="minorBidi"/>
              <w:kern w:val="2"/>
              <w:szCs w:val="24"/>
              <w14:ligatures w14:val="standardContextual"/>
            </w:rPr>
          </w:pPr>
          <w:r>
            <w:fldChar w:fldCharType="begin"/>
          </w:r>
          <w:r>
            <w:instrText xml:space="preserve"> HYPERLINK \l "_Toc236834168" </w:instrText>
          </w:r>
          <w:r>
            <w:fldChar w:fldCharType="separate"/>
          </w:r>
          <w:r>
            <w:rPr>
              <w:rStyle w:val="16"/>
              <w:rFonts w:hint="eastAsia"/>
            </w:rPr>
            <w:t>1. 构建畅通、高效的对外交通网络</w:t>
          </w:r>
          <w:r>
            <w:rPr>
              <w:rFonts w:hint="eastAsia"/>
            </w:rPr>
            <w:tab/>
          </w:r>
          <w:r>
            <w:rPr>
              <w:rFonts w:hint="eastAsia"/>
            </w:rPr>
            <w:fldChar w:fldCharType="begin"/>
          </w:r>
          <w:r>
            <w:rPr>
              <w:rFonts w:hint="eastAsia"/>
            </w:rPr>
            <w:instrText xml:space="preserve"> </w:instrText>
          </w:r>
          <w:r>
            <w:instrText xml:space="preserve">PAGEREF _Toc236834168 \h</w:instrText>
          </w:r>
          <w:r>
            <w:rPr>
              <w:rFonts w:hint="eastAsia"/>
            </w:rPr>
            <w:instrText xml:space="preserve"> </w:instrText>
          </w:r>
          <w:r>
            <w:rPr>
              <w:rFonts w:hint="eastAsia"/>
            </w:rPr>
            <w:fldChar w:fldCharType="separate"/>
          </w:r>
          <w:r>
            <w:t>- 13 -</w:t>
          </w:r>
          <w:r>
            <w:rPr>
              <w:rFonts w:hint="eastAsia"/>
            </w:rPr>
            <w:fldChar w:fldCharType="end"/>
          </w:r>
          <w:r>
            <w:rPr>
              <w:rFonts w:hint="eastAsia"/>
            </w:rPr>
            <w:fldChar w:fldCharType="end"/>
          </w:r>
        </w:p>
        <w:p w14:paraId="12DC2F37">
          <w:pPr>
            <w:pStyle w:val="6"/>
            <w:tabs>
              <w:tab w:val="right" w:leader="dot" w:pos="8835"/>
            </w:tabs>
            <w:rPr>
              <w:rFonts w:cstheme="minorBidi"/>
              <w:kern w:val="2"/>
              <w:szCs w:val="24"/>
              <w14:ligatures w14:val="standardContextual"/>
            </w:rPr>
          </w:pPr>
          <w:r>
            <w:fldChar w:fldCharType="begin"/>
          </w:r>
          <w:r>
            <w:instrText xml:space="preserve"> HYPERLINK \l "_Toc236834169" </w:instrText>
          </w:r>
          <w:r>
            <w:fldChar w:fldCharType="separate"/>
          </w:r>
          <w:r>
            <w:rPr>
              <w:rStyle w:val="16"/>
              <w:rFonts w:hint="eastAsia"/>
            </w:rPr>
            <w:t>2. 打造高水平对内交通，支撑平原新城发展</w:t>
          </w:r>
          <w:r>
            <w:rPr>
              <w:rFonts w:hint="eastAsia"/>
            </w:rPr>
            <w:tab/>
          </w:r>
          <w:r>
            <w:rPr>
              <w:rFonts w:hint="eastAsia"/>
            </w:rPr>
            <w:fldChar w:fldCharType="begin"/>
          </w:r>
          <w:r>
            <w:rPr>
              <w:rFonts w:hint="eastAsia"/>
            </w:rPr>
            <w:instrText xml:space="preserve"> </w:instrText>
          </w:r>
          <w:r>
            <w:instrText xml:space="preserve">PAGEREF _Toc236834169 \h</w:instrText>
          </w:r>
          <w:r>
            <w:rPr>
              <w:rFonts w:hint="eastAsia"/>
            </w:rPr>
            <w:instrText xml:space="preserve"> </w:instrText>
          </w:r>
          <w:r>
            <w:rPr>
              <w:rFonts w:hint="eastAsia"/>
            </w:rPr>
            <w:fldChar w:fldCharType="separate"/>
          </w:r>
          <w:r>
            <w:t>- 14 -</w:t>
          </w:r>
          <w:r>
            <w:rPr>
              <w:rFonts w:hint="eastAsia"/>
            </w:rPr>
            <w:fldChar w:fldCharType="end"/>
          </w:r>
          <w:r>
            <w:rPr>
              <w:rFonts w:hint="eastAsia"/>
            </w:rPr>
            <w:fldChar w:fldCharType="end"/>
          </w:r>
        </w:p>
        <w:p w14:paraId="240C05E2">
          <w:pPr>
            <w:pStyle w:val="6"/>
            <w:tabs>
              <w:tab w:val="right" w:leader="dot" w:pos="8835"/>
            </w:tabs>
            <w:rPr>
              <w:rFonts w:cstheme="minorBidi"/>
              <w:kern w:val="2"/>
              <w:szCs w:val="24"/>
              <w14:ligatures w14:val="standardContextual"/>
            </w:rPr>
          </w:pPr>
          <w:r>
            <w:fldChar w:fldCharType="begin"/>
          </w:r>
          <w:r>
            <w:instrText xml:space="preserve"> HYPERLINK \l "_Toc236834170" </w:instrText>
          </w:r>
          <w:r>
            <w:fldChar w:fldCharType="separate"/>
          </w:r>
          <w:r>
            <w:rPr>
              <w:rStyle w:val="16"/>
              <w:rFonts w:hint="eastAsia"/>
            </w:rPr>
            <w:t>3. 打造便捷、智慧的绿色交通体系</w:t>
          </w:r>
          <w:r>
            <w:rPr>
              <w:rFonts w:hint="eastAsia"/>
            </w:rPr>
            <w:tab/>
          </w:r>
          <w:r>
            <w:rPr>
              <w:rFonts w:hint="eastAsia"/>
            </w:rPr>
            <w:fldChar w:fldCharType="begin"/>
          </w:r>
          <w:r>
            <w:rPr>
              <w:rFonts w:hint="eastAsia"/>
            </w:rPr>
            <w:instrText xml:space="preserve"> </w:instrText>
          </w:r>
          <w:r>
            <w:instrText xml:space="preserve">PAGEREF _Toc236834170 \h</w:instrText>
          </w:r>
          <w:r>
            <w:rPr>
              <w:rFonts w:hint="eastAsia"/>
            </w:rPr>
            <w:instrText xml:space="preserve"> </w:instrText>
          </w:r>
          <w:r>
            <w:rPr>
              <w:rFonts w:hint="eastAsia"/>
            </w:rPr>
            <w:fldChar w:fldCharType="separate"/>
          </w:r>
          <w:r>
            <w:t>- 17 -</w:t>
          </w:r>
          <w:r>
            <w:rPr>
              <w:rFonts w:hint="eastAsia"/>
            </w:rPr>
            <w:fldChar w:fldCharType="end"/>
          </w:r>
          <w:r>
            <w:rPr>
              <w:rFonts w:hint="eastAsia"/>
            </w:rPr>
            <w:fldChar w:fldCharType="end"/>
          </w:r>
        </w:p>
        <w:p w14:paraId="7C4A6BB7">
          <w:pPr>
            <w:pStyle w:val="6"/>
            <w:tabs>
              <w:tab w:val="right" w:leader="dot" w:pos="8835"/>
            </w:tabs>
            <w:rPr>
              <w:rFonts w:cstheme="minorBidi"/>
              <w:kern w:val="2"/>
              <w:szCs w:val="24"/>
              <w14:ligatures w14:val="standardContextual"/>
            </w:rPr>
          </w:pPr>
          <w:r>
            <w:fldChar w:fldCharType="begin"/>
          </w:r>
          <w:r>
            <w:instrText xml:space="preserve"> HYPERLINK \l "_Toc236834171" </w:instrText>
          </w:r>
          <w:r>
            <w:fldChar w:fldCharType="separate"/>
          </w:r>
          <w:r>
            <w:rPr>
              <w:rStyle w:val="16"/>
              <w:rFonts w:hint="eastAsia"/>
            </w:rPr>
            <w:t>4. 持续开展交通综合治理</w:t>
          </w:r>
          <w:r>
            <w:rPr>
              <w:rFonts w:hint="eastAsia"/>
            </w:rPr>
            <w:tab/>
          </w:r>
          <w:r>
            <w:rPr>
              <w:rFonts w:hint="eastAsia"/>
            </w:rPr>
            <w:fldChar w:fldCharType="begin"/>
          </w:r>
          <w:r>
            <w:rPr>
              <w:rFonts w:hint="eastAsia"/>
            </w:rPr>
            <w:instrText xml:space="preserve"> </w:instrText>
          </w:r>
          <w:r>
            <w:instrText xml:space="preserve">PAGEREF _Toc236834171 \h</w:instrText>
          </w:r>
          <w:r>
            <w:rPr>
              <w:rFonts w:hint="eastAsia"/>
            </w:rPr>
            <w:instrText xml:space="preserve"> </w:instrText>
          </w:r>
          <w:r>
            <w:rPr>
              <w:rFonts w:hint="eastAsia"/>
            </w:rPr>
            <w:fldChar w:fldCharType="separate"/>
          </w:r>
          <w:r>
            <w:t>- 19 -</w:t>
          </w:r>
          <w:r>
            <w:rPr>
              <w:rFonts w:hint="eastAsia"/>
            </w:rPr>
            <w:fldChar w:fldCharType="end"/>
          </w:r>
          <w:r>
            <w:rPr>
              <w:rFonts w:hint="eastAsia"/>
            </w:rPr>
            <w:fldChar w:fldCharType="end"/>
          </w:r>
        </w:p>
        <w:p w14:paraId="4E1349A9">
          <w:pPr>
            <w:pStyle w:val="6"/>
            <w:tabs>
              <w:tab w:val="right" w:leader="dot" w:pos="8835"/>
            </w:tabs>
            <w:rPr>
              <w:rFonts w:cstheme="minorBidi"/>
              <w:kern w:val="2"/>
              <w:szCs w:val="24"/>
              <w14:ligatures w14:val="standardContextual"/>
            </w:rPr>
          </w:pPr>
          <w:r>
            <w:fldChar w:fldCharType="begin"/>
          </w:r>
          <w:r>
            <w:instrText xml:space="preserve"> HYPERLINK \l "_Toc236834172" </w:instrText>
          </w:r>
          <w:r>
            <w:fldChar w:fldCharType="separate"/>
          </w:r>
          <w:r>
            <w:rPr>
              <w:rStyle w:val="16"/>
              <w:rFonts w:hint="eastAsia"/>
            </w:rPr>
            <w:t>5. 打造以公路运输为主、其他多种方式联运的的货物运输结构</w:t>
          </w:r>
          <w:r>
            <w:rPr>
              <w:rFonts w:hint="eastAsia"/>
            </w:rPr>
            <w:tab/>
          </w:r>
          <w:r>
            <w:rPr>
              <w:rFonts w:hint="eastAsia"/>
            </w:rPr>
            <w:fldChar w:fldCharType="begin"/>
          </w:r>
          <w:r>
            <w:rPr>
              <w:rFonts w:hint="eastAsia"/>
            </w:rPr>
            <w:instrText xml:space="preserve"> </w:instrText>
          </w:r>
          <w:r>
            <w:instrText xml:space="preserve">PAGEREF _Toc236834172 \h</w:instrText>
          </w:r>
          <w:r>
            <w:rPr>
              <w:rFonts w:hint="eastAsia"/>
            </w:rPr>
            <w:instrText xml:space="preserve"> </w:instrText>
          </w:r>
          <w:r>
            <w:rPr>
              <w:rFonts w:hint="eastAsia"/>
            </w:rPr>
            <w:fldChar w:fldCharType="separate"/>
          </w:r>
          <w:r>
            <w:t>- 21 -</w:t>
          </w:r>
          <w:r>
            <w:rPr>
              <w:rFonts w:hint="eastAsia"/>
            </w:rPr>
            <w:fldChar w:fldCharType="end"/>
          </w:r>
          <w:r>
            <w:rPr>
              <w:rFonts w:hint="eastAsia"/>
            </w:rPr>
            <w:fldChar w:fldCharType="end"/>
          </w:r>
        </w:p>
        <w:p w14:paraId="54FDADBD">
          <w:pPr>
            <w:pStyle w:val="6"/>
            <w:tabs>
              <w:tab w:val="right" w:leader="dot" w:pos="8835"/>
            </w:tabs>
            <w:rPr>
              <w:rFonts w:cstheme="minorBidi"/>
              <w:kern w:val="2"/>
              <w:szCs w:val="24"/>
              <w14:ligatures w14:val="standardContextual"/>
            </w:rPr>
          </w:pPr>
          <w:r>
            <w:fldChar w:fldCharType="begin"/>
          </w:r>
          <w:r>
            <w:instrText xml:space="preserve"> HYPERLINK \l "_Toc236834173" </w:instrText>
          </w:r>
          <w:r>
            <w:fldChar w:fldCharType="separate"/>
          </w:r>
          <w:r>
            <w:rPr>
              <w:rStyle w:val="16"/>
              <w:rFonts w:hint="eastAsia"/>
            </w:rPr>
            <w:t>6. 打造安全、韧性的可持续交通系统</w:t>
          </w:r>
          <w:r>
            <w:rPr>
              <w:rFonts w:hint="eastAsia"/>
            </w:rPr>
            <w:tab/>
          </w:r>
          <w:r>
            <w:rPr>
              <w:rFonts w:hint="eastAsia"/>
            </w:rPr>
            <w:fldChar w:fldCharType="begin"/>
          </w:r>
          <w:r>
            <w:rPr>
              <w:rFonts w:hint="eastAsia"/>
            </w:rPr>
            <w:instrText xml:space="preserve"> </w:instrText>
          </w:r>
          <w:r>
            <w:instrText xml:space="preserve">PAGEREF _Toc236834173 \h</w:instrText>
          </w:r>
          <w:r>
            <w:rPr>
              <w:rFonts w:hint="eastAsia"/>
            </w:rPr>
            <w:instrText xml:space="preserve"> </w:instrText>
          </w:r>
          <w:r>
            <w:rPr>
              <w:rFonts w:hint="eastAsia"/>
            </w:rPr>
            <w:fldChar w:fldCharType="separate"/>
          </w:r>
          <w:r>
            <w:t>- 22 -</w:t>
          </w:r>
          <w:r>
            <w:rPr>
              <w:rFonts w:hint="eastAsia"/>
            </w:rPr>
            <w:fldChar w:fldCharType="end"/>
          </w:r>
          <w:r>
            <w:rPr>
              <w:rFonts w:hint="eastAsia"/>
            </w:rPr>
            <w:fldChar w:fldCharType="end"/>
          </w:r>
        </w:p>
        <w:p w14:paraId="22FF013B">
          <w:pPr>
            <w:pStyle w:val="9"/>
            <w:tabs>
              <w:tab w:val="right" w:leader="dot" w:pos="8835"/>
            </w:tabs>
            <w:rPr>
              <w:rFonts w:cstheme="minorBidi"/>
              <w:kern w:val="2"/>
              <w:szCs w:val="24"/>
              <w14:ligatures w14:val="standardContextual"/>
            </w:rPr>
          </w:pPr>
          <w:r>
            <w:fldChar w:fldCharType="begin"/>
          </w:r>
          <w:r>
            <w:instrText xml:space="preserve"> HYPERLINK \l "_Toc236834174" </w:instrText>
          </w:r>
          <w:r>
            <w:fldChar w:fldCharType="separate"/>
          </w:r>
          <w:r>
            <w:rPr>
              <w:rStyle w:val="16"/>
              <w:rFonts w:hint="eastAsia"/>
            </w:rPr>
            <w:t>五、 实施保障措施</w:t>
          </w:r>
          <w:r>
            <w:rPr>
              <w:rFonts w:hint="eastAsia"/>
            </w:rPr>
            <w:tab/>
          </w:r>
          <w:r>
            <w:rPr>
              <w:rFonts w:hint="eastAsia"/>
            </w:rPr>
            <w:fldChar w:fldCharType="begin"/>
          </w:r>
          <w:r>
            <w:rPr>
              <w:rFonts w:hint="eastAsia"/>
            </w:rPr>
            <w:instrText xml:space="preserve"> </w:instrText>
          </w:r>
          <w:r>
            <w:instrText xml:space="preserve">PAGEREF _Toc236834174 \h</w:instrText>
          </w:r>
          <w:r>
            <w:rPr>
              <w:rFonts w:hint="eastAsia"/>
            </w:rPr>
            <w:instrText xml:space="preserve"> </w:instrText>
          </w:r>
          <w:r>
            <w:rPr>
              <w:rFonts w:hint="eastAsia"/>
            </w:rPr>
            <w:fldChar w:fldCharType="separate"/>
          </w:r>
          <w:r>
            <w:t>- 23 -</w:t>
          </w:r>
          <w:r>
            <w:rPr>
              <w:rFonts w:hint="eastAsia"/>
            </w:rPr>
            <w:fldChar w:fldCharType="end"/>
          </w:r>
          <w:r>
            <w:rPr>
              <w:rFonts w:hint="eastAsia"/>
            </w:rPr>
            <w:fldChar w:fldCharType="end"/>
          </w:r>
        </w:p>
        <w:p w14:paraId="6A3048D3">
          <w:pPr>
            <w:rPr>
              <w:color w:val="000000" w:themeColor="text1"/>
              <w14:textFill>
                <w14:solidFill>
                  <w14:schemeClr w14:val="tx1"/>
                </w14:solidFill>
              </w14:textFill>
            </w:rPr>
          </w:pPr>
          <w:r>
            <w:rPr>
              <w:rFonts w:hint="eastAsia" w:ascii="黑体" w:hAnsi="黑体" w:eastAsia="黑体"/>
              <w:b/>
              <w:bCs/>
              <w:color w:val="000000" w:themeColor="text1"/>
              <w:lang w:val="zh-CN"/>
              <w14:textFill>
                <w14:solidFill>
                  <w14:schemeClr w14:val="tx1"/>
                </w14:solidFill>
              </w14:textFill>
            </w:rPr>
            <w:fldChar w:fldCharType="end"/>
          </w:r>
        </w:p>
      </w:sdtContent>
    </w:sdt>
    <w:p w14:paraId="1B593DC6">
      <w:pPr>
        <w:ind w:firstLine="640" w:firstLineChars="200"/>
        <w:rPr>
          <w:rFonts w:hint="eastAsia" w:ascii="仿宋_GB2312" w:hAnsi="仿宋_GB2312" w:cs="仿宋_GB2312"/>
          <w:color w:val="000000" w:themeColor="text1"/>
          <w:szCs w:val="32"/>
          <w14:textFill>
            <w14:solidFill>
              <w14:schemeClr w14:val="tx1"/>
            </w14:solidFill>
          </w14:textFill>
        </w:rPr>
        <w:sectPr>
          <w:pgSz w:w="11906" w:h="16838"/>
          <w:pgMar w:top="2098" w:right="1474" w:bottom="1984" w:left="1587" w:header="851" w:footer="992" w:gutter="0"/>
          <w:pgNumType w:fmt="numberInDash"/>
          <w:cols w:space="425" w:num="1"/>
          <w:docGrid w:type="lines" w:linePitch="312" w:charSpace="0"/>
        </w:sectPr>
      </w:pPr>
    </w:p>
    <w:p w14:paraId="6411B274">
      <w:pPr>
        <w:pStyle w:val="2"/>
        <w:numPr>
          <w:ilvl w:val="0"/>
          <w:numId w:val="1"/>
        </w:numPr>
        <w:ind w:left="0" w:firstLine="640" w:firstLineChars="200"/>
        <w:rPr>
          <w:rFonts w:hint="eastAsia"/>
          <w:color w:val="000000" w:themeColor="text1"/>
          <w14:textFill>
            <w14:solidFill>
              <w14:schemeClr w14:val="tx1"/>
            </w14:solidFill>
          </w14:textFill>
        </w:rPr>
      </w:pPr>
      <w:bookmarkStart w:id="0" w:name="_Toc236834145"/>
      <w:r>
        <w:rPr>
          <w:rFonts w:hint="eastAsia"/>
          <w:color w:val="000000" w:themeColor="text1"/>
          <w14:textFill>
            <w14:solidFill>
              <w14:schemeClr w14:val="tx1"/>
            </w14:solidFill>
          </w14:textFill>
        </w:rPr>
        <w:t>规划背景</w:t>
      </w:r>
      <w:bookmarkEnd w:id="0"/>
    </w:p>
    <w:p w14:paraId="6380915E">
      <w:pPr>
        <w:pStyle w:val="3"/>
        <w:numPr>
          <w:ilvl w:val="0"/>
          <w:numId w:val="2"/>
        </w:numPr>
        <w:spacing w:before="0" w:after="0" w:line="560" w:lineRule="exact"/>
        <w:ind w:left="0" w:firstLine="640" w:firstLineChars="200"/>
        <w:rPr>
          <w:rFonts w:ascii="楷体_GB2312" w:eastAsia="楷体_GB2312"/>
          <w:b w:val="0"/>
          <w:bCs w:val="0"/>
          <w:color w:val="000000" w:themeColor="text1"/>
          <w14:textFill>
            <w14:solidFill>
              <w14:schemeClr w14:val="tx1"/>
            </w14:solidFill>
          </w14:textFill>
        </w:rPr>
      </w:pPr>
      <w:bookmarkStart w:id="1" w:name="_Toc236834146"/>
      <w:r>
        <w:rPr>
          <w:rFonts w:hint="eastAsia" w:ascii="楷体_GB2312" w:eastAsia="楷体_GB2312"/>
          <w:b w:val="0"/>
          <w:bCs w:val="0"/>
          <w:color w:val="000000" w:themeColor="text1"/>
          <w14:textFill>
            <w14:solidFill>
              <w14:schemeClr w14:val="tx1"/>
            </w14:solidFill>
          </w14:textFill>
        </w:rPr>
        <w:t>工作背景</w:t>
      </w:r>
      <w:bookmarkEnd w:id="1"/>
    </w:p>
    <w:p w14:paraId="32F4E837">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十五五”时期是我国迈向2035年基本实现现代化、北京市率先基本实现社会主义现代化目标的关键五年，是顺义区建设港城融合的国际航空中心核心区、创新引领的区域经济提升发展先行区、城乡协调的首都和谐宜居示范区的关键时期。</w:t>
      </w:r>
      <w:r>
        <w:rPr>
          <w:color w:val="000000" w:themeColor="text1"/>
          <w14:textFill>
            <w14:solidFill>
              <w14:schemeClr w14:val="tx1"/>
            </w14:solidFill>
          </w14:textFill>
        </w:rPr>
        <w:t>城市发展离不开交通赋能，统筹交通与城市深度融合更是城市建设的重中之重</w:t>
      </w:r>
      <w:r>
        <w:rPr>
          <w:rFonts w:hint="eastAsia"/>
          <w:color w:val="000000" w:themeColor="text1"/>
          <w14:textFill>
            <w14:solidFill>
              <w14:schemeClr w14:val="tx1"/>
            </w14:solidFill>
          </w14:textFill>
        </w:rPr>
        <w:t>。</w:t>
      </w:r>
    </w:p>
    <w:p w14:paraId="1ACE73F6">
      <w:pPr>
        <w:pStyle w:val="3"/>
        <w:numPr>
          <w:ilvl w:val="0"/>
          <w:numId w:val="2"/>
        </w:numPr>
        <w:spacing w:before="0" w:after="0" w:line="560" w:lineRule="exact"/>
        <w:ind w:left="0" w:firstLine="640" w:firstLineChars="200"/>
        <w:rPr>
          <w:rFonts w:ascii="楷体_GB2312" w:eastAsia="楷体_GB2312"/>
          <w:b w:val="0"/>
          <w:bCs w:val="0"/>
          <w:color w:val="000000" w:themeColor="text1"/>
          <w14:textFill>
            <w14:solidFill>
              <w14:schemeClr w14:val="tx1"/>
            </w14:solidFill>
          </w14:textFill>
        </w:rPr>
      </w:pPr>
      <w:bookmarkStart w:id="2" w:name="_Toc236834147"/>
      <w:r>
        <w:rPr>
          <w:rFonts w:hint="eastAsia" w:ascii="楷体_GB2312" w:eastAsia="楷体_GB2312"/>
          <w:b w:val="0"/>
          <w:bCs w:val="0"/>
          <w:color w:val="000000" w:themeColor="text1"/>
          <w14:textFill>
            <w14:solidFill>
              <w14:schemeClr w14:val="tx1"/>
            </w14:solidFill>
          </w14:textFill>
        </w:rPr>
        <w:t>规划范围</w:t>
      </w:r>
      <w:bookmarkEnd w:id="2"/>
    </w:p>
    <w:p w14:paraId="27BB07B8">
      <w:pPr>
        <w:ind w:firstLine="640" w:firstLineChars="200"/>
        <w:rPr>
          <w:color w:val="000000" w:themeColor="text1"/>
          <w14:textFill>
            <w14:solidFill>
              <w14:schemeClr w14:val="tx1"/>
            </w14:solidFill>
          </w14:textFill>
        </w:rPr>
      </w:pPr>
      <w:r>
        <w:rPr>
          <w:color w:val="000000" w:themeColor="text1"/>
          <w14:textFill>
            <w14:solidFill>
              <w14:schemeClr w14:val="tx1"/>
            </w14:solidFill>
          </w14:textFill>
        </w:rPr>
        <w:t>规划的空间范围设定在顺义区行政辖区内，同时将研究范围拓展至北京市域以及整个京津冀区域</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规划实施期限为2026年至2030年，对远期发展展望至2035年。</w:t>
      </w:r>
    </w:p>
    <w:p w14:paraId="297DC4DD">
      <w:pPr>
        <w:pStyle w:val="3"/>
        <w:numPr>
          <w:ilvl w:val="0"/>
          <w:numId w:val="2"/>
        </w:numPr>
        <w:spacing w:before="0" w:after="0" w:line="560" w:lineRule="exact"/>
        <w:ind w:left="0" w:firstLine="640" w:firstLineChars="200"/>
        <w:rPr>
          <w:rFonts w:ascii="楷体_GB2312" w:eastAsia="楷体_GB2312"/>
          <w:b w:val="0"/>
          <w:bCs w:val="0"/>
          <w:color w:val="000000" w:themeColor="text1"/>
          <w14:textFill>
            <w14:solidFill>
              <w14:schemeClr w14:val="tx1"/>
            </w14:solidFill>
          </w14:textFill>
        </w:rPr>
      </w:pPr>
      <w:bookmarkStart w:id="3" w:name="_Toc236834148"/>
      <w:r>
        <w:rPr>
          <w:rFonts w:hint="eastAsia" w:ascii="楷体_GB2312" w:eastAsia="楷体_GB2312"/>
          <w:b w:val="0"/>
          <w:bCs w:val="0"/>
          <w:color w:val="000000" w:themeColor="text1"/>
          <w14:textFill>
            <w14:solidFill>
              <w14:schemeClr w14:val="tx1"/>
            </w14:solidFill>
          </w14:textFill>
        </w:rPr>
        <w:t>规划依据</w:t>
      </w:r>
      <w:bookmarkEnd w:id="3"/>
    </w:p>
    <w:p w14:paraId="1A55C5C1">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《国家综合立体交通网规划纲要》</w:t>
      </w:r>
    </w:p>
    <w:p w14:paraId="67903861">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《交通强国建设纲要》</w:t>
      </w:r>
    </w:p>
    <w:p w14:paraId="22CFD514">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《京津冀协同发展规划纲要》</w:t>
      </w:r>
    </w:p>
    <w:p w14:paraId="4A78E214">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《中共北京市委关于制定北京市国民经济和社会发展第十五个五年规划的建议》</w:t>
      </w:r>
    </w:p>
    <w:p w14:paraId="7969BBA2">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《北京城市总体规划（2016年-2035年）》</w:t>
      </w:r>
    </w:p>
    <w:p w14:paraId="68503959">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《北京市慢行系统规划（2020年-2035年）（草案）》</w:t>
      </w:r>
    </w:p>
    <w:p w14:paraId="68B50324">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《北京市绿道系统专项规划（2023年-2035年）》</w:t>
      </w:r>
    </w:p>
    <w:p w14:paraId="3EE76CB0">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《北京市有效降低全社会物流成本实施方案》</w:t>
      </w:r>
    </w:p>
    <w:p w14:paraId="1243B011">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《关于推进城市安全发展的实施意见》</w:t>
      </w:r>
    </w:p>
    <w:p w14:paraId="20687EF7">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《顺义分区规划（国土空间规划）（2017年-2035年）》</w:t>
      </w:r>
    </w:p>
    <w:p w14:paraId="63DB9A47">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《顺义区平原新城高质量发展实施方案（2025年-2030年）》</w:t>
      </w:r>
    </w:p>
    <w:p w14:paraId="7ABA79BE">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《顺政发〔2025〕1号政府工作报告及2025年政府工作清单》</w:t>
      </w:r>
    </w:p>
    <w:p w14:paraId="5EDD7A10">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《顺义区“十四五”时期交通发展建设规划》</w:t>
      </w:r>
    </w:p>
    <w:p w14:paraId="4338E743">
      <w:pPr>
        <w:pStyle w:val="2"/>
        <w:numPr>
          <w:ilvl w:val="0"/>
          <w:numId w:val="1"/>
        </w:numPr>
        <w:ind w:left="0" w:firstLine="640" w:firstLineChars="200"/>
        <w:rPr>
          <w:rFonts w:hint="eastAsia"/>
          <w:color w:val="000000" w:themeColor="text1"/>
          <w14:textFill>
            <w14:solidFill>
              <w14:schemeClr w14:val="tx1"/>
            </w14:solidFill>
          </w14:textFill>
        </w:rPr>
      </w:pPr>
      <w:bookmarkStart w:id="4" w:name="_Toc234403455"/>
      <w:bookmarkEnd w:id="4"/>
      <w:bookmarkStart w:id="5" w:name="_Toc236834149"/>
      <w:r>
        <w:rPr>
          <w:rFonts w:hint="eastAsia"/>
          <w:color w:val="000000" w:themeColor="text1"/>
          <w14:textFill>
            <w14:solidFill>
              <w14:schemeClr w14:val="tx1"/>
            </w14:solidFill>
          </w14:textFill>
        </w:rPr>
        <w:t>“十四五”时期顺义区交通发展建设基础</w:t>
      </w:r>
      <w:bookmarkEnd w:id="5"/>
    </w:p>
    <w:p w14:paraId="59E31C42">
      <w:pPr>
        <w:pStyle w:val="3"/>
        <w:numPr>
          <w:ilvl w:val="0"/>
          <w:numId w:val="3"/>
        </w:numPr>
        <w:spacing w:before="0" w:after="0" w:line="560" w:lineRule="exact"/>
        <w:ind w:left="0" w:firstLine="640" w:firstLineChars="200"/>
        <w:rPr>
          <w:rFonts w:ascii="楷体_GB2312" w:eastAsia="楷体_GB2312"/>
          <w:b w:val="0"/>
          <w:bCs w:val="0"/>
          <w:color w:val="000000" w:themeColor="text1"/>
          <w14:textFill>
            <w14:solidFill>
              <w14:schemeClr w14:val="tx1"/>
            </w14:solidFill>
          </w14:textFill>
        </w:rPr>
      </w:pPr>
      <w:bookmarkStart w:id="6" w:name="_Toc236834150"/>
      <w:r>
        <w:rPr>
          <w:rFonts w:hint="eastAsia" w:ascii="楷体_GB2312" w:eastAsia="楷体_GB2312"/>
          <w:b w:val="0"/>
          <w:bCs w:val="0"/>
          <w:color w:val="000000" w:themeColor="text1"/>
          <w14:textFill>
            <w14:solidFill>
              <w14:schemeClr w14:val="tx1"/>
            </w14:solidFill>
          </w14:textFill>
        </w:rPr>
        <w:t>“十四五”时期交通发展成绩</w:t>
      </w:r>
      <w:bookmarkEnd w:id="6"/>
    </w:p>
    <w:p w14:paraId="5ADB067D">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十四五”期间，顺义区交通发展有力支撑了区域经济社会发展和群众出行需求，交通基础设施建设稳步推进，公共交通服务品质显著提升，综合治理能力持续增强，交通运行效率稳步提升，安全发展基础不断夯实，为服务首都“四个中心”功能建设、推动区域高质量发展提供了坚实保障。</w:t>
      </w:r>
    </w:p>
    <w:p w14:paraId="34ECB194">
      <w:pPr>
        <w:pStyle w:val="4"/>
        <w:numPr>
          <w:ilvl w:val="0"/>
          <w:numId w:val="4"/>
        </w:numPr>
        <w:spacing w:before="0" w:after="0" w:line="560" w:lineRule="exact"/>
        <w:ind w:left="0" w:firstLine="643" w:firstLineChars="200"/>
        <w:rPr>
          <w:color w:val="000000" w:themeColor="text1"/>
          <w14:textFill>
            <w14:solidFill>
              <w14:schemeClr w14:val="tx1"/>
            </w14:solidFill>
          </w14:textFill>
        </w:rPr>
      </w:pPr>
      <w:bookmarkStart w:id="7" w:name="_Toc236834151"/>
      <w:r>
        <w:rPr>
          <w:rFonts w:hint="eastAsia"/>
          <w:color w:val="000000" w:themeColor="text1"/>
          <w14:textFill>
            <w14:solidFill>
              <w14:schemeClr w14:val="tx1"/>
            </w14:solidFill>
          </w14:textFill>
        </w:rPr>
        <w:t>公交优先战略深化落地，运输效率与接驳服务全面提升</w:t>
      </w:r>
      <w:bookmarkEnd w:id="7"/>
    </w:p>
    <w:p w14:paraId="7992EF1E">
      <w:pPr>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轨道交通规划建设稳步推进。</w:t>
      </w:r>
      <w:r>
        <w:rPr>
          <w:rFonts w:hint="eastAsia"/>
          <w:color w:val="000000" w:themeColor="text1"/>
          <w14:textFill>
            <w14:solidFill>
              <w14:schemeClr w14:val="tx1"/>
            </w14:solidFill>
          </w14:textFill>
        </w:rPr>
        <w:t>增加15号线高峰时段运力投放，</w:t>
      </w:r>
      <w:r>
        <w:rPr>
          <w:rFonts w:hint="eastAsia" w:ascii="仿宋_GB2312" w:hAnsi="仿宋_GB2312" w:cs="仿宋_GB2312"/>
          <w:color w:val="000000" w:themeColor="text1"/>
          <w:szCs w:val="32"/>
          <w14:textFill>
            <w14:solidFill>
              <w14:schemeClr w14:val="tx1"/>
            </w14:solidFill>
          </w14:textFill>
        </w:rPr>
        <w:t>缩短发车间隔</w:t>
      </w:r>
      <w:r>
        <w:rPr>
          <w:rFonts w:hint="eastAsia"/>
          <w:color w:val="000000" w:themeColor="text1"/>
          <w14:textFill>
            <w14:solidFill>
              <w14:schemeClr w14:val="tx1"/>
            </w14:solidFill>
          </w14:textFill>
        </w:rPr>
        <w:t>。加快轨道新线规划建设，R4一期工程、15号线东延南彩工程获国家</w:t>
      </w:r>
      <w:r>
        <w:rPr>
          <w:rFonts w:hint="eastAsia"/>
          <w:color w:val="000000" w:themeColor="text1"/>
          <w:lang w:val="en-US" w:eastAsia="zh-CN"/>
          <w14:textFill>
            <w14:solidFill>
              <w14:schemeClr w14:val="tx1"/>
            </w14:solidFill>
          </w14:textFill>
        </w:rPr>
        <w:t>发展改革</w:t>
      </w:r>
      <w:bookmarkStart w:id="56" w:name="_GoBack"/>
      <w:bookmarkEnd w:id="56"/>
      <w:r>
        <w:rPr>
          <w:rFonts w:hint="eastAsia"/>
          <w:color w:val="000000" w:themeColor="text1"/>
          <w14:textFill>
            <w14:solidFill>
              <w14:schemeClr w14:val="tx1"/>
            </w14:solidFill>
          </w14:textFill>
        </w:rPr>
        <w:t>委批复。优化提升既有轨道交通线网，开展</w:t>
      </w:r>
      <w:r>
        <w:rPr>
          <w:rFonts w:hint="eastAsia" w:ascii="仿宋_GB2312" w:hAnsi="仿宋_GB2312" w:cs="仿宋_GB2312"/>
          <w:color w:val="000000" w:themeColor="text1"/>
          <w:szCs w:val="40"/>
          <w14:textFill>
            <w14:solidFill>
              <w14:schemeClr w14:val="tx1"/>
            </w14:solidFill>
          </w14:textFill>
        </w:rPr>
        <w:t>L1线延伸方案前期研究</w:t>
      </w:r>
      <w:r>
        <w:rPr>
          <w:rFonts w:hint="eastAsia"/>
          <w:color w:val="000000" w:themeColor="text1"/>
          <w14:textFill>
            <w14:solidFill>
              <w14:schemeClr w14:val="tx1"/>
            </w14:solidFill>
          </w14:textFill>
        </w:rPr>
        <w:t>。</w:t>
      </w:r>
    </w:p>
    <w:p w14:paraId="704BB322">
      <w:pPr>
        <w:tabs>
          <w:tab w:val="left" w:pos="720"/>
        </w:tabs>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地面公交服务供给能力提升。</w:t>
      </w:r>
      <w:r>
        <w:rPr>
          <w:rFonts w:hint="eastAsia"/>
          <w:color w:val="000000" w:themeColor="text1"/>
          <w14:textFill>
            <w14:solidFill>
              <w14:schemeClr w14:val="tx1"/>
            </w14:solidFill>
          </w14:textFill>
        </w:rPr>
        <w:t>新建公交站台207处，新建候车亭229座；开通和优化调整公交线路60条。完善</w:t>
      </w:r>
      <w:r>
        <w:rPr>
          <w:rFonts w:hint="eastAsia" w:ascii="仿宋_GB2312" w:hAnsi="仿宋_GB2312" w:cs="仿宋_GB2312"/>
          <w:color w:val="000000" w:themeColor="text1"/>
          <w:szCs w:val="32"/>
          <w14:textFill>
            <w14:solidFill>
              <w14:schemeClr w14:val="tx1"/>
            </w14:solidFill>
          </w14:textFill>
        </w:rPr>
        <w:t>公交场站布局，</w:t>
      </w:r>
      <w:r>
        <w:rPr>
          <w:rFonts w:hint="eastAsia"/>
          <w:color w:val="000000" w:themeColor="text1"/>
          <w14:textFill>
            <w14:solidFill>
              <w14:schemeClr w14:val="tx1"/>
            </w14:solidFill>
          </w14:textFill>
        </w:rPr>
        <w:t>实施5处公交首末站建设，</w:t>
      </w:r>
      <w:r>
        <w:rPr>
          <w:rFonts w:hint="eastAsia" w:ascii="仿宋_GB2312" w:hAnsi="仿宋_GB2312" w:cs="仿宋_GB2312"/>
          <w:color w:val="000000" w:themeColor="text1"/>
          <w:szCs w:val="32"/>
          <w14:textFill>
            <w14:solidFill>
              <w14:schemeClr w14:val="tx1"/>
            </w14:solidFill>
          </w14:textFill>
        </w:rPr>
        <w:t>推进平各庄等2处首末站前期工作。</w:t>
      </w:r>
    </w:p>
    <w:p w14:paraId="409972F6">
      <w:pPr>
        <w:pStyle w:val="4"/>
        <w:numPr>
          <w:ilvl w:val="0"/>
          <w:numId w:val="4"/>
        </w:numPr>
        <w:spacing w:before="0" w:after="0" w:line="560" w:lineRule="exact"/>
        <w:ind w:left="0" w:firstLine="643" w:firstLineChars="200"/>
        <w:rPr>
          <w:color w:val="000000" w:themeColor="text1"/>
          <w14:textFill>
            <w14:solidFill>
              <w14:schemeClr w14:val="tx1"/>
            </w14:solidFill>
          </w14:textFill>
        </w:rPr>
      </w:pPr>
      <w:bookmarkStart w:id="8" w:name="_Toc234403459"/>
      <w:bookmarkEnd w:id="8"/>
      <w:bookmarkStart w:id="9" w:name="_Toc236834152"/>
      <w:r>
        <w:rPr>
          <w:rFonts w:hint="eastAsia"/>
          <w:color w:val="000000" w:themeColor="text1"/>
          <w14:textFill>
            <w14:solidFill>
              <w14:schemeClr w14:val="tx1"/>
            </w14:solidFill>
          </w14:textFill>
        </w:rPr>
        <w:t>路网结构进一步优化，区域联系不断完善</w:t>
      </w:r>
      <w:bookmarkEnd w:id="9"/>
    </w:p>
    <w:p w14:paraId="17A91EE6">
      <w:pPr>
        <w:tabs>
          <w:tab w:val="left" w:pos="720"/>
        </w:tabs>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持续推进城市道路建设。</w:t>
      </w:r>
      <w:r>
        <w:rPr>
          <w:rFonts w:hint="eastAsia"/>
          <w:color w:val="000000" w:themeColor="text1"/>
          <w14:textFill>
            <w14:solidFill>
              <w14:schemeClr w14:val="tx1"/>
            </w14:solidFill>
          </w14:textFill>
        </w:rPr>
        <w:t>建成城市道路34条、</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5.24公里。顺泰路（双河大街-外环线）、林河南大街（顺康路-仁和园二街）等建成通车，区域路网结构得到进一步优化。</w:t>
      </w:r>
    </w:p>
    <w:p w14:paraId="70E83751">
      <w:pPr>
        <w:ind w:firstLine="643" w:firstLineChars="200"/>
        <w:rPr>
          <w:rFonts w:hint="eastAsia" w:ascii="仿宋_GB2312" w:hAnsi="仿宋" w:cs="仿宋"/>
          <w:color w:val="000000" w:themeColor="text1"/>
          <w:szCs w:val="32"/>
          <w14:textFill>
            <w14:solidFill>
              <w14:schemeClr w14:val="tx1"/>
            </w14:solidFill>
          </w14:textFill>
        </w:rPr>
      </w:pPr>
      <w:r>
        <w:rPr>
          <w:rFonts w:hint="eastAsia"/>
          <w:b/>
          <w:bCs/>
          <w:color w:val="000000" w:themeColor="text1"/>
          <w14:textFill>
            <w14:solidFill>
              <w14:schemeClr w14:val="tx1"/>
            </w14:solidFill>
          </w14:textFill>
        </w:rPr>
        <w:t>持续推进公路网建设。</w:t>
      </w:r>
      <w:r>
        <w:rPr>
          <w:rFonts w:hint="eastAsia"/>
          <w:color w:val="000000" w:themeColor="text1"/>
          <w14:textFill>
            <w14:solidFill>
              <w14:schemeClr w14:val="tx1"/>
            </w14:solidFill>
          </w14:textFill>
        </w:rPr>
        <w:t>建成公路6条、63.7公里，公路总里程达2967.1公里。建成</w:t>
      </w:r>
      <w:r>
        <w:rPr>
          <w:rFonts w:hint="eastAsia" w:ascii="仿宋_GB2312" w:hAnsi="仿宋" w:cs="仿宋"/>
          <w:color w:val="000000" w:themeColor="text1"/>
          <w:szCs w:val="32"/>
          <w14:textFill>
            <w14:solidFill>
              <w14:schemeClr w14:val="tx1"/>
            </w14:solidFill>
          </w14:textFill>
        </w:rPr>
        <w:t>通怀路、木孙路等工程。</w:t>
      </w:r>
      <w:r>
        <w:rPr>
          <w:color w:val="000000" w:themeColor="text1"/>
          <w:szCs w:val="32"/>
          <w14:textFill>
            <w14:solidFill>
              <w14:schemeClr w14:val="tx1"/>
            </w14:solidFill>
          </w14:textFill>
        </w:rPr>
        <w:t>实现公路与市政管线同步规划、同步建设和同步验收</w:t>
      </w:r>
      <w:r>
        <w:rPr>
          <w:rFonts w:hint="eastAsia"/>
          <w:color w:val="000000" w:themeColor="text1"/>
          <w:szCs w:val="32"/>
          <w14:textFill>
            <w14:solidFill>
              <w14:schemeClr w14:val="tx1"/>
            </w14:solidFill>
          </w14:textFill>
        </w:rPr>
        <w:t>交付使用</w:t>
      </w:r>
      <w:r>
        <w:rPr>
          <w:rFonts w:hint="eastAsia" w:ascii="仿宋_GB2312" w:hAnsi="仿宋" w:cs="仿宋"/>
          <w:color w:val="000000" w:themeColor="text1"/>
          <w:szCs w:val="32"/>
          <w14:textFill>
            <w14:solidFill>
              <w14:schemeClr w14:val="tx1"/>
            </w14:solidFill>
          </w14:textFill>
        </w:rPr>
        <w:t>。</w:t>
      </w:r>
      <w:r>
        <w:rPr>
          <w:rFonts w:hint="eastAsia"/>
          <w:color w:val="000000" w:themeColor="text1"/>
          <w14:textFill>
            <w14:solidFill>
              <w14:schemeClr w14:val="tx1"/>
            </w14:solidFill>
          </w14:textFill>
        </w:rPr>
        <w:t>创建27条、133.39公里美丽乡村路，带动区域综合发展。</w:t>
      </w:r>
    </w:p>
    <w:p w14:paraId="62C0A845">
      <w:pPr>
        <w:pStyle w:val="4"/>
        <w:numPr>
          <w:ilvl w:val="0"/>
          <w:numId w:val="4"/>
        </w:numPr>
        <w:spacing w:before="0" w:after="0" w:line="560" w:lineRule="exact"/>
        <w:ind w:left="0" w:firstLine="643" w:firstLineChars="200"/>
        <w:rPr>
          <w:color w:val="000000" w:themeColor="text1"/>
          <w14:textFill>
            <w14:solidFill>
              <w14:schemeClr w14:val="tx1"/>
            </w14:solidFill>
          </w14:textFill>
        </w:rPr>
      </w:pPr>
      <w:bookmarkStart w:id="10" w:name="_Toc234403461"/>
      <w:bookmarkEnd w:id="10"/>
      <w:bookmarkStart w:id="11" w:name="_Toc236834153"/>
      <w:r>
        <w:rPr>
          <w:rFonts w:hint="eastAsia"/>
          <w:color w:val="000000" w:themeColor="text1"/>
          <w14:textFill>
            <w14:solidFill>
              <w14:schemeClr w14:val="tx1"/>
            </w14:solidFill>
          </w14:textFill>
        </w:rPr>
        <w:t>慢行系统持续优化，滨水慢行体验显著提升</w:t>
      </w:r>
      <w:bookmarkEnd w:id="11"/>
    </w:p>
    <w:p w14:paraId="64AFC630">
      <w:pPr>
        <w:tabs>
          <w:tab w:val="left" w:pos="720"/>
        </w:tabs>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持续提升城市慢行系统品质。</w:t>
      </w:r>
      <w:r>
        <w:rPr>
          <w:rFonts w:hint="eastAsia"/>
          <w:color w:val="000000" w:themeColor="text1"/>
          <w14:textFill>
            <w14:solidFill>
              <w14:schemeClr w14:val="tx1"/>
            </w14:solidFill>
          </w14:textFill>
        </w:rPr>
        <w:t>实施天北路、火沙路等改造</w:t>
      </w:r>
      <w:r>
        <w:rPr>
          <w:color w:val="000000" w:themeColor="text1"/>
          <w14:textFill>
            <w14:solidFill>
              <w14:schemeClr w14:val="tx1"/>
            </w14:solidFill>
          </w14:textFill>
        </w:rPr>
        <w:t>，新增彩色健康步道</w:t>
      </w:r>
      <w:r>
        <w:rPr>
          <w:rFonts w:hint="eastAsia"/>
          <w:color w:val="000000" w:themeColor="text1"/>
          <w14:textFill>
            <w14:solidFill>
              <w14:schemeClr w14:val="tx1"/>
            </w14:solidFill>
          </w14:textFill>
        </w:rPr>
        <w:t>，打造高品质“城市会客厅”。开展潮白河河道及水环境治理，修复向阳闸桥至城北减河口段休闲慢行系统，提升河道周边环境。</w:t>
      </w:r>
    </w:p>
    <w:p w14:paraId="02EFD11C">
      <w:pPr>
        <w:tabs>
          <w:tab w:val="left" w:pos="720"/>
        </w:tabs>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推动“水运+文旅”融合发展。</w:t>
      </w:r>
      <w:r>
        <w:rPr>
          <w:rFonts w:hint="eastAsia"/>
          <w:color w:val="000000" w:themeColor="text1"/>
          <w14:textFill>
            <w14:solidFill>
              <w14:schemeClr w14:val="tx1"/>
            </w14:solidFill>
          </w14:textFill>
        </w:rPr>
        <w:t>完成顺义区潮白河通航段（俸伯桥-柳各庄桥）水利配套设施建设工程，潮白河漕运码头正式通航，实现水运与文旅融合发展。</w:t>
      </w:r>
    </w:p>
    <w:p w14:paraId="7CFF4C73">
      <w:pPr>
        <w:pStyle w:val="4"/>
        <w:numPr>
          <w:ilvl w:val="0"/>
          <w:numId w:val="4"/>
        </w:numPr>
        <w:spacing w:before="0" w:after="0" w:line="560" w:lineRule="exact"/>
        <w:ind w:left="0" w:firstLine="643" w:firstLineChars="200"/>
        <w:rPr>
          <w:color w:val="000000" w:themeColor="text1"/>
          <w14:textFill>
            <w14:solidFill>
              <w14:schemeClr w14:val="tx1"/>
            </w14:solidFill>
          </w14:textFill>
        </w:rPr>
      </w:pPr>
      <w:bookmarkStart w:id="12" w:name="_Toc236834154"/>
      <w:r>
        <w:rPr>
          <w:rFonts w:hint="eastAsia"/>
          <w:color w:val="000000" w:themeColor="text1"/>
          <w14:textFill>
            <w14:solidFill>
              <w14:schemeClr w14:val="tx1"/>
            </w14:solidFill>
          </w14:textFill>
        </w:rPr>
        <w:t>静态交通共享扩容，停车秩序有所改善</w:t>
      </w:r>
      <w:bookmarkEnd w:id="12"/>
    </w:p>
    <w:p w14:paraId="32E4651B">
      <w:pPr>
        <w:tabs>
          <w:tab w:val="left" w:pos="720"/>
        </w:tabs>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停车资源扩容增效。</w:t>
      </w:r>
      <w:bookmarkStart w:id="13" w:name="_Hlk206419843"/>
      <w:r>
        <w:rPr>
          <w:rFonts w:hint="eastAsia"/>
          <w:color w:val="000000" w:themeColor="text1"/>
          <w14:textFill>
            <w14:solidFill>
              <w14:schemeClr w14:val="tx1"/>
            </w14:solidFill>
          </w14:textFill>
        </w:rPr>
        <w:t>新增经营性备案停车场17处、备案车位3674个，总备案停车场105处、备案车位3.18万</w:t>
      </w:r>
      <w:bookmarkEnd w:id="13"/>
      <w:r>
        <w:rPr>
          <w:rFonts w:hint="eastAsia"/>
          <w:color w:val="000000" w:themeColor="text1"/>
          <w14:textFill>
            <w14:solidFill>
              <w14:schemeClr w14:val="tx1"/>
            </w14:solidFill>
          </w14:textFill>
        </w:rPr>
        <w:t>个。路侧电子收费覆盖22条道路，2617个路侧电子化收费停车位已全部上线运营，居民认证车位888个，缴费率从69%提升至89%。</w:t>
      </w:r>
    </w:p>
    <w:p w14:paraId="694F6B80">
      <w:pPr>
        <w:tabs>
          <w:tab w:val="left" w:pos="720"/>
        </w:tabs>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居住停车问题得到改善。</w:t>
      </w:r>
      <w:r>
        <w:rPr>
          <w:rFonts w:hint="eastAsia"/>
          <w:color w:val="000000" w:themeColor="text1"/>
          <w14:textFill>
            <w14:solidFill>
              <w14:schemeClr w14:val="tx1"/>
            </w14:solidFill>
          </w14:textFill>
        </w:rPr>
        <w:t>推动“错时共享”停车机制，建成34处共享停车场，释放2098个夜间泊位，同步推行按次收费模式，</w:t>
      </w:r>
      <w:r>
        <w:rPr>
          <w:rFonts w:hint="eastAsia" w:ascii="仿宋_GB2312" w:hAnsi="仿宋_GB2312"/>
          <w:color w:val="000000" w:themeColor="text1"/>
          <w14:textFill>
            <w14:solidFill>
              <w14:schemeClr w14:val="tx1"/>
            </w14:solidFill>
          </w14:textFill>
        </w:rPr>
        <w:t>有效缓解</w:t>
      </w:r>
      <w:r>
        <w:rPr>
          <w:rFonts w:hint="eastAsia" w:ascii="仿宋_GB2312" w:hAnsi="仿宋_GB2312" w:cs="仿宋_GB2312"/>
          <w:color w:val="000000" w:themeColor="text1"/>
          <w:szCs w:val="32"/>
          <w14:textFill>
            <w14:solidFill>
              <w14:schemeClr w14:val="tx1"/>
            </w14:solidFill>
          </w14:textFill>
        </w:rPr>
        <w:t>住宅区夜间停车位问题。</w:t>
      </w:r>
    </w:p>
    <w:p w14:paraId="5044854D">
      <w:pPr>
        <w:pStyle w:val="4"/>
        <w:numPr>
          <w:ilvl w:val="0"/>
          <w:numId w:val="4"/>
        </w:numPr>
        <w:spacing w:before="0" w:after="0" w:line="560" w:lineRule="exact"/>
        <w:ind w:left="0" w:firstLine="643" w:firstLineChars="200"/>
        <w:rPr>
          <w:color w:val="000000" w:themeColor="text1"/>
          <w14:textFill>
            <w14:solidFill>
              <w14:schemeClr w14:val="tx1"/>
            </w14:solidFill>
          </w14:textFill>
        </w:rPr>
      </w:pPr>
      <w:bookmarkStart w:id="14" w:name="_Toc234403464"/>
      <w:bookmarkEnd w:id="14"/>
      <w:bookmarkStart w:id="15" w:name="_Toc236834155"/>
      <w:r>
        <w:rPr>
          <w:rFonts w:hint="eastAsia"/>
          <w:color w:val="000000" w:themeColor="text1"/>
          <w14:textFill>
            <w14:solidFill>
              <w14:schemeClr w14:val="tx1"/>
            </w14:solidFill>
          </w14:textFill>
        </w:rPr>
        <w:t>综合治理持续强化，交通秩序不断改善</w:t>
      </w:r>
      <w:bookmarkEnd w:id="15"/>
    </w:p>
    <w:p w14:paraId="25B56446">
      <w:pPr>
        <w:tabs>
          <w:tab w:val="left" w:pos="720"/>
        </w:tabs>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加强“学医景商”周边交通综合治理。</w:t>
      </w:r>
      <w:r>
        <w:rPr>
          <w:rFonts w:hint="eastAsia"/>
          <w:color w:val="000000" w:themeColor="text1"/>
          <w14:textFill>
            <w14:solidFill>
              <w14:schemeClr w14:val="tx1"/>
            </w14:solidFill>
          </w14:textFill>
        </w:rPr>
        <w:t>学校方面，上下学高峰时段，学校发挥“四支队伍”牵头作用，门前六类交通基础设施基本安装到位。医院方面，改造机场北线董各庄桥南侧高速匝道出入口，有效缓解友谊医院顺义院区周边拥堵。景区方面，加强鲜花港等景区周边电动自行车治理和宣传引导，规范非机动车停放。商场方面，优化交通组织流线、打通封闭道路，提升华联商圈、祥云小镇周边交通秩序。</w:t>
      </w:r>
    </w:p>
    <w:p w14:paraId="2B354F39">
      <w:pPr>
        <w:tabs>
          <w:tab w:val="left" w:pos="720"/>
        </w:tabs>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治超工作持续推进。</w:t>
      </w:r>
      <w:r>
        <w:rPr>
          <w:rFonts w:hint="eastAsia"/>
          <w:color w:val="000000" w:themeColor="text1"/>
          <w14:textFill>
            <w14:solidFill>
              <w14:schemeClr w14:val="tx1"/>
            </w14:solidFill>
          </w14:textFill>
        </w:rPr>
        <w:t>完成京沈路等5条道路、7处非现场执法监测设备建设，区内道路超限率控制在1%以下。路警联动执法，做到“逢车必查、逢超必卸、逢超必处理”。</w:t>
      </w:r>
    </w:p>
    <w:p w14:paraId="2D5F3DD5">
      <w:pPr>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开展交通宣传教育。</w:t>
      </w:r>
      <w:r>
        <w:rPr>
          <w:rFonts w:hint="eastAsia"/>
          <w:color w:val="000000" w:themeColor="text1"/>
          <w14:textFill>
            <w14:solidFill>
              <w14:schemeClr w14:val="tx1"/>
            </w14:solidFill>
          </w14:textFill>
        </w:rPr>
        <w:t>通过微信公众号、微博、抖音等新媒体平台，广泛宣传交通违法行为危害，曝光典型案例。开展122全国交通安全日、“文明礼让交通、有序安全出行”等大型宣传活动。</w:t>
      </w:r>
    </w:p>
    <w:p w14:paraId="0BCF3679">
      <w:pPr>
        <w:pStyle w:val="4"/>
        <w:numPr>
          <w:ilvl w:val="0"/>
          <w:numId w:val="4"/>
        </w:numPr>
        <w:spacing w:before="0" w:after="0" w:line="560" w:lineRule="exact"/>
        <w:ind w:left="0" w:firstLine="643" w:firstLineChars="200"/>
        <w:rPr>
          <w:color w:val="000000" w:themeColor="text1"/>
          <w14:textFill>
            <w14:solidFill>
              <w14:schemeClr w14:val="tx1"/>
            </w14:solidFill>
          </w14:textFill>
        </w:rPr>
      </w:pPr>
      <w:bookmarkStart w:id="16" w:name="_Toc236834156"/>
      <w:r>
        <w:rPr>
          <w:rFonts w:hint="eastAsia"/>
          <w:color w:val="000000" w:themeColor="text1"/>
          <w14:textFill>
            <w14:solidFill>
              <w14:schemeClr w14:val="tx1"/>
            </w14:solidFill>
          </w14:textFill>
        </w:rPr>
        <w:t>货运物流体系与管理制度不断完善</w:t>
      </w:r>
      <w:bookmarkEnd w:id="16"/>
    </w:p>
    <w:p w14:paraId="28C4E32F">
      <w:pPr>
        <w:tabs>
          <w:tab w:val="left" w:pos="720"/>
        </w:tabs>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强化车辆动态监管和非现场监管。</w:t>
      </w:r>
      <w:r>
        <w:rPr>
          <w:rFonts w:hint="eastAsia"/>
          <w:color w:val="000000" w:themeColor="text1"/>
          <w14:textFill>
            <w14:solidFill>
              <w14:schemeClr w14:val="tx1"/>
            </w14:solidFill>
          </w14:textFill>
        </w:rPr>
        <w:t>依托智慧货运平台，对运输车辆开展不定时线上抽查，企业严格落实动态监控制度。依托“6+4”一体化综合监管系统，加强辖区货运企业车辆监管。</w:t>
      </w:r>
    </w:p>
    <w:p w14:paraId="7BBB6F41">
      <w:pPr>
        <w:tabs>
          <w:tab w:val="left" w:pos="720"/>
        </w:tabs>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研究制定货车限行政策。</w:t>
      </w:r>
      <w:r>
        <w:rPr>
          <w:rFonts w:hint="eastAsia"/>
          <w:color w:val="000000" w:themeColor="text1"/>
          <w14:textFill>
            <w14:solidFill>
              <w14:schemeClr w14:val="tx1"/>
            </w14:solidFill>
          </w14:textFill>
        </w:rPr>
        <w:t>实施《关于对顺义区载货汽车及专项作业车禁限行措施的通告》，统筹推动物流高质量发展、降低物流运输成本、减少对生态环境质量的影响，保障顺义区道路有序、安全、畅通。</w:t>
      </w:r>
    </w:p>
    <w:p w14:paraId="7F4821D5">
      <w:pPr>
        <w:pStyle w:val="4"/>
        <w:numPr>
          <w:ilvl w:val="0"/>
          <w:numId w:val="4"/>
        </w:numPr>
        <w:spacing w:before="0" w:after="0" w:line="560" w:lineRule="exact"/>
        <w:ind w:left="0" w:firstLine="643" w:firstLineChars="200"/>
        <w:rPr>
          <w:color w:val="000000" w:themeColor="text1"/>
          <w14:textFill>
            <w14:solidFill>
              <w14:schemeClr w14:val="tx1"/>
            </w14:solidFill>
          </w14:textFill>
        </w:rPr>
      </w:pPr>
      <w:bookmarkStart w:id="17" w:name="_Toc236834157"/>
      <w:r>
        <w:rPr>
          <w:rFonts w:hint="eastAsia"/>
          <w:color w:val="000000" w:themeColor="text1"/>
          <w14:textFill>
            <w14:solidFill>
              <w14:schemeClr w14:val="tx1"/>
            </w14:solidFill>
          </w14:textFill>
        </w:rPr>
        <w:t>智慧、低碳交通高速发展</w:t>
      </w:r>
      <w:bookmarkEnd w:id="17"/>
    </w:p>
    <w:p w14:paraId="443D1C89">
      <w:pPr>
        <w:tabs>
          <w:tab w:val="left" w:pos="720"/>
        </w:tabs>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稳步推进双智城市建设。</w:t>
      </w:r>
      <w:r>
        <w:rPr>
          <w:rFonts w:hint="eastAsia"/>
          <w:color w:val="000000" w:themeColor="text1"/>
          <w14:textFill>
            <w14:solidFill>
              <w14:schemeClr w14:val="tx1"/>
            </w14:solidFill>
          </w14:textFill>
        </w:rPr>
        <w:t>高级别自动驾驶示范区3.0扩区建设完成。包括城区240平方公里的491个路口和首都机场25平方公里的44个路口。</w:t>
      </w:r>
    </w:p>
    <w:p w14:paraId="2D64F170">
      <w:pPr>
        <w:tabs>
          <w:tab w:val="left" w:pos="720"/>
        </w:tabs>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拓展智慧交通应用场景。</w:t>
      </w:r>
      <w:r>
        <w:rPr>
          <w:rFonts w:hint="eastAsia"/>
          <w:color w:val="000000" w:themeColor="text1"/>
          <w14:textFill>
            <w14:solidFill>
              <w14:schemeClr w14:val="tx1"/>
            </w14:solidFill>
          </w14:textFill>
        </w:rPr>
        <w:t>依托生态港顺义园道路智慧基础设施和检验检测中心、北小营镇测试场等，推动落地干线物流、无人货车、无人叉车、无人平板车等智慧物流新场景。</w:t>
      </w:r>
    </w:p>
    <w:p w14:paraId="2FD7CCCC">
      <w:pPr>
        <w:tabs>
          <w:tab w:val="left" w:pos="720"/>
        </w:tabs>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推动各类车型向新能源转型。</w:t>
      </w:r>
      <w:r>
        <w:rPr>
          <w:rFonts w:hint="eastAsia"/>
          <w:color w:val="000000" w:themeColor="text1"/>
          <w14:textFill>
            <w14:solidFill>
              <w14:schemeClr w14:val="tx1"/>
            </w14:solidFill>
          </w14:textFill>
        </w:rPr>
        <w:t>累计接入市级平台充电场站586座、充电接口7000余个。淘汰164辆老旧公交车，更新新能源公交车127辆。</w:t>
      </w:r>
      <w:r>
        <w:rPr>
          <w:rFonts w:hint="eastAsia" w:ascii="仿宋_GB2312" w:hAnsi="仿宋_GB2312" w:cs="仿宋_GB2312"/>
          <w:color w:val="000000" w:themeColor="text1"/>
          <w:szCs w:val="32"/>
          <w14:textFill>
            <w14:solidFill>
              <w14:schemeClr w14:val="tx1"/>
            </w14:solidFill>
          </w14:textFill>
        </w:rPr>
        <w:t>累计报废燃油出租汽车605辆，在全市率先实现出租汽车企业运营车辆</w:t>
      </w:r>
      <w:r>
        <w:rPr>
          <w:rFonts w:hint="eastAsia"/>
          <w:color w:val="000000" w:themeColor="text1"/>
          <w14:textFill>
            <w14:solidFill>
              <w14:schemeClr w14:val="tx1"/>
            </w14:solidFill>
          </w14:textFill>
        </w:rPr>
        <w:t>100%新能源化。</w:t>
      </w:r>
    </w:p>
    <w:p w14:paraId="5BF59375">
      <w:pPr>
        <w:pStyle w:val="4"/>
        <w:numPr>
          <w:ilvl w:val="0"/>
          <w:numId w:val="4"/>
        </w:numPr>
        <w:spacing w:before="0" w:after="0" w:line="560" w:lineRule="exact"/>
        <w:ind w:left="0" w:firstLine="643" w:firstLineChars="200"/>
        <w:rPr>
          <w:color w:val="000000" w:themeColor="text1"/>
          <w14:textFill>
            <w14:solidFill>
              <w14:schemeClr w14:val="tx1"/>
            </w14:solidFill>
          </w14:textFill>
        </w:rPr>
      </w:pPr>
      <w:bookmarkStart w:id="18" w:name="_Toc234403468"/>
      <w:bookmarkEnd w:id="18"/>
      <w:bookmarkStart w:id="19" w:name="_Toc236834158"/>
      <w:r>
        <w:rPr>
          <w:rFonts w:hint="eastAsia"/>
          <w:color w:val="000000" w:themeColor="text1"/>
          <w14:textFill>
            <w14:solidFill>
              <w14:schemeClr w14:val="tx1"/>
            </w14:solidFill>
          </w14:textFill>
        </w:rPr>
        <w:t>维护交通安全稳定，落实重大活动保障任务</w:t>
      </w:r>
      <w:bookmarkEnd w:id="19"/>
    </w:p>
    <w:p w14:paraId="7609EDFD">
      <w:pPr>
        <w:tabs>
          <w:tab w:val="left" w:pos="720"/>
        </w:tabs>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开展“六大行动”集中攻坚。</w:t>
      </w:r>
      <w:r>
        <w:rPr>
          <w:rFonts w:hint="eastAsia"/>
          <w:color w:val="000000" w:themeColor="text1"/>
          <w14:textFill>
            <w14:solidFill>
              <w14:schemeClr w14:val="tx1"/>
            </w14:solidFill>
          </w14:textFill>
        </w:rPr>
        <w:t>针对亡人事故多发路段，新建人行步道，增设右转必停、行人过街标志和红蓝爆闪警示灯具等设施，改善车辆和村民安全出行环境。</w:t>
      </w:r>
    </w:p>
    <w:p w14:paraId="5CE4BDDF">
      <w:pPr>
        <w:tabs>
          <w:tab w:val="left" w:pos="720"/>
        </w:tabs>
        <w:ind w:firstLine="643" w:firstLineChars="200"/>
        <w:rPr>
          <w:color w:val="000000" w:themeColor="text1"/>
          <w14:textFill>
            <w14:solidFill>
              <w14:schemeClr w14:val="tx1"/>
            </w14:solidFill>
          </w14:textFill>
        </w:rPr>
      </w:pPr>
      <w:r>
        <w:rPr>
          <w:rFonts w:hint="eastAsia"/>
          <w:b/>
          <w:bCs/>
          <w:color w:val="000000" w:themeColor="text1"/>
          <w14:textFill>
            <w14:solidFill>
              <w14:schemeClr w14:val="tx1"/>
            </w14:solidFill>
          </w14:textFill>
        </w:rPr>
        <w:t>开展源头交通安全管理。</w:t>
      </w:r>
      <w:r>
        <w:rPr>
          <w:rFonts w:hint="eastAsia"/>
          <w:color w:val="000000" w:themeColor="text1"/>
          <w14:textFill>
            <w14:solidFill>
              <w14:schemeClr w14:val="tx1"/>
            </w14:solidFill>
          </w14:textFill>
        </w:rPr>
        <w:t>深入辖区道路运输企业开展交通安全大检查专项行动，严格落实道路交通安全防范责任制度，建立健全交通安全工作“八本账”，严格运输车辆、驾驶人安全状况检查。</w:t>
      </w:r>
    </w:p>
    <w:p w14:paraId="3EB0BD2C">
      <w:pPr>
        <w:pStyle w:val="3"/>
        <w:numPr>
          <w:ilvl w:val="0"/>
          <w:numId w:val="3"/>
        </w:numPr>
        <w:spacing w:before="0" w:after="0" w:line="560" w:lineRule="exact"/>
        <w:ind w:left="0" w:firstLine="640" w:firstLineChars="200"/>
        <w:rPr>
          <w:rFonts w:ascii="楷体_GB2312" w:eastAsia="楷体_GB2312"/>
          <w:b w:val="0"/>
          <w:bCs w:val="0"/>
          <w:color w:val="000000" w:themeColor="text1"/>
          <w14:textFill>
            <w14:solidFill>
              <w14:schemeClr w14:val="tx1"/>
            </w14:solidFill>
          </w14:textFill>
        </w:rPr>
      </w:pPr>
      <w:bookmarkStart w:id="20" w:name="_Toc236834159"/>
      <w:r>
        <w:rPr>
          <w:rFonts w:hint="eastAsia" w:ascii="楷体_GB2312" w:eastAsia="楷体_GB2312"/>
          <w:b w:val="0"/>
          <w:bCs w:val="0"/>
          <w:color w:val="000000" w:themeColor="text1"/>
          <w14:textFill>
            <w14:solidFill>
              <w14:schemeClr w14:val="tx1"/>
            </w14:solidFill>
          </w14:textFill>
        </w:rPr>
        <w:t>存在问题</w:t>
      </w:r>
      <w:bookmarkEnd w:id="20"/>
    </w:p>
    <w:p w14:paraId="016E43F0">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1.对外交通联络水平需加快提升</w:t>
      </w:r>
    </w:p>
    <w:p w14:paraId="561C65DB">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东发带联络线、北部货运通道、新国展联络线、驿站东路等跨区域道路尚未完全实现规划。联通中心城区、通州、朝阳、昌平的道路仅依托京密路、通顺路、昌金路、顺沙路，路网密度不够且道路等级较低，限制了区域间的交流与合作，影响顺义区的整体发展。</w:t>
      </w:r>
    </w:p>
    <w:p w14:paraId="3E09BED2">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2.交通对顺义区内部出行支撑不够</w:t>
      </w:r>
    </w:p>
    <w:p w14:paraId="1A7C5475">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跨潮白河通道依靠顺平路潮白河大桥、牛栏山引水桥等实现，顺平南线柳各庄闸桥、龙塘路苏庄闸桥等桥梁规模较小、通行能力不足；</w:t>
      </w:r>
      <w:r>
        <w:rPr>
          <w:rFonts w:hint="eastAsia" w:ascii="仿宋_GB2312" w:hAnsi="仿宋_GB2312" w:cs="仿宋_GB2312"/>
          <w:color w:val="000000" w:themeColor="text1"/>
          <w:szCs w:val="32"/>
          <w14:textFill>
            <w14:solidFill>
              <w14:schemeClr w14:val="tx1"/>
            </w14:solidFill>
          </w14:textFill>
        </w:rPr>
        <w:t>区内部分道路存在断头，削弱区域路网的承载力。铁路造成城市交通界面割裂，部分铁路未预留跨铁路通道，部分铁路涵洞宽度较小、净空高不足，影响跨铁路道路等设施建设。</w:t>
      </w:r>
    </w:p>
    <w:p w14:paraId="38D9096D">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3.交通发展与产业发展协同还需进一步加强</w:t>
      </w:r>
    </w:p>
    <w:p w14:paraId="2EC0D470">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部分新产业园区配套交通基础设施部分未建成，交通设施对产业发展支撑有所欠缺，还需加快建设产业园区配套道路。新国展区域在大型展会期间交通拥堵问题突出，使用出租车、网约车、私人小汽车出行占比在50%以上，展会期间周边道路面临较大压力。</w:t>
      </w:r>
    </w:p>
    <w:p w14:paraId="5DD5E8D5">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4.公共交通服务有待提升</w:t>
      </w:r>
    </w:p>
    <w:p w14:paraId="36A28E8D">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轨道服务尚有提升空间，目前仅15号线可承担与中心城的快速联系，高峰时段满载率较高。各平原新城与中心城之间的轨道交通联络上，顺义区尚处于弱势。京沈客专顺义西站距离顺义核心地区及机场等交通枢纽较远，且周边未完成一体化开发，对区域经济贡献不足。</w:t>
      </w:r>
    </w:p>
    <w:p w14:paraId="54CB813C">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5.交通出行秩序有待提升</w:t>
      </w:r>
    </w:p>
    <w:p w14:paraId="1543841A">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慢行出行比例逐年增高，电动自行车保有量增长至</w:t>
      </w:r>
      <w:r>
        <w:rPr>
          <w:color w:val="000000" w:themeColor="text1"/>
          <w14:textFill>
            <w14:solidFill>
              <w14:schemeClr w14:val="tx1"/>
            </w14:solidFill>
          </w14:textFill>
        </w:rPr>
        <w:t>16.58</w:t>
      </w:r>
      <w:r>
        <w:rPr>
          <w:rFonts w:hint="eastAsia"/>
          <w:color w:val="000000" w:themeColor="text1"/>
          <w14:textFill>
            <w14:solidFill>
              <w14:schemeClr w14:val="tx1"/>
            </w14:solidFill>
          </w14:textFill>
        </w:rPr>
        <w:t>万辆，对“老城区商圈”、三中、八中等重点区域秩序影响较大，非机动车事故数占交通事故总数中的30%。华联、祥云小镇等“学医景商”重点区域拥堵情况仍然存在，慢行路权、停车供需矛盾突出。</w:t>
      </w:r>
    </w:p>
    <w:p w14:paraId="40CA2579">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6.韧性安全的绿色交通建设仍需久久为功</w:t>
      </w:r>
    </w:p>
    <w:p w14:paraId="5A2F9ADB">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能源结构有待进一步转型，高污染货运车辆未完全淘汰，新能源车充电设施还需加快完善，交通设施风险防范能力有待进一步提升，桥梁等交通基础设施安全隐患排查</w:t>
      </w:r>
      <w:r>
        <w:rPr>
          <w:color w:val="000000" w:themeColor="text1"/>
          <w14:textFill>
            <w14:solidFill>
              <w14:schemeClr w14:val="tx1"/>
            </w14:solidFill>
          </w14:textFill>
        </w:rPr>
        <w:t>工作</w:t>
      </w:r>
      <w:r>
        <w:rPr>
          <w:rFonts w:hint="eastAsia"/>
          <w:color w:val="000000" w:themeColor="text1"/>
          <w14:textFill>
            <w14:solidFill>
              <w14:schemeClr w14:val="tx1"/>
            </w14:solidFill>
          </w14:textFill>
        </w:rPr>
        <w:t>实效</w:t>
      </w:r>
      <w:r>
        <w:rPr>
          <w:color w:val="000000" w:themeColor="text1"/>
          <w14:textFill>
            <w14:solidFill>
              <w14:schemeClr w14:val="tx1"/>
            </w14:solidFill>
          </w14:textFill>
        </w:rPr>
        <w:t>需</w:t>
      </w:r>
      <w:r>
        <w:rPr>
          <w:rFonts w:hint="eastAsia"/>
          <w:color w:val="000000" w:themeColor="text1"/>
          <w14:textFill>
            <w14:solidFill>
              <w14:schemeClr w14:val="tx1"/>
            </w14:solidFill>
          </w14:textFill>
        </w:rPr>
        <w:t>进一步</w:t>
      </w:r>
      <w:r>
        <w:rPr>
          <w:color w:val="000000" w:themeColor="text1"/>
          <w14:textFill>
            <w14:solidFill>
              <w14:schemeClr w14:val="tx1"/>
            </w14:solidFill>
          </w14:textFill>
        </w:rPr>
        <w:t>深化</w:t>
      </w:r>
      <w:r>
        <w:rPr>
          <w:rFonts w:hint="eastAsia"/>
          <w:color w:val="000000" w:themeColor="text1"/>
          <w14:textFill>
            <w14:solidFill>
              <w14:schemeClr w14:val="tx1"/>
            </w14:solidFill>
          </w14:textFill>
        </w:rPr>
        <w:t>。</w:t>
      </w:r>
    </w:p>
    <w:p w14:paraId="3B0B9DFD">
      <w:pPr>
        <w:pStyle w:val="2"/>
        <w:numPr>
          <w:ilvl w:val="0"/>
          <w:numId w:val="1"/>
        </w:numPr>
        <w:ind w:left="0" w:firstLine="640" w:firstLineChars="200"/>
        <w:rPr>
          <w:rFonts w:hint="eastAsia"/>
          <w:color w:val="000000" w:themeColor="text1"/>
          <w14:textFill>
            <w14:solidFill>
              <w14:schemeClr w14:val="tx1"/>
            </w14:solidFill>
          </w14:textFill>
        </w:rPr>
      </w:pPr>
      <w:bookmarkStart w:id="21" w:name="_Toc236834160"/>
      <w:r>
        <w:rPr>
          <w:rFonts w:hint="eastAsia"/>
          <w:color w:val="000000" w:themeColor="text1"/>
          <w14:textFill>
            <w14:solidFill>
              <w14:schemeClr w14:val="tx1"/>
            </w14:solidFill>
          </w14:textFill>
        </w:rPr>
        <w:t>“十五五”时期顺义区交通发展形势</w:t>
      </w:r>
      <w:bookmarkEnd w:id="21"/>
    </w:p>
    <w:p w14:paraId="1B71E01C">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“十五五”时期是顺义区</w:t>
      </w:r>
      <w:r>
        <w:rPr>
          <w:color w:val="000000" w:themeColor="text1"/>
          <w14:textFill>
            <w14:solidFill>
              <w14:schemeClr w14:val="tx1"/>
            </w14:solidFill>
          </w14:textFill>
        </w:rPr>
        <w:t>全面落实新版城市总体规划</w:t>
      </w:r>
      <w:r>
        <w:rPr>
          <w:rFonts w:hint="eastAsia"/>
          <w:color w:val="000000" w:themeColor="text1"/>
          <w14:textFill>
            <w14:solidFill>
              <w14:schemeClr w14:val="tx1"/>
            </w14:solidFill>
          </w14:textFill>
        </w:rPr>
        <w:t>、加快推动平原新城高质量发展的重要战略窗口期，城市交通发展面临新形势、新要求。</w:t>
      </w:r>
    </w:p>
    <w:p w14:paraId="3D1EB39A">
      <w:pPr>
        <w:pStyle w:val="3"/>
        <w:numPr>
          <w:ilvl w:val="0"/>
          <w:numId w:val="5"/>
        </w:numPr>
        <w:spacing w:before="0" w:after="0" w:line="560" w:lineRule="exact"/>
        <w:ind w:left="0" w:firstLine="640" w:firstLineChars="200"/>
        <w:rPr>
          <w:rFonts w:ascii="楷体_GB2312" w:eastAsia="楷体_GB2312"/>
          <w:b w:val="0"/>
          <w:bCs w:val="0"/>
          <w:color w:val="000000" w:themeColor="text1"/>
          <w14:textFill>
            <w14:solidFill>
              <w14:schemeClr w14:val="tx1"/>
            </w14:solidFill>
          </w14:textFill>
        </w:rPr>
      </w:pPr>
      <w:bookmarkStart w:id="22" w:name="_Toc236834161"/>
      <w:r>
        <w:rPr>
          <w:rFonts w:hint="eastAsia" w:ascii="楷体_GB2312" w:eastAsia="楷体_GB2312"/>
          <w:b w:val="0"/>
          <w:bCs w:val="0"/>
          <w:color w:val="000000" w:themeColor="text1"/>
          <w14:textFill>
            <w14:solidFill>
              <w14:schemeClr w14:val="tx1"/>
            </w14:solidFill>
          </w14:textFill>
        </w:rPr>
        <w:t>服务核心战略定位，构建多层次立体交通网络</w:t>
      </w:r>
      <w:bookmarkEnd w:id="22"/>
    </w:p>
    <w:p w14:paraId="18990B5C">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顺义区作为北京城市总体规划“一核一主一副、两轴多点一区”空间结构中属于</w:t>
      </w:r>
      <w:r>
        <w:rPr>
          <w:color w:val="000000" w:themeColor="text1"/>
          <w14:textFill>
            <w14:solidFill>
              <w14:schemeClr w14:val="tx1"/>
            </w14:solidFill>
          </w14:textFill>
        </w:rPr>
        <w:t>“多点”</w:t>
      </w:r>
      <w:r>
        <w:rPr>
          <w:rFonts w:hint="eastAsia"/>
          <w:color w:val="000000" w:themeColor="text1"/>
          <w14:textFill>
            <w14:solidFill>
              <w14:schemeClr w14:val="tx1"/>
            </w14:solidFill>
          </w14:textFill>
        </w:rPr>
        <w:t>中的“一点”，被赋予“</w:t>
      </w:r>
      <w:r>
        <w:rPr>
          <w:color w:val="000000" w:themeColor="text1"/>
          <w14:textFill>
            <w14:solidFill>
              <w14:schemeClr w14:val="tx1"/>
            </w14:solidFill>
          </w14:textFill>
        </w:rPr>
        <w:t>港城融合的国际航空中心核心区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创新引领的区域经济提升发展先行区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城乡协调的首都和谐宜居示范区”的定位</w:t>
      </w:r>
      <w:r>
        <w:rPr>
          <w:rFonts w:hint="eastAsia"/>
          <w:color w:val="000000" w:themeColor="text1"/>
          <w14:textFill>
            <w14:solidFill>
              <w14:schemeClr w14:val="tx1"/>
            </w14:solidFill>
          </w14:textFill>
        </w:rPr>
        <w:t>，要促进区域功能融合创新、港区一体发展，加强区域协同联动，辐射京津冀，加强机场与河北雄安新区的快速连接。顺义分区规划提出要深入落实京津冀协同发展战略，推动平原新城高质量发展，促进河东与河西的均衡协调发展。着力提升交通基础支撑水平，坚持以人为本、公交优先，提高交通系统效率，优化交通设施布局，构建便捷、绿色、共享、智慧的综合交通体系。</w:t>
      </w:r>
    </w:p>
    <w:p w14:paraId="028C3C6D">
      <w:pPr>
        <w:pStyle w:val="3"/>
        <w:numPr>
          <w:ilvl w:val="0"/>
          <w:numId w:val="5"/>
        </w:numPr>
        <w:spacing w:before="0" w:after="0" w:line="560" w:lineRule="exact"/>
        <w:ind w:left="0" w:firstLine="640" w:firstLineChars="200"/>
        <w:rPr>
          <w:rFonts w:ascii="楷体_GB2312" w:eastAsia="楷体_GB2312"/>
          <w:b w:val="0"/>
          <w:bCs w:val="0"/>
          <w:color w:val="000000" w:themeColor="text1"/>
          <w14:textFill>
            <w14:solidFill>
              <w14:schemeClr w14:val="tx1"/>
            </w14:solidFill>
          </w14:textFill>
        </w:rPr>
      </w:pPr>
      <w:bookmarkStart w:id="23" w:name="_Toc236834162"/>
      <w:r>
        <w:rPr>
          <w:rFonts w:hint="eastAsia" w:ascii="楷体_GB2312" w:eastAsia="楷体_GB2312"/>
          <w:b w:val="0"/>
          <w:bCs w:val="0"/>
          <w:color w:val="000000" w:themeColor="text1"/>
          <w14:textFill>
            <w14:solidFill>
              <w14:schemeClr w14:val="tx1"/>
            </w14:solidFill>
          </w14:textFill>
        </w:rPr>
        <w:t>服务产业发展，构建产城融合的高标准交通体系</w:t>
      </w:r>
      <w:bookmarkEnd w:id="23"/>
    </w:p>
    <w:p w14:paraId="7CB3B231">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《顺义区平原新城高质量发展实施方案（</w:t>
      </w:r>
      <w:r>
        <w:rPr>
          <w:color w:val="000000" w:themeColor="text1"/>
          <w14:textFill>
            <w14:solidFill>
              <w14:schemeClr w14:val="tx1"/>
            </w14:solidFill>
          </w14:textFill>
        </w:rPr>
        <w:t>2025</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-2030</w:t>
      </w:r>
      <w:r>
        <w:rPr>
          <w:rFonts w:hint="eastAsia"/>
          <w:color w:val="000000" w:themeColor="text1"/>
          <w14:textFill>
            <w14:solidFill>
              <w14:schemeClr w14:val="tx1"/>
            </w14:solidFill>
          </w14:textFill>
        </w:rPr>
        <w:t>年）》指出要着力建设临空经济先行区、产城融合国际新城，持续加强高质量交通建设，全面提升新城综合承载能力。随着产业园区发展，汽车产业园等高端制造业零部件运输、新国展</w:t>
      </w:r>
      <w:r>
        <w:rPr>
          <w:rFonts w:hint="eastAsia" w:ascii="仿宋_GB2312" w:hAnsi="仿宋_GB2312" w:cs="仿宋_GB2312"/>
          <w:color w:val="000000" w:themeColor="text1"/>
          <w14:textFill>
            <w14:solidFill>
              <w14:schemeClr w14:val="tx1"/>
            </w14:solidFill>
          </w14:textFill>
        </w:rPr>
        <w:t>展会物流</w:t>
      </w:r>
      <w:r>
        <w:rPr>
          <w:rFonts w:ascii="仿宋_GB2312" w:hAnsi="仿宋_GB2312" w:cs="仿宋_GB2312"/>
          <w:color w:val="000000" w:themeColor="text1"/>
          <w14:textFill>
            <w14:solidFill>
              <w14:schemeClr w14:val="tx1"/>
            </w14:solidFill>
          </w14:textFill>
        </w:rPr>
        <w:t>提出迫切需求</w:t>
      </w:r>
      <w:r>
        <w:rPr>
          <w:rFonts w:hint="eastAsia" w:ascii="仿宋_GB2312" w:hAnsi="仿宋_GB2312" w:cs="仿宋_GB2312"/>
          <w:color w:val="000000" w:themeColor="text1"/>
          <w14:textFill>
            <w14:solidFill>
              <w14:schemeClr w14:val="tx1"/>
            </w14:solidFill>
          </w14:textFill>
        </w:rPr>
        <w:t>。</w:t>
      </w:r>
      <w:r>
        <w:rPr>
          <w:rFonts w:hint="eastAsia"/>
          <w:color w:val="000000" w:themeColor="text1"/>
          <w14:textFill>
            <w14:solidFill>
              <w14:schemeClr w14:val="tx1"/>
            </w14:solidFill>
          </w14:textFill>
        </w:rPr>
        <w:t>天竺综保区与天津港联动、河东地区提质发展以及同中心城区特别是与朝阳地区的快速联系将增加跨区域通勤需求。为此，顺义区需预留产业功能区交通廊道用地，提高新国展、临空经济区周边路网密度，坚持轨道引领发展，打破潮白河两岸交通发展壁垒，发展智慧物流枢纽，提升航空货运与制造业供应链效率。</w:t>
      </w:r>
    </w:p>
    <w:p w14:paraId="6510480B">
      <w:pPr>
        <w:pStyle w:val="3"/>
        <w:numPr>
          <w:ilvl w:val="0"/>
          <w:numId w:val="5"/>
        </w:numPr>
        <w:spacing w:before="0" w:after="0" w:line="560" w:lineRule="exact"/>
        <w:ind w:left="0" w:firstLine="640" w:firstLineChars="200"/>
        <w:rPr>
          <w:rFonts w:ascii="楷体_GB2312" w:eastAsia="楷体_GB2312"/>
          <w:b w:val="0"/>
          <w:bCs w:val="0"/>
          <w:color w:val="000000" w:themeColor="text1"/>
          <w14:textFill>
            <w14:solidFill>
              <w14:schemeClr w14:val="tx1"/>
            </w14:solidFill>
          </w14:textFill>
        </w:rPr>
      </w:pPr>
      <w:bookmarkStart w:id="24" w:name="_Toc236834163"/>
      <w:r>
        <w:rPr>
          <w:rFonts w:hint="eastAsia" w:ascii="楷体_GB2312" w:eastAsia="楷体_GB2312"/>
          <w:b w:val="0"/>
          <w:bCs w:val="0"/>
          <w:color w:val="000000" w:themeColor="text1"/>
          <w14:textFill>
            <w14:solidFill>
              <w14:schemeClr w14:val="tx1"/>
            </w14:solidFill>
          </w14:textFill>
        </w:rPr>
        <w:t>服务老城更新，构建绿色、智慧导向的出行服务升级</w:t>
      </w:r>
      <w:bookmarkEnd w:id="24"/>
    </w:p>
    <w:p w14:paraId="47BC0DB3">
      <w:pPr>
        <w:tabs>
          <w:tab w:val="left" w:pos="720"/>
        </w:tabs>
        <w:ind w:firstLine="640" w:firstLineChars="200"/>
        <w:rPr>
          <w:color w:val="000000" w:themeColor="text1"/>
          <w14:textFill>
            <w14:solidFill>
              <w14:schemeClr w14:val="tx1"/>
            </w14:solidFill>
          </w14:textFill>
        </w:rPr>
      </w:pPr>
      <w:r>
        <w:rPr>
          <w:color w:val="000000" w:themeColor="text1"/>
          <w14:textFill>
            <w14:solidFill>
              <w14:schemeClr w14:val="tx1"/>
            </w14:solidFill>
          </w14:textFill>
        </w:rPr>
        <w:t>落实习近平总书记关于建设安全、便捷、高效、绿色、经济、包容、韧性的可持续交通体系重要指示精神</w:t>
      </w:r>
      <w:r>
        <w:rPr>
          <w:rFonts w:hint="eastAsia"/>
          <w:color w:val="000000" w:themeColor="text1"/>
          <w14:textFill>
            <w14:solidFill>
              <w14:schemeClr w14:val="tx1"/>
            </w14:solidFill>
          </w14:textFill>
        </w:rPr>
        <w:t>，努力实现“人享其行、物畅其流”美好愿景。</w:t>
      </w:r>
      <w:r>
        <w:rPr>
          <w:color w:val="000000" w:themeColor="text1"/>
          <w14:textFill>
            <w14:solidFill>
              <w14:schemeClr w14:val="tx1"/>
            </w14:solidFill>
          </w14:textFill>
        </w:rPr>
        <w:t>顺义区需全面提升居民出行品质</w:t>
      </w:r>
      <w:r>
        <w:rPr>
          <w:rFonts w:hint="eastAsia"/>
          <w:color w:val="000000" w:themeColor="text1"/>
          <w14:textFill>
            <w14:solidFill>
              <w14:schemeClr w14:val="tx1"/>
            </w14:solidFill>
          </w14:textFill>
        </w:rPr>
        <w:t>，坚持公交优先策略，健全轨道站点周边资源整合机制。加强机动车、非机动车行驶和停放管理。优化会展、医院等重点功能区周边交通组织，缓解交通拥堵。</w:t>
      </w:r>
    </w:p>
    <w:p w14:paraId="22490B70">
      <w:pPr>
        <w:pStyle w:val="3"/>
        <w:numPr>
          <w:ilvl w:val="0"/>
          <w:numId w:val="5"/>
        </w:numPr>
        <w:spacing w:before="0" w:after="0" w:line="560" w:lineRule="exact"/>
        <w:ind w:left="0" w:firstLine="640" w:firstLineChars="200"/>
        <w:rPr>
          <w:rFonts w:ascii="楷体_GB2312" w:eastAsia="楷体_GB2312"/>
          <w:color w:val="000000" w:themeColor="text1"/>
          <w14:textFill>
            <w14:solidFill>
              <w14:schemeClr w14:val="tx1"/>
            </w14:solidFill>
          </w14:textFill>
        </w:rPr>
      </w:pPr>
      <w:bookmarkStart w:id="25" w:name="_Toc236834164"/>
      <w:r>
        <w:rPr>
          <w:rFonts w:hint="eastAsia" w:ascii="楷体_GB2312" w:eastAsia="楷体_GB2312"/>
          <w:b w:val="0"/>
          <w:bCs w:val="0"/>
          <w:color w:val="000000" w:themeColor="text1"/>
          <w14:textFill>
            <w14:solidFill>
              <w14:schemeClr w14:val="tx1"/>
            </w14:solidFill>
          </w14:textFill>
        </w:rPr>
        <w:t>服务安全韧性，打造可持续交通标杆</w:t>
      </w:r>
      <w:bookmarkEnd w:id="25"/>
    </w:p>
    <w:p w14:paraId="08854972">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统筹防洪需求和交通、休闲绿道建设，不断完善潮白河等防洪工程体系。实施高速公路、乡村公路和急弯陡坡、临水临崖危险路段生命防护工程建设。加强公共交通和人员密集场所大客流监控，构建城市智慧感知体系，建立交通运输应急保障队伍和紧缺物资运输快速通道，落实突发事件应急交通管控措施和机制</w:t>
      </w:r>
      <w:r>
        <w:rPr>
          <w:color w:val="000000" w:themeColor="text1"/>
          <w14:textFill>
            <w14:solidFill>
              <w14:schemeClr w14:val="tx1"/>
            </w14:solidFill>
          </w14:textFill>
        </w:rPr>
        <w:t>，推进智慧韧性融合创新，提高风险预判预警能力，率先形成系统化、现代化的交通安全保障体系</w:t>
      </w:r>
      <w:r>
        <w:rPr>
          <w:rFonts w:hint="eastAsia"/>
          <w:color w:val="000000" w:themeColor="text1"/>
          <w14:textFill>
            <w14:solidFill>
              <w14:schemeClr w14:val="tx1"/>
            </w14:solidFill>
          </w14:textFill>
        </w:rPr>
        <w:t>。</w:t>
      </w:r>
    </w:p>
    <w:p w14:paraId="48771BFF">
      <w:pPr>
        <w:pStyle w:val="2"/>
        <w:numPr>
          <w:ilvl w:val="0"/>
          <w:numId w:val="1"/>
        </w:numPr>
        <w:ind w:left="0" w:firstLine="640" w:firstLineChars="200"/>
        <w:rPr>
          <w:rFonts w:hint="eastAsia"/>
          <w:color w:val="000000" w:themeColor="text1"/>
          <w14:textFill>
            <w14:solidFill>
              <w14:schemeClr w14:val="tx1"/>
            </w14:solidFill>
          </w14:textFill>
        </w:rPr>
      </w:pPr>
      <w:bookmarkStart w:id="26" w:name="_Toc234403477"/>
      <w:bookmarkEnd w:id="26"/>
      <w:bookmarkStart w:id="27" w:name="_Toc234403483"/>
      <w:bookmarkEnd w:id="27"/>
      <w:bookmarkStart w:id="28" w:name="_Toc234403480"/>
      <w:bookmarkEnd w:id="28"/>
      <w:bookmarkStart w:id="29" w:name="_Toc234403487"/>
      <w:bookmarkEnd w:id="29"/>
      <w:bookmarkStart w:id="30" w:name="_Toc234403486"/>
      <w:bookmarkEnd w:id="30"/>
      <w:bookmarkStart w:id="31" w:name="_Toc234403478"/>
      <w:bookmarkEnd w:id="31"/>
      <w:bookmarkStart w:id="32" w:name="_Toc234403482"/>
      <w:bookmarkEnd w:id="32"/>
      <w:bookmarkStart w:id="33" w:name="_Toc234403481"/>
      <w:bookmarkEnd w:id="33"/>
      <w:bookmarkStart w:id="34" w:name="_Toc234403485"/>
      <w:bookmarkEnd w:id="34"/>
      <w:bookmarkStart w:id="35" w:name="_Toc234403479"/>
      <w:bookmarkEnd w:id="35"/>
      <w:bookmarkStart w:id="36" w:name="_Toc234403492"/>
      <w:bookmarkEnd w:id="36"/>
      <w:bookmarkStart w:id="37" w:name="_Toc234403489"/>
      <w:bookmarkEnd w:id="37"/>
      <w:bookmarkStart w:id="38" w:name="_Toc234403490"/>
      <w:bookmarkEnd w:id="38"/>
      <w:bookmarkStart w:id="39" w:name="_Toc234403491"/>
      <w:bookmarkEnd w:id="39"/>
      <w:bookmarkStart w:id="40" w:name="_Toc234403493"/>
      <w:bookmarkEnd w:id="40"/>
      <w:bookmarkStart w:id="41" w:name="_Toc234403484"/>
      <w:bookmarkEnd w:id="41"/>
      <w:bookmarkStart w:id="42" w:name="_Toc234403488"/>
      <w:bookmarkEnd w:id="42"/>
      <w:bookmarkStart w:id="43" w:name="_Toc236834165"/>
      <w:r>
        <w:rPr>
          <w:rFonts w:hint="eastAsia"/>
          <w:color w:val="000000" w:themeColor="text1"/>
          <w14:textFill>
            <w14:solidFill>
              <w14:schemeClr w14:val="tx1"/>
            </w14:solidFill>
          </w14:textFill>
        </w:rPr>
        <w:t>“十五五”时期现代化综合交通体系发展重点任务</w:t>
      </w:r>
      <w:bookmarkEnd w:id="43"/>
    </w:p>
    <w:p w14:paraId="1CABE919">
      <w:pPr>
        <w:pStyle w:val="3"/>
        <w:numPr>
          <w:ilvl w:val="0"/>
          <w:numId w:val="6"/>
        </w:numPr>
        <w:spacing w:before="0" w:after="0" w:line="560" w:lineRule="exact"/>
        <w:ind w:left="0" w:firstLine="442"/>
        <w:rPr>
          <w:rFonts w:ascii="楷体_GB2312" w:eastAsia="楷体_GB2312"/>
          <w:b w:val="0"/>
          <w:bCs w:val="0"/>
          <w:color w:val="000000" w:themeColor="text1"/>
          <w14:textFill>
            <w14:solidFill>
              <w14:schemeClr w14:val="tx1"/>
            </w14:solidFill>
          </w14:textFill>
        </w:rPr>
      </w:pPr>
      <w:bookmarkStart w:id="44" w:name="_Toc236834166"/>
      <w:r>
        <w:rPr>
          <w:rFonts w:hint="eastAsia" w:ascii="楷体_GB2312" w:eastAsia="楷体_GB2312"/>
          <w:b w:val="0"/>
          <w:bCs w:val="0"/>
          <w:color w:val="000000" w:themeColor="text1"/>
          <w14:textFill>
            <w14:solidFill>
              <w14:schemeClr w14:val="tx1"/>
            </w14:solidFill>
          </w14:textFill>
        </w:rPr>
        <w:t>发展目标与思路</w:t>
      </w:r>
      <w:bookmarkEnd w:id="44"/>
    </w:p>
    <w:p w14:paraId="5ADF12BD">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立足“国门空港城、创新前沿地、宜居示范区”的核心定位，提升“四个服务”水平，落实“平原新城看顺义”的目标要求，大力提升区域交通综合承载能力，满足人民日益增长的美好生活需要。</w:t>
      </w:r>
    </w:p>
    <w:p w14:paraId="75AB21E7">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1.实现对外交通服务提效</w:t>
      </w:r>
    </w:p>
    <w:p w14:paraId="3ADECD6E">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提升轨道交通服务，强化空铁联运能力，实现轨道交通与首都机场、临空经济区的便捷联通，完善与京津冀、副中心、中心城的快速通道，提升货运运输效率，建成安全高效的国际空港交通典范。</w:t>
      </w:r>
    </w:p>
    <w:p w14:paraId="64EDD8A1">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2.实现产城融合适配提升</w:t>
      </w:r>
    </w:p>
    <w:p w14:paraId="107BB69A">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围绕临空经济区、中德产业园等载体，提升交通服务适配性，精准化布设货运通道，推动会展商务区智能交通管理服务全覆盖，支撑智能网联汽车等新质生产力发展，引领绿色智慧改革。</w:t>
      </w:r>
    </w:p>
    <w:p w14:paraId="7786C7E5">
      <w:pPr>
        <w:tabs>
          <w:tab w:val="left" w:pos="1440"/>
        </w:tabs>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3.实现民生出行品质跃升</w:t>
      </w:r>
    </w:p>
    <w:p w14:paraId="7518E9EA">
      <w:pPr>
        <w:tabs>
          <w:tab w:val="left" w:pos="144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高标准构建韧性交通系统，建设复合型过河通道，破解潮白河东岸交通瓶颈，增加停车供给，减少拥堵点位，群众出行更加便捷高效。</w:t>
      </w:r>
    </w:p>
    <w:p w14:paraId="4945EE3A">
      <w:pPr>
        <w:tabs>
          <w:tab w:val="left" w:pos="1440"/>
        </w:tabs>
        <w:jc w:val="center"/>
        <w:rPr>
          <w:rFonts w:hint="eastAsia" w:ascii="黑体" w:hAnsi="黑体" w:eastAsia="黑体"/>
          <w:color w:val="000000" w:themeColor="text1"/>
          <w:sz w:val="28"/>
          <w:szCs w:val="22"/>
          <w14:textFill>
            <w14:solidFill>
              <w14:schemeClr w14:val="tx1"/>
            </w14:solidFill>
          </w14:textFill>
        </w:rPr>
      </w:pPr>
      <w:r>
        <w:rPr>
          <w:rFonts w:hint="eastAsia" w:ascii="黑体" w:hAnsi="黑体" w:eastAsia="黑体"/>
          <w:color w:val="000000" w:themeColor="text1"/>
          <w:sz w:val="28"/>
          <w:szCs w:val="22"/>
          <w14:textFill>
            <w14:solidFill>
              <w14:schemeClr w14:val="tx1"/>
            </w14:solidFill>
          </w14:textFill>
        </w:rPr>
        <w:t>表：顺义区“十五五”时期现代化综合交通体系发展规划主要指标</w:t>
      </w:r>
    </w:p>
    <w:tbl>
      <w:tblPr>
        <w:tblStyle w:val="13"/>
        <w:tblW w:w="49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2"/>
        <w:gridCol w:w="4345"/>
        <w:gridCol w:w="1178"/>
        <w:gridCol w:w="1295"/>
        <w:gridCol w:w="1203"/>
      </w:tblGrid>
      <w:tr w14:paraId="01E1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blHeader/>
          <w:jc w:val="center"/>
        </w:trPr>
        <w:tc>
          <w:tcPr>
            <w:tcW w:w="485" w:type="pct"/>
            <w:vAlign w:val="center"/>
          </w:tcPr>
          <w:p w14:paraId="15C5073A">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lang w:bidi="ar"/>
              </w:rPr>
              <w:t>序号</w:t>
            </w:r>
          </w:p>
        </w:tc>
        <w:tc>
          <w:tcPr>
            <w:tcW w:w="2445" w:type="pct"/>
            <w:vAlign w:val="center"/>
          </w:tcPr>
          <w:p w14:paraId="655D6260">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lang w:bidi="ar"/>
              </w:rPr>
              <w:t>指标</w:t>
            </w:r>
          </w:p>
        </w:tc>
        <w:tc>
          <w:tcPr>
            <w:tcW w:w="663" w:type="pct"/>
            <w:vAlign w:val="center"/>
          </w:tcPr>
          <w:p w14:paraId="1E328EF1">
            <w:pPr>
              <w:spacing w:line="240" w:lineRule="atLeast"/>
              <w:jc w:val="center"/>
              <w:textAlignment w:val="center"/>
              <w:rPr>
                <w:rFonts w:hint="eastAsia" w:ascii="仿宋_GB2312" w:hAnsi="仿宋_GB2312" w:cs="仿宋_GB2312"/>
                <w:sz w:val="24"/>
                <w:lang w:bidi="ar"/>
              </w:rPr>
            </w:pPr>
            <w:r>
              <w:rPr>
                <w:rFonts w:hint="eastAsia" w:ascii="仿宋_GB2312" w:hAnsi="仿宋_GB2312" w:cs="仿宋_GB2312"/>
                <w:sz w:val="24"/>
                <w:lang w:bidi="ar"/>
              </w:rPr>
              <w:t>现状值</w:t>
            </w:r>
          </w:p>
          <w:p w14:paraId="4A93E433">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lang w:bidi="ar"/>
              </w:rPr>
              <w:t>2025年</w:t>
            </w:r>
          </w:p>
        </w:tc>
        <w:tc>
          <w:tcPr>
            <w:tcW w:w="729" w:type="pct"/>
            <w:vAlign w:val="center"/>
          </w:tcPr>
          <w:p w14:paraId="23DA2DC7">
            <w:pPr>
              <w:spacing w:line="240" w:lineRule="atLeast"/>
              <w:jc w:val="center"/>
              <w:textAlignment w:val="center"/>
              <w:rPr>
                <w:rFonts w:hint="eastAsia" w:ascii="仿宋_GB2312" w:hAnsi="仿宋_GB2312" w:cs="仿宋_GB2312"/>
                <w:sz w:val="24"/>
                <w:lang w:bidi="ar"/>
              </w:rPr>
            </w:pPr>
            <w:r>
              <w:rPr>
                <w:rFonts w:hint="eastAsia" w:ascii="仿宋_GB2312" w:hAnsi="仿宋_GB2312" w:cs="仿宋_GB2312"/>
                <w:sz w:val="24"/>
                <w:lang w:bidi="ar"/>
              </w:rPr>
              <w:t>目标值</w:t>
            </w:r>
          </w:p>
          <w:p w14:paraId="26A664E0">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lang w:bidi="ar"/>
              </w:rPr>
              <w:t>2030年</w:t>
            </w:r>
          </w:p>
        </w:tc>
        <w:tc>
          <w:tcPr>
            <w:tcW w:w="677" w:type="pct"/>
            <w:vAlign w:val="center"/>
          </w:tcPr>
          <w:p w14:paraId="294CC9AD">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lang w:bidi="ar"/>
              </w:rPr>
              <w:t>属性</w:t>
            </w:r>
          </w:p>
        </w:tc>
      </w:tr>
      <w:tr w14:paraId="34E2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 w:type="pct"/>
            <w:vAlign w:val="center"/>
          </w:tcPr>
          <w:p w14:paraId="49312B95">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lang w:bidi="ar"/>
              </w:rPr>
              <w:t>1</w:t>
            </w:r>
          </w:p>
        </w:tc>
        <w:tc>
          <w:tcPr>
            <w:tcW w:w="2445" w:type="pct"/>
            <w:vAlign w:val="center"/>
          </w:tcPr>
          <w:p w14:paraId="08D8F095">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城市道路里程增加值（公里）</w:t>
            </w:r>
          </w:p>
        </w:tc>
        <w:tc>
          <w:tcPr>
            <w:tcW w:w="663" w:type="pct"/>
            <w:vAlign w:val="center"/>
          </w:tcPr>
          <w:p w14:paraId="05924180">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w:t>
            </w:r>
          </w:p>
        </w:tc>
        <w:tc>
          <w:tcPr>
            <w:tcW w:w="729" w:type="pct"/>
            <w:vAlign w:val="center"/>
          </w:tcPr>
          <w:p w14:paraId="56E775E9">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40</w:t>
            </w:r>
          </w:p>
        </w:tc>
        <w:tc>
          <w:tcPr>
            <w:tcW w:w="677" w:type="pct"/>
            <w:vAlign w:val="center"/>
          </w:tcPr>
          <w:p w14:paraId="7993C464">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预期性</w:t>
            </w:r>
          </w:p>
        </w:tc>
      </w:tr>
      <w:tr w14:paraId="7FDD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 w:type="pct"/>
            <w:vAlign w:val="center"/>
          </w:tcPr>
          <w:p w14:paraId="61A3C339">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lang w:bidi="ar"/>
              </w:rPr>
              <w:t>2</w:t>
            </w:r>
          </w:p>
        </w:tc>
        <w:tc>
          <w:tcPr>
            <w:tcW w:w="2445" w:type="pct"/>
            <w:vAlign w:val="center"/>
          </w:tcPr>
          <w:p w14:paraId="30F325DD">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公交地铁50米内接驳换乘比例（%）</w:t>
            </w:r>
          </w:p>
        </w:tc>
        <w:tc>
          <w:tcPr>
            <w:tcW w:w="663" w:type="pct"/>
            <w:vAlign w:val="center"/>
          </w:tcPr>
          <w:p w14:paraId="7B00526B">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w:t>
            </w:r>
          </w:p>
        </w:tc>
        <w:tc>
          <w:tcPr>
            <w:tcW w:w="729" w:type="pct"/>
            <w:vAlign w:val="center"/>
          </w:tcPr>
          <w:p w14:paraId="5666C97B">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95</w:t>
            </w:r>
          </w:p>
        </w:tc>
        <w:tc>
          <w:tcPr>
            <w:tcW w:w="677" w:type="pct"/>
            <w:vAlign w:val="center"/>
          </w:tcPr>
          <w:p w14:paraId="4D603BA8">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预期性</w:t>
            </w:r>
          </w:p>
        </w:tc>
      </w:tr>
      <w:tr w14:paraId="16642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 w:type="pct"/>
            <w:vAlign w:val="center"/>
          </w:tcPr>
          <w:p w14:paraId="719C519E">
            <w:pPr>
              <w:spacing w:line="240" w:lineRule="atLeast"/>
              <w:jc w:val="center"/>
              <w:textAlignment w:val="center"/>
              <w:rPr>
                <w:rFonts w:hint="eastAsia" w:ascii="仿宋_GB2312" w:hAnsi="仿宋_GB2312" w:cs="仿宋_GB2312"/>
                <w:sz w:val="24"/>
                <w:lang w:bidi="ar"/>
              </w:rPr>
            </w:pPr>
            <w:r>
              <w:rPr>
                <w:rFonts w:hint="eastAsia" w:ascii="仿宋_GB2312" w:hAnsi="仿宋_GB2312" w:cs="仿宋_GB2312"/>
                <w:sz w:val="24"/>
                <w:lang w:bidi="ar"/>
              </w:rPr>
              <w:t>3</w:t>
            </w:r>
          </w:p>
        </w:tc>
        <w:tc>
          <w:tcPr>
            <w:tcW w:w="2445" w:type="pct"/>
            <w:vAlign w:val="center"/>
          </w:tcPr>
          <w:p w14:paraId="14F40F37">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轨道交通站点周边500米范围人口和岗位覆盖率（%）</w:t>
            </w:r>
          </w:p>
        </w:tc>
        <w:tc>
          <w:tcPr>
            <w:tcW w:w="663" w:type="pct"/>
            <w:vAlign w:val="center"/>
          </w:tcPr>
          <w:p w14:paraId="71F86B59">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w:t>
            </w:r>
          </w:p>
        </w:tc>
        <w:tc>
          <w:tcPr>
            <w:tcW w:w="729" w:type="pct"/>
            <w:vAlign w:val="center"/>
          </w:tcPr>
          <w:p w14:paraId="623B2247">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稳步提升</w:t>
            </w:r>
          </w:p>
        </w:tc>
        <w:tc>
          <w:tcPr>
            <w:tcW w:w="677" w:type="pct"/>
            <w:vAlign w:val="center"/>
          </w:tcPr>
          <w:p w14:paraId="119EDBD5">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预期性</w:t>
            </w:r>
          </w:p>
        </w:tc>
      </w:tr>
      <w:tr w14:paraId="21BF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 w:type="pct"/>
            <w:vAlign w:val="center"/>
          </w:tcPr>
          <w:p w14:paraId="1CC1D3C5">
            <w:pPr>
              <w:spacing w:line="240" w:lineRule="atLeast"/>
              <w:jc w:val="center"/>
              <w:textAlignment w:val="center"/>
              <w:rPr>
                <w:rFonts w:hint="eastAsia" w:ascii="仿宋_GB2312" w:hAnsi="仿宋_GB2312" w:cs="仿宋_GB2312"/>
                <w:sz w:val="24"/>
                <w:lang w:bidi="ar"/>
              </w:rPr>
            </w:pPr>
            <w:r>
              <w:rPr>
                <w:rFonts w:hint="eastAsia" w:ascii="仿宋_GB2312" w:hAnsi="仿宋_GB2312" w:cs="仿宋_GB2312"/>
                <w:sz w:val="24"/>
                <w:lang w:bidi="ar"/>
              </w:rPr>
              <w:t>4</w:t>
            </w:r>
          </w:p>
        </w:tc>
        <w:tc>
          <w:tcPr>
            <w:tcW w:w="2445" w:type="pct"/>
            <w:vAlign w:val="center"/>
          </w:tcPr>
          <w:p w14:paraId="52E5EAFB">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公共候车亭数量增加值（座）</w:t>
            </w:r>
          </w:p>
        </w:tc>
        <w:tc>
          <w:tcPr>
            <w:tcW w:w="663" w:type="pct"/>
            <w:vAlign w:val="center"/>
          </w:tcPr>
          <w:p w14:paraId="597484C9">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w:t>
            </w:r>
          </w:p>
        </w:tc>
        <w:tc>
          <w:tcPr>
            <w:tcW w:w="729" w:type="pct"/>
            <w:vAlign w:val="center"/>
          </w:tcPr>
          <w:p w14:paraId="6616F88C">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100</w:t>
            </w:r>
          </w:p>
        </w:tc>
        <w:tc>
          <w:tcPr>
            <w:tcW w:w="677" w:type="pct"/>
            <w:vAlign w:val="center"/>
          </w:tcPr>
          <w:p w14:paraId="1A49F16C">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预期性</w:t>
            </w:r>
          </w:p>
        </w:tc>
      </w:tr>
      <w:tr w14:paraId="4717E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 w:type="pct"/>
            <w:vAlign w:val="center"/>
          </w:tcPr>
          <w:p w14:paraId="21F640DF">
            <w:pPr>
              <w:spacing w:line="240" w:lineRule="atLeast"/>
              <w:jc w:val="center"/>
              <w:textAlignment w:val="center"/>
              <w:rPr>
                <w:rFonts w:hint="eastAsia" w:ascii="仿宋_GB2312" w:hAnsi="仿宋_GB2312" w:cs="仿宋_GB2312"/>
                <w:sz w:val="24"/>
                <w:lang w:bidi="ar"/>
              </w:rPr>
            </w:pPr>
            <w:r>
              <w:rPr>
                <w:rFonts w:hint="eastAsia" w:ascii="仿宋_GB2312" w:hAnsi="仿宋_GB2312" w:cs="仿宋_GB2312"/>
                <w:sz w:val="24"/>
                <w:lang w:bidi="ar"/>
              </w:rPr>
              <w:t>5</w:t>
            </w:r>
          </w:p>
        </w:tc>
        <w:tc>
          <w:tcPr>
            <w:tcW w:w="2445" w:type="pct"/>
            <w:vAlign w:val="center"/>
          </w:tcPr>
          <w:p w14:paraId="7F236E5E">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社区级绿道增加值（公里）</w:t>
            </w:r>
          </w:p>
        </w:tc>
        <w:tc>
          <w:tcPr>
            <w:tcW w:w="663" w:type="pct"/>
            <w:vAlign w:val="center"/>
          </w:tcPr>
          <w:p w14:paraId="0D4E17AB">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w:t>
            </w:r>
          </w:p>
        </w:tc>
        <w:tc>
          <w:tcPr>
            <w:tcW w:w="729" w:type="pct"/>
            <w:vAlign w:val="center"/>
          </w:tcPr>
          <w:p w14:paraId="07EEB6FE">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20</w:t>
            </w:r>
          </w:p>
        </w:tc>
        <w:tc>
          <w:tcPr>
            <w:tcW w:w="677" w:type="pct"/>
            <w:vAlign w:val="center"/>
          </w:tcPr>
          <w:p w14:paraId="6BEEE6C4">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预期性</w:t>
            </w:r>
          </w:p>
        </w:tc>
      </w:tr>
      <w:tr w14:paraId="5D55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85" w:type="pct"/>
            <w:vAlign w:val="center"/>
          </w:tcPr>
          <w:p w14:paraId="3852EA4F">
            <w:pPr>
              <w:spacing w:line="240" w:lineRule="atLeast"/>
              <w:jc w:val="center"/>
              <w:textAlignment w:val="center"/>
              <w:rPr>
                <w:rFonts w:hint="eastAsia" w:ascii="仿宋_GB2312" w:hAnsi="仿宋_GB2312" w:cs="仿宋_GB2312"/>
                <w:sz w:val="24"/>
                <w:lang w:bidi="ar"/>
              </w:rPr>
            </w:pPr>
            <w:r>
              <w:rPr>
                <w:rFonts w:hint="eastAsia" w:ascii="仿宋_GB2312" w:hAnsi="仿宋_GB2312" w:cs="仿宋_GB2312"/>
                <w:sz w:val="24"/>
                <w:lang w:bidi="ar"/>
              </w:rPr>
              <w:t>6</w:t>
            </w:r>
          </w:p>
        </w:tc>
        <w:tc>
          <w:tcPr>
            <w:tcW w:w="2445" w:type="pct"/>
            <w:vAlign w:val="center"/>
          </w:tcPr>
          <w:p w14:paraId="5FF39DC8">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公交车新能源化率（%）</w:t>
            </w:r>
          </w:p>
        </w:tc>
        <w:tc>
          <w:tcPr>
            <w:tcW w:w="663" w:type="pct"/>
            <w:vAlign w:val="center"/>
          </w:tcPr>
          <w:p w14:paraId="1FF8EDA1">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54</w:t>
            </w:r>
          </w:p>
        </w:tc>
        <w:tc>
          <w:tcPr>
            <w:tcW w:w="729" w:type="pct"/>
            <w:vAlign w:val="center"/>
          </w:tcPr>
          <w:p w14:paraId="2BC10983">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100</w:t>
            </w:r>
          </w:p>
        </w:tc>
        <w:tc>
          <w:tcPr>
            <w:tcW w:w="677" w:type="pct"/>
            <w:vAlign w:val="center"/>
          </w:tcPr>
          <w:p w14:paraId="2796C022">
            <w:pPr>
              <w:spacing w:line="240" w:lineRule="atLeast"/>
              <w:jc w:val="center"/>
              <w:textAlignment w:val="center"/>
              <w:rPr>
                <w:rFonts w:hint="eastAsia" w:ascii="仿宋_GB2312" w:hAnsi="仿宋_GB2312" w:cs="仿宋_GB2312"/>
                <w:sz w:val="24"/>
              </w:rPr>
            </w:pPr>
            <w:r>
              <w:rPr>
                <w:rFonts w:hint="eastAsia" w:ascii="仿宋_GB2312" w:hAnsi="仿宋_GB2312" w:cs="仿宋_GB2312"/>
                <w:sz w:val="24"/>
              </w:rPr>
              <w:t>预期性</w:t>
            </w:r>
          </w:p>
        </w:tc>
      </w:tr>
    </w:tbl>
    <w:p w14:paraId="097E8671">
      <w:pPr>
        <w:pStyle w:val="3"/>
        <w:numPr>
          <w:ilvl w:val="0"/>
          <w:numId w:val="6"/>
        </w:numPr>
        <w:spacing w:before="0" w:after="0" w:line="560" w:lineRule="exact"/>
        <w:ind w:left="0" w:firstLine="640" w:firstLineChars="200"/>
        <w:rPr>
          <w:rFonts w:ascii="楷体_GB2312" w:eastAsia="楷体_GB2312"/>
          <w:b w:val="0"/>
          <w:bCs w:val="0"/>
          <w:color w:val="000000" w:themeColor="text1"/>
          <w14:textFill>
            <w14:solidFill>
              <w14:schemeClr w14:val="tx1"/>
            </w14:solidFill>
          </w14:textFill>
        </w:rPr>
      </w:pPr>
      <w:bookmarkStart w:id="45" w:name="_Toc236834167"/>
      <w:r>
        <w:rPr>
          <w:rFonts w:hint="eastAsia" w:ascii="楷体_GB2312" w:eastAsia="楷体_GB2312"/>
          <w:b w:val="0"/>
          <w:bCs w:val="0"/>
          <w:color w:val="000000" w:themeColor="text1"/>
          <w14:textFill>
            <w14:solidFill>
              <w14:schemeClr w14:val="tx1"/>
            </w14:solidFill>
          </w14:textFill>
        </w:rPr>
        <w:t>重点任务</w:t>
      </w:r>
      <w:bookmarkEnd w:id="45"/>
    </w:p>
    <w:p w14:paraId="132D6846">
      <w:pPr>
        <w:pStyle w:val="4"/>
        <w:numPr>
          <w:ilvl w:val="0"/>
          <w:numId w:val="7"/>
        </w:numPr>
        <w:spacing w:before="0" w:after="0" w:line="560" w:lineRule="exact"/>
        <w:ind w:left="0" w:firstLine="643" w:firstLineChars="200"/>
        <w:rPr>
          <w:color w:val="000000" w:themeColor="text1"/>
          <w14:textFill>
            <w14:solidFill>
              <w14:schemeClr w14:val="tx1"/>
            </w14:solidFill>
          </w14:textFill>
        </w:rPr>
      </w:pPr>
      <w:bookmarkStart w:id="46" w:name="_Toc236834168"/>
      <w:r>
        <w:rPr>
          <w:rFonts w:hint="eastAsia"/>
          <w:color w:val="000000" w:themeColor="text1"/>
          <w14:textFill>
            <w14:solidFill>
              <w14:schemeClr w14:val="tx1"/>
            </w14:solidFill>
          </w14:textFill>
        </w:rPr>
        <w:t>构建畅通、高效的对外交通网络</w:t>
      </w:r>
      <w:bookmarkEnd w:id="46"/>
    </w:p>
    <w:p w14:paraId="1C765513">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（1）加强与中心城区联系，构建综合立体出行交通网</w:t>
      </w:r>
    </w:p>
    <w:p w14:paraId="0E2B5E77">
      <w:pPr>
        <w:tabs>
          <w:tab w:val="left" w:pos="720"/>
        </w:tabs>
        <w:ind w:firstLine="640" w:firstLineChars="200"/>
        <w:rPr>
          <w:rFonts w:hint="eastAsia" w:ascii="仿宋_GB2312" w:hAnsi="仿宋_GB2312" w:cs="仿宋_GB2312"/>
          <w:color w:val="000000" w:themeColor="text1"/>
          <w:szCs w:val="32"/>
          <w14:textFill>
            <w14:solidFill>
              <w14:schemeClr w14:val="tx1"/>
            </w14:solidFill>
          </w14:textFill>
        </w:rPr>
      </w:pPr>
      <w:r>
        <w:rPr>
          <w:rFonts w:hint="eastAsia"/>
          <w:color w:val="000000" w:themeColor="text1"/>
          <w14:textFill>
            <w14:solidFill>
              <w14:schemeClr w14:val="tx1"/>
            </w14:solidFill>
          </w14:textFill>
        </w:rPr>
        <w:t>加快京密高速建设，形成顺义连通朝阳、怀柔、密云等区的快速通道；推动开工建设东部发展带联络线，形成河东南北向快速通道</w:t>
      </w:r>
      <w:r>
        <w:rPr>
          <w:rFonts w:hint="eastAsia" w:ascii="仿宋_GB2312" w:hAnsi="仿宋_GB2312" w:cs="仿宋_GB2312"/>
          <w:color w:val="000000" w:themeColor="text1"/>
          <w:szCs w:val="32"/>
          <w14:textFill>
            <w14:solidFill>
              <w14:schemeClr w14:val="tx1"/>
            </w14:solidFill>
          </w14:textFill>
        </w:rPr>
        <w:t>。</w:t>
      </w:r>
    </w:p>
    <w:p w14:paraId="696D84A4">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加快轨道交通R4线一期北段、15号线东延等项目建设，加强对外联系通道；实施轨道交通既有线网改造，深化R4线北延至马坡站、15号线新国展加站、L1线西延至花梨坎站、17号线北延至顺义西站、13A线东延至首都机场、S15北部联络线等前期工作，形成轨道交通循环。</w:t>
      </w:r>
    </w:p>
    <w:p w14:paraId="20FA95AB">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（2）加强与毗邻地区联系，促进区域协同发展</w:t>
      </w:r>
    </w:p>
    <w:p w14:paraId="00D6F1B5">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推动建设东部发展带联络线等一批南北向骨干道路，加强与副中心互联互通。建成回南北路东延，服务温榆河公园周边出行，打通顺义区与昌平区交通联络。拓展谋划顺平快速路等一批东西向通道，加强与昌平未来科学城等区域互联互通能力。推动建成新国展联络线、驿站东路，打通与朝阳区联系通道。推动顺义-副中心-大兴轨道交通建设。</w:t>
      </w:r>
    </w:p>
    <w:p w14:paraId="4C2E1080">
      <w:pPr>
        <w:pStyle w:val="4"/>
        <w:numPr>
          <w:ilvl w:val="0"/>
          <w:numId w:val="7"/>
        </w:numPr>
        <w:spacing w:before="0" w:after="0" w:line="560" w:lineRule="exact"/>
        <w:ind w:left="0" w:firstLine="643" w:firstLineChars="200"/>
        <w:rPr>
          <w:color w:val="000000" w:themeColor="text1"/>
          <w14:textFill>
            <w14:solidFill>
              <w14:schemeClr w14:val="tx1"/>
            </w14:solidFill>
          </w14:textFill>
        </w:rPr>
      </w:pPr>
      <w:bookmarkStart w:id="47" w:name="_Toc236834169"/>
      <w:r>
        <w:rPr>
          <w:rFonts w:hint="eastAsia"/>
          <w:color w:val="000000" w:themeColor="text1"/>
          <w14:textFill>
            <w14:solidFill>
              <w14:schemeClr w14:val="tx1"/>
            </w14:solidFill>
          </w14:textFill>
        </w:rPr>
        <w:t>打造高水平对内交通，支撑平原新城发展</w:t>
      </w:r>
      <w:bookmarkEnd w:id="47"/>
    </w:p>
    <w:p w14:paraId="320A983E">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（1）加快轨道交通新线建设和既有线网改造，引领城市高水平发展</w:t>
      </w:r>
    </w:p>
    <w:p w14:paraId="3DB29A94">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推动轨道交通引领城市空间格局。推动轨道微中心一体化发展，加强对中德产业园、中关村顺义园等轨道交通R4线沿线重点产业功能区服务保障，打造市郊顺义站、牛栏山站、临河站、俸伯站等轨道微中心，推动居住、产业等功能向站点周边集聚。稳步提升轨道交通站点周边500米范围人口和岗位覆盖率。</w:t>
      </w:r>
    </w:p>
    <w:p w14:paraId="49265203">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（2）加快交通基础设施建设，服务区内产业发展</w:t>
      </w:r>
    </w:p>
    <w:p w14:paraId="6B9E27C3">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服务京津冀智能网联新能源汽车科技生态港顺义园，建成李遂大街、遂兴街、李魏路等道路。服务第三代半导体产业基地，推进文良南街等建设。服务中德产业园（南区），打通李天路东延，强化中德产业园对外交通联系，补充外语标志标识引导体系。服务临空经济核心区，优化调整天柱西路、安庆大街、天纬五街等道路断面，推动临空经济区道路及市政基础设施整体提升。优化道路建设推进机制，</w:t>
      </w:r>
      <w:r>
        <w:rPr>
          <w:color w:val="000000" w:themeColor="text1"/>
          <w14:textFill>
            <w14:solidFill>
              <w14:schemeClr w14:val="tx1"/>
            </w14:solidFill>
          </w14:textFill>
        </w:rPr>
        <w:t>健全项目储备筛选机制，结合交通规划布局</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用地、</w:t>
      </w:r>
      <w:r>
        <w:rPr>
          <w:rFonts w:hint="eastAsia"/>
          <w:color w:val="000000" w:themeColor="text1"/>
          <w14:textFill>
            <w14:solidFill>
              <w14:schemeClr w14:val="tx1"/>
            </w14:solidFill>
          </w14:textFill>
        </w:rPr>
        <w:t>征拆</w:t>
      </w:r>
      <w:r>
        <w:rPr>
          <w:color w:val="000000" w:themeColor="text1"/>
          <w14:textFill>
            <w14:solidFill>
              <w14:schemeClr w14:val="tx1"/>
            </w14:solidFill>
          </w14:textFill>
        </w:rPr>
        <w:t>等条件，明确建设时序。</w:t>
      </w:r>
      <w:r>
        <w:rPr>
          <w:rFonts w:hint="eastAsia"/>
          <w:color w:val="000000" w:themeColor="text1"/>
          <w14:textFill>
            <w14:solidFill>
              <w14:schemeClr w14:val="tx1"/>
            </w14:solidFill>
          </w14:textFill>
        </w:rPr>
        <w:t>研究</w:t>
      </w:r>
      <w:r>
        <w:rPr>
          <w:color w:val="000000" w:themeColor="text1"/>
          <w14:textFill>
            <w14:solidFill>
              <w14:schemeClr w14:val="tx1"/>
            </w14:solidFill>
          </w14:textFill>
        </w:rPr>
        <w:t>优化审批流程，压缩前期工作时限，</w:t>
      </w:r>
      <w:r>
        <w:rPr>
          <w:rFonts w:hint="eastAsia"/>
          <w:color w:val="000000" w:themeColor="text1"/>
          <w14:textFill>
            <w14:solidFill>
              <w14:schemeClr w14:val="tx1"/>
            </w14:solidFill>
          </w14:textFill>
        </w:rPr>
        <w:t>缩短道路建设</w:t>
      </w:r>
      <w:r>
        <w:rPr>
          <w:color w:val="000000" w:themeColor="text1"/>
          <w14:textFill>
            <w14:solidFill>
              <w14:schemeClr w14:val="tx1"/>
            </w14:solidFill>
          </w14:textFill>
        </w:rPr>
        <w:t>审批周期。统筹财政资金、专项债券和社会资本，资金安排与项目进度挂钩，保障工程顺利实施。</w:t>
      </w:r>
    </w:p>
    <w:p w14:paraId="7C1D2747">
      <w:pPr>
        <w:ind w:firstLine="643" w:firstLineChars="200"/>
        <w:rPr>
          <w:rFonts w:hint="eastAsia" w:ascii="仿宋_GB2312" w:hAnsi="仿宋_GB2312" w:cs="仿宋_GB2312"/>
          <w:b/>
          <w:bCs/>
          <w:color w:val="000000" w:themeColor="text1"/>
          <w:szCs w:val="32"/>
          <w14:textFill>
            <w14:solidFill>
              <w14:schemeClr w14:val="tx1"/>
            </w14:solidFill>
          </w14:textFill>
        </w:rPr>
      </w:pPr>
      <w:r>
        <w:rPr>
          <w:rFonts w:hint="eastAsia"/>
          <w:b/>
          <w:bCs/>
          <w:color w:val="000000" w:themeColor="text1"/>
          <w14:textFill>
            <w14:solidFill>
              <w14:schemeClr w14:val="tx1"/>
            </w14:solidFill>
          </w14:textFill>
        </w:rPr>
        <w:t>（3）利用高速网串联区内道路，</w:t>
      </w:r>
      <w:r>
        <w:rPr>
          <w:rFonts w:hint="eastAsia" w:ascii="仿宋_GB2312" w:hAnsi="仿宋_GB2312" w:cs="仿宋_GB2312"/>
          <w:b/>
          <w:bCs/>
          <w:color w:val="000000" w:themeColor="text1"/>
          <w:szCs w:val="32"/>
          <w14:textFill>
            <w14:solidFill>
              <w14:schemeClr w14:val="tx1"/>
            </w14:solidFill>
          </w14:textFill>
        </w:rPr>
        <w:t>改善路网结构</w:t>
      </w:r>
    </w:p>
    <w:p w14:paraId="05276806">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提升关键节点通行效能，利用北六环扩容改造提升契机，完善高速出入口，缓解交通拥堵，实现顺义城区与六环路快速联系；同步研究四纬路东延与六环互通。结合东发带建设，启用京平高速预留北庄头村出入口，推动与右堤路新线等接驳道路联通，强化京津冀智能网联新能源汽车科技生态港顺义园与京平高速联通，打通低等级公路与顺义区内联系。</w:t>
      </w:r>
    </w:p>
    <w:p w14:paraId="690995BE">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（4）开展城市交通基础设施更新，提升老城区和乡村配套交通服务品质</w:t>
      </w:r>
    </w:p>
    <w:p w14:paraId="74B5CF7D">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推动道路提级改造，推进顺平快速路建设，形成顺义区东西向快速交通走廊，研究顺平路向东延伸至东发带联络线。加快推动天北路等道路按规划实施，提高南北向道路通行能力。打通路网瓶颈节点，推动打通</w:t>
      </w:r>
      <w:r>
        <w:rPr>
          <w:rFonts w:ascii="仿宋_GB2312"/>
          <w:color w:val="000000" w:themeColor="text1"/>
          <w:szCs w:val="32"/>
          <w14:textFill>
            <w14:solidFill>
              <w14:schemeClr w14:val="tx1"/>
            </w14:solidFill>
          </w14:textFill>
        </w:rPr>
        <w:t>大营四街</w:t>
      </w:r>
      <w:r>
        <w:rPr>
          <w:rFonts w:hint="eastAsia" w:ascii="仿宋_GB2312"/>
          <w:color w:val="000000" w:themeColor="text1"/>
          <w:szCs w:val="32"/>
          <w14:textFill>
            <w14:solidFill>
              <w14:schemeClr w14:val="tx1"/>
            </w14:solidFill>
          </w14:textFill>
        </w:rPr>
        <w:t>（</w:t>
      </w:r>
      <w:r>
        <w:rPr>
          <w:rFonts w:ascii="仿宋_GB2312"/>
          <w:color w:val="000000" w:themeColor="text1"/>
          <w:szCs w:val="32"/>
          <w14:textFill>
            <w14:solidFill>
              <w14:schemeClr w14:val="tx1"/>
            </w14:solidFill>
          </w14:textFill>
        </w:rPr>
        <w:t>顺白路</w:t>
      </w:r>
      <w:r>
        <w:rPr>
          <w:rFonts w:hint="eastAsia" w:ascii="仿宋_GB2312"/>
          <w:color w:val="000000" w:themeColor="text1"/>
          <w:szCs w:val="32"/>
          <w14:textFill>
            <w14:solidFill>
              <w14:schemeClr w14:val="tx1"/>
            </w14:solidFill>
          </w14:textFill>
        </w:rPr>
        <w:t>-</w:t>
      </w:r>
      <w:r>
        <w:rPr>
          <w:rFonts w:ascii="仿宋_GB2312"/>
          <w:color w:val="000000" w:themeColor="text1"/>
          <w:szCs w:val="32"/>
          <w14:textFill>
            <w14:solidFill>
              <w14:schemeClr w14:val="tx1"/>
            </w14:solidFill>
          </w14:textFill>
        </w:rPr>
        <w:t>站前北街</w:t>
      </w:r>
      <w:r>
        <w:rPr>
          <w:rFonts w:hint="eastAsia" w:ascii="仿宋_GB2312"/>
          <w:color w:val="000000" w:themeColor="text1"/>
          <w:szCs w:val="32"/>
          <w14:textFill>
            <w14:solidFill>
              <w14:schemeClr w14:val="tx1"/>
            </w14:solidFill>
          </w14:textFill>
        </w:rPr>
        <w:t>）、松香湖大街等“断头路”</w:t>
      </w:r>
      <w:r>
        <w:rPr>
          <w:rFonts w:hint="eastAsia"/>
          <w:color w:val="000000" w:themeColor="text1"/>
          <w14:textFill>
            <w14:solidFill>
              <w14:schemeClr w14:val="tx1"/>
            </w14:solidFill>
          </w14:textFill>
        </w:rPr>
        <w:t>，畅通恒兴西路等瓶颈路，改善路网微循环。</w:t>
      </w:r>
      <w:r>
        <w:rPr>
          <w:rFonts w:hint="eastAsia"/>
        </w:rPr>
        <w:t>规范道路标志标识设置，精细化关键节点和道路断面型式，提高道路通行效率。</w:t>
      </w:r>
      <w:r>
        <w:rPr>
          <w:rFonts w:hint="eastAsia"/>
          <w:color w:val="000000" w:themeColor="text1"/>
          <w14:textFill>
            <w14:solidFill>
              <w14:schemeClr w14:val="tx1"/>
            </w14:solidFill>
          </w14:textFill>
        </w:rPr>
        <w:t>铁路提级改造时充分预留地下管廊和跨铁路通道，降低铁路对城市交通的影响。研究龙塘路西延至首都机场区域（六经路、二纬路），分流四纬路交通压力。</w:t>
      </w:r>
    </w:p>
    <w:p w14:paraId="2FC280FA">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开展和美乡村提升行动，统筹推进农村公路建设和环境整治提升，深化“美丽乡村路”创建。推进农村公路“白改黑”工程，实施窄路加宽工程，有序提升村庄道路标准化改造，提升行车舒适性。修缮乡村公路，开展路况整治提升行动。</w:t>
      </w:r>
    </w:p>
    <w:p w14:paraId="2D43E507">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开展交通噪声系统治理。重点缓解安乐家园、建新南区、石园东苑、石园南区、于庄村等居民区周边道路噪声，在昌金路、通顺路、平沿路、高白路安装声屏障，确保噪声衰减达标。</w:t>
      </w:r>
    </w:p>
    <w:p w14:paraId="2C4D8C9C">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（5）加快交通基础设施建设，推动“大展回归”</w:t>
      </w:r>
    </w:p>
    <w:p w14:paraId="086C7EEE">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完善新国展周边交通保障，支撑首都国际交往中心建设。改造轨道交通既有线路，推动15号线新国展二期加站，推动L1线西延至花梨坎站纳入市级轨道交通线网规划及建设规划，</w:t>
      </w:r>
      <w:r>
        <w:rPr>
          <w:rFonts w:hint="eastAsia" w:ascii="仿宋_GB2312" w:hAnsi="仿宋_GB2312" w:cs="仿宋_GB2312"/>
          <w:color w:val="000000" w:themeColor="text1"/>
          <w:szCs w:val="32"/>
          <w14:textFill>
            <w14:solidFill>
              <w14:schemeClr w14:val="tx1"/>
            </w14:solidFill>
          </w14:textFill>
        </w:rPr>
        <w:t>利用国展三期交通设施用地，促进轨道交通与城市功能融合发展</w:t>
      </w:r>
      <w:r>
        <w:rPr>
          <w:rFonts w:hint="eastAsia"/>
          <w:color w:val="000000" w:themeColor="text1"/>
          <w14:textFill>
            <w14:solidFill>
              <w14:schemeClr w14:val="tx1"/>
            </w14:solidFill>
          </w14:textFill>
        </w:rPr>
        <w:t>。完善路网，建成新国展联络线、京密高速，强化新国展周边交通保障。</w:t>
      </w:r>
    </w:p>
    <w:p w14:paraId="7D78B99D">
      <w:pPr>
        <w:tabs>
          <w:tab w:val="left" w:pos="720"/>
        </w:tabs>
        <w:ind w:firstLine="640" w:firstLineChars="200"/>
        <w:rPr>
          <w:color w:val="000000" w:themeColor="text1"/>
          <w14:textFill>
            <w14:solidFill>
              <w14:schemeClr w14:val="tx1"/>
            </w14:solidFill>
          </w14:textFill>
        </w:rPr>
      </w:pPr>
      <w:r>
        <w:rPr>
          <w:rFonts w:hint="eastAsia" w:ascii="仿宋_GB2312" w:hAnsi="仿宋_GB2312" w:cs="仿宋_GB2312"/>
          <w:color w:val="000000" w:themeColor="text1"/>
          <w:szCs w:val="32"/>
          <w14:textFill>
            <w14:solidFill>
              <w14:schemeClr w14:val="tx1"/>
            </w14:solidFill>
          </w14:textFill>
        </w:rPr>
        <w:t>持续提升场馆</w:t>
      </w:r>
      <w:r>
        <w:rPr>
          <w:rFonts w:hint="eastAsia"/>
          <w:szCs w:val="32"/>
        </w:rPr>
        <w:t>大客流高效集散水平，优化展会期间交通组织，强化交通预判、应急联动与疏导管控，提升大客流疏散能力。</w:t>
      </w:r>
      <w:r>
        <w:rPr>
          <w:rFonts w:hint="eastAsia"/>
          <w:color w:val="000000" w:themeColor="text1"/>
          <w14:textFill>
            <w14:solidFill>
              <w14:schemeClr w14:val="tx1"/>
            </w14:solidFill>
          </w14:textFill>
        </w:rPr>
        <w:t>增加新国展周边机动车和非机动车停车设施。</w:t>
      </w:r>
      <w:r>
        <w:rPr>
          <w:rFonts w:hint="eastAsia" w:ascii="仿宋_GB2312" w:hAnsi="仿宋_GB2312" w:cs="仿宋_GB2312"/>
          <w:color w:val="000000" w:themeColor="text1"/>
          <w:szCs w:val="32"/>
          <w14:textFill>
            <w14:solidFill>
              <w14:schemeClr w14:val="tx1"/>
            </w14:solidFill>
          </w14:textFill>
        </w:rPr>
        <w:t>划定出租车与网约车的专属上下客区域，提升区域通行效率。加强会展期间物流运输保障，增加布展和撤展期间货车停放空间。</w:t>
      </w:r>
    </w:p>
    <w:p w14:paraId="0A2CB7EA">
      <w:pPr>
        <w:pStyle w:val="4"/>
        <w:numPr>
          <w:ilvl w:val="0"/>
          <w:numId w:val="7"/>
        </w:numPr>
        <w:spacing w:before="0" w:after="0" w:line="560" w:lineRule="exact"/>
        <w:ind w:left="0" w:firstLine="643" w:firstLineChars="200"/>
        <w:rPr>
          <w:color w:val="000000" w:themeColor="text1"/>
          <w14:textFill>
            <w14:solidFill>
              <w14:schemeClr w14:val="tx1"/>
            </w14:solidFill>
          </w14:textFill>
        </w:rPr>
      </w:pPr>
      <w:bookmarkStart w:id="48" w:name="_Toc212741262"/>
      <w:bookmarkEnd w:id="48"/>
      <w:bookmarkStart w:id="49" w:name="_Toc212651542"/>
      <w:bookmarkEnd w:id="49"/>
      <w:bookmarkStart w:id="50" w:name="_Toc236834170"/>
      <w:r>
        <w:rPr>
          <w:rFonts w:hint="eastAsia"/>
          <w:color w:val="000000" w:themeColor="text1"/>
          <w14:textFill>
            <w14:solidFill>
              <w14:schemeClr w14:val="tx1"/>
            </w14:solidFill>
          </w14:textFill>
        </w:rPr>
        <w:t>打造便捷、智慧的绿色交通体系</w:t>
      </w:r>
      <w:bookmarkEnd w:id="50"/>
    </w:p>
    <w:p w14:paraId="45345C73">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（1）推进公共交通融合发展</w:t>
      </w:r>
    </w:p>
    <w:p w14:paraId="7593E57C">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提升轨道交通接驳能力。开展轨道交通站口接驳优化提升，增加轨道站点周边机动车和非机动车停放设施供给，改善轨道站点秩序。</w:t>
      </w:r>
      <w:r>
        <w:rPr>
          <w:color w:val="000000" w:themeColor="text1"/>
          <w14:textFill>
            <w14:solidFill>
              <w14:schemeClr w14:val="tx1"/>
            </w14:solidFill>
          </w14:textFill>
        </w:rPr>
        <w:t>推动人口、产业</w:t>
      </w:r>
      <w:r>
        <w:rPr>
          <w:rFonts w:hint="eastAsia"/>
          <w:color w:val="000000" w:themeColor="text1"/>
          <w14:textFill>
            <w14:solidFill>
              <w14:schemeClr w14:val="tx1"/>
            </w14:solidFill>
          </w14:textFill>
        </w:rPr>
        <w:t>向新建轨道交通线路和站点周边聚集，</w:t>
      </w:r>
      <w:r>
        <w:rPr>
          <w:color w:val="000000" w:themeColor="text1"/>
          <w14:textFill>
            <w14:solidFill>
              <w14:schemeClr w14:val="tx1"/>
            </w14:solidFill>
          </w14:textFill>
        </w:rPr>
        <w:t>支持轨道站点微中心一体化开发</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促进城市轨道交通与城市融合发展</w:t>
      </w:r>
      <w:r>
        <w:rPr>
          <w:rFonts w:hint="eastAsia"/>
          <w:color w:val="000000" w:themeColor="text1"/>
          <w14:textFill>
            <w14:solidFill>
              <w14:schemeClr w14:val="tx1"/>
            </w14:solidFill>
          </w14:textFill>
        </w:rPr>
        <w:t>，充分预留接驳设施建设空间。</w:t>
      </w:r>
      <w:r>
        <w:rPr>
          <w:rFonts w:hint="eastAsia" w:ascii="仿宋_GB2312" w:hAnsi="仿宋_GB2312" w:cs="仿宋_GB2312"/>
          <w:color w:val="000000" w:themeColor="text1"/>
          <w:szCs w:val="32"/>
          <w14:textFill>
            <w14:solidFill>
              <w14:schemeClr w14:val="tx1"/>
            </w14:solidFill>
          </w14:textFill>
        </w:rPr>
        <w:t>评估既有3处轨道交通P+R停车场运营情况，拓展停放非机动车；结合轨道交通新线建设，合理布局区内P+R停车场。</w:t>
      </w:r>
    </w:p>
    <w:p w14:paraId="242EB514">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优化地面公交线路布局。围绕新建道路、新建居民小区入住情况、产业园区布局等研究新开、调整公交线路，增加线网覆盖。</w:t>
      </w:r>
      <w:r>
        <w:rPr>
          <w:rFonts w:hint="eastAsia" w:ascii="仿宋_GB2312" w:hAnsi="仿宋_GB2312" w:cs="仿宋_GB2312"/>
          <w:color w:val="000000" w:themeColor="text1"/>
          <w:szCs w:val="32"/>
          <w14:textFill>
            <w14:solidFill>
              <w14:schemeClr w14:val="tx1"/>
            </w14:solidFill>
          </w14:textFill>
        </w:rPr>
        <w:t>加强地面公交</w:t>
      </w:r>
      <w:r>
        <w:rPr>
          <w:rFonts w:ascii="仿宋_GB2312" w:hAnsi="仿宋_GB2312" w:cs="仿宋_GB2312"/>
          <w:color w:val="000000" w:themeColor="text1"/>
          <w:szCs w:val="32"/>
          <w14:textFill>
            <w14:solidFill>
              <w14:schemeClr w14:val="tx1"/>
            </w14:solidFill>
          </w14:textFill>
        </w:rPr>
        <w:t>与轨道交通接驳，</w:t>
      </w:r>
      <w:r>
        <w:rPr>
          <w:rFonts w:hint="eastAsia" w:ascii="仿宋_GB2312" w:hAnsi="仿宋_GB2312" w:cs="仿宋_GB2312"/>
          <w:color w:val="000000" w:themeColor="text1"/>
          <w:szCs w:val="32"/>
          <w14:textFill>
            <w14:solidFill>
              <w14:schemeClr w14:val="tx1"/>
            </w14:solidFill>
          </w14:textFill>
        </w:rPr>
        <w:t>优化设置与轨道交通17号线、22号线接驳线路，服务高丽营镇、张镇等区域出行需求，增强远端轨道交通线路对顺义区的辐射范围。充分利用京平、京承、京密等高速路网，争取新开部分服务顺义区北部和东部快速进城公交线路，强化顺义区内与中心城区快速联系。</w:t>
      </w:r>
    </w:p>
    <w:p w14:paraId="62E85763">
      <w:pPr>
        <w:tabs>
          <w:tab w:val="left" w:pos="720"/>
        </w:tabs>
        <w:ind w:firstLine="640" w:firstLineChars="200"/>
        <w:rPr>
          <w:rFonts w:hint="eastAsia" w:ascii="仿宋_GB2312" w:hAnsi="仿宋_GB2312" w:cs="仿宋_GB2312"/>
          <w:color w:val="000000" w:themeColor="text1"/>
          <w:szCs w:val="32"/>
          <w14:textFill>
            <w14:solidFill>
              <w14:schemeClr w14:val="tx1"/>
            </w14:solidFill>
          </w14:textFill>
        </w:rPr>
      </w:pPr>
      <w:r>
        <w:rPr>
          <w:rFonts w:hint="eastAsia"/>
          <w:color w:val="000000" w:themeColor="text1"/>
          <w14:textFill>
            <w14:solidFill>
              <w14:schemeClr w14:val="tx1"/>
            </w14:solidFill>
          </w14:textFill>
        </w:rPr>
        <w:t>增加地面公交设施供给。</w:t>
      </w:r>
      <w:r>
        <w:rPr>
          <w:rFonts w:hint="eastAsia" w:ascii="仿宋_GB2312" w:hAnsi="仿宋_GB2312" w:cs="仿宋_GB2312"/>
          <w:color w:val="000000" w:themeColor="text1"/>
          <w:szCs w:val="32"/>
          <w14:textFill>
            <w14:solidFill>
              <w14:schemeClr w14:val="tx1"/>
            </w14:solidFill>
          </w14:textFill>
        </w:rPr>
        <w:t>完善公交中途站配套设施，改善候车环境，提升城乡道路公交站点候车亭覆盖率，新建公共候车亭100座，力争实现具备建设条件的公交站点候车亭全覆盖。围绕公交站台增加非机动车停放设施供给，提升接驳能力。</w:t>
      </w:r>
    </w:p>
    <w:p w14:paraId="6EDB7B10">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（2）推进慢行系统融合发展</w:t>
      </w:r>
    </w:p>
    <w:p w14:paraId="63358DBF">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打造水、路、绿三网融合的慢行廊道。完善龙道河滨水空间工程和沿线道路慢行系统，打通慢行系统断点，形成串联起罗马湖水岸、祥云小镇、新国展等区域的滨水慢行系统，兼顾通勤、休闲等各类目的的步行和骑行</w:t>
      </w:r>
      <w:r>
        <w:rPr>
          <w:rFonts w:hint="eastAsia" w:ascii="仿宋_GB2312" w:hAnsi="仿宋_GB2312" w:cs="仿宋_GB2312"/>
          <w:color w:val="000000" w:themeColor="text1"/>
          <w:szCs w:val="32"/>
          <w14:textFill>
            <w14:solidFill>
              <w14:schemeClr w14:val="tx1"/>
            </w14:solidFill>
          </w14:textFill>
        </w:rPr>
        <w:t>，促进夜间经济发展</w:t>
      </w:r>
      <w:r>
        <w:rPr>
          <w:rFonts w:hint="eastAsia"/>
          <w:color w:val="000000" w:themeColor="text1"/>
          <w14:textFill>
            <w14:solidFill>
              <w14:schemeClr w14:val="tx1"/>
            </w14:solidFill>
          </w14:textFill>
        </w:rPr>
        <w:t>。新增社区级绿道20公里，实现“10分钟步行可达”的绿色服务覆盖。打造全龄友好的慢行空间，推进完整林荫道建设，强化人行道的无障碍设计。</w:t>
      </w:r>
    </w:p>
    <w:p w14:paraId="1C3FE8DE">
      <w:pPr>
        <w:ind w:firstLine="640" w:firstLineChars="200"/>
        <w:rPr>
          <w:rFonts w:hint="eastAsia" w:ascii="仿宋_GB2312" w:hAnsi="仿宋_GB2312" w:cs="仿宋_GB2312"/>
          <w:color w:val="000000" w:themeColor="text1"/>
          <w:szCs w:val="32"/>
          <w14:textFill>
            <w14:solidFill>
              <w14:schemeClr w14:val="tx1"/>
            </w14:solidFill>
          </w14:textFill>
        </w:rPr>
      </w:pPr>
      <w:r>
        <w:rPr>
          <w:rFonts w:hint="eastAsia"/>
          <w:color w:val="000000" w:themeColor="text1"/>
          <w14:textFill>
            <w14:solidFill>
              <w14:schemeClr w14:val="tx1"/>
            </w14:solidFill>
          </w14:textFill>
        </w:rPr>
        <w:t>打造“文旅+慢行”、“红色+慢行”骑行路线。</w:t>
      </w:r>
      <w:r>
        <w:rPr>
          <w:rFonts w:hint="eastAsia" w:ascii="仿宋_GB2312" w:hAnsi="仿宋_GB2312" w:cs="仿宋_GB2312"/>
          <w:color w:val="000000" w:themeColor="text1"/>
          <w:szCs w:val="32"/>
          <w14:textFill>
            <w14:solidFill>
              <w14:schemeClr w14:val="tx1"/>
            </w14:solidFill>
          </w14:textFill>
        </w:rPr>
        <w:t>强化路网、公共交通对顺义区会展业和文旅业的支持作用，依托潮白河打造具有顺义区特色的文旅骑行路线，串联焦庄户地道战遗址、国际鲜花港、奥林匹克公园等城市文化经典，弘扬红色基因，提升慢行出行吸引力。研究</w:t>
      </w:r>
      <w:r>
        <w:rPr>
          <w:rFonts w:hint="eastAsia"/>
          <w:color w:val="000000" w:themeColor="text1"/>
          <w14:textFill>
            <w14:solidFill>
              <w14:schemeClr w14:val="tx1"/>
            </w14:solidFill>
          </w14:textFill>
        </w:rPr>
        <w:t>试点共享电动车投放，研究在新国展区域、祥云小镇商圈试点投放共享电动自行车，培育市民共享交通出行文化氛围。</w:t>
      </w:r>
    </w:p>
    <w:p w14:paraId="0B251E17">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（3）推动绿色能源出行方式发展</w:t>
      </w:r>
    </w:p>
    <w:p w14:paraId="3BF42156">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打造京津冀智能网联新能源汽车科技生态港顺义园，建成李遂大街等一批道路，完善李遂镇域内路网结构，助力新能源汽车产业发展。加快新能源汽车推广，加强充换电设施规划布局和建设，为下一代充电技术预留条件。</w:t>
      </w:r>
    </w:p>
    <w:p w14:paraId="1FAFC3AD">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推动运输行业新能源车辆更新。推进机动车和非道路移动机械清洁化发展，逐步推动社会、公共领域机动车“油换电”，持续提升地面公交新能源车占比，同步推进公交充电桩建设，加强新能源公交服务保障；扩大新能源物流车在城市配送、邮政快递等领域应用，有效减少交通碳排放。到2030年公交车实现100%新能源化，新能源汽车累计保有量占比力争达到40%以上。</w:t>
      </w:r>
    </w:p>
    <w:p w14:paraId="2D11532E">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（4）推动未来智能化出行方式发展</w:t>
      </w:r>
    </w:p>
    <w:p w14:paraId="21A7E636">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根据市级部署推进双智城市4.0阶段建设。“十五五”末实现顺义河西地区、京津冀智能网联新能源汽车科技生态港顺义园周边地区覆盖，助力形成高质量双智产业生态。推动交通基础设施数字化转型，加强建养数字化资源共享，拓展智能监测与预警、路网协同调度和出行服务等场景应用，提升路网运行效率和安全水平。</w:t>
      </w:r>
    </w:p>
    <w:p w14:paraId="1910A686">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加快智能网联汽车应用场景建设。依托双智城市示范区和封闭研发测试场，打造智能网联汽车应用全场景，加速形成生产、运输、道路测试、检测、运营一体的智能网联汽车产业业态；拓展无人配送、智慧货运、无人小巴等场景应用，打造双智应用前沿高地；研究发展智能化公共交通，充分利用智能交通技术和设备提高公交系统整体效率。实现通怀路等主要干道绿波带控制，提高交叉口通行效率。实现顺义区“主干道路具有远程及本地交通信号控制能力交通信号系统控制覆盖率达到95%以上”。同步优化信控配时策略，</w:t>
      </w:r>
      <w:r>
        <w:rPr>
          <w:rFonts w:hint="eastAsia" w:ascii="仿宋_GB2312" w:hAnsi="仿宋_GB2312" w:cs="仿宋_GB2312"/>
          <w:color w:val="000000" w:themeColor="text1"/>
          <w:szCs w:val="32"/>
          <w14:textFill>
            <w14:solidFill>
              <w14:schemeClr w14:val="tx1"/>
            </w14:solidFill>
          </w14:textFill>
        </w:rPr>
        <w:t>在高峰时段有效均衡交通流，提高路网通行效率。</w:t>
      </w:r>
    </w:p>
    <w:p w14:paraId="458DAFAE">
      <w:pPr>
        <w:pStyle w:val="4"/>
        <w:numPr>
          <w:ilvl w:val="0"/>
          <w:numId w:val="7"/>
        </w:numPr>
        <w:spacing w:before="0" w:after="0" w:line="560" w:lineRule="exact"/>
        <w:ind w:left="0" w:firstLine="643" w:firstLineChars="200"/>
        <w:rPr>
          <w:color w:val="000000" w:themeColor="text1"/>
          <w14:textFill>
            <w14:solidFill>
              <w14:schemeClr w14:val="tx1"/>
            </w14:solidFill>
          </w14:textFill>
        </w:rPr>
      </w:pPr>
      <w:bookmarkStart w:id="51" w:name="_Toc234403500"/>
      <w:bookmarkEnd w:id="51"/>
      <w:bookmarkStart w:id="52" w:name="_Toc236834171"/>
      <w:r>
        <w:rPr>
          <w:rFonts w:hint="eastAsia"/>
          <w:color w:val="000000" w:themeColor="text1"/>
          <w14:textFill>
            <w14:solidFill>
              <w14:schemeClr w14:val="tx1"/>
            </w14:solidFill>
          </w14:textFill>
        </w:rPr>
        <w:t>持续开展交通综合治理</w:t>
      </w:r>
      <w:bookmarkEnd w:id="52"/>
    </w:p>
    <w:p w14:paraId="7495D35A">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（1）开展重点区域交通秩序提升</w:t>
      </w:r>
    </w:p>
    <w:p w14:paraId="0FF6A171">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开展区域和节点常态化治理。聚焦城市重点功能区域，从完善路网结构、优化交通组织、规范停车秩序、完善交通工程、强化交通管控等方面，分类开展综合治理。完善半导体产业基地新建区域路网结构，设置大型车辆右转警示区，加强货车违停管理，完善交通标志标识。优化国门商务区道路断面，完善慢行设施，打造高水平国际化出行环境；以首都机场、新国展等门户为重点，推进“一路一画廊”街景提升，开展桥体绿化、立面植绿等灰绿融合工程，打造礼仪性国宾景观廊道和花园城市精华片区。</w:t>
      </w:r>
    </w:p>
    <w:p w14:paraId="4D89D6DD">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持续开展“学医景商”周边治理。持续推进学校周边“六类设施、四支队伍”建设，对校园周边早晚高峰交通秩序进行疏导；推广设置通学路，保障学生上下学交通安全和秩序；加强“学医景商”周边区域停车秩序维护，加强周边机动车和非机动车非现场执法力度，降低区域对周边交通的影响。</w:t>
      </w:r>
    </w:p>
    <w:p w14:paraId="6D2CA1C4">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（2）开展交通秩序治理</w:t>
      </w:r>
    </w:p>
    <w:p w14:paraId="64902D87">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开展机动车停车治理。充分利用空闲土地、桥下空间、居住区内闲置用地、城市边角用地等，挖潜居住和服务停车供给。研究在地块土地出让特别是在停车资源稀缺地区出让时，将停车设施配建作为土地招拍挂条件，缓解重点地区存在停车缺口问题。多措并举增加祥云小镇及周边停车供给，提升商圈周边交通秩序。强化停车执法保障，加大对重点区域出行停车违停处罚的执法力度。建立健全信息平台和停车场诱导系统，优化现有44处点位设置，引导市民远端停车，提高远端停车场利用率。</w:t>
      </w:r>
      <w:r>
        <w:rPr>
          <w:rFonts w:hint="eastAsia" w:ascii="仿宋_GB2312" w:hAnsi="黑体" w:cstheme="minorBidi"/>
          <w:szCs w:val="32"/>
        </w:rPr>
        <w:t>推广ETC、车牌付、场内预缴费等不停车收费服务，</w:t>
      </w:r>
      <w:r>
        <w:rPr>
          <w:rFonts w:hint="eastAsia" w:cs="仿宋_GB2312"/>
          <w:spacing w:val="3"/>
          <w:szCs w:val="32"/>
        </w:rPr>
        <w:t>探索拓展智慧停车“全域互联、无感离场”新场景。</w:t>
      </w:r>
    </w:p>
    <w:p w14:paraId="12F64776">
      <w:pPr>
        <w:tabs>
          <w:tab w:val="left" w:pos="720"/>
        </w:tabs>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开展非机动车秩序治理。</w:t>
      </w:r>
      <w:r>
        <w:rPr>
          <w:rFonts w:hint="eastAsia" w:ascii="仿宋_GB2312" w:hAnsi="仿宋_GB2312" w:cs="仿宋_GB2312"/>
          <w:color w:val="000000" w:themeColor="text1"/>
          <w:szCs w:val="32"/>
          <w14:textFill>
            <w14:solidFill>
              <w14:schemeClr w14:val="tx1"/>
            </w14:solidFill>
          </w14:textFill>
        </w:rPr>
        <w:t>充分利用机非隔离带、行道树间隔、桥下空间、周边空闲用地，在居住小区、学医景商、快递网点等需求较大区域增设非机动车停放区；有条件的区域增加集中充换电设施，新建区域提高非机动车停车设施配建率。实现轨道站点周边非机动车停放网格化巡查、发现、运维闭环管理，提升非机动车秩序管理能力。</w:t>
      </w:r>
      <w:r>
        <w:rPr>
          <w:rFonts w:hint="eastAsia"/>
          <w:color w:val="000000" w:themeColor="text1"/>
          <w14:textFill>
            <w14:solidFill>
              <w14:schemeClr w14:val="tx1"/>
            </w14:solidFill>
          </w14:textFill>
        </w:rPr>
        <w:t>开展专项执法行动，加强早晚高峰等违法高发时段的警力投入，打击超速、闯灯、逆行、改装电动自行车等违法行为，</w:t>
      </w:r>
      <w:r>
        <w:rPr>
          <w:rFonts w:hint="eastAsia" w:ascii="仿宋_GB2312"/>
          <w:color w:val="000000" w:themeColor="text1"/>
          <w:szCs w:val="32"/>
          <w14:textFill>
            <w14:solidFill>
              <w14:schemeClr w14:val="tx1"/>
            </w14:solidFill>
          </w14:textFill>
        </w:rPr>
        <w:t>引导非机动车、行人线内等候、绿灯通行，形成“引导+处罚+教育”的多元化闭环管理模式。</w:t>
      </w:r>
    </w:p>
    <w:p w14:paraId="008371C3">
      <w:pPr>
        <w:pStyle w:val="4"/>
        <w:numPr>
          <w:ilvl w:val="0"/>
          <w:numId w:val="7"/>
        </w:numPr>
        <w:spacing w:before="0" w:after="0" w:line="560" w:lineRule="exact"/>
        <w:ind w:left="0" w:firstLine="643" w:firstLineChars="200"/>
        <w:rPr>
          <w:color w:val="000000" w:themeColor="text1"/>
          <w14:textFill>
            <w14:solidFill>
              <w14:schemeClr w14:val="tx1"/>
            </w14:solidFill>
          </w14:textFill>
        </w:rPr>
      </w:pPr>
      <w:bookmarkStart w:id="53" w:name="_Toc236834172"/>
      <w:r>
        <w:rPr>
          <w:rFonts w:hint="eastAsia"/>
          <w:color w:val="000000" w:themeColor="text1"/>
          <w14:textFill>
            <w14:solidFill>
              <w14:schemeClr w14:val="tx1"/>
            </w14:solidFill>
          </w14:textFill>
        </w:rPr>
        <w:t>打造以公路运输为主、其他多种方式联运的的货物运输结构</w:t>
      </w:r>
      <w:bookmarkEnd w:id="53"/>
    </w:p>
    <w:p w14:paraId="2F11ABCC">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（1）建设货物运输通道</w:t>
      </w:r>
    </w:p>
    <w:p w14:paraId="6E6B99E0">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推进建设京平高速、京密高速和东部发展带联络线等主要货运道路。加快推动北部货运通道前期研究。推进高速服务区、客运枢纽、长途客运站发挥货物集散和中转枢纽作用，减少货车迂回和重复运输，有效提高货物周转效率。完善标志标线、非现场执法设备等交通设施，保障货物运输行业交通安全。推动顺义空港物流基地转型升级。</w:t>
      </w:r>
    </w:p>
    <w:p w14:paraId="2E3D410E">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（2）发展多种方式货物运输</w:t>
      </w:r>
    </w:p>
    <w:p w14:paraId="67ECA6A7">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推广大宗货物“公转铁+新能源汽车”运输模式，完善面向重点产业的物流专业化服务，促进现代流通与产业链深度融合。深挖重点物资公转铁潜力，研究铁路专用线进园区，研究利用既有铁路线运输成品车，提升商品车整车、矿建材料、钢材、能源等物资的铁路运输比率。鼓励农村地区邮政、商业等网点设施拓展物流服务功能，研究拓展公交代运邮件快件，</w:t>
      </w:r>
      <w:r>
        <w:rPr>
          <w:color w:val="000000" w:themeColor="text1"/>
          <w14:textFill>
            <w14:solidFill>
              <w14:schemeClr w14:val="tx1"/>
            </w14:solidFill>
          </w14:textFill>
        </w:rPr>
        <w:t>推进农村客货邮融合发展</w:t>
      </w:r>
      <w:r>
        <w:rPr>
          <w:rFonts w:hint="eastAsia"/>
          <w:color w:val="000000" w:themeColor="text1"/>
          <w14:textFill>
            <w14:solidFill>
              <w14:schemeClr w14:val="tx1"/>
            </w14:solidFill>
          </w14:textFill>
        </w:rPr>
        <w:t>。研究设置无人驾驶配送车辆停车位。在产业园区、物流基地、大型商超等周边合理设置物流配送车辆临时停车装卸区域，减少对周边区域交通造成影响。</w:t>
      </w:r>
    </w:p>
    <w:p w14:paraId="3747541D">
      <w:pPr>
        <w:ind w:firstLine="643" w:firstLineChars="2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（3）建设便利、安全的货物运输行业</w:t>
      </w:r>
    </w:p>
    <w:p w14:paraId="0D591B6C">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维护良好货物运输秩序。</w:t>
      </w:r>
      <w:r>
        <w:rPr>
          <w:rFonts w:hint="eastAsia" w:ascii="仿宋_GB2312" w:hAnsi="仿宋_GB2312" w:cs="仿宋_GB2312"/>
          <w:color w:val="000000" w:themeColor="text1"/>
          <w:szCs w:val="32"/>
          <w14:textFill>
            <w14:solidFill>
              <w14:schemeClr w14:val="tx1"/>
            </w14:solidFill>
          </w14:textFill>
        </w:rPr>
        <w:t>持续开展超限超载货车治理，强化货运源头管理，利用信息化等技术手段，治理道路遗撒行为。</w:t>
      </w:r>
      <w:r>
        <w:rPr>
          <w:rFonts w:hint="eastAsia"/>
          <w:color w:val="000000" w:themeColor="text1"/>
          <w14:textFill>
            <w14:solidFill>
              <w14:schemeClr w14:val="tx1"/>
            </w14:solidFill>
          </w14:textFill>
        </w:rPr>
        <w:t>加强货物装载源头治理，将货物集散地和货运站场作为超限超载运输源头治理的重点，加强轿运车等大型货车违停治理，加强货运行业交通安全保障。优化配送车辆通行管理，合理优化货运车辆限行区域、线路、时段，优化城市货运通行保障周期，实施通行证电子化发放。深入推进货车违法超限、超载、超标治理，巩固优化联合执法工作机制。力争到“十五五”末，高速公路入口货运车辆年均违法超限超载率不高于0.15%。普通公路货运车辆年均违法超限超载率不高于0.7%。</w:t>
      </w:r>
    </w:p>
    <w:p w14:paraId="0BF56FE9">
      <w:pPr>
        <w:pStyle w:val="4"/>
        <w:numPr>
          <w:ilvl w:val="0"/>
          <w:numId w:val="7"/>
        </w:numPr>
        <w:spacing w:before="0" w:after="0" w:line="560" w:lineRule="exact"/>
        <w:ind w:left="0" w:firstLine="643" w:firstLineChars="200"/>
        <w:rPr>
          <w:color w:val="000000" w:themeColor="text1"/>
          <w14:textFill>
            <w14:solidFill>
              <w14:schemeClr w14:val="tx1"/>
            </w14:solidFill>
          </w14:textFill>
        </w:rPr>
      </w:pPr>
      <w:bookmarkStart w:id="54" w:name="_Toc236834173"/>
      <w:r>
        <w:rPr>
          <w:rFonts w:hint="eastAsia"/>
          <w:color w:val="000000" w:themeColor="text1"/>
          <w14:textFill>
            <w14:solidFill>
              <w14:schemeClr w14:val="tx1"/>
            </w14:solidFill>
          </w14:textFill>
        </w:rPr>
        <w:t>打造安全、韧性的可持续交通系统</w:t>
      </w:r>
      <w:bookmarkEnd w:id="54"/>
    </w:p>
    <w:p w14:paraId="340D9D70">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全面推进交通安全治理“六大行动”，完成第二批次建设。结合全区交通安全形势，持续开展交通设施建设、执法整治、安全监管、宣传引导等工作，营造安全有序和谐交通环境</w:t>
      </w:r>
      <w:r>
        <w:rPr>
          <w:rFonts w:hint="eastAsia" w:ascii="仿宋_GB2312" w:hAnsi="仿宋_GB2312" w:cs="仿宋_GB2312"/>
          <w:szCs w:val="32"/>
        </w:rPr>
        <w:t>。</w:t>
      </w:r>
    </w:p>
    <w:p w14:paraId="74F7F371">
      <w:pPr>
        <w:ind w:firstLine="64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提升河东地区非现场执法水平。在河东地区98处信号灯路口，新建、更新429套执法设备。结合新版货车限行区域增补82套货车禁限行执法设备。在木孙路、通怀路等重点道路增设7套交通超速执法设备。</w:t>
      </w:r>
    </w:p>
    <w:p w14:paraId="6D8C06F8">
      <w:pPr>
        <w:ind w:firstLine="640" w:firstLineChars="200"/>
        <w:rPr>
          <w:rFonts w:hint="eastAsia" w:ascii="仿宋_GB2312" w:hAnsi="仿宋_GB2312" w:cs="仿宋_GB2312"/>
          <w:color w:val="000000" w:themeColor="text1"/>
          <w:szCs w:val="32"/>
          <w14:textFill>
            <w14:solidFill>
              <w14:schemeClr w14:val="tx1"/>
            </w14:solidFill>
          </w14:textFill>
        </w:rPr>
      </w:pPr>
      <w:r>
        <w:rPr>
          <w:rFonts w:hint="eastAsia"/>
          <w:color w:val="000000" w:themeColor="text1"/>
          <w14:textFill>
            <w14:solidFill>
              <w14:schemeClr w14:val="tx1"/>
            </w14:solidFill>
          </w14:textFill>
        </w:rPr>
        <w:t>持续开展顺义公路网交通安全提升建设，治理事故多发点位，完善重点路口路段标志标线及附属设施、新建信号灯及监控设施，提升公交站点和学校、医院周边道路安全。优化货运重点公路和城市道路交通组织设计。常态化开展道路、铁路桥梁风险隐患排查整治，研究柳各庄闸桥、苏庄闸桥等闸桥改扩建工程，同步完善两岸堤路应急保障能力。</w:t>
      </w:r>
    </w:p>
    <w:p w14:paraId="7E467852">
      <w:pPr>
        <w:pStyle w:val="2"/>
        <w:numPr>
          <w:ilvl w:val="0"/>
          <w:numId w:val="1"/>
        </w:numPr>
        <w:ind w:left="0" w:firstLine="640" w:firstLineChars="200"/>
        <w:rPr>
          <w:rFonts w:hint="eastAsia"/>
          <w:color w:val="000000" w:themeColor="text1"/>
          <w14:textFill>
            <w14:solidFill>
              <w14:schemeClr w14:val="tx1"/>
            </w14:solidFill>
          </w14:textFill>
        </w:rPr>
      </w:pPr>
      <w:bookmarkStart w:id="55" w:name="_Toc236834174"/>
      <w:r>
        <w:rPr>
          <w:rFonts w:hint="eastAsia"/>
          <w:color w:val="000000" w:themeColor="text1"/>
          <w14:textFill>
            <w14:solidFill>
              <w14:schemeClr w14:val="tx1"/>
            </w14:solidFill>
          </w14:textFill>
        </w:rPr>
        <w:t>实施保障措施</w:t>
      </w:r>
      <w:bookmarkEnd w:id="55"/>
    </w:p>
    <w:p w14:paraId="679D6B96">
      <w:pPr>
        <w:ind w:firstLine="643" w:firstLineChars="200"/>
        <w:rPr>
          <w:rFonts w:hint="eastAsia" w:ascii="仿宋_GB2312" w:hAnsi="仿宋_GB2312" w:cs="仿宋_GB2312"/>
          <w:color w:val="000000" w:themeColor="text1"/>
          <w:szCs w:val="32"/>
          <w14:textFill>
            <w14:solidFill>
              <w14:schemeClr w14:val="tx1"/>
            </w14:solidFill>
          </w14:textFill>
        </w:rPr>
      </w:pPr>
      <w:r>
        <w:rPr>
          <w:rFonts w:hint="eastAsia" w:ascii="仿宋_GB2312" w:hAnsi="仿宋_GB2312" w:cs="仿宋_GB2312"/>
          <w:b/>
          <w:bCs/>
          <w:color w:val="000000" w:themeColor="text1"/>
          <w:szCs w:val="32"/>
          <w14:textFill>
            <w14:solidFill>
              <w14:schemeClr w14:val="tx1"/>
            </w14:solidFill>
          </w14:textFill>
        </w:rPr>
        <w:t>加强组织领导。</w:t>
      </w:r>
      <w:r>
        <w:rPr>
          <w:rFonts w:hint="eastAsia" w:ascii="仿宋_GB2312" w:hAnsi="仿宋_GB2312" w:cs="仿宋_GB2312"/>
          <w:color w:val="000000" w:themeColor="text1"/>
          <w:szCs w:val="32"/>
          <w14:textFill>
            <w14:solidFill>
              <w14:schemeClr w14:val="tx1"/>
            </w14:solidFill>
          </w14:textFill>
        </w:rPr>
        <w:t>加强区内各部门协调推进力度，压实各部门责任，各单位按照任务分工各负其职、加强沟通协调，将规划中的重点任务纳入各年度区级工作计划。</w:t>
      </w:r>
    </w:p>
    <w:p w14:paraId="1D890F58">
      <w:pPr>
        <w:ind w:firstLine="643" w:firstLineChars="200"/>
        <w:rPr>
          <w:rFonts w:hint="eastAsia" w:ascii="仿宋_GB2312" w:hAnsi="仿宋_GB2312" w:cs="仿宋_GB2312"/>
          <w:color w:val="000000" w:themeColor="text1"/>
          <w:szCs w:val="32"/>
          <w14:textFill>
            <w14:solidFill>
              <w14:schemeClr w14:val="tx1"/>
            </w14:solidFill>
          </w14:textFill>
        </w:rPr>
      </w:pPr>
      <w:r>
        <w:rPr>
          <w:rFonts w:hint="eastAsia" w:ascii="仿宋_GB2312" w:hAnsi="仿宋_GB2312" w:cs="仿宋_GB2312"/>
          <w:b/>
          <w:bCs/>
          <w:color w:val="000000" w:themeColor="text1"/>
          <w:szCs w:val="32"/>
          <w14:textFill>
            <w14:solidFill>
              <w14:schemeClr w14:val="tx1"/>
            </w14:solidFill>
          </w14:textFill>
        </w:rPr>
        <w:t>强化政策保障。</w:t>
      </w:r>
      <w:r>
        <w:rPr>
          <w:rFonts w:hint="eastAsia" w:ascii="仿宋_GB2312" w:hAnsi="仿宋_GB2312" w:cs="仿宋_GB2312"/>
          <w:color w:val="000000" w:themeColor="text1"/>
          <w:szCs w:val="32"/>
          <w14:textFill>
            <w14:solidFill>
              <w14:schemeClr w14:val="tx1"/>
            </w14:solidFill>
          </w14:textFill>
        </w:rPr>
        <w:t>完善区级任务清单，为推动项目落地实施提供支撑。完善区级投融资模式，通过引入社会资本投资等方式，降低重大项目建设资金压力。</w:t>
      </w:r>
    </w:p>
    <w:p w14:paraId="7BEE38FB">
      <w:pPr>
        <w:ind w:firstLine="643" w:firstLineChars="200"/>
        <w:rPr>
          <w:rFonts w:hint="eastAsia" w:ascii="仿宋_GB2312" w:hAnsi="仿宋_GB2312" w:cs="仿宋_GB2312"/>
          <w:color w:val="000000" w:themeColor="text1"/>
          <w:szCs w:val="32"/>
          <w14:textFill>
            <w14:solidFill>
              <w14:schemeClr w14:val="tx1"/>
            </w14:solidFill>
          </w14:textFill>
        </w:rPr>
      </w:pPr>
      <w:r>
        <w:rPr>
          <w:rFonts w:hint="eastAsia" w:ascii="仿宋_GB2312" w:hAnsi="仿宋_GB2312" w:cs="仿宋_GB2312"/>
          <w:b/>
          <w:bCs/>
          <w:color w:val="000000" w:themeColor="text1"/>
          <w:szCs w:val="32"/>
          <w14:textFill>
            <w14:solidFill>
              <w14:schemeClr w14:val="tx1"/>
            </w14:solidFill>
          </w14:textFill>
        </w:rPr>
        <w:t>加强监测评价。</w:t>
      </w:r>
      <w:r>
        <w:rPr>
          <w:rFonts w:hint="eastAsia" w:ascii="仿宋_GB2312" w:hAnsi="仿宋_GB2312" w:cs="仿宋_GB2312"/>
          <w:color w:val="000000" w:themeColor="text1"/>
          <w:szCs w:val="32"/>
          <w14:textFill>
            <w14:solidFill>
              <w14:schemeClr w14:val="tx1"/>
            </w14:solidFill>
          </w14:textFill>
        </w:rPr>
        <w:t>对重点任务进度进行跟踪评估，难点任务及上报协调解决。</w:t>
      </w:r>
    </w:p>
    <w:sectPr>
      <w:pgSz w:w="11906" w:h="16838"/>
      <w:pgMar w:top="2098" w:right="1474" w:bottom="1984" w:left="1587"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468CCC-DF62-42A5-94C7-1E80E6A0C2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6A119505-5998-4357-8081-29F08008D0CA}"/>
  </w:font>
  <w:font w:name="Calibri Light">
    <w:panose1 w:val="020F03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embedRegular r:id="rId3" w:fontKey="{29F4BC00-CB37-45BB-9423-E72A93427AA3}"/>
  </w:font>
  <w:font w:name="微软雅黑">
    <w:panose1 w:val="020B0503020204020204"/>
    <w:charset w:val="86"/>
    <w:family w:val="swiss"/>
    <w:pitch w:val="default"/>
    <w:sig w:usb0="80000287" w:usb1="2ACF3C50" w:usb2="00000016" w:usb3="00000000" w:csb0="0004001F" w:csb1="00000000"/>
    <w:embedRegular r:id="rId4" w:fontKey="{6812DAE7-1179-493D-A165-D8CC6F9BB3F1}"/>
  </w:font>
  <w:font w:name="楷体_GB2312">
    <w:panose1 w:val="02010609030101010101"/>
    <w:charset w:val="86"/>
    <w:family w:val="modern"/>
    <w:pitch w:val="default"/>
    <w:sig w:usb0="00000001" w:usb1="080E0000" w:usb2="00000000" w:usb3="00000000" w:csb0="00040000" w:csb1="00000000"/>
    <w:embedRegular r:id="rId5" w:fontKey="{66E241B3-E571-417B-AAB9-BC708E4C8DAB}"/>
  </w:font>
  <w:font w:name="仿宋">
    <w:panose1 w:val="02010609060101010101"/>
    <w:charset w:val="86"/>
    <w:family w:val="modern"/>
    <w:pitch w:val="default"/>
    <w:sig w:usb0="800002BF" w:usb1="38CF7CFA" w:usb2="00000016" w:usb3="00000000" w:csb0="00040001" w:csb1="00000000"/>
    <w:embedRegular r:id="rId6" w:fontKey="{F9DBBD7B-EB3A-4364-99AD-0B6E83D261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84527540"/>
      <w:docPartObj>
        <w:docPartGallery w:val="AutoText"/>
      </w:docPartObj>
    </w:sdtPr>
    <w:sdtContent>
      <w:p w14:paraId="254EF3D5">
        <w:pPr>
          <w:pStyle w:val="7"/>
          <w:jc w:val="cente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CF27BF"/>
    <w:multiLevelType w:val="multilevel"/>
    <w:tmpl w:val="13CF27BF"/>
    <w:lvl w:ilvl="0" w:tentative="0">
      <w:start w:val="1"/>
      <w:numFmt w:val="chineseCountingThousand"/>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29E563CF"/>
    <w:multiLevelType w:val="multilevel"/>
    <w:tmpl w:val="29E563CF"/>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2D3F15A6"/>
    <w:multiLevelType w:val="multilevel"/>
    <w:tmpl w:val="2D3F15A6"/>
    <w:lvl w:ilvl="0" w:tentative="0">
      <w:start w:val="1"/>
      <w:numFmt w:val="chineseCountingThousand"/>
      <w:suff w:val="nothing"/>
      <w:lvlText w:val="（%1）"/>
      <w:lvlJc w:val="left"/>
      <w:pPr>
        <w:ind w:left="440" w:hanging="440"/>
      </w:pPr>
      <w:rPr>
        <w:rFonts w:hint="eastAsia"/>
        <w:b w:val="0"/>
        <w:bCs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324409FF"/>
    <w:multiLevelType w:val="multilevel"/>
    <w:tmpl w:val="324409FF"/>
    <w:lvl w:ilvl="0" w:tentative="0">
      <w:start w:val="1"/>
      <w:numFmt w:val="chineseCountingThousand"/>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41DE1F1A"/>
    <w:multiLevelType w:val="multilevel"/>
    <w:tmpl w:val="41DE1F1A"/>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70D84DEC"/>
    <w:multiLevelType w:val="multilevel"/>
    <w:tmpl w:val="70D84DEC"/>
    <w:lvl w:ilvl="0" w:tentative="0">
      <w:start w:val="1"/>
      <w:numFmt w:val="chineseCountingThousand"/>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7D422B7C"/>
    <w:multiLevelType w:val="multilevel"/>
    <w:tmpl w:val="7D422B7C"/>
    <w:lvl w:ilvl="0" w:tentative="0">
      <w:start w:val="1"/>
      <w:numFmt w:val="chineseCountingThousand"/>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5"/>
  </w:num>
  <w:num w:numId="2">
    <w:abstractNumId w:val="6"/>
  </w:num>
  <w:num w:numId="3">
    <w:abstractNumId w:val="0"/>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60"/>
  <w:drawingGridVerticalSpacing w:val="435"/>
  <w:displayHorizont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4YzFhMGNiNWM4NTJmYjVlYjgyODg0ZDA5YWE1YTMifQ=="/>
  </w:docVars>
  <w:rsids>
    <w:rsidRoot w:val="41A939F9"/>
    <w:rsid w:val="000027F6"/>
    <w:rsid w:val="00002B4A"/>
    <w:rsid w:val="00003046"/>
    <w:rsid w:val="000032DF"/>
    <w:rsid w:val="00006658"/>
    <w:rsid w:val="0001151F"/>
    <w:rsid w:val="0001194C"/>
    <w:rsid w:val="00011B9B"/>
    <w:rsid w:val="00012830"/>
    <w:rsid w:val="0001567D"/>
    <w:rsid w:val="000162F9"/>
    <w:rsid w:val="000165BB"/>
    <w:rsid w:val="0001769E"/>
    <w:rsid w:val="000234A3"/>
    <w:rsid w:val="00024775"/>
    <w:rsid w:val="00026358"/>
    <w:rsid w:val="00026A40"/>
    <w:rsid w:val="00027537"/>
    <w:rsid w:val="00030078"/>
    <w:rsid w:val="00031314"/>
    <w:rsid w:val="00034560"/>
    <w:rsid w:val="00034DED"/>
    <w:rsid w:val="00035A66"/>
    <w:rsid w:val="00035B74"/>
    <w:rsid w:val="0003656C"/>
    <w:rsid w:val="00040805"/>
    <w:rsid w:val="000441DE"/>
    <w:rsid w:val="00044527"/>
    <w:rsid w:val="00045ADC"/>
    <w:rsid w:val="00046DE2"/>
    <w:rsid w:val="00047089"/>
    <w:rsid w:val="00053BC0"/>
    <w:rsid w:val="00056205"/>
    <w:rsid w:val="00057F9D"/>
    <w:rsid w:val="00063063"/>
    <w:rsid w:val="00063783"/>
    <w:rsid w:val="000643CA"/>
    <w:rsid w:val="0006600C"/>
    <w:rsid w:val="000661EE"/>
    <w:rsid w:val="00067FAF"/>
    <w:rsid w:val="0008059B"/>
    <w:rsid w:val="000812AE"/>
    <w:rsid w:val="00081F3D"/>
    <w:rsid w:val="0008328D"/>
    <w:rsid w:val="00083EFB"/>
    <w:rsid w:val="00084AB0"/>
    <w:rsid w:val="00084CC1"/>
    <w:rsid w:val="00085108"/>
    <w:rsid w:val="0008555F"/>
    <w:rsid w:val="0008579F"/>
    <w:rsid w:val="00085CDA"/>
    <w:rsid w:val="00086601"/>
    <w:rsid w:val="000873B4"/>
    <w:rsid w:val="00087A16"/>
    <w:rsid w:val="000910A6"/>
    <w:rsid w:val="00092628"/>
    <w:rsid w:val="000938DD"/>
    <w:rsid w:val="00093AC2"/>
    <w:rsid w:val="00093BC8"/>
    <w:rsid w:val="00094046"/>
    <w:rsid w:val="000944FB"/>
    <w:rsid w:val="00094E42"/>
    <w:rsid w:val="00095ECA"/>
    <w:rsid w:val="00096211"/>
    <w:rsid w:val="000A1D8F"/>
    <w:rsid w:val="000A23D3"/>
    <w:rsid w:val="000A607A"/>
    <w:rsid w:val="000A615C"/>
    <w:rsid w:val="000A6A9A"/>
    <w:rsid w:val="000A7997"/>
    <w:rsid w:val="000B06CE"/>
    <w:rsid w:val="000B0FAA"/>
    <w:rsid w:val="000B1977"/>
    <w:rsid w:val="000B323A"/>
    <w:rsid w:val="000B7CEB"/>
    <w:rsid w:val="000C165F"/>
    <w:rsid w:val="000C2BA9"/>
    <w:rsid w:val="000C3E6B"/>
    <w:rsid w:val="000D3143"/>
    <w:rsid w:val="000D4280"/>
    <w:rsid w:val="000D46BF"/>
    <w:rsid w:val="000D4EB1"/>
    <w:rsid w:val="000D5E27"/>
    <w:rsid w:val="000E32B1"/>
    <w:rsid w:val="000E3983"/>
    <w:rsid w:val="000F281D"/>
    <w:rsid w:val="000F2C5F"/>
    <w:rsid w:val="000F3386"/>
    <w:rsid w:val="000F5B6A"/>
    <w:rsid w:val="000F67C0"/>
    <w:rsid w:val="000F68B1"/>
    <w:rsid w:val="000F763F"/>
    <w:rsid w:val="00105024"/>
    <w:rsid w:val="001057F7"/>
    <w:rsid w:val="00106433"/>
    <w:rsid w:val="001079B5"/>
    <w:rsid w:val="00107FDB"/>
    <w:rsid w:val="00112757"/>
    <w:rsid w:val="00115B2D"/>
    <w:rsid w:val="001164C1"/>
    <w:rsid w:val="00116F76"/>
    <w:rsid w:val="00117864"/>
    <w:rsid w:val="001239D7"/>
    <w:rsid w:val="00124B6D"/>
    <w:rsid w:val="0012560A"/>
    <w:rsid w:val="001260B5"/>
    <w:rsid w:val="00127238"/>
    <w:rsid w:val="0012798D"/>
    <w:rsid w:val="00130E8E"/>
    <w:rsid w:val="00131E49"/>
    <w:rsid w:val="00133919"/>
    <w:rsid w:val="00135F14"/>
    <w:rsid w:val="00136168"/>
    <w:rsid w:val="00140B56"/>
    <w:rsid w:val="00143551"/>
    <w:rsid w:val="00143732"/>
    <w:rsid w:val="001458FF"/>
    <w:rsid w:val="00146F84"/>
    <w:rsid w:val="00150FE0"/>
    <w:rsid w:val="001516AE"/>
    <w:rsid w:val="00152E3B"/>
    <w:rsid w:val="00156A43"/>
    <w:rsid w:val="00160C86"/>
    <w:rsid w:val="00161E3D"/>
    <w:rsid w:val="00164181"/>
    <w:rsid w:val="0016446F"/>
    <w:rsid w:val="001650E7"/>
    <w:rsid w:val="00167005"/>
    <w:rsid w:val="001705B7"/>
    <w:rsid w:val="0017294D"/>
    <w:rsid w:val="0017430D"/>
    <w:rsid w:val="001753B1"/>
    <w:rsid w:val="001754D5"/>
    <w:rsid w:val="00175B47"/>
    <w:rsid w:val="00182EF6"/>
    <w:rsid w:val="00183931"/>
    <w:rsid w:val="00184637"/>
    <w:rsid w:val="00184A4F"/>
    <w:rsid w:val="001864D7"/>
    <w:rsid w:val="001905D7"/>
    <w:rsid w:val="00190BD4"/>
    <w:rsid w:val="00192D80"/>
    <w:rsid w:val="00194402"/>
    <w:rsid w:val="001A1535"/>
    <w:rsid w:val="001A2615"/>
    <w:rsid w:val="001A262B"/>
    <w:rsid w:val="001A2867"/>
    <w:rsid w:val="001A3D39"/>
    <w:rsid w:val="001B0175"/>
    <w:rsid w:val="001B1B67"/>
    <w:rsid w:val="001B1EF7"/>
    <w:rsid w:val="001B371B"/>
    <w:rsid w:val="001B48FE"/>
    <w:rsid w:val="001B55FE"/>
    <w:rsid w:val="001B75F7"/>
    <w:rsid w:val="001B787F"/>
    <w:rsid w:val="001B7A63"/>
    <w:rsid w:val="001C6468"/>
    <w:rsid w:val="001C7BF0"/>
    <w:rsid w:val="001D3166"/>
    <w:rsid w:val="001D3C6D"/>
    <w:rsid w:val="001D3F9B"/>
    <w:rsid w:val="001D6D5C"/>
    <w:rsid w:val="001D7B9E"/>
    <w:rsid w:val="001D7D06"/>
    <w:rsid w:val="001E0F47"/>
    <w:rsid w:val="001E1788"/>
    <w:rsid w:val="001E59DE"/>
    <w:rsid w:val="001F065F"/>
    <w:rsid w:val="001F1B72"/>
    <w:rsid w:val="001F3AD1"/>
    <w:rsid w:val="001F4DD2"/>
    <w:rsid w:val="001F63F0"/>
    <w:rsid w:val="002077DD"/>
    <w:rsid w:val="002141D8"/>
    <w:rsid w:val="0021567C"/>
    <w:rsid w:val="00216585"/>
    <w:rsid w:val="0022064B"/>
    <w:rsid w:val="00221DC4"/>
    <w:rsid w:val="00223867"/>
    <w:rsid w:val="00224109"/>
    <w:rsid w:val="0022455E"/>
    <w:rsid w:val="00224A2B"/>
    <w:rsid w:val="0023078E"/>
    <w:rsid w:val="00233477"/>
    <w:rsid w:val="0023443F"/>
    <w:rsid w:val="00240860"/>
    <w:rsid w:val="00241F84"/>
    <w:rsid w:val="00250810"/>
    <w:rsid w:val="00252C5C"/>
    <w:rsid w:val="00254901"/>
    <w:rsid w:val="00255802"/>
    <w:rsid w:val="00256084"/>
    <w:rsid w:val="00260A4B"/>
    <w:rsid w:val="00264352"/>
    <w:rsid w:val="00264507"/>
    <w:rsid w:val="00266F03"/>
    <w:rsid w:val="00272AC7"/>
    <w:rsid w:val="002768D1"/>
    <w:rsid w:val="00280930"/>
    <w:rsid w:val="00281004"/>
    <w:rsid w:val="002814B1"/>
    <w:rsid w:val="0028161F"/>
    <w:rsid w:val="00282EDB"/>
    <w:rsid w:val="002837FC"/>
    <w:rsid w:val="00284092"/>
    <w:rsid w:val="00286B77"/>
    <w:rsid w:val="00290160"/>
    <w:rsid w:val="00293BB7"/>
    <w:rsid w:val="00294088"/>
    <w:rsid w:val="0029506D"/>
    <w:rsid w:val="00295C11"/>
    <w:rsid w:val="002967E0"/>
    <w:rsid w:val="002A0063"/>
    <w:rsid w:val="002A1DD5"/>
    <w:rsid w:val="002A3146"/>
    <w:rsid w:val="002A3D25"/>
    <w:rsid w:val="002A512E"/>
    <w:rsid w:val="002B0233"/>
    <w:rsid w:val="002B1C1A"/>
    <w:rsid w:val="002B32D3"/>
    <w:rsid w:val="002B3496"/>
    <w:rsid w:val="002B576D"/>
    <w:rsid w:val="002B6668"/>
    <w:rsid w:val="002C1191"/>
    <w:rsid w:val="002C265B"/>
    <w:rsid w:val="002C3937"/>
    <w:rsid w:val="002C4128"/>
    <w:rsid w:val="002C416E"/>
    <w:rsid w:val="002C4379"/>
    <w:rsid w:val="002C5F59"/>
    <w:rsid w:val="002D10D6"/>
    <w:rsid w:val="002D2458"/>
    <w:rsid w:val="002D3B1E"/>
    <w:rsid w:val="002D5685"/>
    <w:rsid w:val="002D5C17"/>
    <w:rsid w:val="002D6F39"/>
    <w:rsid w:val="002D7E12"/>
    <w:rsid w:val="002E01DD"/>
    <w:rsid w:val="002E1CEF"/>
    <w:rsid w:val="002E1F6B"/>
    <w:rsid w:val="002E2D4D"/>
    <w:rsid w:val="002E4A90"/>
    <w:rsid w:val="002F102C"/>
    <w:rsid w:val="002F1FFA"/>
    <w:rsid w:val="002F26D3"/>
    <w:rsid w:val="002F4AF3"/>
    <w:rsid w:val="002F50C9"/>
    <w:rsid w:val="002F73C0"/>
    <w:rsid w:val="00302907"/>
    <w:rsid w:val="00303BA7"/>
    <w:rsid w:val="00310483"/>
    <w:rsid w:val="00314795"/>
    <w:rsid w:val="00314D39"/>
    <w:rsid w:val="00315AF4"/>
    <w:rsid w:val="00316922"/>
    <w:rsid w:val="0031742A"/>
    <w:rsid w:val="003248C7"/>
    <w:rsid w:val="003254FB"/>
    <w:rsid w:val="003267FD"/>
    <w:rsid w:val="003322F8"/>
    <w:rsid w:val="00332358"/>
    <w:rsid w:val="00334ECE"/>
    <w:rsid w:val="00335232"/>
    <w:rsid w:val="0033526F"/>
    <w:rsid w:val="003360C7"/>
    <w:rsid w:val="00336620"/>
    <w:rsid w:val="00337989"/>
    <w:rsid w:val="003407BA"/>
    <w:rsid w:val="00341BB0"/>
    <w:rsid w:val="00342F27"/>
    <w:rsid w:val="0034391C"/>
    <w:rsid w:val="00346D4F"/>
    <w:rsid w:val="00347192"/>
    <w:rsid w:val="00351AA6"/>
    <w:rsid w:val="00355EEF"/>
    <w:rsid w:val="00357935"/>
    <w:rsid w:val="00361A2F"/>
    <w:rsid w:val="00364100"/>
    <w:rsid w:val="00364400"/>
    <w:rsid w:val="00373B6A"/>
    <w:rsid w:val="00373C85"/>
    <w:rsid w:val="00376708"/>
    <w:rsid w:val="0037793D"/>
    <w:rsid w:val="00385AAD"/>
    <w:rsid w:val="00385D84"/>
    <w:rsid w:val="00387631"/>
    <w:rsid w:val="00390C40"/>
    <w:rsid w:val="00391BCA"/>
    <w:rsid w:val="003956BC"/>
    <w:rsid w:val="003A774C"/>
    <w:rsid w:val="003B30EF"/>
    <w:rsid w:val="003B3E27"/>
    <w:rsid w:val="003B5717"/>
    <w:rsid w:val="003B6F74"/>
    <w:rsid w:val="003B7AF0"/>
    <w:rsid w:val="003C0251"/>
    <w:rsid w:val="003C1EAE"/>
    <w:rsid w:val="003C21F6"/>
    <w:rsid w:val="003C2A15"/>
    <w:rsid w:val="003C4232"/>
    <w:rsid w:val="003C5875"/>
    <w:rsid w:val="003C720E"/>
    <w:rsid w:val="003C756B"/>
    <w:rsid w:val="003C7F64"/>
    <w:rsid w:val="003D0F28"/>
    <w:rsid w:val="003D112D"/>
    <w:rsid w:val="003D5F20"/>
    <w:rsid w:val="003D5F36"/>
    <w:rsid w:val="003E2685"/>
    <w:rsid w:val="003E3910"/>
    <w:rsid w:val="003F1A2A"/>
    <w:rsid w:val="003F2790"/>
    <w:rsid w:val="003F75B0"/>
    <w:rsid w:val="004026C4"/>
    <w:rsid w:val="00402D3A"/>
    <w:rsid w:val="00403EED"/>
    <w:rsid w:val="004049EE"/>
    <w:rsid w:val="00404DFC"/>
    <w:rsid w:val="004063F7"/>
    <w:rsid w:val="00406A6D"/>
    <w:rsid w:val="00407561"/>
    <w:rsid w:val="00407F8C"/>
    <w:rsid w:val="00411593"/>
    <w:rsid w:val="00411EC8"/>
    <w:rsid w:val="00415432"/>
    <w:rsid w:val="00415A35"/>
    <w:rsid w:val="0041768A"/>
    <w:rsid w:val="00417E5F"/>
    <w:rsid w:val="00420948"/>
    <w:rsid w:val="0042162A"/>
    <w:rsid w:val="0042254D"/>
    <w:rsid w:val="00424700"/>
    <w:rsid w:val="00424B11"/>
    <w:rsid w:val="004251AE"/>
    <w:rsid w:val="00425D25"/>
    <w:rsid w:val="004275AD"/>
    <w:rsid w:val="00427C3C"/>
    <w:rsid w:val="004307E1"/>
    <w:rsid w:val="004326B0"/>
    <w:rsid w:val="00432EF6"/>
    <w:rsid w:val="00434C4D"/>
    <w:rsid w:val="00434DEF"/>
    <w:rsid w:val="0043501A"/>
    <w:rsid w:val="00435933"/>
    <w:rsid w:val="00437159"/>
    <w:rsid w:val="00437CA4"/>
    <w:rsid w:val="0044123B"/>
    <w:rsid w:val="00442D83"/>
    <w:rsid w:val="00443CAF"/>
    <w:rsid w:val="00444AFD"/>
    <w:rsid w:val="00445279"/>
    <w:rsid w:val="004454C5"/>
    <w:rsid w:val="00445C63"/>
    <w:rsid w:val="00446DB2"/>
    <w:rsid w:val="00451314"/>
    <w:rsid w:val="00455565"/>
    <w:rsid w:val="0045648C"/>
    <w:rsid w:val="0045679A"/>
    <w:rsid w:val="00456DB5"/>
    <w:rsid w:val="00457F01"/>
    <w:rsid w:val="00460282"/>
    <w:rsid w:val="00466A7C"/>
    <w:rsid w:val="00471E6F"/>
    <w:rsid w:val="00472220"/>
    <w:rsid w:val="004826D5"/>
    <w:rsid w:val="004830E2"/>
    <w:rsid w:val="00484F7F"/>
    <w:rsid w:val="00485EB0"/>
    <w:rsid w:val="00485EF1"/>
    <w:rsid w:val="004868F7"/>
    <w:rsid w:val="00487629"/>
    <w:rsid w:val="00490914"/>
    <w:rsid w:val="00492897"/>
    <w:rsid w:val="00492A76"/>
    <w:rsid w:val="004936F0"/>
    <w:rsid w:val="00494639"/>
    <w:rsid w:val="004963A6"/>
    <w:rsid w:val="00496430"/>
    <w:rsid w:val="004A0185"/>
    <w:rsid w:val="004A0629"/>
    <w:rsid w:val="004A14B6"/>
    <w:rsid w:val="004A2EC8"/>
    <w:rsid w:val="004A41BE"/>
    <w:rsid w:val="004A5370"/>
    <w:rsid w:val="004A5BB8"/>
    <w:rsid w:val="004B01AF"/>
    <w:rsid w:val="004B175B"/>
    <w:rsid w:val="004B3909"/>
    <w:rsid w:val="004B74D8"/>
    <w:rsid w:val="004C0BEB"/>
    <w:rsid w:val="004C3C38"/>
    <w:rsid w:val="004C518B"/>
    <w:rsid w:val="004C7342"/>
    <w:rsid w:val="004C7A66"/>
    <w:rsid w:val="004C7C3C"/>
    <w:rsid w:val="004C7FF8"/>
    <w:rsid w:val="004D6BBA"/>
    <w:rsid w:val="004D6DFA"/>
    <w:rsid w:val="004E2545"/>
    <w:rsid w:val="004E258E"/>
    <w:rsid w:val="004E2E9E"/>
    <w:rsid w:val="004E4529"/>
    <w:rsid w:val="004F00A7"/>
    <w:rsid w:val="004F0528"/>
    <w:rsid w:val="004F1838"/>
    <w:rsid w:val="004F27AF"/>
    <w:rsid w:val="004F4AB9"/>
    <w:rsid w:val="004F5497"/>
    <w:rsid w:val="004F5548"/>
    <w:rsid w:val="004F557C"/>
    <w:rsid w:val="004F5837"/>
    <w:rsid w:val="004F594A"/>
    <w:rsid w:val="004F6F2F"/>
    <w:rsid w:val="00500C18"/>
    <w:rsid w:val="00506E48"/>
    <w:rsid w:val="00510D0D"/>
    <w:rsid w:val="005128D1"/>
    <w:rsid w:val="00512A4D"/>
    <w:rsid w:val="005142B5"/>
    <w:rsid w:val="00515DDB"/>
    <w:rsid w:val="0051620C"/>
    <w:rsid w:val="0052291B"/>
    <w:rsid w:val="00524DB1"/>
    <w:rsid w:val="00524EEE"/>
    <w:rsid w:val="00527A41"/>
    <w:rsid w:val="00532C14"/>
    <w:rsid w:val="005358A3"/>
    <w:rsid w:val="005376F6"/>
    <w:rsid w:val="00537BC9"/>
    <w:rsid w:val="005424C3"/>
    <w:rsid w:val="0054254A"/>
    <w:rsid w:val="005449FA"/>
    <w:rsid w:val="005475E8"/>
    <w:rsid w:val="00550238"/>
    <w:rsid w:val="005504FB"/>
    <w:rsid w:val="00550EB3"/>
    <w:rsid w:val="0055265C"/>
    <w:rsid w:val="0055471B"/>
    <w:rsid w:val="00554D96"/>
    <w:rsid w:val="00554E2D"/>
    <w:rsid w:val="00555124"/>
    <w:rsid w:val="00557F40"/>
    <w:rsid w:val="005601E8"/>
    <w:rsid w:val="005611C5"/>
    <w:rsid w:val="0056127A"/>
    <w:rsid w:val="00561DEF"/>
    <w:rsid w:val="005629C8"/>
    <w:rsid w:val="005646DC"/>
    <w:rsid w:val="005701D9"/>
    <w:rsid w:val="00571711"/>
    <w:rsid w:val="005719B3"/>
    <w:rsid w:val="0057365B"/>
    <w:rsid w:val="00573BAB"/>
    <w:rsid w:val="00582432"/>
    <w:rsid w:val="005828BB"/>
    <w:rsid w:val="00583658"/>
    <w:rsid w:val="00584E4C"/>
    <w:rsid w:val="0058592C"/>
    <w:rsid w:val="005866C4"/>
    <w:rsid w:val="00587256"/>
    <w:rsid w:val="0059069C"/>
    <w:rsid w:val="00590C1D"/>
    <w:rsid w:val="0059106B"/>
    <w:rsid w:val="005920EF"/>
    <w:rsid w:val="00592110"/>
    <w:rsid w:val="00596109"/>
    <w:rsid w:val="00596538"/>
    <w:rsid w:val="005A338D"/>
    <w:rsid w:val="005A348C"/>
    <w:rsid w:val="005A3C4B"/>
    <w:rsid w:val="005A5E81"/>
    <w:rsid w:val="005A69D9"/>
    <w:rsid w:val="005A7B22"/>
    <w:rsid w:val="005B13DA"/>
    <w:rsid w:val="005B2C50"/>
    <w:rsid w:val="005B409F"/>
    <w:rsid w:val="005B4FA1"/>
    <w:rsid w:val="005C0F7B"/>
    <w:rsid w:val="005C2618"/>
    <w:rsid w:val="005C5CE7"/>
    <w:rsid w:val="005C636D"/>
    <w:rsid w:val="005C705F"/>
    <w:rsid w:val="005D1CAF"/>
    <w:rsid w:val="005D30DC"/>
    <w:rsid w:val="005D3E71"/>
    <w:rsid w:val="005D4730"/>
    <w:rsid w:val="005D6A77"/>
    <w:rsid w:val="005D7FD9"/>
    <w:rsid w:val="005E0279"/>
    <w:rsid w:val="005E1095"/>
    <w:rsid w:val="005E1931"/>
    <w:rsid w:val="005E1956"/>
    <w:rsid w:val="005E36A1"/>
    <w:rsid w:val="005E396F"/>
    <w:rsid w:val="005E5733"/>
    <w:rsid w:val="005E57B7"/>
    <w:rsid w:val="005F035D"/>
    <w:rsid w:val="005F188D"/>
    <w:rsid w:val="005F2E2A"/>
    <w:rsid w:val="006002A5"/>
    <w:rsid w:val="006016EC"/>
    <w:rsid w:val="006028FB"/>
    <w:rsid w:val="0060351A"/>
    <w:rsid w:val="00606520"/>
    <w:rsid w:val="00607CFF"/>
    <w:rsid w:val="006109D0"/>
    <w:rsid w:val="0061197E"/>
    <w:rsid w:val="00611A74"/>
    <w:rsid w:val="006129B9"/>
    <w:rsid w:val="006143C9"/>
    <w:rsid w:val="00623954"/>
    <w:rsid w:val="0062424C"/>
    <w:rsid w:val="00625099"/>
    <w:rsid w:val="00631130"/>
    <w:rsid w:val="00633241"/>
    <w:rsid w:val="00633AD7"/>
    <w:rsid w:val="00635ADF"/>
    <w:rsid w:val="00635DC9"/>
    <w:rsid w:val="00636C2E"/>
    <w:rsid w:val="00636DF1"/>
    <w:rsid w:val="006506B6"/>
    <w:rsid w:val="00653E22"/>
    <w:rsid w:val="00660498"/>
    <w:rsid w:val="00660C9A"/>
    <w:rsid w:val="00662BEE"/>
    <w:rsid w:val="00662ECE"/>
    <w:rsid w:val="00662F4F"/>
    <w:rsid w:val="00666247"/>
    <w:rsid w:val="006677B5"/>
    <w:rsid w:val="00670B9F"/>
    <w:rsid w:val="00672B1F"/>
    <w:rsid w:val="006751B9"/>
    <w:rsid w:val="0067540B"/>
    <w:rsid w:val="00675F91"/>
    <w:rsid w:val="00680A33"/>
    <w:rsid w:val="00681465"/>
    <w:rsid w:val="0068152E"/>
    <w:rsid w:val="006817C2"/>
    <w:rsid w:val="0068180C"/>
    <w:rsid w:val="006836CC"/>
    <w:rsid w:val="006855D8"/>
    <w:rsid w:val="00685D16"/>
    <w:rsid w:val="0068657A"/>
    <w:rsid w:val="00691D83"/>
    <w:rsid w:val="00696666"/>
    <w:rsid w:val="006A1369"/>
    <w:rsid w:val="006A1DB3"/>
    <w:rsid w:val="006A4853"/>
    <w:rsid w:val="006B2C02"/>
    <w:rsid w:val="006B2C1C"/>
    <w:rsid w:val="006B49C2"/>
    <w:rsid w:val="006B4C52"/>
    <w:rsid w:val="006C0E8F"/>
    <w:rsid w:val="006C2B97"/>
    <w:rsid w:val="006C5A7D"/>
    <w:rsid w:val="006D2AAB"/>
    <w:rsid w:val="006D359A"/>
    <w:rsid w:val="006D415F"/>
    <w:rsid w:val="006D4341"/>
    <w:rsid w:val="006D51A3"/>
    <w:rsid w:val="006D5D78"/>
    <w:rsid w:val="006D5F18"/>
    <w:rsid w:val="006D6754"/>
    <w:rsid w:val="006D6E24"/>
    <w:rsid w:val="006D6EAC"/>
    <w:rsid w:val="006E04E9"/>
    <w:rsid w:val="006E0B48"/>
    <w:rsid w:val="006E1A11"/>
    <w:rsid w:val="006E1F6E"/>
    <w:rsid w:val="006E61BE"/>
    <w:rsid w:val="006F2AE5"/>
    <w:rsid w:val="006F31F3"/>
    <w:rsid w:val="006F3BAF"/>
    <w:rsid w:val="006F3DBA"/>
    <w:rsid w:val="007012FC"/>
    <w:rsid w:val="007021B5"/>
    <w:rsid w:val="007025A4"/>
    <w:rsid w:val="0070296C"/>
    <w:rsid w:val="00703889"/>
    <w:rsid w:val="00704075"/>
    <w:rsid w:val="0070456F"/>
    <w:rsid w:val="00704622"/>
    <w:rsid w:val="007056C8"/>
    <w:rsid w:val="00712414"/>
    <w:rsid w:val="00712F5F"/>
    <w:rsid w:val="007151A2"/>
    <w:rsid w:val="0071672D"/>
    <w:rsid w:val="00717993"/>
    <w:rsid w:val="00717BFE"/>
    <w:rsid w:val="00721A10"/>
    <w:rsid w:val="007240E2"/>
    <w:rsid w:val="00727BF7"/>
    <w:rsid w:val="00730779"/>
    <w:rsid w:val="0073163F"/>
    <w:rsid w:val="0073279A"/>
    <w:rsid w:val="0074278B"/>
    <w:rsid w:val="00750789"/>
    <w:rsid w:val="0075207B"/>
    <w:rsid w:val="007531B7"/>
    <w:rsid w:val="007616FC"/>
    <w:rsid w:val="00762502"/>
    <w:rsid w:val="007637EF"/>
    <w:rsid w:val="007647B3"/>
    <w:rsid w:val="0076786E"/>
    <w:rsid w:val="00774C01"/>
    <w:rsid w:val="00774CB9"/>
    <w:rsid w:val="00774F3F"/>
    <w:rsid w:val="00774FC6"/>
    <w:rsid w:val="00783C72"/>
    <w:rsid w:val="00783F01"/>
    <w:rsid w:val="00784A1C"/>
    <w:rsid w:val="00784CBF"/>
    <w:rsid w:val="007958CA"/>
    <w:rsid w:val="007A0352"/>
    <w:rsid w:val="007A3589"/>
    <w:rsid w:val="007A6399"/>
    <w:rsid w:val="007A69CA"/>
    <w:rsid w:val="007B0A9B"/>
    <w:rsid w:val="007B0EAF"/>
    <w:rsid w:val="007B2CE6"/>
    <w:rsid w:val="007B454A"/>
    <w:rsid w:val="007B717C"/>
    <w:rsid w:val="007C0297"/>
    <w:rsid w:val="007C0929"/>
    <w:rsid w:val="007C094C"/>
    <w:rsid w:val="007C2190"/>
    <w:rsid w:val="007C236A"/>
    <w:rsid w:val="007C319E"/>
    <w:rsid w:val="007C3F98"/>
    <w:rsid w:val="007C44AD"/>
    <w:rsid w:val="007D1F70"/>
    <w:rsid w:val="007D416B"/>
    <w:rsid w:val="007D4470"/>
    <w:rsid w:val="007D63AC"/>
    <w:rsid w:val="007E0BDD"/>
    <w:rsid w:val="007E2F61"/>
    <w:rsid w:val="007E5E27"/>
    <w:rsid w:val="007F256C"/>
    <w:rsid w:val="007F33A1"/>
    <w:rsid w:val="007F4FC3"/>
    <w:rsid w:val="007F6BF9"/>
    <w:rsid w:val="007F6EF6"/>
    <w:rsid w:val="008000C5"/>
    <w:rsid w:val="00801BAC"/>
    <w:rsid w:val="008048EE"/>
    <w:rsid w:val="0080587C"/>
    <w:rsid w:val="0080605C"/>
    <w:rsid w:val="00813B78"/>
    <w:rsid w:val="00813C14"/>
    <w:rsid w:val="008144AE"/>
    <w:rsid w:val="00817638"/>
    <w:rsid w:val="00817914"/>
    <w:rsid w:val="00825704"/>
    <w:rsid w:val="00831076"/>
    <w:rsid w:val="0083136A"/>
    <w:rsid w:val="00831777"/>
    <w:rsid w:val="008334F9"/>
    <w:rsid w:val="00834B01"/>
    <w:rsid w:val="00835B8C"/>
    <w:rsid w:val="008366F6"/>
    <w:rsid w:val="00840BD7"/>
    <w:rsid w:val="00841756"/>
    <w:rsid w:val="008429BD"/>
    <w:rsid w:val="00843E0E"/>
    <w:rsid w:val="00847856"/>
    <w:rsid w:val="00850C03"/>
    <w:rsid w:val="00856571"/>
    <w:rsid w:val="00856BA7"/>
    <w:rsid w:val="00857F86"/>
    <w:rsid w:val="008615C4"/>
    <w:rsid w:val="0086216C"/>
    <w:rsid w:val="008629A8"/>
    <w:rsid w:val="008635DC"/>
    <w:rsid w:val="00863851"/>
    <w:rsid w:val="00866D93"/>
    <w:rsid w:val="00871096"/>
    <w:rsid w:val="00871F7E"/>
    <w:rsid w:val="00872214"/>
    <w:rsid w:val="00872411"/>
    <w:rsid w:val="008727CD"/>
    <w:rsid w:val="00872D77"/>
    <w:rsid w:val="00874EBA"/>
    <w:rsid w:val="00874FFC"/>
    <w:rsid w:val="00877FC6"/>
    <w:rsid w:val="008820B1"/>
    <w:rsid w:val="00882C99"/>
    <w:rsid w:val="008830E7"/>
    <w:rsid w:val="00884F65"/>
    <w:rsid w:val="00886F50"/>
    <w:rsid w:val="008907AA"/>
    <w:rsid w:val="0089187E"/>
    <w:rsid w:val="00891C5C"/>
    <w:rsid w:val="00892B2D"/>
    <w:rsid w:val="00892F78"/>
    <w:rsid w:val="00896A78"/>
    <w:rsid w:val="008977BB"/>
    <w:rsid w:val="008A49E3"/>
    <w:rsid w:val="008B01F1"/>
    <w:rsid w:val="008B060E"/>
    <w:rsid w:val="008B0F16"/>
    <w:rsid w:val="008B163F"/>
    <w:rsid w:val="008B1C14"/>
    <w:rsid w:val="008B2464"/>
    <w:rsid w:val="008B5FF3"/>
    <w:rsid w:val="008C2967"/>
    <w:rsid w:val="008C2C0D"/>
    <w:rsid w:val="008C704B"/>
    <w:rsid w:val="008C7B1C"/>
    <w:rsid w:val="008D0E7B"/>
    <w:rsid w:val="008D25B5"/>
    <w:rsid w:val="008D3F8D"/>
    <w:rsid w:val="008D4FCD"/>
    <w:rsid w:val="008D7459"/>
    <w:rsid w:val="008D77A7"/>
    <w:rsid w:val="008E12FF"/>
    <w:rsid w:val="008E1940"/>
    <w:rsid w:val="008E1E0D"/>
    <w:rsid w:val="008E1FCD"/>
    <w:rsid w:val="008E24C7"/>
    <w:rsid w:val="008E28F9"/>
    <w:rsid w:val="008E3E63"/>
    <w:rsid w:val="008E432C"/>
    <w:rsid w:val="008F14C4"/>
    <w:rsid w:val="008F60EF"/>
    <w:rsid w:val="008F687E"/>
    <w:rsid w:val="008F7CB9"/>
    <w:rsid w:val="00901E6A"/>
    <w:rsid w:val="009023B7"/>
    <w:rsid w:val="0090576B"/>
    <w:rsid w:val="009075B9"/>
    <w:rsid w:val="0091519F"/>
    <w:rsid w:val="00915E75"/>
    <w:rsid w:val="0091682A"/>
    <w:rsid w:val="009174D1"/>
    <w:rsid w:val="00922097"/>
    <w:rsid w:val="009226F6"/>
    <w:rsid w:val="009226FF"/>
    <w:rsid w:val="009250BA"/>
    <w:rsid w:val="00926A98"/>
    <w:rsid w:val="00927A38"/>
    <w:rsid w:val="00930AC2"/>
    <w:rsid w:val="00931C60"/>
    <w:rsid w:val="009322DC"/>
    <w:rsid w:val="009342FE"/>
    <w:rsid w:val="009353D9"/>
    <w:rsid w:val="00935F1D"/>
    <w:rsid w:val="00936B57"/>
    <w:rsid w:val="00936C62"/>
    <w:rsid w:val="00941758"/>
    <w:rsid w:val="00943D21"/>
    <w:rsid w:val="009453AC"/>
    <w:rsid w:val="00947C12"/>
    <w:rsid w:val="009542FA"/>
    <w:rsid w:val="0095681B"/>
    <w:rsid w:val="00957139"/>
    <w:rsid w:val="0096072D"/>
    <w:rsid w:val="009631AC"/>
    <w:rsid w:val="0096408D"/>
    <w:rsid w:val="0096578A"/>
    <w:rsid w:val="00965F96"/>
    <w:rsid w:val="00966CDA"/>
    <w:rsid w:val="00967ACD"/>
    <w:rsid w:val="00970493"/>
    <w:rsid w:val="0097076B"/>
    <w:rsid w:val="009716DF"/>
    <w:rsid w:val="00974908"/>
    <w:rsid w:val="00977088"/>
    <w:rsid w:val="009824BB"/>
    <w:rsid w:val="009839A7"/>
    <w:rsid w:val="00985C33"/>
    <w:rsid w:val="00985EBD"/>
    <w:rsid w:val="00990130"/>
    <w:rsid w:val="009912BE"/>
    <w:rsid w:val="00994AB0"/>
    <w:rsid w:val="00997124"/>
    <w:rsid w:val="009975DD"/>
    <w:rsid w:val="009A4BFC"/>
    <w:rsid w:val="009A5C55"/>
    <w:rsid w:val="009A66ED"/>
    <w:rsid w:val="009B1B3B"/>
    <w:rsid w:val="009B2581"/>
    <w:rsid w:val="009B388B"/>
    <w:rsid w:val="009B688A"/>
    <w:rsid w:val="009B6F5E"/>
    <w:rsid w:val="009C0310"/>
    <w:rsid w:val="009C0709"/>
    <w:rsid w:val="009C1134"/>
    <w:rsid w:val="009C1289"/>
    <w:rsid w:val="009C31D5"/>
    <w:rsid w:val="009C4461"/>
    <w:rsid w:val="009C48EC"/>
    <w:rsid w:val="009C6DD8"/>
    <w:rsid w:val="009D0585"/>
    <w:rsid w:val="009D1C3A"/>
    <w:rsid w:val="009D5AFC"/>
    <w:rsid w:val="009D63BC"/>
    <w:rsid w:val="009D6E2F"/>
    <w:rsid w:val="009D6F96"/>
    <w:rsid w:val="009D7828"/>
    <w:rsid w:val="009E41A6"/>
    <w:rsid w:val="009F1EE0"/>
    <w:rsid w:val="009F3D95"/>
    <w:rsid w:val="009F685E"/>
    <w:rsid w:val="009F7A6F"/>
    <w:rsid w:val="009F7FB3"/>
    <w:rsid w:val="00A0056D"/>
    <w:rsid w:val="00A01026"/>
    <w:rsid w:val="00A02927"/>
    <w:rsid w:val="00A03BB5"/>
    <w:rsid w:val="00A04806"/>
    <w:rsid w:val="00A07988"/>
    <w:rsid w:val="00A07E1A"/>
    <w:rsid w:val="00A109BE"/>
    <w:rsid w:val="00A10F22"/>
    <w:rsid w:val="00A1100A"/>
    <w:rsid w:val="00A1211F"/>
    <w:rsid w:val="00A1510B"/>
    <w:rsid w:val="00A17198"/>
    <w:rsid w:val="00A26E5F"/>
    <w:rsid w:val="00A26E63"/>
    <w:rsid w:val="00A26E90"/>
    <w:rsid w:val="00A279E9"/>
    <w:rsid w:val="00A27B15"/>
    <w:rsid w:val="00A27B22"/>
    <w:rsid w:val="00A3066E"/>
    <w:rsid w:val="00A31280"/>
    <w:rsid w:val="00A314CE"/>
    <w:rsid w:val="00A331DF"/>
    <w:rsid w:val="00A3415B"/>
    <w:rsid w:val="00A345EF"/>
    <w:rsid w:val="00A3542B"/>
    <w:rsid w:val="00A3656F"/>
    <w:rsid w:val="00A366E9"/>
    <w:rsid w:val="00A37945"/>
    <w:rsid w:val="00A41A33"/>
    <w:rsid w:val="00A46405"/>
    <w:rsid w:val="00A5153C"/>
    <w:rsid w:val="00A532EB"/>
    <w:rsid w:val="00A53D62"/>
    <w:rsid w:val="00A5407B"/>
    <w:rsid w:val="00A55D9D"/>
    <w:rsid w:val="00A5762B"/>
    <w:rsid w:val="00A601BD"/>
    <w:rsid w:val="00A6103C"/>
    <w:rsid w:val="00A64E9D"/>
    <w:rsid w:val="00A658A7"/>
    <w:rsid w:val="00A66537"/>
    <w:rsid w:val="00A73C60"/>
    <w:rsid w:val="00A8110E"/>
    <w:rsid w:val="00A8183F"/>
    <w:rsid w:val="00A82B74"/>
    <w:rsid w:val="00A840EB"/>
    <w:rsid w:val="00A87393"/>
    <w:rsid w:val="00A90F00"/>
    <w:rsid w:val="00A93C4F"/>
    <w:rsid w:val="00A961AD"/>
    <w:rsid w:val="00AA27BA"/>
    <w:rsid w:val="00AB03CA"/>
    <w:rsid w:val="00AB1243"/>
    <w:rsid w:val="00AB1F40"/>
    <w:rsid w:val="00AB20B9"/>
    <w:rsid w:val="00AB2366"/>
    <w:rsid w:val="00AB7839"/>
    <w:rsid w:val="00AB7EFF"/>
    <w:rsid w:val="00AC03CC"/>
    <w:rsid w:val="00AC06AE"/>
    <w:rsid w:val="00AC1E13"/>
    <w:rsid w:val="00AC28EF"/>
    <w:rsid w:val="00AC2C1F"/>
    <w:rsid w:val="00AC46A6"/>
    <w:rsid w:val="00AC6F26"/>
    <w:rsid w:val="00AC701A"/>
    <w:rsid w:val="00AD1E09"/>
    <w:rsid w:val="00AD34DF"/>
    <w:rsid w:val="00AD683D"/>
    <w:rsid w:val="00AD7D01"/>
    <w:rsid w:val="00AE014F"/>
    <w:rsid w:val="00AE415B"/>
    <w:rsid w:val="00AE7773"/>
    <w:rsid w:val="00AF2DBB"/>
    <w:rsid w:val="00AF30F5"/>
    <w:rsid w:val="00B0015E"/>
    <w:rsid w:val="00B0179F"/>
    <w:rsid w:val="00B01C0D"/>
    <w:rsid w:val="00B02970"/>
    <w:rsid w:val="00B02D16"/>
    <w:rsid w:val="00B03F2C"/>
    <w:rsid w:val="00B042E4"/>
    <w:rsid w:val="00B06578"/>
    <w:rsid w:val="00B06786"/>
    <w:rsid w:val="00B06A0B"/>
    <w:rsid w:val="00B07E70"/>
    <w:rsid w:val="00B10F66"/>
    <w:rsid w:val="00B10F73"/>
    <w:rsid w:val="00B1300C"/>
    <w:rsid w:val="00B13CA2"/>
    <w:rsid w:val="00B13D65"/>
    <w:rsid w:val="00B15FB7"/>
    <w:rsid w:val="00B16FE8"/>
    <w:rsid w:val="00B20278"/>
    <w:rsid w:val="00B20D65"/>
    <w:rsid w:val="00B20E81"/>
    <w:rsid w:val="00B21895"/>
    <w:rsid w:val="00B24CEF"/>
    <w:rsid w:val="00B24E93"/>
    <w:rsid w:val="00B259B1"/>
    <w:rsid w:val="00B26C74"/>
    <w:rsid w:val="00B2762B"/>
    <w:rsid w:val="00B337C3"/>
    <w:rsid w:val="00B33ECD"/>
    <w:rsid w:val="00B345BA"/>
    <w:rsid w:val="00B41628"/>
    <w:rsid w:val="00B4334D"/>
    <w:rsid w:val="00B43BE5"/>
    <w:rsid w:val="00B47D36"/>
    <w:rsid w:val="00B530D8"/>
    <w:rsid w:val="00B60BDB"/>
    <w:rsid w:val="00B626BF"/>
    <w:rsid w:val="00B631F5"/>
    <w:rsid w:val="00B63D25"/>
    <w:rsid w:val="00B63D35"/>
    <w:rsid w:val="00B65B45"/>
    <w:rsid w:val="00B71A85"/>
    <w:rsid w:val="00B7219D"/>
    <w:rsid w:val="00B72D40"/>
    <w:rsid w:val="00B75AA6"/>
    <w:rsid w:val="00B75B15"/>
    <w:rsid w:val="00B765B7"/>
    <w:rsid w:val="00B77B5F"/>
    <w:rsid w:val="00B818D9"/>
    <w:rsid w:val="00B854F1"/>
    <w:rsid w:val="00B85588"/>
    <w:rsid w:val="00B91156"/>
    <w:rsid w:val="00B911A5"/>
    <w:rsid w:val="00B9764D"/>
    <w:rsid w:val="00B979C1"/>
    <w:rsid w:val="00BA1DF3"/>
    <w:rsid w:val="00BA3DB9"/>
    <w:rsid w:val="00BA6287"/>
    <w:rsid w:val="00BA70D3"/>
    <w:rsid w:val="00BA737C"/>
    <w:rsid w:val="00BA7985"/>
    <w:rsid w:val="00BB1AD7"/>
    <w:rsid w:val="00BB3EF5"/>
    <w:rsid w:val="00BB467C"/>
    <w:rsid w:val="00BB7D4B"/>
    <w:rsid w:val="00BC0708"/>
    <w:rsid w:val="00BC1299"/>
    <w:rsid w:val="00BC2A35"/>
    <w:rsid w:val="00BC42FC"/>
    <w:rsid w:val="00BC45D2"/>
    <w:rsid w:val="00BC6335"/>
    <w:rsid w:val="00BD2A3E"/>
    <w:rsid w:val="00BD3855"/>
    <w:rsid w:val="00BD4EF8"/>
    <w:rsid w:val="00BD5EE9"/>
    <w:rsid w:val="00BD7365"/>
    <w:rsid w:val="00BE18E8"/>
    <w:rsid w:val="00BE4822"/>
    <w:rsid w:val="00BE788C"/>
    <w:rsid w:val="00BF24D5"/>
    <w:rsid w:val="00BF351C"/>
    <w:rsid w:val="00BF3C69"/>
    <w:rsid w:val="00BF4BFE"/>
    <w:rsid w:val="00BF60B0"/>
    <w:rsid w:val="00BF6273"/>
    <w:rsid w:val="00C01595"/>
    <w:rsid w:val="00C02085"/>
    <w:rsid w:val="00C02669"/>
    <w:rsid w:val="00C075F5"/>
    <w:rsid w:val="00C1199D"/>
    <w:rsid w:val="00C1362D"/>
    <w:rsid w:val="00C13AB8"/>
    <w:rsid w:val="00C15A89"/>
    <w:rsid w:val="00C20154"/>
    <w:rsid w:val="00C20379"/>
    <w:rsid w:val="00C2076E"/>
    <w:rsid w:val="00C20A4D"/>
    <w:rsid w:val="00C24999"/>
    <w:rsid w:val="00C25AD7"/>
    <w:rsid w:val="00C27045"/>
    <w:rsid w:val="00C30E6A"/>
    <w:rsid w:val="00C33993"/>
    <w:rsid w:val="00C34AB2"/>
    <w:rsid w:val="00C35E8C"/>
    <w:rsid w:val="00C414D7"/>
    <w:rsid w:val="00C43BAF"/>
    <w:rsid w:val="00C45EDA"/>
    <w:rsid w:val="00C4697C"/>
    <w:rsid w:val="00C51C62"/>
    <w:rsid w:val="00C53519"/>
    <w:rsid w:val="00C53B0F"/>
    <w:rsid w:val="00C56E7E"/>
    <w:rsid w:val="00C60567"/>
    <w:rsid w:val="00C6133D"/>
    <w:rsid w:val="00C62308"/>
    <w:rsid w:val="00C67928"/>
    <w:rsid w:val="00C71339"/>
    <w:rsid w:val="00C71512"/>
    <w:rsid w:val="00C7172F"/>
    <w:rsid w:val="00C723BA"/>
    <w:rsid w:val="00C74CA2"/>
    <w:rsid w:val="00C752BA"/>
    <w:rsid w:val="00C75E8A"/>
    <w:rsid w:val="00C77921"/>
    <w:rsid w:val="00C77DB7"/>
    <w:rsid w:val="00C82472"/>
    <w:rsid w:val="00C82512"/>
    <w:rsid w:val="00C86810"/>
    <w:rsid w:val="00C86F38"/>
    <w:rsid w:val="00C8776E"/>
    <w:rsid w:val="00C87C75"/>
    <w:rsid w:val="00CA10FE"/>
    <w:rsid w:val="00CA30A8"/>
    <w:rsid w:val="00CA35B1"/>
    <w:rsid w:val="00CA43DD"/>
    <w:rsid w:val="00CA71C4"/>
    <w:rsid w:val="00CA731E"/>
    <w:rsid w:val="00CB075D"/>
    <w:rsid w:val="00CB17E1"/>
    <w:rsid w:val="00CB34A6"/>
    <w:rsid w:val="00CB56E7"/>
    <w:rsid w:val="00CB66EC"/>
    <w:rsid w:val="00CC100A"/>
    <w:rsid w:val="00CC195C"/>
    <w:rsid w:val="00CC1A09"/>
    <w:rsid w:val="00CC2433"/>
    <w:rsid w:val="00CC57AB"/>
    <w:rsid w:val="00CC632F"/>
    <w:rsid w:val="00CC79BA"/>
    <w:rsid w:val="00CD0F18"/>
    <w:rsid w:val="00CD4E03"/>
    <w:rsid w:val="00CD52D2"/>
    <w:rsid w:val="00CD5809"/>
    <w:rsid w:val="00CD64ED"/>
    <w:rsid w:val="00CD712F"/>
    <w:rsid w:val="00CE03A2"/>
    <w:rsid w:val="00CE0866"/>
    <w:rsid w:val="00CE1F4B"/>
    <w:rsid w:val="00CE4309"/>
    <w:rsid w:val="00CE4435"/>
    <w:rsid w:val="00CE605F"/>
    <w:rsid w:val="00CE79BA"/>
    <w:rsid w:val="00CF00FF"/>
    <w:rsid w:val="00CF0DBA"/>
    <w:rsid w:val="00CF2E46"/>
    <w:rsid w:val="00CF2F20"/>
    <w:rsid w:val="00CF342B"/>
    <w:rsid w:val="00CF5D8B"/>
    <w:rsid w:val="00CF5DFB"/>
    <w:rsid w:val="00D01E96"/>
    <w:rsid w:val="00D0531D"/>
    <w:rsid w:val="00D05895"/>
    <w:rsid w:val="00D06F68"/>
    <w:rsid w:val="00D11E63"/>
    <w:rsid w:val="00D13705"/>
    <w:rsid w:val="00D160BC"/>
    <w:rsid w:val="00D17B9F"/>
    <w:rsid w:val="00D20328"/>
    <w:rsid w:val="00D20F2D"/>
    <w:rsid w:val="00D21260"/>
    <w:rsid w:val="00D22836"/>
    <w:rsid w:val="00D22A36"/>
    <w:rsid w:val="00D25AE4"/>
    <w:rsid w:val="00D26A8D"/>
    <w:rsid w:val="00D3453D"/>
    <w:rsid w:val="00D36D96"/>
    <w:rsid w:val="00D4015E"/>
    <w:rsid w:val="00D44399"/>
    <w:rsid w:val="00D453FD"/>
    <w:rsid w:val="00D519D9"/>
    <w:rsid w:val="00D531C8"/>
    <w:rsid w:val="00D53FB1"/>
    <w:rsid w:val="00D60377"/>
    <w:rsid w:val="00D6373B"/>
    <w:rsid w:val="00D63968"/>
    <w:rsid w:val="00D63CA9"/>
    <w:rsid w:val="00D714FC"/>
    <w:rsid w:val="00D76214"/>
    <w:rsid w:val="00D76578"/>
    <w:rsid w:val="00D767B3"/>
    <w:rsid w:val="00D8229F"/>
    <w:rsid w:val="00D82D96"/>
    <w:rsid w:val="00D831AF"/>
    <w:rsid w:val="00D83ED2"/>
    <w:rsid w:val="00D854B7"/>
    <w:rsid w:val="00D90BCD"/>
    <w:rsid w:val="00D91A40"/>
    <w:rsid w:val="00D91C62"/>
    <w:rsid w:val="00D92FCA"/>
    <w:rsid w:val="00D944A5"/>
    <w:rsid w:val="00D9660B"/>
    <w:rsid w:val="00D9682F"/>
    <w:rsid w:val="00D96CA9"/>
    <w:rsid w:val="00DA4331"/>
    <w:rsid w:val="00DA5493"/>
    <w:rsid w:val="00DA5BFE"/>
    <w:rsid w:val="00DA6806"/>
    <w:rsid w:val="00DB0F3E"/>
    <w:rsid w:val="00DB2F9F"/>
    <w:rsid w:val="00DB3B52"/>
    <w:rsid w:val="00DC1210"/>
    <w:rsid w:val="00DC2978"/>
    <w:rsid w:val="00DC3397"/>
    <w:rsid w:val="00DC3507"/>
    <w:rsid w:val="00DC45F2"/>
    <w:rsid w:val="00DC5519"/>
    <w:rsid w:val="00DC64A3"/>
    <w:rsid w:val="00DD0939"/>
    <w:rsid w:val="00DD2587"/>
    <w:rsid w:val="00DD2CDC"/>
    <w:rsid w:val="00DD3315"/>
    <w:rsid w:val="00DD69C3"/>
    <w:rsid w:val="00DD6A3D"/>
    <w:rsid w:val="00DD7C60"/>
    <w:rsid w:val="00DE14B5"/>
    <w:rsid w:val="00DE5EB3"/>
    <w:rsid w:val="00DE70AC"/>
    <w:rsid w:val="00DE7729"/>
    <w:rsid w:val="00DF00B2"/>
    <w:rsid w:val="00DF191A"/>
    <w:rsid w:val="00DF34A3"/>
    <w:rsid w:val="00DF4816"/>
    <w:rsid w:val="00DF4D96"/>
    <w:rsid w:val="00DF543C"/>
    <w:rsid w:val="00DF71A6"/>
    <w:rsid w:val="00E0000F"/>
    <w:rsid w:val="00E002C4"/>
    <w:rsid w:val="00E044E6"/>
    <w:rsid w:val="00E047A3"/>
    <w:rsid w:val="00E04ACF"/>
    <w:rsid w:val="00E10108"/>
    <w:rsid w:val="00E110D4"/>
    <w:rsid w:val="00E16A08"/>
    <w:rsid w:val="00E179EC"/>
    <w:rsid w:val="00E17B9E"/>
    <w:rsid w:val="00E2093E"/>
    <w:rsid w:val="00E23179"/>
    <w:rsid w:val="00E2771A"/>
    <w:rsid w:val="00E30DC8"/>
    <w:rsid w:val="00E317E9"/>
    <w:rsid w:val="00E3222C"/>
    <w:rsid w:val="00E32E2D"/>
    <w:rsid w:val="00E33878"/>
    <w:rsid w:val="00E35754"/>
    <w:rsid w:val="00E37632"/>
    <w:rsid w:val="00E37C9B"/>
    <w:rsid w:val="00E41767"/>
    <w:rsid w:val="00E44A7E"/>
    <w:rsid w:val="00E44ADA"/>
    <w:rsid w:val="00E465C3"/>
    <w:rsid w:val="00E50767"/>
    <w:rsid w:val="00E51865"/>
    <w:rsid w:val="00E5332A"/>
    <w:rsid w:val="00E533F5"/>
    <w:rsid w:val="00E53610"/>
    <w:rsid w:val="00E55207"/>
    <w:rsid w:val="00E568F2"/>
    <w:rsid w:val="00E575D5"/>
    <w:rsid w:val="00E610E6"/>
    <w:rsid w:val="00E6146E"/>
    <w:rsid w:val="00E61C51"/>
    <w:rsid w:val="00E63122"/>
    <w:rsid w:val="00E6412C"/>
    <w:rsid w:val="00E64B70"/>
    <w:rsid w:val="00E65BEA"/>
    <w:rsid w:val="00E7080E"/>
    <w:rsid w:val="00E716BB"/>
    <w:rsid w:val="00E742C7"/>
    <w:rsid w:val="00E76F7B"/>
    <w:rsid w:val="00E8171E"/>
    <w:rsid w:val="00E8510F"/>
    <w:rsid w:val="00E87D46"/>
    <w:rsid w:val="00E91576"/>
    <w:rsid w:val="00EA07FC"/>
    <w:rsid w:val="00EA139E"/>
    <w:rsid w:val="00EA4F14"/>
    <w:rsid w:val="00EA5CE2"/>
    <w:rsid w:val="00EA6174"/>
    <w:rsid w:val="00EA676F"/>
    <w:rsid w:val="00EB0B06"/>
    <w:rsid w:val="00EB5261"/>
    <w:rsid w:val="00EB5A41"/>
    <w:rsid w:val="00EB743C"/>
    <w:rsid w:val="00EC125C"/>
    <w:rsid w:val="00EC2E6E"/>
    <w:rsid w:val="00EC39FC"/>
    <w:rsid w:val="00EC5E74"/>
    <w:rsid w:val="00EC62D9"/>
    <w:rsid w:val="00EC7A34"/>
    <w:rsid w:val="00EC7EEF"/>
    <w:rsid w:val="00ED18E8"/>
    <w:rsid w:val="00ED32DD"/>
    <w:rsid w:val="00ED5373"/>
    <w:rsid w:val="00ED5887"/>
    <w:rsid w:val="00ED6664"/>
    <w:rsid w:val="00ED727B"/>
    <w:rsid w:val="00ED7F15"/>
    <w:rsid w:val="00EE320C"/>
    <w:rsid w:val="00EE3C7F"/>
    <w:rsid w:val="00EE4712"/>
    <w:rsid w:val="00EF2393"/>
    <w:rsid w:val="00EF384C"/>
    <w:rsid w:val="00EF38E5"/>
    <w:rsid w:val="00EF77EC"/>
    <w:rsid w:val="00F007DB"/>
    <w:rsid w:val="00F015F3"/>
    <w:rsid w:val="00F02C04"/>
    <w:rsid w:val="00F02FCD"/>
    <w:rsid w:val="00F062E3"/>
    <w:rsid w:val="00F069BB"/>
    <w:rsid w:val="00F07078"/>
    <w:rsid w:val="00F1159B"/>
    <w:rsid w:val="00F13C87"/>
    <w:rsid w:val="00F14AC1"/>
    <w:rsid w:val="00F14BBA"/>
    <w:rsid w:val="00F17ABD"/>
    <w:rsid w:val="00F2222A"/>
    <w:rsid w:val="00F222FC"/>
    <w:rsid w:val="00F31745"/>
    <w:rsid w:val="00F32516"/>
    <w:rsid w:val="00F352CB"/>
    <w:rsid w:val="00F37B81"/>
    <w:rsid w:val="00F40864"/>
    <w:rsid w:val="00F40DD5"/>
    <w:rsid w:val="00F412AC"/>
    <w:rsid w:val="00F4425D"/>
    <w:rsid w:val="00F44925"/>
    <w:rsid w:val="00F44BC6"/>
    <w:rsid w:val="00F47117"/>
    <w:rsid w:val="00F55C5E"/>
    <w:rsid w:val="00F56527"/>
    <w:rsid w:val="00F5692F"/>
    <w:rsid w:val="00F61029"/>
    <w:rsid w:val="00F62E8A"/>
    <w:rsid w:val="00F62EB6"/>
    <w:rsid w:val="00F6567E"/>
    <w:rsid w:val="00F6603E"/>
    <w:rsid w:val="00F72B7C"/>
    <w:rsid w:val="00F7329D"/>
    <w:rsid w:val="00F74BF3"/>
    <w:rsid w:val="00F76468"/>
    <w:rsid w:val="00F80DA6"/>
    <w:rsid w:val="00F81047"/>
    <w:rsid w:val="00F90B87"/>
    <w:rsid w:val="00F914EE"/>
    <w:rsid w:val="00F91C80"/>
    <w:rsid w:val="00F96035"/>
    <w:rsid w:val="00F96130"/>
    <w:rsid w:val="00FA1580"/>
    <w:rsid w:val="00FA1FFD"/>
    <w:rsid w:val="00FA5D37"/>
    <w:rsid w:val="00FA640A"/>
    <w:rsid w:val="00FB0E7A"/>
    <w:rsid w:val="00FB152A"/>
    <w:rsid w:val="00FB159B"/>
    <w:rsid w:val="00FB1C3B"/>
    <w:rsid w:val="00FB1F5F"/>
    <w:rsid w:val="00FB2065"/>
    <w:rsid w:val="00FB7590"/>
    <w:rsid w:val="00FC0E41"/>
    <w:rsid w:val="00FC1CA8"/>
    <w:rsid w:val="00FC24A8"/>
    <w:rsid w:val="00FC31ED"/>
    <w:rsid w:val="00FC6DF8"/>
    <w:rsid w:val="00FD06B0"/>
    <w:rsid w:val="00FD1F8A"/>
    <w:rsid w:val="00FD3FE2"/>
    <w:rsid w:val="00FD40E6"/>
    <w:rsid w:val="00FD536E"/>
    <w:rsid w:val="00FD686A"/>
    <w:rsid w:val="00FD762F"/>
    <w:rsid w:val="00FE00B2"/>
    <w:rsid w:val="00FE0BD1"/>
    <w:rsid w:val="00FE0D78"/>
    <w:rsid w:val="00FE6946"/>
    <w:rsid w:val="00FF3496"/>
    <w:rsid w:val="00FF3769"/>
    <w:rsid w:val="00FF44E1"/>
    <w:rsid w:val="01B85F94"/>
    <w:rsid w:val="01CA3F1A"/>
    <w:rsid w:val="02CB1CF7"/>
    <w:rsid w:val="055661F0"/>
    <w:rsid w:val="06677DD2"/>
    <w:rsid w:val="06A938AC"/>
    <w:rsid w:val="0ADD4CBE"/>
    <w:rsid w:val="0B043FF8"/>
    <w:rsid w:val="0B7750AD"/>
    <w:rsid w:val="0C191D25"/>
    <w:rsid w:val="0CD30126"/>
    <w:rsid w:val="0D8F3366"/>
    <w:rsid w:val="0DAE46EF"/>
    <w:rsid w:val="0DFC36AD"/>
    <w:rsid w:val="0FDE2595"/>
    <w:rsid w:val="0FE10DAC"/>
    <w:rsid w:val="102313C5"/>
    <w:rsid w:val="10F361C8"/>
    <w:rsid w:val="11162CD7"/>
    <w:rsid w:val="112453F4"/>
    <w:rsid w:val="11621A79"/>
    <w:rsid w:val="138F3C22"/>
    <w:rsid w:val="14171E4D"/>
    <w:rsid w:val="154F308C"/>
    <w:rsid w:val="162B4B2F"/>
    <w:rsid w:val="16BC1C2B"/>
    <w:rsid w:val="185D743E"/>
    <w:rsid w:val="191C2E55"/>
    <w:rsid w:val="1A1B4EBB"/>
    <w:rsid w:val="1A450189"/>
    <w:rsid w:val="1A620D3B"/>
    <w:rsid w:val="1BDE0896"/>
    <w:rsid w:val="1BFD6F6E"/>
    <w:rsid w:val="1C204A0A"/>
    <w:rsid w:val="1C362480"/>
    <w:rsid w:val="1D0D31E0"/>
    <w:rsid w:val="1D13631D"/>
    <w:rsid w:val="1D8D0E32"/>
    <w:rsid w:val="1DBE5A01"/>
    <w:rsid w:val="1F86727A"/>
    <w:rsid w:val="1F930BDA"/>
    <w:rsid w:val="1FB45B95"/>
    <w:rsid w:val="21134B3E"/>
    <w:rsid w:val="225A40A6"/>
    <w:rsid w:val="228850B7"/>
    <w:rsid w:val="23694EE9"/>
    <w:rsid w:val="253D662D"/>
    <w:rsid w:val="2609650F"/>
    <w:rsid w:val="26EC0553"/>
    <w:rsid w:val="271909D4"/>
    <w:rsid w:val="274A6DDF"/>
    <w:rsid w:val="284321AC"/>
    <w:rsid w:val="287C56BE"/>
    <w:rsid w:val="2BD63337"/>
    <w:rsid w:val="2C3B319A"/>
    <w:rsid w:val="2D8F7C42"/>
    <w:rsid w:val="2E8F3FF6"/>
    <w:rsid w:val="31F44517"/>
    <w:rsid w:val="334B460B"/>
    <w:rsid w:val="33557238"/>
    <w:rsid w:val="37DF17C6"/>
    <w:rsid w:val="3814146F"/>
    <w:rsid w:val="38741F0E"/>
    <w:rsid w:val="39180AEB"/>
    <w:rsid w:val="397C551E"/>
    <w:rsid w:val="3A8F74D3"/>
    <w:rsid w:val="3D5347E8"/>
    <w:rsid w:val="3E467EA9"/>
    <w:rsid w:val="3E4A3B11"/>
    <w:rsid w:val="3EF94F1B"/>
    <w:rsid w:val="41A939F9"/>
    <w:rsid w:val="41B15F81"/>
    <w:rsid w:val="424A02ED"/>
    <w:rsid w:val="43770B04"/>
    <w:rsid w:val="43996CCD"/>
    <w:rsid w:val="451C584C"/>
    <w:rsid w:val="45F12DF0"/>
    <w:rsid w:val="46357180"/>
    <w:rsid w:val="46A165C4"/>
    <w:rsid w:val="48587156"/>
    <w:rsid w:val="489D2DBB"/>
    <w:rsid w:val="48DF1625"/>
    <w:rsid w:val="492D57AE"/>
    <w:rsid w:val="49843F7B"/>
    <w:rsid w:val="4A25750C"/>
    <w:rsid w:val="4A6F69D9"/>
    <w:rsid w:val="4C0F2B00"/>
    <w:rsid w:val="4C373527"/>
    <w:rsid w:val="4D724A1E"/>
    <w:rsid w:val="4D7E3F76"/>
    <w:rsid w:val="4E28581D"/>
    <w:rsid w:val="4F710AFD"/>
    <w:rsid w:val="4F824AB9"/>
    <w:rsid w:val="51DF61F2"/>
    <w:rsid w:val="528648C0"/>
    <w:rsid w:val="52C61160"/>
    <w:rsid w:val="540463E4"/>
    <w:rsid w:val="54CA318A"/>
    <w:rsid w:val="54EB3100"/>
    <w:rsid w:val="54ED50CA"/>
    <w:rsid w:val="562E41BC"/>
    <w:rsid w:val="56982E14"/>
    <w:rsid w:val="5765719A"/>
    <w:rsid w:val="57727B09"/>
    <w:rsid w:val="57882E88"/>
    <w:rsid w:val="578C4726"/>
    <w:rsid w:val="589D1393"/>
    <w:rsid w:val="5A9D6C4B"/>
    <w:rsid w:val="5B6D486F"/>
    <w:rsid w:val="5BF94355"/>
    <w:rsid w:val="5C5E240A"/>
    <w:rsid w:val="5DFD09F6"/>
    <w:rsid w:val="5E510478"/>
    <w:rsid w:val="5FE61094"/>
    <w:rsid w:val="60A30D33"/>
    <w:rsid w:val="60AE1BB1"/>
    <w:rsid w:val="60B151FE"/>
    <w:rsid w:val="62E713AB"/>
    <w:rsid w:val="63332842"/>
    <w:rsid w:val="660758C0"/>
    <w:rsid w:val="6660394E"/>
    <w:rsid w:val="66F36853"/>
    <w:rsid w:val="67E22141"/>
    <w:rsid w:val="68B41D2F"/>
    <w:rsid w:val="69342E70"/>
    <w:rsid w:val="69717C20"/>
    <w:rsid w:val="69D837FB"/>
    <w:rsid w:val="6D01199C"/>
    <w:rsid w:val="6DDE33AA"/>
    <w:rsid w:val="6E470F4F"/>
    <w:rsid w:val="6F3A0AB4"/>
    <w:rsid w:val="6F8F0E00"/>
    <w:rsid w:val="6FBB39A3"/>
    <w:rsid w:val="704C0A9F"/>
    <w:rsid w:val="737F73DD"/>
    <w:rsid w:val="744321B9"/>
    <w:rsid w:val="746F2FAE"/>
    <w:rsid w:val="7589009F"/>
    <w:rsid w:val="760C7317"/>
    <w:rsid w:val="774626EC"/>
    <w:rsid w:val="776668EA"/>
    <w:rsid w:val="78A21BA4"/>
    <w:rsid w:val="78DE0702"/>
    <w:rsid w:val="79112886"/>
    <w:rsid w:val="79BD47BC"/>
    <w:rsid w:val="79DA536E"/>
    <w:rsid w:val="7AF4420D"/>
    <w:rsid w:val="7B01555A"/>
    <w:rsid w:val="7B25086A"/>
    <w:rsid w:val="7BBF0CBF"/>
    <w:rsid w:val="7C3116D5"/>
    <w:rsid w:val="7C480CB4"/>
    <w:rsid w:val="7E9276DB"/>
    <w:rsid w:val="EED75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link w:val="26"/>
    <w:qFormat/>
    <w:uiPriority w:val="0"/>
    <w:pPr>
      <w:outlineLvl w:val="0"/>
    </w:pPr>
    <w:rPr>
      <w:rFonts w:ascii="黑体" w:hAnsi="黑体" w:eastAsia="黑体"/>
      <w:kern w:val="44"/>
      <w:szCs w:val="44"/>
    </w:rPr>
  </w:style>
  <w:style w:type="paragraph" w:styleId="3">
    <w:name w:val="heading 2"/>
    <w:basedOn w:val="1"/>
    <w:next w:val="1"/>
    <w:link w:val="28"/>
    <w:unhideWhenUsed/>
    <w:qFormat/>
    <w:uiPriority w:val="0"/>
    <w:pPr>
      <w:spacing w:before="260" w:after="260" w:line="415" w:lineRule="auto"/>
      <w:outlineLvl w:val="1"/>
    </w:pPr>
    <w:rPr>
      <w:rFonts w:asciiTheme="majorHAnsi" w:hAnsiTheme="majorHAnsi" w:eastAsiaTheme="majorEastAsia" w:cstheme="majorBidi"/>
      <w:b/>
      <w:bCs/>
      <w:szCs w:val="32"/>
    </w:rPr>
  </w:style>
  <w:style w:type="paragraph" w:styleId="4">
    <w:name w:val="heading 3"/>
    <w:basedOn w:val="1"/>
    <w:next w:val="1"/>
    <w:link w:val="29"/>
    <w:unhideWhenUsed/>
    <w:qFormat/>
    <w:uiPriority w:val="0"/>
    <w:pPr>
      <w:spacing w:before="260" w:after="260" w:line="415" w:lineRule="auto"/>
      <w:outlineLvl w:val="2"/>
    </w:pPr>
    <w:rPr>
      <w:rFonts w:ascii="仿宋_GB2312"/>
      <w:b/>
      <w:bCs/>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3"/>
    <w:qFormat/>
    <w:uiPriority w:val="0"/>
    <w:pPr>
      <w:jc w:val="left"/>
    </w:pPr>
  </w:style>
  <w:style w:type="paragraph" w:styleId="6">
    <w:name w:val="toc 3"/>
    <w:basedOn w:val="1"/>
    <w:next w:val="1"/>
    <w:autoRedefine/>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7">
    <w:name w:val="footer"/>
    <w:basedOn w:val="1"/>
    <w:link w:val="20"/>
    <w:qFormat/>
    <w:uiPriority w:val="99"/>
    <w:pPr>
      <w:tabs>
        <w:tab w:val="center" w:pos="4153"/>
        <w:tab w:val="right" w:pos="8306"/>
      </w:tabs>
      <w:snapToGrid w:val="0"/>
      <w:jc w:val="left"/>
    </w:pPr>
    <w:rPr>
      <w:sz w:val="18"/>
      <w:szCs w:val="18"/>
    </w:rPr>
  </w:style>
  <w:style w:type="paragraph" w:styleId="8">
    <w:name w:val="header"/>
    <w:basedOn w:val="1"/>
    <w:link w:val="19"/>
    <w:qFormat/>
    <w:uiPriority w:val="0"/>
    <w:pPr>
      <w:tabs>
        <w:tab w:val="center" w:pos="4153"/>
        <w:tab w:val="right" w:pos="8306"/>
      </w:tabs>
      <w:snapToGrid w:val="0"/>
      <w:jc w:val="center"/>
    </w:pPr>
    <w:rPr>
      <w:sz w:val="18"/>
      <w:szCs w:val="18"/>
    </w:rPr>
  </w:style>
  <w:style w:type="paragraph" w:styleId="9">
    <w:name w:val="toc 1"/>
    <w:basedOn w:val="1"/>
    <w:next w:val="1"/>
    <w:autoRedefine/>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0">
    <w:name w:val="toc 2"/>
    <w:basedOn w:val="1"/>
    <w:next w:val="1"/>
    <w:autoRedefine/>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1">
    <w:name w:val="Normal (Web)"/>
    <w:basedOn w:val="1"/>
    <w:unhideWhenUsed/>
    <w:qFormat/>
    <w:uiPriority w:val="99"/>
    <w:pPr>
      <w:widowControl/>
      <w:spacing w:before="100" w:beforeAutospacing="1" w:after="100" w:afterAutospacing="1" w:line="240" w:lineRule="auto"/>
      <w:jc w:val="left"/>
    </w:pPr>
    <w:rPr>
      <w:rFonts w:ascii="宋体" w:hAnsi="宋体" w:eastAsia="宋体" w:cs="宋体"/>
      <w:kern w:val="0"/>
      <w:sz w:val="24"/>
    </w:rPr>
  </w:style>
  <w:style w:type="paragraph" w:styleId="12">
    <w:name w:val="annotation subject"/>
    <w:basedOn w:val="5"/>
    <w:next w:val="5"/>
    <w:link w:val="34"/>
    <w:uiPriority w:val="0"/>
    <w:rPr>
      <w:b/>
      <w:bCs/>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qFormat/>
    <w:uiPriority w:val="99"/>
    <w:rPr>
      <w:color w:val="0026E5" w:themeColor="hyperlink"/>
      <w:u w:val="single"/>
      <w14:textFill>
        <w14:solidFill>
          <w14:schemeClr w14:val="hlink"/>
        </w14:solidFill>
      </w14:textFill>
    </w:rPr>
  </w:style>
  <w:style w:type="character" w:styleId="17">
    <w:name w:val="annotation reference"/>
    <w:basedOn w:val="15"/>
    <w:qFormat/>
    <w:uiPriority w:val="0"/>
    <w:rPr>
      <w:sz w:val="21"/>
      <w:szCs w:val="21"/>
    </w:rPr>
  </w:style>
  <w:style w:type="character" w:styleId="18">
    <w:name w:val="footnote reference"/>
    <w:basedOn w:val="15"/>
    <w:qFormat/>
    <w:uiPriority w:val="0"/>
    <w:rPr>
      <w:vertAlign w:val="superscript"/>
    </w:rPr>
  </w:style>
  <w:style w:type="character" w:customStyle="1" w:styleId="19">
    <w:name w:val="页眉 字符"/>
    <w:basedOn w:val="15"/>
    <w:link w:val="8"/>
    <w:qFormat/>
    <w:uiPriority w:val="0"/>
    <w:rPr>
      <w:rFonts w:ascii="Times New Roman" w:hAnsi="Times New Roman" w:eastAsia="宋体" w:cs="Times New Roman"/>
      <w:kern w:val="2"/>
      <w:sz w:val="18"/>
      <w:szCs w:val="18"/>
    </w:rPr>
  </w:style>
  <w:style w:type="character" w:customStyle="1" w:styleId="20">
    <w:name w:val="页脚 字符"/>
    <w:basedOn w:val="15"/>
    <w:link w:val="7"/>
    <w:qFormat/>
    <w:uiPriority w:val="99"/>
    <w:rPr>
      <w:rFonts w:ascii="Times New Roman" w:hAnsi="Times New Roman" w:eastAsia="宋体" w:cs="Times New Roman"/>
      <w:kern w:val="2"/>
      <w:sz w:val="18"/>
      <w:szCs w:val="18"/>
    </w:rPr>
  </w:style>
  <w:style w:type="character" w:customStyle="1" w:styleId="21">
    <w:name w:val="未处理的提及1"/>
    <w:basedOn w:val="15"/>
    <w:semiHidden/>
    <w:unhideWhenUsed/>
    <w:qFormat/>
    <w:uiPriority w:val="99"/>
    <w:rPr>
      <w:color w:val="605E5C"/>
      <w:shd w:val="clear" w:color="auto" w:fill="E1DFDD"/>
    </w:rPr>
  </w:style>
  <w:style w:type="paragraph" w:customStyle="1" w:styleId="22">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23">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4">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25">
    <w:name w:val="修订4"/>
    <w:hidden/>
    <w:unhideWhenUsed/>
    <w:qFormat/>
    <w:uiPriority w:val="99"/>
    <w:rPr>
      <w:rFonts w:ascii="Times New Roman" w:hAnsi="Times New Roman" w:eastAsia="宋体" w:cs="Times New Roman"/>
      <w:kern w:val="2"/>
      <w:sz w:val="21"/>
      <w:szCs w:val="24"/>
      <w:lang w:val="en-US" w:eastAsia="zh-CN" w:bidi="ar-SA"/>
    </w:rPr>
  </w:style>
  <w:style w:type="character" w:customStyle="1" w:styleId="26">
    <w:name w:val="标题 1 字符"/>
    <w:basedOn w:val="15"/>
    <w:link w:val="2"/>
    <w:qFormat/>
    <w:uiPriority w:val="0"/>
    <w:rPr>
      <w:rFonts w:ascii="黑体" w:hAnsi="黑体" w:eastAsia="黑体"/>
      <w:kern w:val="44"/>
      <w:sz w:val="32"/>
      <w:szCs w:val="44"/>
    </w:rPr>
  </w:style>
  <w:style w:type="paragraph" w:customStyle="1" w:styleId="27">
    <w:name w:val="TOC Heading"/>
    <w:basedOn w:val="2"/>
    <w:next w:val="1"/>
    <w:unhideWhenUsed/>
    <w:qFormat/>
    <w:uiPriority w:val="39"/>
    <w:pPr>
      <w:widowControl/>
      <w:spacing w:before="240" w:line="259" w:lineRule="auto"/>
      <w:jc w:val="left"/>
      <w:outlineLvl w:val="9"/>
    </w:pPr>
    <w:rPr>
      <w:rFonts w:asciiTheme="majorHAnsi" w:hAnsiTheme="majorHAnsi" w:eastAsiaTheme="majorEastAsia" w:cstheme="majorBidi"/>
      <w:b/>
      <w:bCs/>
      <w:color w:val="2E54A1" w:themeColor="accent1" w:themeShade="BF"/>
      <w:kern w:val="0"/>
      <w:szCs w:val="32"/>
    </w:rPr>
  </w:style>
  <w:style w:type="character" w:customStyle="1" w:styleId="28">
    <w:name w:val="标题 2 字符"/>
    <w:basedOn w:val="15"/>
    <w:link w:val="3"/>
    <w:qFormat/>
    <w:uiPriority w:val="0"/>
    <w:rPr>
      <w:rFonts w:asciiTheme="majorHAnsi" w:hAnsiTheme="majorHAnsi" w:eastAsiaTheme="majorEastAsia" w:cstheme="majorBidi"/>
      <w:b/>
      <w:bCs/>
      <w:kern w:val="2"/>
      <w:sz w:val="32"/>
      <w:szCs w:val="32"/>
    </w:rPr>
  </w:style>
  <w:style w:type="character" w:customStyle="1" w:styleId="29">
    <w:name w:val="标题 3 字符"/>
    <w:basedOn w:val="15"/>
    <w:link w:val="4"/>
    <w:qFormat/>
    <w:uiPriority w:val="0"/>
    <w:rPr>
      <w:rFonts w:ascii="仿宋_GB2312" w:eastAsia="仿宋_GB2312"/>
      <w:b/>
      <w:bCs/>
      <w:kern w:val="2"/>
      <w:sz w:val="32"/>
      <w:szCs w:val="32"/>
    </w:rPr>
  </w:style>
  <w:style w:type="paragraph" w:styleId="30">
    <w:name w:val="List Paragraph"/>
    <w:basedOn w:val="1"/>
    <w:unhideWhenUsed/>
    <w:qFormat/>
    <w:uiPriority w:val="99"/>
    <w:pPr>
      <w:ind w:firstLine="420" w:firstLineChars="200"/>
    </w:pPr>
  </w:style>
  <w:style w:type="paragraph" w:customStyle="1" w:styleId="31">
    <w:name w:val="Revision"/>
    <w:hidden/>
    <w:unhideWhenUsed/>
    <w:qFormat/>
    <w:uiPriority w:val="99"/>
    <w:rPr>
      <w:rFonts w:ascii="Times New Roman" w:hAnsi="Times New Roman" w:eastAsia="仿宋_GB2312" w:cs="Times New Roman"/>
      <w:kern w:val="2"/>
      <w:sz w:val="32"/>
      <w:szCs w:val="24"/>
      <w:lang w:val="en-US" w:eastAsia="zh-CN" w:bidi="ar-SA"/>
    </w:rPr>
  </w:style>
  <w:style w:type="table" w:customStyle="1" w:styleId="32">
    <w:name w:val="网格型1"/>
    <w:basedOn w:val="13"/>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3">
    <w:name w:val="批注文字 字符"/>
    <w:basedOn w:val="15"/>
    <w:link w:val="5"/>
    <w:qFormat/>
    <w:uiPriority w:val="0"/>
    <w:rPr>
      <w:rFonts w:eastAsia="仿宋_GB2312"/>
      <w:kern w:val="2"/>
      <w:sz w:val="32"/>
      <w:szCs w:val="24"/>
    </w:rPr>
  </w:style>
  <w:style w:type="character" w:customStyle="1" w:styleId="34">
    <w:name w:val="批注主题 字符"/>
    <w:basedOn w:val="33"/>
    <w:link w:val="12"/>
    <w:qFormat/>
    <w:uiPriority w:val="0"/>
    <w:rPr>
      <w:rFonts w:eastAsia="仿宋_GB2312"/>
      <w:b/>
      <w:bCs/>
      <w:kern w:val="2"/>
      <w:sz w:val="32"/>
      <w:szCs w:val="24"/>
    </w:rPr>
  </w:style>
  <w:style w:type="paragraph" w:customStyle="1" w:styleId="35">
    <w:name w:val="UserStyle_8"/>
    <w:basedOn w:val="1"/>
    <w:link w:val="36"/>
    <w:qFormat/>
    <w:uiPriority w:val="0"/>
    <w:pPr>
      <w:spacing w:after="160" w:line="240" w:lineRule="auto"/>
      <w:textAlignment w:val="baseline"/>
    </w:pPr>
    <w:rPr>
      <w:rFonts w:ascii="宋体" w:hAnsi="宋体"/>
      <w:szCs w:val="32"/>
    </w:rPr>
  </w:style>
  <w:style w:type="character" w:customStyle="1" w:styleId="36">
    <w:name w:val="NormalCharacter"/>
    <w:link w:val="35"/>
    <w:qFormat/>
    <w:uiPriority w:val="0"/>
    <w:rPr>
      <w:rFonts w:ascii="宋体" w:hAnsi="宋体" w:eastAsia="仿宋_GB2312"/>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442E8-44B8-458B-9593-6539F9D6597B}">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10723</Words>
  <Characters>10976</Characters>
  <Lines>93</Lines>
  <Paragraphs>26</Paragraphs>
  <TotalTime>1268</TotalTime>
  <ScaleCrop>false</ScaleCrop>
  <LinksUpToDate>false</LinksUpToDate>
  <CharactersWithSpaces>11156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2026-03-04T02:01:00Z</dcterms:created>
  <dc:creator>zhaoyan</dc:creator>
  <cp:lastModifiedBy>孙彤</cp:lastModifiedBy>
  <cp:lastPrinted>2025-10-10T10:25:00Z</cp:lastPrinted>
  <dcterms:modified xsi:type="dcterms:W3CDTF">2026-08-11T09:40:46Z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0F3822FEE6AD4B25AD7B23101EB70A17_13</vt:lpwstr>
  </property>
  <property fmtid="{D5CDD505-2E9C-101B-9397-08002B2CF9AE}" pid="4" name="KSOTemplateDocerSaveRecord">
    <vt:lpwstr>eyJoZGlkIjoiYzQ4YjExYTYzNGNlOTZiMDE4ZmY3ZjA5NzFkZjBiMWIiLCJ1c2VySWQiOiI0NTc1MTgyNjkifQ==</vt:lpwstr>
  </property>
</Properties>
</file>