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0" w:line="540" w:lineRule="exact"/>
        <w:jc w:val="both"/>
        <w:textAlignment w:val="auto"/>
        <w:rPr>
          <w:rFonts w:hint="eastAsia" w:ascii="黑体" w:hAnsi="黑体" w:eastAsia="黑体" w:cs="黑体"/>
          <w:sz w:val="32"/>
          <w:szCs w:val="32"/>
          <w:lang w:val="en-US" w:eastAsia="zh-CN"/>
        </w:rPr>
      </w:pPr>
      <w:bookmarkStart w:id="0" w:name="OLE_LINK1"/>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pPr>
        <w:pStyle w:val="2"/>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after="0" w:line="540" w:lineRule="exact"/>
        <w:jc w:val="center"/>
        <w:textAlignment w:val="auto"/>
        <w:outlineLvl w:val="0"/>
        <w:rPr>
          <w:rFonts w:hint="eastAsia" w:ascii="方正小标宋_GBK" w:hAnsi="方正小标宋_GBK" w:eastAsia="方正小标宋_GBK" w:cs="方正小标宋_GBK"/>
          <w:sz w:val="44"/>
          <w:szCs w:val="44"/>
          <w:lang w:val="en"/>
        </w:rPr>
      </w:pPr>
      <w:r>
        <w:rPr>
          <w:rFonts w:hint="eastAsia" w:ascii="方正小标宋_GBK" w:hAnsi="方正小标宋_GBK" w:eastAsia="方正小标宋_GBK" w:cs="方正小标宋_GBK"/>
          <w:sz w:val="44"/>
          <w:szCs w:val="44"/>
          <w:lang w:val="en"/>
        </w:rPr>
        <w:t>北京市怀柔区经济和信息化局</w:t>
      </w:r>
    </w:p>
    <w:p>
      <w:pPr>
        <w:keepNext w:val="0"/>
        <w:keepLines w:val="0"/>
        <w:pageBreakBefore w:val="0"/>
        <w:widowControl w:val="0"/>
        <w:kinsoku/>
        <w:wordWrap/>
        <w:overflowPunct/>
        <w:topLinePunct w:val="0"/>
        <w:autoSpaceDE/>
        <w:autoSpaceDN/>
        <w:bidi w:val="0"/>
        <w:adjustRightInd/>
        <w:snapToGrid/>
        <w:spacing w:after="0" w:line="540" w:lineRule="exact"/>
        <w:jc w:val="center"/>
        <w:textAlignment w:val="auto"/>
        <w:outlineLvl w:val="0"/>
        <w:rPr>
          <w:rFonts w:hint="eastAsia" w:ascii="方正小标宋_GBK" w:hAnsi="方正小标宋_GBK" w:eastAsia="方正小标宋_GBK" w:cs="方正小标宋_GBK"/>
          <w:sz w:val="44"/>
          <w:szCs w:val="44"/>
          <w:lang w:val="en"/>
        </w:rPr>
      </w:pPr>
      <w:r>
        <w:rPr>
          <w:rFonts w:hint="eastAsia" w:ascii="方正小标宋_GBK" w:hAnsi="方正小标宋_GBK" w:eastAsia="方正小标宋_GBK" w:cs="方正小标宋_GBK"/>
          <w:sz w:val="44"/>
          <w:szCs w:val="44"/>
          <w:lang w:val="en"/>
        </w:rPr>
        <w:t>关于《怀柔区“十五五”时期高精尖产业发展规划》</w:t>
      </w:r>
      <w:r>
        <w:rPr>
          <w:rFonts w:hint="eastAsia" w:ascii="方正小标宋_GBK" w:hAnsi="方正小标宋_GBK" w:eastAsia="方正小标宋_GBK" w:cs="方正小标宋_GBK"/>
          <w:sz w:val="44"/>
          <w:szCs w:val="44"/>
          <w:lang w:val="en" w:eastAsia="zh-CN"/>
        </w:rPr>
        <w:t>（征求意见稿）</w:t>
      </w:r>
      <w:r>
        <w:rPr>
          <w:rFonts w:hint="eastAsia" w:ascii="方正小标宋_GBK" w:hAnsi="方正小标宋_GBK" w:eastAsia="方正小标宋_GBK" w:cs="方正小标宋_GBK"/>
          <w:sz w:val="44"/>
          <w:szCs w:val="44"/>
          <w:lang w:val="en"/>
        </w:rPr>
        <w:t>的起草说明</w:t>
      </w:r>
      <w:bookmarkEnd w:id="0"/>
      <w:bookmarkStart w:id="1" w:name="OLE_LINK11"/>
    </w:p>
    <w:p>
      <w:pPr>
        <w:keepNext w:val="0"/>
        <w:keepLines w:val="0"/>
        <w:pageBreakBefore w:val="0"/>
        <w:widowControl w:val="0"/>
        <w:kinsoku/>
        <w:wordWrap/>
        <w:overflowPunct/>
        <w:topLinePunct w:val="0"/>
        <w:autoSpaceDE/>
        <w:autoSpaceDN/>
        <w:bidi w:val="0"/>
        <w:adjustRightInd/>
        <w:snapToGrid/>
        <w:spacing w:after="0" w:line="540" w:lineRule="exact"/>
        <w:jc w:val="center"/>
        <w:textAlignment w:val="auto"/>
        <w:rPr>
          <w:rFonts w:hint="eastAsia" w:ascii="方正小标宋_GBK" w:hAnsi="方正小标宋_GBK" w:eastAsia="方正小标宋_GBK" w:cs="方正小标宋_GBK"/>
          <w:sz w:val="44"/>
          <w:szCs w:val="44"/>
          <w:lang w:val="en"/>
        </w:rPr>
      </w:pPr>
    </w:p>
    <w:p>
      <w:pPr>
        <w:keepNext w:val="0"/>
        <w:keepLines w:val="0"/>
        <w:pageBreakBefore w:val="0"/>
        <w:widowControl w:val="0"/>
        <w:kinsoku/>
        <w:wordWrap/>
        <w:overflowPunct/>
        <w:topLinePunct w:val="0"/>
        <w:autoSpaceDE/>
        <w:autoSpaceDN/>
        <w:bidi w:val="0"/>
        <w:adjustRightInd/>
        <w:snapToGrid/>
        <w:spacing w:after="0" w:line="540" w:lineRule="exact"/>
        <w:ind w:firstLine="640" w:firstLineChars="200"/>
        <w:jc w:val="both"/>
        <w:textAlignment w:val="auto"/>
        <w:outlineLvl w:val="0"/>
        <w:rPr>
          <w:rFonts w:hint="eastAsia" w:ascii="黑体" w:hAnsi="黑体" w:eastAsia="黑体" w:cs="黑体"/>
          <w:b w:val="0"/>
          <w:bCs w:val="0"/>
          <w:sz w:val="32"/>
          <w:szCs w:val="32"/>
        </w:rPr>
      </w:pPr>
      <w:r>
        <w:rPr>
          <w:rFonts w:hint="eastAsia" w:ascii="黑体" w:hAnsi="黑体" w:eastAsia="黑体" w:cs="黑体"/>
          <w:b w:val="0"/>
          <w:bCs w:val="0"/>
          <w:sz w:val="32"/>
          <w:szCs w:val="32"/>
        </w:rPr>
        <w:t>一、起草背景</w:t>
      </w:r>
      <w:bookmarkStart w:id="2" w:name="OLE_LINK2"/>
      <w:r>
        <w:rPr>
          <w:rFonts w:hint="eastAsia" w:ascii="黑体" w:hAnsi="黑体" w:eastAsia="黑体" w:cs="黑体"/>
          <w:b w:val="0"/>
          <w:bCs w:val="0"/>
          <w:sz w:val="32"/>
          <w:szCs w:val="32"/>
        </w:rPr>
        <w:t>、依据及过程</w:t>
      </w:r>
    </w:p>
    <w:bookmarkEnd w:id="2"/>
    <w:p>
      <w:pPr>
        <w:keepNext w:val="0"/>
        <w:keepLines w:val="0"/>
        <w:pageBreakBefore w:val="0"/>
        <w:widowControl w:val="0"/>
        <w:kinsoku/>
        <w:wordWrap/>
        <w:overflowPunct/>
        <w:topLinePunct w:val="0"/>
        <w:autoSpaceDE/>
        <w:autoSpaceDN/>
        <w:bidi w:val="0"/>
        <w:adjustRightInd/>
        <w:snapToGrid/>
        <w:spacing w:after="0" w:line="540" w:lineRule="exact"/>
        <w:ind w:firstLine="640" w:firstLineChars="200"/>
        <w:textAlignment w:val="auto"/>
        <w:rPr>
          <w:rFonts w:hint="eastAsia" w:ascii="仿宋_GB2312" w:hAnsi="仿宋_GB2312" w:eastAsia="仿宋_GB2312" w:cs="仿宋_GB2312"/>
          <w:sz w:val="32"/>
          <w:szCs w:val="32"/>
        </w:rPr>
      </w:pPr>
      <w:bookmarkStart w:id="3" w:name="OLE_LINK3"/>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十五五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时期是北京率先基本实现社会主义现代化的关键五年，也是推动高精尖产业高质量发展的重要战略机遇期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i w:val="0"/>
          <w:caps w:val="0"/>
          <w:color w:val="auto"/>
          <w:spacing w:val="0"/>
          <w:sz w:val="32"/>
          <w:szCs w:val="32"/>
          <w:shd w:val="clear" w:fill="auto"/>
        </w:rPr>
        <w:t>北京首次编制现代化产业体系五年专项规划，以规划引领产业新格局</w:t>
      </w:r>
      <w:r>
        <w:rPr>
          <w:rFonts w:hint="eastAsia" w:ascii="仿宋_GB2312" w:hAnsi="仿宋_GB2312" w:eastAsia="仿宋_GB2312" w:cs="仿宋_GB2312"/>
          <w:sz w:val="32"/>
          <w:szCs w:val="32"/>
        </w:rPr>
        <w:t>。</w:t>
      </w:r>
      <w:bookmarkEnd w:id="3"/>
      <w:r>
        <w:rPr>
          <w:rFonts w:hint="eastAsia" w:ascii="仿宋_GB2312" w:hAnsi="仿宋_GB2312" w:eastAsia="仿宋_GB2312" w:cs="仿宋_GB2312"/>
          <w:sz w:val="32"/>
          <w:szCs w:val="32"/>
        </w:rPr>
        <w:t>为进一步明确怀柔区</w:t>
      </w:r>
      <w:r>
        <w:rPr>
          <w:rFonts w:hint="eastAsia" w:ascii="仿宋_GB2312" w:hAnsi="仿宋_GB2312" w:eastAsia="仿宋_GB2312" w:cs="仿宋_GB2312"/>
          <w:sz w:val="32"/>
          <w:szCs w:val="32"/>
          <w:lang w:eastAsia="zh-CN"/>
        </w:rPr>
        <w:t>十五五时期</w:t>
      </w:r>
      <w:r>
        <w:rPr>
          <w:rFonts w:hint="eastAsia" w:ascii="仿宋_GB2312" w:hAnsi="仿宋_GB2312" w:eastAsia="仿宋_GB2312" w:cs="仿宋_GB2312"/>
          <w:sz w:val="32"/>
          <w:szCs w:val="32"/>
        </w:rPr>
        <w:t>高精尖产业发展的主要目标和任务，着力将怀柔科学城</w:t>
      </w:r>
      <w:r>
        <w:rPr>
          <w:rFonts w:hint="eastAsia" w:ascii="仿宋_GB2312" w:hAnsi="仿宋_GB2312" w:eastAsia="仿宋_GB2312" w:cs="仿宋_GB2312"/>
          <w:sz w:val="32"/>
          <w:szCs w:val="32"/>
          <w:lang w:eastAsia="zh-CN"/>
        </w:rPr>
        <w:t>基础研究</w:t>
      </w:r>
      <w:r>
        <w:rPr>
          <w:rFonts w:hint="eastAsia" w:ascii="仿宋_GB2312" w:hAnsi="仿宋_GB2312" w:eastAsia="仿宋_GB2312" w:cs="仿宋_GB2312"/>
          <w:sz w:val="32"/>
          <w:szCs w:val="32"/>
        </w:rPr>
        <w:t>优势转化为产业发展优势，加快构建现代化产业体系，充分发挥高精尖产业在怀柔经济社会发展中的重要支撑作用，区经济和信息化局结合北京市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十五五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时期现代化产业体系发展规划要求</w:t>
      </w:r>
      <w:r>
        <w:rPr>
          <w:rFonts w:hint="eastAsia" w:ascii="仿宋_GB2312" w:hAnsi="仿宋_GB2312" w:eastAsia="仿宋_GB2312" w:cs="仿宋_GB2312"/>
          <w:sz w:val="32"/>
          <w:szCs w:val="32"/>
          <w:lang w:eastAsia="zh-CN"/>
        </w:rPr>
        <w:t>、北京市高精尖产业发展趋势以及</w:t>
      </w:r>
      <w:r>
        <w:rPr>
          <w:rFonts w:hint="eastAsia" w:ascii="仿宋_GB2312" w:hAnsi="仿宋_GB2312" w:eastAsia="仿宋_GB2312" w:cs="仿宋_GB2312"/>
          <w:sz w:val="32"/>
          <w:szCs w:val="32"/>
        </w:rPr>
        <w:t>区域产业发展实际，起草了《怀柔区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十五五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时期高精尖产业发展规划》（以下简称《规划》）。</w:t>
      </w:r>
    </w:p>
    <w:bookmarkEnd w:id="1"/>
    <w:p>
      <w:pPr>
        <w:keepNext w:val="0"/>
        <w:keepLines w:val="0"/>
        <w:pageBreakBefore w:val="0"/>
        <w:widowControl w:val="0"/>
        <w:kinsoku/>
        <w:wordWrap/>
        <w:overflowPunct/>
        <w:topLinePunct w:val="0"/>
        <w:autoSpaceDE/>
        <w:autoSpaceDN/>
        <w:bidi w:val="0"/>
        <w:adjustRightInd/>
        <w:snapToGrid/>
        <w:spacing w:after="0" w:line="540" w:lineRule="exact"/>
        <w:ind w:firstLine="640" w:firstLineChars="200"/>
        <w:textAlignment w:val="auto"/>
        <w:rPr>
          <w:rFonts w:hint="eastAsia" w:ascii="仿宋_GB2312" w:hAnsi="仿宋_GB2312" w:eastAsia="仿宋_GB2312" w:cs="仿宋_GB2312"/>
          <w:sz w:val="32"/>
          <w:szCs w:val="32"/>
          <w:lang w:eastAsia="zh-CN"/>
        </w:rPr>
      </w:pPr>
      <w:bookmarkStart w:id="4" w:name="OLE_LINK5"/>
      <w:bookmarkStart w:id="5" w:name="OLE_LINK8"/>
      <w:r>
        <w:rPr>
          <w:rFonts w:hint="eastAsia" w:ascii="仿宋_GB2312" w:hAnsi="仿宋_GB2312" w:eastAsia="仿宋_GB2312" w:cs="仿宋_GB2312"/>
          <w:sz w:val="32"/>
          <w:szCs w:val="32"/>
          <w:lang w:eastAsia="zh-CN"/>
        </w:rPr>
        <w:t>《规划》起草工作严格遵循前期课题研究、广泛征求意见、专家研讨、逐步完善的推进程序。前期，</w:t>
      </w:r>
      <w:r>
        <w:rPr>
          <w:rFonts w:hint="eastAsia" w:ascii="仿宋_GB2312" w:hAnsi="仿宋_GB2312" w:eastAsia="仿宋_GB2312" w:cs="仿宋_GB2312"/>
          <w:sz w:val="32"/>
          <w:szCs w:val="32"/>
        </w:rPr>
        <w:t>通过调研、研讨会等形</w:t>
      </w:r>
      <w:r>
        <w:rPr>
          <w:rFonts w:hint="eastAsia" w:ascii="仿宋_GB2312" w:hAnsi="仿宋_GB2312" w:eastAsia="仿宋_GB2312" w:cs="仿宋_GB2312"/>
          <w:sz w:val="32"/>
          <w:szCs w:val="32"/>
          <w:highlight w:val="none"/>
        </w:rPr>
        <w:t>式，广泛征求科学城管委会相关处室、</w:t>
      </w:r>
      <w:r>
        <w:rPr>
          <w:rFonts w:hint="eastAsia" w:ascii="仿宋_GB2312" w:hAnsi="仿宋_GB2312" w:eastAsia="仿宋_GB2312" w:cs="仿宋_GB2312"/>
          <w:sz w:val="32"/>
          <w:szCs w:val="32"/>
          <w:highlight w:val="none"/>
          <w:lang w:val="en-US" w:eastAsia="zh-CN"/>
        </w:rPr>
        <w:t>产业专班、镇乡、企业代表</w:t>
      </w:r>
      <w:r>
        <w:rPr>
          <w:rFonts w:hint="eastAsia" w:ascii="仿宋_GB2312" w:hAnsi="仿宋_GB2312" w:eastAsia="仿宋_GB2312" w:cs="仿宋_GB2312"/>
          <w:sz w:val="32"/>
          <w:szCs w:val="32"/>
          <w:highlight w:val="none"/>
        </w:rPr>
        <w:t>的意见建议</w:t>
      </w:r>
      <w:r>
        <w:rPr>
          <w:rFonts w:hint="eastAsia" w:ascii="仿宋_GB2312" w:hAnsi="仿宋_GB2312" w:eastAsia="仿宋_GB2312" w:cs="仿宋_GB2312"/>
          <w:sz w:val="32"/>
          <w:szCs w:val="32"/>
          <w:highlight w:val="none"/>
          <w:lang w:eastAsia="zh-CN"/>
        </w:rPr>
        <w:t>。在此基础上，邀请</w:t>
      </w:r>
      <w:r>
        <w:rPr>
          <w:rFonts w:hint="eastAsia" w:ascii="仿宋_GB2312" w:hAnsi="仿宋_GB2312" w:eastAsia="仿宋_GB2312" w:cs="仿宋_GB2312"/>
          <w:sz w:val="32"/>
          <w:szCs w:val="32"/>
          <w:highlight w:val="none"/>
          <w:lang w:val="en-US" w:eastAsia="zh-CN"/>
        </w:rPr>
        <w:t>产业经济、专业技术等领域专家</w:t>
      </w:r>
      <w:r>
        <w:rPr>
          <w:rFonts w:hint="eastAsia" w:ascii="仿宋_GB2312" w:hAnsi="仿宋_GB2312" w:eastAsia="仿宋_GB2312" w:cs="仿宋_GB2312"/>
          <w:sz w:val="32"/>
          <w:szCs w:val="32"/>
          <w:highlight w:val="none"/>
          <w:lang w:eastAsia="zh-CN"/>
        </w:rPr>
        <w:t>进行专题研讨，经进一步修改完善，最终形成了《规划》</w:t>
      </w:r>
      <w:r>
        <w:rPr>
          <w:rFonts w:hint="eastAsia" w:ascii="楷体_GB2312" w:hAnsi="楷体_GB2312" w:eastAsia="楷体_GB2312" w:cs="楷体_GB2312"/>
          <w:sz w:val="32"/>
          <w:szCs w:val="32"/>
          <w:highlight w:val="none"/>
        </w:rPr>
        <w:t>（征求意见</w:t>
      </w:r>
      <w:r>
        <w:rPr>
          <w:rFonts w:hint="eastAsia" w:ascii="楷体_GB2312" w:hAnsi="楷体_GB2312" w:eastAsia="楷体_GB2312" w:cs="楷体_GB2312"/>
          <w:sz w:val="32"/>
          <w:szCs w:val="32"/>
        </w:rPr>
        <w:t>稿）</w:t>
      </w:r>
      <w:r>
        <w:rPr>
          <w:rFonts w:hint="eastAsia" w:ascii="仿宋_GB2312" w:hAnsi="仿宋_GB2312" w:eastAsia="仿宋_GB2312" w:cs="仿宋_GB2312"/>
          <w:sz w:val="32"/>
          <w:szCs w:val="32"/>
          <w:lang w:eastAsia="zh-CN"/>
        </w:rPr>
        <w:t>。</w:t>
      </w:r>
    </w:p>
    <w:bookmarkEnd w:id="4"/>
    <w:p>
      <w:pPr>
        <w:keepNext w:val="0"/>
        <w:keepLines w:val="0"/>
        <w:pageBreakBefore w:val="0"/>
        <w:widowControl w:val="0"/>
        <w:kinsoku/>
        <w:wordWrap/>
        <w:overflowPunct/>
        <w:topLinePunct w:val="0"/>
        <w:autoSpaceDE/>
        <w:autoSpaceDN/>
        <w:bidi w:val="0"/>
        <w:adjustRightInd/>
        <w:snapToGrid/>
        <w:spacing w:after="0" w:line="540" w:lineRule="exact"/>
        <w:ind w:firstLine="640" w:firstLineChars="200"/>
        <w:textAlignment w:val="auto"/>
        <w:outlineLvl w:val="0"/>
        <w:rPr>
          <w:rFonts w:hint="eastAsia" w:ascii="黑体" w:hAnsi="黑体" w:eastAsia="黑体" w:cs="黑体"/>
          <w:b w:val="0"/>
          <w:bCs w:val="0"/>
          <w:sz w:val="32"/>
          <w:szCs w:val="32"/>
        </w:rPr>
      </w:pPr>
      <w:r>
        <w:rPr>
          <w:rFonts w:hint="eastAsia" w:ascii="黑体" w:hAnsi="黑体" w:eastAsia="黑体" w:cs="黑体"/>
          <w:b w:val="0"/>
          <w:bCs w:val="0"/>
          <w:sz w:val="32"/>
          <w:szCs w:val="32"/>
        </w:rPr>
        <w:t>二、起草原则</w:t>
      </w:r>
    </w:p>
    <w:bookmarkEnd w:id="5"/>
    <w:p>
      <w:pPr>
        <w:keepNext w:val="0"/>
        <w:keepLines w:val="0"/>
        <w:pageBreakBefore w:val="0"/>
        <w:widowControl w:val="0"/>
        <w:kinsoku/>
        <w:wordWrap/>
        <w:overflowPunct/>
        <w:topLinePunct w:val="0"/>
        <w:autoSpaceDE/>
        <w:autoSpaceDN/>
        <w:bidi w:val="0"/>
        <w:adjustRightInd/>
        <w:snapToGrid/>
        <w:spacing w:after="0"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战略引领，服务大局。坚持以习近平新时代中国特色社会主义思想为指导，以新时代首都发展为统领，将高精尖产业发展深度融入北京国际科技创新中心建设和京津冀协同发展全局。立足怀柔科学城作为全国四大综合性国家科学中心之一的战略定位，落实国家和北京市“十五五”规划关于建设现代化产业体系的部署要求，推动科技创新与产业创新深度融合，主动服务国家科技自立自强和首都高质量发展。</w:t>
      </w:r>
    </w:p>
    <w:p>
      <w:pPr>
        <w:keepNext w:val="0"/>
        <w:keepLines w:val="0"/>
        <w:pageBreakBefore w:val="0"/>
        <w:widowControl w:val="0"/>
        <w:kinsoku/>
        <w:wordWrap/>
        <w:overflowPunct/>
        <w:topLinePunct w:val="0"/>
        <w:autoSpaceDE/>
        <w:autoSpaceDN/>
        <w:bidi w:val="0"/>
        <w:adjustRightInd/>
        <w:snapToGrid/>
        <w:spacing w:after="0"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（二）创新驱动，融合发展。坚持依托怀柔科学城大科学装置集群和国家实验室等原始创新资源，以科技创新引领产业创新，打通基础研究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技术攻关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中试验证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产业化落地</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创新转化全链条。坚持以专精特新为特征、以先进制造业为骨干，推进科文融合、数实融合、两业融合、产城融合发展，构建与基础研究相适应的现代化产业体系。</w:t>
      </w:r>
    </w:p>
    <w:p>
      <w:pPr>
        <w:keepNext w:val="0"/>
        <w:keepLines w:val="0"/>
        <w:pageBreakBefore w:val="0"/>
        <w:widowControl w:val="0"/>
        <w:kinsoku/>
        <w:wordWrap/>
        <w:overflowPunct/>
        <w:topLinePunct w:val="0"/>
        <w:autoSpaceDE/>
        <w:autoSpaceDN/>
        <w:bidi w:val="0"/>
        <w:adjustRightInd/>
        <w:snapToGrid/>
        <w:spacing w:after="0"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问题导向，精准施策。坚持紧密围绕制约怀柔高精尖产业发展的瓶颈问题，聚焦传统产业比重过高、科学城对区域经济拉动作用尚显不足、产业链上下游协同不紧密、成果转化渠道不通畅、产业空间承载能力有待提升等突出短板，提出针对性措施。坚持突出重点，集中资源优先保障战略先导产业、新兴支柱产业和未来产业关键领域，推动政策供给与产业需求精准匹配。</w:t>
      </w:r>
    </w:p>
    <w:p>
      <w:pPr>
        <w:keepNext w:val="0"/>
        <w:keepLines w:val="0"/>
        <w:pageBreakBefore w:val="0"/>
        <w:widowControl w:val="0"/>
        <w:kinsoku/>
        <w:wordWrap/>
        <w:overflowPunct/>
        <w:topLinePunct w:val="0"/>
        <w:autoSpaceDE/>
        <w:autoSpaceDN/>
        <w:bidi w:val="0"/>
        <w:adjustRightInd/>
        <w:snapToGrid/>
        <w:spacing w:after="0"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前瞻布局，抢占先机。坚持面向世界科技前沿和国家战略需求，把握新一轮科技革命和产业变革趋势，前瞻布局科学智能、量子科技、原子级制造等未来产业十大细分领域，抢占发展制高点。统筹当前与长远、自主培育与开放合作，加快形成新质生产力，赢得未来发展主动权。</w:t>
      </w:r>
    </w:p>
    <w:p>
      <w:pPr>
        <w:keepNext w:val="0"/>
        <w:keepLines w:val="0"/>
        <w:pageBreakBefore w:val="0"/>
        <w:widowControl w:val="0"/>
        <w:kinsoku/>
        <w:wordWrap/>
        <w:overflowPunct/>
        <w:topLinePunct w:val="0"/>
        <w:autoSpaceDE/>
        <w:autoSpaceDN/>
        <w:bidi w:val="0"/>
        <w:adjustRightInd/>
        <w:snapToGrid/>
        <w:spacing w:after="0" w:line="540" w:lineRule="exact"/>
        <w:ind w:firstLine="640" w:firstLineChars="200"/>
        <w:textAlignment w:val="auto"/>
        <w:rPr>
          <w:rFonts w:hint="eastAsia" w:ascii="仿宋_GB2312" w:hAnsi="仿宋_GB2312" w:eastAsia="仿宋_GB2312" w:cs="仿宋_GB2312"/>
          <w:sz w:val="32"/>
          <w:szCs w:val="32"/>
        </w:rPr>
      </w:pPr>
      <w:bookmarkStart w:id="6" w:name="OLE_LINK4"/>
      <w:r>
        <w:rPr>
          <w:rFonts w:hint="eastAsia" w:ascii="仿宋_GB2312" w:hAnsi="仿宋_GB2312" w:eastAsia="仿宋_GB2312" w:cs="仿宋_GB2312"/>
          <w:sz w:val="32"/>
          <w:szCs w:val="32"/>
        </w:rPr>
        <w:t>（五）科学规划，有序推进。坚持定性分析与定量目标相结合，综合运用实地调研、数据分析和专家研讨等方法，科学研判十四五</w:t>
      </w:r>
      <w:r>
        <w:rPr>
          <w:rFonts w:hint="eastAsia" w:ascii="仿宋_GB2312" w:hAnsi="仿宋_GB2312" w:eastAsia="仿宋_GB2312" w:cs="仿宋_GB2312"/>
          <w:sz w:val="32"/>
          <w:szCs w:val="32"/>
          <w:lang w:eastAsia="zh-CN"/>
        </w:rPr>
        <w:t>时期</w:t>
      </w:r>
      <w:r>
        <w:rPr>
          <w:rFonts w:hint="eastAsia" w:ascii="仿宋_GB2312" w:hAnsi="仿宋_GB2312" w:eastAsia="仿宋_GB2312" w:cs="仿宋_GB2312"/>
          <w:sz w:val="32"/>
          <w:szCs w:val="32"/>
        </w:rPr>
        <w:t>发展基础与十五五</w:t>
      </w:r>
      <w:r>
        <w:rPr>
          <w:rFonts w:hint="eastAsia" w:ascii="仿宋_GB2312" w:hAnsi="仿宋_GB2312" w:eastAsia="仿宋_GB2312" w:cs="仿宋_GB2312"/>
          <w:sz w:val="32"/>
          <w:szCs w:val="32"/>
          <w:lang w:eastAsia="zh-CN"/>
        </w:rPr>
        <w:t>时期</w:t>
      </w:r>
      <w:r>
        <w:rPr>
          <w:rFonts w:hint="eastAsia" w:ascii="仿宋_GB2312" w:hAnsi="仿宋_GB2312" w:eastAsia="仿宋_GB2312" w:cs="仿宋_GB2312"/>
          <w:sz w:val="32"/>
          <w:szCs w:val="32"/>
        </w:rPr>
        <w:t>发展趋势。坚持系统谋划，统筹产业空间布局、开发时序和要素保障，</w:t>
      </w:r>
      <w:r>
        <w:rPr>
          <w:rFonts w:hint="eastAsia" w:ascii="仿宋_GB2312" w:hAnsi="仿宋_GB2312" w:eastAsia="仿宋_GB2312" w:cs="仿宋_GB2312"/>
          <w:sz w:val="32"/>
          <w:szCs w:val="32"/>
          <w:lang w:val="en-US" w:eastAsia="zh-CN"/>
        </w:rPr>
        <w:t>统筹推进</w:t>
      </w:r>
      <w:r>
        <w:rPr>
          <w:rFonts w:hint="eastAsia" w:ascii="仿宋_GB2312" w:hAnsi="仿宋_GB2312" w:eastAsia="仿宋_GB2312" w:cs="仿宋_GB2312"/>
          <w:sz w:val="32"/>
          <w:szCs w:val="32"/>
        </w:rPr>
        <w:t>项目库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空间库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政策库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资金库</w:t>
      </w:r>
      <w:r>
        <w:rPr>
          <w:rFonts w:hint="eastAsia" w:ascii="仿宋_GB2312" w:hAnsi="仿宋_GB2312" w:eastAsia="仿宋_GB2312" w:cs="仿宋_GB2312"/>
          <w:sz w:val="32"/>
          <w:szCs w:val="32"/>
          <w:lang w:val="en-US" w:eastAsia="zh-CN"/>
        </w:rPr>
        <w:t>建设</w:t>
      </w:r>
      <w:r>
        <w:rPr>
          <w:rFonts w:hint="eastAsia" w:ascii="仿宋_GB2312" w:hAnsi="仿宋_GB2312" w:eastAsia="仿宋_GB2312" w:cs="仿宋_GB2312"/>
          <w:sz w:val="32"/>
          <w:szCs w:val="32"/>
        </w:rPr>
        <w:t>，广泛听取各方意见，确保规划的科学性、前瞻性和可操作性。</w:t>
      </w:r>
    </w:p>
    <w:bookmarkEnd w:id="6"/>
    <w:p>
      <w:pPr>
        <w:keepNext w:val="0"/>
        <w:keepLines w:val="0"/>
        <w:pageBreakBefore w:val="0"/>
        <w:widowControl w:val="0"/>
        <w:kinsoku/>
        <w:wordWrap/>
        <w:overflowPunct/>
        <w:topLinePunct w:val="0"/>
        <w:autoSpaceDE/>
        <w:autoSpaceDN/>
        <w:bidi w:val="0"/>
        <w:adjustRightInd/>
        <w:snapToGrid/>
        <w:spacing w:after="0" w:line="540" w:lineRule="exact"/>
        <w:ind w:firstLine="640" w:firstLineChars="200"/>
        <w:textAlignment w:val="auto"/>
        <w:outlineLvl w:val="0"/>
        <w:rPr>
          <w:rFonts w:hint="eastAsia" w:ascii="黑体" w:hAnsi="黑体" w:eastAsia="黑体" w:cs="黑体"/>
          <w:b w:val="0"/>
          <w:bCs w:val="0"/>
          <w:sz w:val="32"/>
          <w:szCs w:val="32"/>
        </w:rPr>
      </w:pPr>
      <w:r>
        <w:rPr>
          <w:rFonts w:hint="eastAsia" w:ascii="黑体" w:hAnsi="黑体" w:eastAsia="黑体" w:cs="黑体"/>
          <w:b w:val="0"/>
          <w:bCs w:val="0"/>
          <w:sz w:val="32"/>
          <w:szCs w:val="32"/>
        </w:rPr>
        <w:t>三、主要内容</w:t>
      </w:r>
    </w:p>
    <w:p>
      <w:pPr>
        <w:keepNext w:val="0"/>
        <w:keepLines w:val="0"/>
        <w:pageBreakBefore w:val="0"/>
        <w:widowControl w:val="0"/>
        <w:kinsoku/>
        <w:wordWrap/>
        <w:overflowPunct/>
        <w:topLinePunct w:val="0"/>
        <w:autoSpaceDE/>
        <w:autoSpaceDN/>
        <w:bidi w:val="0"/>
        <w:adjustRightInd/>
        <w:snapToGrid/>
        <w:spacing w:after="0" w:line="54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《规划》共5篇6章24节，按照“发展定位、发展体系、</w:t>
      </w:r>
      <w:r>
        <w:rPr>
          <w:rFonts w:hint="eastAsia" w:ascii="仿宋_GB2312" w:hAnsi="仿宋_GB2312" w:eastAsia="仿宋_GB2312" w:cs="仿宋_GB2312"/>
          <w:sz w:val="32"/>
          <w:szCs w:val="32"/>
          <w:highlight w:val="none"/>
        </w:rPr>
        <w:t>发展空间、发展生态、保障措施”的总体框架，</w:t>
      </w:r>
      <w:r>
        <w:rPr>
          <w:rFonts w:hint="eastAsia" w:ascii="仿宋_GB2312" w:hAnsi="仿宋_GB2312" w:eastAsia="仿宋_GB2312" w:cs="仿宋_GB2312"/>
          <w:sz w:val="32"/>
          <w:szCs w:val="32"/>
          <w:highlight w:val="none"/>
          <w:lang w:val="en-US" w:eastAsia="zh-CN"/>
        </w:rPr>
        <w:t>构建“4410”产业体系，形成“一核三轴四组团”产业空间发展格局</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主要</w:t>
      </w:r>
      <w:r>
        <w:rPr>
          <w:rFonts w:hint="eastAsia" w:ascii="仿宋_GB2312" w:hAnsi="仿宋_GB2312" w:eastAsia="仿宋_GB2312" w:cs="仿宋_GB2312"/>
          <w:sz w:val="32"/>
          <w:szCs w:val="32"/>
          <w:highlight w:val="none"/>
          <w:lang w:val="en-US" w:eastAsia="zh-CN"/>
        </w:rPr>
        <w:t>内容</w:t>
      </w:r>
      <w:r>
        <w:rPr>
          <w:rFonts w:hint="eastAsia" w:ascii="仿宋_GB2312" w:hAnsi="仿宋_GB2312" w:eastAsia="仿宋_GB2312" w:cs="仿宋_GB2312"/>
          <w:sz w:val="32"/>
          <w:szCs w:val="32"/>
          <w:highlight w:val="none"/>
        </w:rPr>
        <w:t>如下：</w:t>
      </w:r>
    </w:p>
    <w:p>
      <w:pPr>
        <w:keepNext w:val="0"/>
        <w:keepLines w:val="0"/>
        <w:pageBreakBefore w:val="0"/>
        <w:widowControl w:val="0"/>
        <w:kinsoku/>
        <w:wordWrap/>
        <w:overflowPunct/>
        <w:topLinePunct w:val="0"/>
        <w:autoSpaceDE/>
        <w:autoSpaceDN/>
        <w:bidi w:val="0"/>
        <w:adjustRightInd/>
        <w:snapToGrid/>
        <w:spacing w:after="0" w:line="54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（一）做精做优四大战略先导产业。</w:t>
      </w:r>
      <w:r>
        <w:rPr>
          <w:rFonts w:hint="eastAsia" w:ascii="仿宋_GB2312" w:hAnsi="仿宋_GB2312" w:eastAsia="仿宋_GB2312" w:cs="仿宋_GB2312"/>
          <w:sz w:val="32"/>
          <w:szCs w:val="32"/>
        </w:rPr>
        <w:t>包括科学仪器传感器、新材料、新能源、空天技术四个领域，依托大科学装置集群优势，贯通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研发</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转化</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中试</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场景应用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全链条，突破关键核心技术，打造支撑国家战略、与科技设施成果转化密切相关的产业高地。</w:t>
      </w:r>
    </w:p>
    <w:p>
      <w:pPr>
        <w:keepNext w:val="0"/>
        <w:keepLines w:val="0"/>
        <w:pageBreakBefore w:val="0"/>
        <w:widowControl w:val="0"/>
        <w:kinsoku/>
        <w:wordWrap/>
        <w:overflowPunct/>
        <w:topLinePunct w:val="0"/>
        <w:autoSpaceDE/>
        <w:autoSpaceDN/>
        <w:bidi w:val="0"/>
        <w:adjustRightInd/>
        <w:snapToGrid/>
        <w:spacing w:after="0" w:line="54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（二）做强做大四大新兴支柱产业。</w:t>
      </w:r>
      <w:r>
        <w:rPr>
          <w:rFonts w:hint="eastAsia" w:ascii="仿宋_GB2312" w:hAnsi="仿宋_GB2312" w:eastAsia="仿宋_GB2312" w:cs="仿宋_GB2312"/>
          <w:sz w:val="32"/>
          <w:szCs w:val="32"/>
        </w:rPr>
        <w:t>包括智能装备与系统、医药健康、新一代信息技术、生产性服务业四个领域，聚焦高端汽车装备制造、工业母机、生物医药、数据要素等细分方向，推动规模化发展，形成对区域经济的强大带动支撑。</w:t>
      </w:r>
    </w:p>
    <w:p>
      <w:pPr>
        <w:keepNext w:val="0"/>
        <w:keepLines w:val="0"/>
        <w:pageBreakBefore w:val="0"/>
        <w:widowControl w:val="0"/>
        <w:kinsoku/>
        <w:wordWrap/>
        <w:overflowPunct/>
        <w:topLinePunct w:val="0"/>
        <w:autoSpaceDE/>
        <w:autoSpaceDN/>
        <w:bidi w:val="0"/>
        <w:adjustRightInd/>
        <w:snapToGrid/>
        <w:spacing w:after="0" w:line="54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（三）前瞻布局十大未来产业细分领域。</w:t>
      </w:r>
      <w:r>
        <w:rPr>
          <w:rFonts w:hint="eastAsia" w:ascii="仿宋_GB2312" w:hAnsi="仿宋_GB2312" w:eastAsia="仿宋_GB2312" w:cs="仿宋_GB2312"/>
          <w:sz w:val="32"/>
          <w:szCs w:val="32"/>
        </w:rPr>
        <w:t>包括干细胞与再生医学、脑科学与类脑智能、超宽禁带半导体及超导材料、6G、科学智能与具身智能、新型储能、量子科技、卫星网络、新一代生物医用材料、原子级制造，抢占未来发展制高点。</w:t>
      </w:r>
    </w:p>
    <w:p>
      <w:pPr>
        <w:keepNext w:val="0"/>
        <w:keepLines w:val="0"/>
        <w:pageBreakBefore w:val="0"/>
        <w:widowControl w:val="0"/>
        <w:kinsoku/>
        <w:wordWrap/>
        <w:overflowPunct/>
        <w:topLinePunct w:val="0"/>
        <w:autoSpaceDE/>
        <w:autoSpaceDN/>
        <w:bidi w:val="0"/>
        <w:adjustRightInd/>
        <w:snapToGrid/>
        <w:spacing w:after="0" w:line="54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（四）优化产业空间布局。</w:t>
      </w:r>
      <w:r>
        <w:rPr>
          <w:rFonts w:hint="eastAsia" w:ascii="仿宋_GB2312" w:hAnsi="仿宋_GB2312" w:eastAsia="仿宋_GB2312" w:cs="仿宋_GB2312"/>
          <w:sz w:val="32"/>
          <w:szCs w:val="32"/>
        </w:rPr>
        <w:t>构建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一核引领、三轴联动、四组团支撑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格局，明确核心区原始创新策源功能，打造科技创新、产城融合、生态协同三条轴线，细分雁栖、怀北、北房</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杨宋、庙城四个组团功能定位，统筹</w:t>
      </w:r>
      <w:r>
        <w:rPr>
          <w:rFonts w:hint="eastAsia" w:ascii="仿宋_GB2312" w:hAnsi="仿宋_GB2312" w:eastAsia="仿宋_GB2312" w:cs="仿宋_GB2312"/>
          <w:sz w:val="32"/>
          <w:szCs w:val="32"/>
          <w:lang w:eastAsia="zh-CN"/>
        </w:rPr>
        <w:t>一批</w:t>
      </w:r>
      <w:r>
        <w:rPr>
          <w:rFonts w:hint="eastAsia" w:ascii="仿宋_GB2312" w:hAnsi="仿宋_GB2312" w:eastAsia="仿宋_GB2312" w:cs="仿宋_GB2312"/>
          <w:sz w:val="32"/>
          <w:szCs w:val="32"/>
        </w:rPr>
        <w:t>重点园区落位，按照近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远时序推进开发。</w:t>
      </w:r>
    </w:p>
    <w:p>
      <w:pPr>
        <w:keepNext w:val="0"/>
        <w:keepLines w:val="0"/>
        <w:pageBreakBefore w:val="0"/>
        <w:widowControl w:val="0"/>
        <w:kinsoku/>
        <w:wordWrap/>
        <w:overflowPunct/>
        <w:topLinePunct w:val="0"/>
        <w:autoSpaceDE/>
        <w:autoSpaceDN/>
        <w:bidi w:val="0"/>
        <w:adjustRightInd/>
        <w:snapToGrid/>
        <w:spacing w:after="0" w:line="54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（五）实施八大行动完善产业发展生态。</w:t>
      </w:r>
      <w:r>
        <w:rPr>
          <w:rFonts w:hint="eastAsia" w:ascii="仿宋_GB2312" w:hAnsi="仿宋_GB2312" w:eastAsia="仿宋_GB2312" w:cs="仿宋_GB2312"/>
          <w:sz w:val="32"/>
          <w:szCs w:val="32"/>
        </w:rPr>
        <w:t>包括设施开放共享、平台装备筑基、企业梯次培育、数字要素赋能、产业集群发展、产业人才高地、配套服务提质、对外交流提升八项行动，从创新资源开放、成果转化、企业培育、要素赋能等方面系统完善产业生态。</w:t>
      </w:r>
    </w:p>
    <w:p>
      <w:pPr>
        <w:keepNext w:val="0"/>
        <w:keepLines w:val="0"/>
        <w:pageBreakBefore w:val="0"/>
        <w:widowControl w:val="0"/>
        <w:kinsoku/>
        <w:wordWrap/>
        <w:overflowPunct/>
        <w:topLinePunct w:val="0"/>
        <w:autoSpaceDE/>
        <w:autoSpaceDN/>
        <w:bidi w:val="0"/>
        <w:adjustRightInd/>
        <w:snapToGrid/>
        <w:spacing w:after="0" w:line="54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（六）强化实施保障。</w:t>
      </w:r>
      <w:r>
        <w:rPr>
          <w:rFonts w:hint="eastAsia" w:ascii="仿宋_GB2312" w:hAnsi="仿宋_GB2312" w:eastAsia="仿宋_GB2312" w:cs="仿宋_GB2312"/>
          <w:sz w:val="32"/>
          <w:szCs w:val="32"/>
        </w:rPr>
        <w:t>包括完善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区级统筹、部门联动、专班靠前、国企承载、属地服务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五级推进机制，健全多元资金保障体系，营造良好创新发展氛围，确保规划</w:t>
      </w:r>
      <w:bookmarkStart w:id="7" w:name="_GoBack"/>
      <w:bookmarkEnd w:id="7"/>
      <w:r>
        <w:rPr>
          <w:rFonts w:hint="eastAsia" w:ascii="仿宋_GB2312" w:hAnsi="仿宋_GB2312" w:eastAsia="仿宋_GB2312" w:cs="仿宋_GB2312"/>
          <w:sz w:val="32"/>
          <w:szCs w:val="32"/>
        </w:rPr>
        <w:t>落地见效。</w:t>
      </w:r>
    </w:p>
    <w:sectPr>
      <w:footerReference r:id="rId5" w:type="default"/>
      <w:pgSz w:w="11906" w:h="16838"/>
      <w:pgMar w:top="2098" w:right="1474" w:bottom="1984" w:left="1587"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96345B"/>
    <w:rsid w:val="001B0F2E"/>
    <w:rsid w:val="002B6AAF"/>
    <w:rsid w:val="00370A3A"/>
    <w:rsid w:val="0042741E"/>
    <w:rsid w:val="00483F3A"/>
    <w:rsid w:val="005637E0"/>
    <w:rsid w:val="00691D0E"/>
    <w:rsid w:val="007F2814"/>
    <w:rsid w:val="00974702"/>
    <w:rsid w:val="00992F6C"/>
    <w:rsid w:val="00A86574"/>
    <w:rsid w:val="00F5378C"/>
    <w:rsid w:val="06E91DAA"/>
    <w:rsid w:val="19D83849"/>
    <w:rsid w:val="1A79379A"/>
    <w:rsid w:val="1E96345B"/>
    <w:rsid w:val="276253AB"/>
    <w:rsid w:val="294F2B92"/>
    <w:rsid w:val="2D053BCA"/>
    <w:rsid w:val="2DE91B24"/>
    <w:rsid w:val="2F046067"/>
    <w:rsid w:val="362B3D12"/>
    <w:rsid w:val="37FED72B"/>
    <w:rsid w:val="3BC87BDA"/>
    <w:rsid w:val="3CAA5AA7"/>
    <w:rsid w:val="49411FBC"/>
    <w:rsid w:val="5055622E"/>
    <w:rsid w:val="65E35EC8"/>
    <w:rsid w:val="6A781258"/>
    <w:rsid w:val="6FF565EB"/>
    <w:rsid w:val="71A344E9"/>
    <w:rsid w:val="77EE24F3"/>
    <w:rsid w:val="77F7C306"/>
    <w:rsid w:val="77F7DA1E"/>
    <w:rsid w:val="799D16C8"/>
    <w:rsid w:val="F77BB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2"/>
      <w:lang w:val="en-US" w:eastAsia="zh-CN" w:bidi="ar-SA"/>
    </w:rPr>
  </w:style>
  <w:style w:type="paragraph" w:styleId="3">
    <w:name w:val="heading 2"/>
    <w:basedOn w:val="1"/>
    <w:next w:val="1"/>
    <w:link w:val="13"/>
    <w:qFormat/>
    <w:uiPriority w:val="0"/>
    <w:pPr>
      <w:keepNext/>
      <w:keepLines/>
      <w:spacing w:before="260" w:after="260"/>
      <w:outlineLvl w:val="1"/>
    </w:pPr>
    <w:rPr>
      <w:rFonts w:ascii="Arial" w:hAnsi="Arial" w:eastAsia="黑体"/>
      <w:b/>
      <w:sz w:val="28"/>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0000FF"/>
      <w:u w:val="single"/>
    </w:rPr>
  </w:style>
  <w:style w:type="paragraph" w:customStyle="1" w:styleId="11">
    <w:name w:val="TOC 11"/>
    <w:next w:val="1"/>
    <w:qFormat/>
    <w:uiPriority w:val="99"/>
    <w:pPr>
      <w:wordWrap w:val="0"/>
      <w:spacing w:after="160" w:line="278" w:lineRule="auto"/>
      <w:jc w:val="both"/>
    </w:pPr>
    <w:rPr>
      <w:rFonts w:ascii="Times New Roman" w:hAnsi="Times New Roman" w:eastAsia="宋体" w:cs="Times New Roman"/>
      <w:sz w:val="21"/>
      <w:szCs w:val="21"/>
      <w:lang w:val="en-US" w:eastAsia="zh-CN" w:bidi="ar-SA"/>
    </w:rPr>
  </w:style>
  <w:style w:type="paragraph" w:customStyle="1" w:styleId="12">
    <w:name w:val="目录 11"/>
    <w:next w:val="1"/>
    <w:qFormat/>
    <w:uiPriority w:val="0"/>
    <w:pPr>
      <w:wordWrap w:val="0"/>
      <w:spacing w:after="160" w:line="278" w:lineRule="auto"/>
      <w:jc w:val="both"/>
    </w:pPr>
    <w:rPr>
      <w:rFonts w:ascii="Times New Roman" w:hAnsi="Times New Roman" w:eastAsia="宋体" w:cs="Times New Roman"/>
      <w:sz w:val="21"/>
      <w:szCs w:val="22"/>
      <w:lang w:val="en-US" w:eastAsia="zh-CN" w:bidi="ar-SA"/>
    </w:rPr>
  </w:style>
  <w:style w:type="character" w:customStyle="1" w:styleId="13">
    <w:name w:val="标题 2 字符"/>
    <w:link w:val="3"/>
    <w:qFormat/>
    <w:uiPriority w:val="0"/>
    <w:rPr>
      <w:rFonts w:ascii="Arial" w:hAnsi="Arial" w:eastAsia="黑体"/>
      <w:b/>
      <w:sz w:val="28"/>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2205</Words>
  <Characters>2221</Characters>
  <Lines>16</Lines>
  <Paragraphs>4</Paragraphs>
  <TotalTime>12</TotalTime>
  <ScaleCrop>false</ScaleCrop>
  <LinksUpToDate>false</LinksUpToDate>
  <CharactersWithSpaces>2221</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2025-04-07T19:02:00Z</dcterms:created>
  <dc:creator>龚鲸</dc:creator>
  <cp:lastModifiedBy>user</cp:lastModifiedBy>
  <cp:lastPrinted>2026-04-03T17:50:00Z</cp:lastPrinted>
  <dcterms:modified xsi:type="dcterms:W3CDTF">2026-08-07T11:01:39Z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KSOTemplateDocerSaveRecord">
    <vt:lpwstr>eyJoZGlkIjoiNzZhNmE4ZWI2OWVkMTAyYjJhMmFiZDk4N2UwYmY3M2QiLCJ1c2VySWQiOiIyOTU3NzI3MzgifQ==</vt:lpwstr>
  </property>
  <property fmtid="{D5CDD505-2E9C-101B-9397-08002B2CF9AE}" pid="4" name="ICV">
    <vt:lpwstr>222E48FE394244589D6B2FCDE57F44F0_13</vt:lpwstr>
  </property>
</Properties>
</file>