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20" w:lineRule="exact"/>
        <w:textAlignment w:val="center"/>
        <w:rPr>
          <w:rFonts w:ascii="楷体_GB2312" w:hAnsi="楷体_GB2312" w:eastAsia="楷体_GB2312" w:cs="楷体_GB2312"/>
          <w:color w:val="000000" w:themeColor="text1"/>
          <w:szCs w:val="32"/>
        </w:rPr>
      </w:pPr>
      <w:r>
        <w:rPr>
          <w:rFonts w:hint="eastAsia" w:ascii="黑体" w:hAnsi="黑体" w:eastAsia="黑体" w:cs="黑体"/>
          <w:color w:val="000000" w:themeColor="text1"/>
          <w:szCs w:val="32"/>
        </w:rPr>
        <w:t>附件</w:t>
      </w:r>
      <w:r>
        <w:rPr>
          <w:rFonts w:hint="eastAsia" w:ascii="黑体" w:hAnsi="黑体" w:eastAsia="黑体" w:cs="黑体"/>
          <w:color w:val="000000" w:themeColor="text1"/>
          <w:szCs w:val="32"/>
          <w:lang w:val="en-US" w:eastAsia="zh-CN"/>
        </w:rPr>
        <w:t>2</w:t>
      </w:r>
      <w:r>
        <w:rPr>
          <w:rFonts w:hint="eastAsia" w:ascii="黑体" w:hAnsi="黑体" w:eastAsia="黑体" w:cs="黑体"/>
          <w:color w:val="000000" w:themeColor="text1"/>
          <w:szCs w:val="32"/>
        </w:rPr>
        <w:t xml:space="preserve">                        </w:t>
      </w:r>
    </w:p>
    <w:p>
      <w:pPr>
        <w:overflowPunct w:val="0"/>
        <w:adjustRightInd w:val="0"/>
        <w:snapToGrid w:val="0"/>
        <w:spacing w:line="520" w:lineRule="exact"/>
        <w:textAlignment w:val="center"/>
        <w:rPr>
          <w:rFonts w:ascii="黑体" w:hAnsi="黑体" w:eastAsia="黑体" w:cs="黑体"/>
          <w:color w:val="000000" w:themeColor="text1"/>
          <w:szCs w:val="32"/>
        </w:rPr>
      </w:pPr>
    </w:p>
    <w:p>
      <w:pPr>
        <w:autoSpaceDE w:val="0"/>
        <w:autoSpaceDN w:val="0"/>
        <w:spacing w:after="0" w:line="560" w:lineRule="exact"/>
        <w:ind w:left="106" w:right="262"/>
        <w:jc w:val="center"/>
        <w:rPr>
          <w:rFonts w:hint="eastAsia" w:ascii="方正小标宋简体" w:hAnsi="方正小标宋简体" w:eastAsia="方正小标宋简体" w:cs="方正小标宋简体"/>
          <w:color w:val="000000" w:themeColor="text1"/>
          <w:spacing w:val="-3"/>
          <w:w w:val="95"/>
          <w:kern w:val="0"/>
          <w:sz w:val="44"/>
          <w:szCs w:val="44"/>
          <w:lang w:val="zh-CN" w:bidi="zh-CN"/>
        </w:rPr>
      </w:pPr>
      <w:bookmarkStart w:id="2" w:name="_GoBack"/>
      <w:bookmarkEnd w:id="2"/>
      <w:r>
        <w:rPr>
          <w:rFonts w:hint="eastAsia" w:ascii="方正小标宋简体" w:hAnsi="方正小标宋简体" w:eastAsia="方正小标宋简体" w:cs="方正小标宋简体"/>
          <w:color w:val="000000" w:themeColor="text1"/>
          <w:spacing w:val="-3"/>
          <w:w w:val="95"/>
          <w:kern w:val="0"/>
          <w:sz w:val="44"/>
          <w:szCs w:val="44"/>
          <w:lang w:val="zh-CN" w:bidi="zh-CN"/>
        </w:rPr>
        <w:t>关于对顺义区载货汽车及专项作业车禁限行</w:t>
      </w:r>
    </w:p>
    <w:p>
      <w:pPr>
        <w:autoSpaceDE w:val="0"/>
        <w:autoSpaceDN w:val="0"/>
        <w:spacing w:after="0" w:line="560" w:lineRule="exact"/>
        <w:ind w:left="106" w:right="262"/>
        <w:jc w:val="center"/>
        <w:rPr>
          <w:rFonts w:hint="eastAsia" w:ascii="方正小标宋简体" w:hAnsi="方正小标宋简体" w:eastAsia="方正小标宋简体" w:cs="方正小标宋简体"/>
          <w:color w:val="000000" w:themeColor="text1"/>
          <w:spacing w:val="-3"/>
          <w:w w:val="95"/>
          <w:kern w:val="0"/>
          <w:sz w:val="44"/>
          <w:szCs w:val="44"/>
          <w:lang w:val="zh-CN" w:bidi="zh-CN"/>
        </w:rPr>
      </w:pPr>
      <w:r>
        <w:rPr>
          <w:rFonts w:hint="eastAsia" w:ascii="方正小标宋简体" w:hAnsi="方正小标宋简体" w:eastAsia="方正小标宋简体" w:cs="方正小标宋简体"/>
          <w:color w:val="000000" w:themeColor="text1"/>
          <w:spacing w:val="-3"/>
          <w:w w:val="95"/>
          <w:kern w:val="0"/>
          <w:sz w:val="44"/>
          <w:szCs w:val="44"/>
          <w:lang w:val="zh-CN" w:bidi="zh-CN"/>
        </w:rPr>
        <w:t>措施的通告</w:t>
      </w:r>
      <w:r>
        <w:rPr>
          <w:rFonts w:hint="eastAsia" w:ascii="方正小标宋简体" w:eastAsia="方正小标宋简体"/>
          <w:color w:val="000000" w:themeColor="text1"/>
          <w:sz w:val="44"/>
          <w:szCs w:val="44"/>
          <w:lang w:eastAsia="zh-CN"/>
        </w:rPr>
        <w:t>（征求意见稿）</w:t>
      </w:r>
    </w:p>
    <w:p>
      <w:pPr>
        <w:spacing w:after="0" w:line="560" w:lineRule="exact"/>
        <w:ind w:firstLine="640" w:firstLineChars="200"/>
        <w:rPr>
          <w:rFonts w:hint="eastAsia" w:ascii="仿宋_GB2312" w:hAnsi="黑体" w:eastAsia="仿宋_GB2312"/>
          <w:color w:val="000000" w:themeColor="text1"/>
          <w:kern w:val="0"/>
          <w:sz w:val="32"/>
          <w:szCs w:val="32"/>
        </w:rPr>
      </w:pPr>
    </w:p>
    <w:p>
      <w:pPr>
        <w:spacing w:after="0" w:line="560" w:lineRule="exact"/>
        <w:ind w:firstLine="640" w:firstLineChars="200"/>
        <w:rPr>
          <w:rFonts w:hint="eastAsia" w:ascii="仿宋_GB2312" w:hAnsi="黑体" w:eastAsia="仿宋_GB2312"/>
          <w:color w:val="000000" w:themeColor="text1"/>
          <w:kern w:val="0"/>
          <w:sz w:val="32"/>
          <w:szCs w:val="32"/>
        </w:rPr>
      </w:pPr>
      <w:r>
        <w:rPr>
          <w:rFonts w:hint="eastAsia" w:ascii="仿宋_GB2312" w:hAnsi="黑体" w:eastAsia="仿宋_GB2312"/>
          <w:color w:val="000000" w:themeColor="text1"/>
          <w:kern w:val="0"/>
          <w:sz w:val="32"/>
          <w:szCs w:val="32"/>
        </w:rPr>
        <w:t>为进一步便利货车在城市道路通行，统筹推动物流高质量发展、降低物流运输成本、减少对生态环境质量的影响，保障顺义区道路有序、安全、畅通，依据《中华人民共和国道路交通安全法》、</w:t>
      </w:r>
      <w:r>
        <w:rPr>
          <w:rFonts w:hint="eastAsia" w:ascii="仿宋" w:hAnsi="仿宋" w:eastAsia="仿宋" w:cs="仿宋"/>
          <w:b w:val="0"/>
          <w:bCs w:val="0"/>
          <w:color w:val="000000" w:themeColor="text1"/>
          <w:sz w:val="32"/>
          <w:szCs w:val="32"/>
        </w:rPr>
        <w:t>《中华人民共和国生态环境法典》</w:t>
      </w:r>
      <w:r>
        <w:rPr>
          <w:rFonts w:hint="eastAsia" w:ascii="仿宋_GB2312" w:hAnsi="黑体" w:eastAsia="仿宋_GB2312"/>
          <w:color w:val="000000" w:themeColor="text1"/>
          <w:kern w:val="0"/>
          <w:sz w:val="32"/>
          <w:szCs w:val="32"/>
        </w:rPr>
        <w:t>等相关法律法规，经区政府同意，对在顺义区行政区域内道路上行驶的载货汽车及专项作业车采取如下交通管理措施：</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一、顺义区行政区域内以下道路全天禁止本市及外省、区、市核发号牌（含临时号牌）的重型载货汽车及专项作业车通行：</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裕庆路（安富街至安宁大街）；</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双裕北街（火寺路至裕丰路）；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安富街（火寺路至天北路）；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裕华路（顺平路至安宁大街）；</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裕丰路（双裕街至安华街）；</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白马路（京沈路至左堤路）；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右堤路（昌金路至龙塘路）；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顺平路（机场东路至左堤路）；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左堤路（通怀路至昌金路）；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府前西街（顺白路至新顺北大街）；</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府前东街（光明北街至右堤路）;</w:t>
      </w:r>
    </w:p>
    <w:p>
      <w:pPr>
        <w:pStyle w:val="4"/>
        <w:spacing w:beforeAutospacing="0" w:after="0" w:afterAutospacing="0" w:line="560" w:lineRule="exact"/>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平沿路（通顺路至毓秀路）。</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二、外省、区、市核发号牌（含临时号牌）的载货汽车及专项作业车在顺义区六环路以外道路通行应遵守以下规定：</w:t>
      </w:r>
    </w:p>
    <w:p>
      <w:pPr>
        <w:pStyle w:val="4"/>
        <w:widowControl/>
        <w:spacing w:beforeAutospacing="0" w:after="0" w:afterAutospacing="0" w:line="560" w:lineRule="exact"/>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　　准通行的道路：京承高速、京平高速、京沈路、昌金路（不含左堤路至木孙路路段）、白马路（不含京沈路至左堤路路段）、左堤路（昌金路至白马路）、木孙路（河北省界至顺密路）、顺密路（密云区界至木孙路）。除上述道路外，6时至23时禁止通行。</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三、本市核发号牌（含临时号牌）的载货汽车及专项作业车在以下区域内道路6时至23时禁止通行：</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b/>
          <w:bCs/>
          <w:color w:val="000000" w:themeColor="text1"/>
          <w:sz w:val="32"/>
          <w:szCs w:val="32"/>
        </w:rPr>
      </w:pPr>
      <w:r>
        <w:rPr>
          <w:rFonts w:hint="eastAsia" w:ascii="仿宋_GB2312" w:hAnsi="黑体" w:eastAsia="仿宋_GB2312" w:cstheme="minorBidi"/>
          <w:color w:val="000000" w:themeColor="text1"/>
          <w:sz w:val="32"/>
          <w:szCs w:val="32"/>
        </w:rPr>
        <w:t>沿昌金路（不含）与京沈路（不含）路口至左堤路（不含）至顺平南线（不含）至机场东路（不含）至外环路（不含顺平路至顺沙路路段）至外环路（含顺沙路至顺白路路段）至顺白路（含）至京沈路（不含）与昌金路（不含）路口的区域。</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四、本市核发号牌（含临时号牌）的重型载货汽车及专项作业车以下区域内道路及路段6时至23时禁止通行：</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一）沿昌金路（不含）与京沈路（不含）路口至昌金路（含左堤路至木燕路路段）至木燕路（不含）至龙塘路（不含）至机场东路（不含）至六环路顺义南环出入口（不含）至六环路京沈路出口至京沈路（不含）与昌金路（不含）路口的区域。</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olor w:val="000000" w:themeColor="text1"/>
          <w:sz w:val="32"/>
          <w:szCs w:val="32"/>
        </w:rPr>
      </w:pPr>
      <w:r>
        <w:rPr>
          <w:rFonts w:hint="eastAsia" w:ascii="仿宋_GB2312" w:hAnsi="黑体" w:eastAsia="仿宋_GB2312" w:cstheme="minorBidi"/>
          <w:color w:val="000000" w:themeColor="text1"/>
          <w:sz w:val="32"/>
          <w:szCs w:val="32"/>
        </w:rPr>
        <w:t>（二）白马路（左堤路至木燕路）、左堤路（昌金路至白马路）路段全天准通行。</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zh-CN"/>
        </w:rPr>
        <w:t>除上述</w:t>
      </w:r>
      <w:r>
        <w:rPr>
          <w:rFonts w:hint="eastAsia" w:ascii="仿宋_GB2312" w:hAnsi="黑体" w:eastAsia="仿宋_GB2312"/>
          <w:color w:val="000000" w:themeColor="text1"/>
          <w:sz w:val="32"/>
          <w:szCs w:val="32"/>
        </w:rPr>
        <w:t>区域内的道路</w:t>
      </w:r>
      <w:r>
        <w:rPr>
          <w:rFonts w:hint="eastAsia" w:ascii="仿宋_GB2312" w:hAnsi="黑体" w:eastAsia="仿宋_GB2312" w:cstheme="minorBidi"/>
          <w:color w:val="000000" w:themeColor="text1"/>
          <w:sz w:val="32"/>
          <w:szCs w:val="32"/>
        </w:rPr>
        <w:t>及路段</w:t>
      </w:r>
      <w:r>
        <w:rPr>
          <w:rFonts w:hint="eastAsia" w:ascii="仿宋_GB2312" w:hAnsi="黑体" w:eastAsia="仿宋_GB2312"/>
          <w:color w:val="000000" w:themeColor="text1"/>
          <w:sz w:val="32"/>
          <w:szCs w:val="32"/>
          <w:lang w:val="zh-CN"/>
        </w:rPr>
        <w:t>外，全天</w:t>
      </w:r>
      <w:r>
        <w:rPr>
          <w:rFonts w:hint="eastAsia" w:ascii="仿宋_GB2312" w:hAnsi="黑体" w:eastAsia="仿宋_GB2312"/>
          <w:color w:val="000000" w:themeColor="text1"/>
          <w:sz w:val="32"/>
          <w:szCs w:val="32"/>
        </w:rPr>
        <w:t>禁止通行</w:t>
      </w:r>
      <w:r>
        <w:rPr>
          <w:rFonts w:hint="eastAsia" w:ascii="仿宋_GB2312" w:hAnsi="黑体" w:eastAsia="仿宋_GB2312"/>
          <w:color w:val="000000" w:themeColor="text1"/>
          <w:sz w:val="32"/>
          <w:szCs w:val="32"/>
          <w:lang w:val="zh-CN"/>
        </w:rPr>
        <w:t>路段</w:t>
      </w:r>
      <w:r>
        <w:rPr>
          <w:rFonts w:hint="eastAsia" w:ascii="仿宋_GB2312" w:hAnsi="黑体" w:eastAsia="仿宋_GB2312"/>
          <w:color w:val="000000" w:themeColor="text1"/>
          <w:sz w:val="32"/>
          <w:szCs w:val="32"/>
        </w:rPr>
        <w:t>包含本通告第一条所限行的道路。</w:t>
      </w:r>
    </w:p>
    <w:p>
      <w:pPr>
        <w:spacing w:after="0" w:line="560" w:lineRule="exact"/>
        <w:ind w:firstLine="640" w:firstLineChars="200"/>
        <w:rPr>
          <w:rFonts w:hint="eastAsia" w:ascii="黑体" w:hAnsi="黑体" w:eastAsia="黑体" w:cs="黑体"/>
          <w:color w:val="000000" w:themeColor="text1"/>
          <w:kern w:val="0"/>
          <w:sz w:val="32"/>
          <w:szCs w:val="32"/>
          <w:lang w:val="en-US" w:eastAsia="zh-CN" w:bidi="ar-SA"/>
        </w:rPr>
      </w:pPr>
      <w:r>
        <w:rPr>
          <w:rFonts w:hint="eastAsia" w:ascii="黑体" w:hAnsi="黑体" w:eastAsia="黑体" w:cs="黑体"/>
          <w:color w:val="000000" w:themeColor="text1"/>
          <w:kern w:val="0"/>
          <w:sz w:val="32"/>
          <w:szCs w:val="32"/>
          <w:lang w:val="en-US" w:eastAsia="zh-CN" w:bidi="ar-SA"/>
        </w:rPr>
        <w:t>五、载货汽车、专项作业车确有需要在禁行道路上通行的，应到北京市公安局顺义分局交通管理支队办理通行手续并持证通行。</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kern w:val="0"/>
          <w:sz w:val="32"/>
          <w:szCs w:val="32"/>
          <w:lang w:val="en-US" w:eastAsia="zh-CN" w:bidi="ar-SA"/>
        </w:rPr>
      </w:pPr>
      <w:r>
        <w:rPr>
          <w:rFonts w:hint="eastAsia" w:ascii="黑体" w:hAnsi="黑体" w:eastAsia="黑体" w:cs="黑体"/>
          <w:color w:val="000000" w:themeColor="text1"/>
          <w:kern w:val="0"/>
          <w:sz w:val="32"/>
          <w:szCs w:val="32"/>
          <w:lang w:val="en-US" w:eastAsia="zh-CN" w:bidi="ar-SA"/>
        </w:rPr>
        <w:t>六、</w:t>
      </w:r>
      <w:bookmarkStart w:id="0" w:name="OLE_LINK2"/>
      <w:r>
        <w:rPr>
          <w:rFonts w:hint="eastAsia" w:ascii="黑体" w:hAnsi="黑体" w:eastAsia="黑体" w:cs="黑体"/>
          <w:color w:val="000000" w:themeColor="text1"/>
          <w:kern w:val="0"/>
          <w:sz w:val="32"/>
          <w:szCs w:val="32"/>
          <w:lang w:val="en-US" w:eastAsia="zh-CN" w:bidi="ar-SA"/>
        </w:rPr>
        <w:t>本市核发号牌（含临时号牌）的轻型新能源厢式货车除每日7-9时、16-19时外，不受本通告规定的限行措施限制</w:t>
      </w:r>
      <w:bookmarkEnd w:id="0"/>
      <w:r>
        <w:rPr>
          <w:rFonts w:hint="eastAsia" w:ascii="黑体" w:hAnsi="黑体" w:eastAsia="黑体" w:cs="黑体"/>
          <w:color w:val="000000" w:themeColor="text1"/>
          <w:kern w:val="0"/>
          <w:sz w:val="32"/>
          <w:szCs w:val="32"/>
          <w:lang w:val="en-US" w:eastAsia="zh-CN" w:bidi="ar-SA"/>
        </w:rPr>
        <w:t>。</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kern w:val="0"/>
          <w:sz w:val="32"/>
          <w:szCs w:val="32"/>
          <w:lang w:val="en-US" w:eastAsia="zh-CN" w:bidi="ar-SA"/>
        </w:rPr>
      </w:pPr>
      <w:r>
        <w:rPr>
          <w:rFonts w:hint="eastAsia" w:ascii="黑体" w:hAnsi="黑体" w:eastAsia="黑体" w:cs="黑体"/>
          <w:color w:val="000000" w:themeColor="text1"/>
          <w:kern w:val="0"/>
          <w:sz w:val="32"/>
          <w:szCs w:val="32"/>
          <w:lang w:val="en-US" w:eastAsia="zh-CN" w:bidi="ar-SA"/>
        </w:rPr>
        <w:t>七、</w:t>
      </w:r>
      <w:bookmarkStart w:id="1" w:name="OLE_LINK1"/>
      <w:r>
        <w:rPr>
          <w:rFonts w:hint="eastAsia" w:ascii="黑体" w:hAnsi="黑体" w:eastAsia="黑体" w:cs="黑体"/>
          <w:color w:val="000000" w:themeColor="text1"/>
          <w:kern w:val="0"/>
          <w:sz w:val="32"/>
          <w:szCs w:val="32"/>
          <w:lang w:val="en-US" w:eastAsia="zh-CN" w:bidi="ar-SA"/>
        </w:rPr>
        <w:t>军车、武警车辆及执行任务的警车、消防车、救护车、工程抢险车等特种车辆不受本通告规定的限行措施限制。</w:t>
      </w:r>
      <w:bookmarkEnd w:id="1"/>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kern w:val="0"/>
          <w:sz w:val="32"/>
          <w:szCs w:val="32"/>
          <w:lang w:val="en-US" w:eastAsia="zh-CN" w:bidi="ar-SA"/>
        </w:rPr>
      </w:pPr>
      <w:r>
        <w:rPr>
          <w:rFonts w:hint="eastAsia" w:ascii="黑体" w:hAnsi="黑体" w:eastAsia="黑体" w:cs="黑体"/>
          <w:color w:val="000000" w:themeColor="text1"/>
          <w:kern w:val="0"/>
          <w:sz w:val="32"/>
          <w:szCs w:val="32"/>
          <w:lang w:val="en-US" w:eastAsia="zh-CN" w:bidi="ar-SA"/>
        </w:rPr>
        <w:t>八、公安机关交通管理部门应当按照本通告的规定，在机动车禁行区域周边道路设置禁令标志。对于机动车违反本通告规定进入禁行区域道路行驶的，认定为“违反禁令标志指示行驶”的违法行为，依法处罚。</w:t>
      </w:r>
    </w:p>
    <w:p>
      <w:pPr>
        <w:pStyle w:val="4"/>
        <w:widowControl/>
        <w:spacing w:beforeAutospacing="0" w:after="0" w:afterAutospacing="0" w:line="560" w:lineRule="exact"/>
        <w:ind w:firstLine="640" w:firstLineChars="200"/>
        <w:jc w:val="both"/>
        <w:textAlignment w:val="baseline"/>
        <w:rPr>
          <w:rFonts w:hint="eastAsia" w:ascii="黑体" w:hAnsi="黑体" w:eastAsia="黑体" w:cs="黑体"/>
          <w:color w:val="000000" w:themeColor="text1"/>
          <w:kern w:val="0"/>
          <w:sz w:val="32"/>
          <w:szCs w:val="32"/>
          <w:highlight w:val="none"/>
          <w:lang w:val="en-US" w:eastAsia="zh-CN" w:bidi="ar-SA"/>
        </w:rPr>
      </w:pPr>
      <w:r>
        <w:rPr>
          <w:rFonts w:hint="eastAsia" w:ascii="黑体" w:hAnsi="黑体" w:eastAsia="黑体" w:cs="黑体"/>
          <w:color w:val="000000" w:themeColor="text1"/>
          <w:kern w:val="0"/>
          <w:sz w:val="32"/>
          <w:szCs w:val="32"/>
          <w:highlight w:val="none"/>
          <w:lang w:val="en-US" w:eastAsia="zh-CN" w:bidi="ar-SA"/>
        </w:rPr>
        <w:t>九、本通告自2026年 月 日起施行，《北京市公安局顺义分局 北京顺义区交通局 北京顺义区生态环境局关于对顺义区载货汽车及专项作业车禁限行措施的通告》（顺公字〔2025〕174号）同时废止。</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特此通告。</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附件：载货汽车</w:t>
      </w:r>
      <w:r>
        <w:rPr>
          <w:rFonts w:hint="eastAsia" w:ascii="仿宋_GB2312" w:hAnsi="黑体" w:eastAsia="仿宋_GB2312" w:cstheme="minorBidi"/>
          <w:color w:val="000000" w:themeColor="text1"/>
          <w:sz w:val="32"/>
          <w:szCs w:val="32"/>
          <w:lang w:eastAsia="zh-CN"/>
        </w:rPr>
        <w:t>及专项作业车</w:t>
      </w:r>
      <w:r>
        <w:rPr>
          <w:rFonts w:hint="eastAsia" w:ascii="仿宋_GB2312" w:hAnsi="黑体" w:eastAsia="仿宋_GB2312" w:cstheme="minorBidi"/>
          <w:color w:val="000000" w:themeColor="text1"/>
          <w:sz w:val="32"/>
          <w:szCs w:val="32"/>
        </w:rPr>
        <w:t>交通管理措施通告示意图</w:t>
      </w: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北京市公安局顺义分局</w:t>
      </w:r>
      <w:r>
        <w:rPr>
          <w:rFonts w:hint="eastAsia" w:ascii="仿宋_GB2312" w:hAnsi="黑体" w:eastAsia="仿宋_GB2312" w:cstheme="minorBidi"/>
          <w:color w:val="000000" w:themeColor="text1"/>
          <w:sz w:val="32"/>
          <w:szCs w:val="32"/>
        </w:rPr>
        <w:tab/>
      </w:r>
      <w:r>
        <w:rPr>
          <w:rFonts w:hint="eastAsia" w:ascii="仿宋_GB2312" w:hAnsi="黑体" w:eastAsia="仿宋_GB2312" w:cstheme="minorBidi"/>
          <w:color w:val="000000" w:themeColor="text1"/>
          <w:sz w:val="32"/>
          <w:szCs w:val="32"/>
        </w:rPr>
        <w:t xml:space="preserve">     北京市顺义区生态环境局</w:t>
      </w:r>
    </w:p>
    <w:p>
      <w:pPr>
        <w:pStyle w:val="4"/>
        <w:widowControl/>
        <w:spacing w:beforeAutospacing="0" w:after="0" w:afterAutospacing="0" w:line="560" w:lineRule="exact"/>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北京市顺义区交通局</w:t>
      </w:r>
    </w:p>
    <w:p>
      <w:pPr>
        <w:pStyle w:val="4"/>
        <w:widowControl/>
        <w:tabs>
          <w:tab w:val="left" w:pos="6568"/>
        </w:tabs>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p>
    <w:p>
      <w:pPr>
        <w:pStyle w:val="4"/>
        <w:widowControl/>
        <w:spacing w:beforeAutospacing="0" w:after="0" w:afterAutospacing="0" w:line="560" w:lineRule="exact"/>
        <w:ind w:firstLine="640" w:firstLineChars="200"/>
        <w:jc w:val="both"/>
        <w:textAlignment w:val="baseline"/>
        <w:rPr>
          <w:rFonts w:hint="eastAsia" w:ascii="仿宋_GB2312" w:hAnsi="黑体" w:eastAsia="仿宋_GB2312" w:cstheme="minorBidi"/>
          <w:color w:val="000000" w:themeColor="text1"/>
          <w:sz w:val="32"/>
          <w:szCs w:val="32"/>
        </w:rPr>
      </w:pPr>
      <w:r>
        <w:rPr>
          <w:rFonts w:hint="eastAsia" w:ascii="仿宋_GB2312" w:hAnsi="黑体" w:eastAsia="仿宋_GB2312" w:cstheme="minorBidi"/>
          <w:color w:val="000000" w:themeColor="text1"/>
          <w:sz w:val="32"/>
          <w:szCs w:val="32"/>
        </w:rPr>
        <w:t xml:space="preserve">     </w:t>
      </w:r>
    </w:p>
    <w:p>
      <w:pPr>
        <w:pStyle w:val="4"/>
        <w:widowControl/>
        <w:spacing w:beforeAutospacing="0" w:after="0" w:afterAutospacing="0" w:line="560" w:lineRule="exact"/>
        <w:ind w:firstLine="4800" w:firstLineChars="1500"/>
        <w:jc w:val="both"/>
        <w:textAlignment w:val="baseline"/>
        <w:rPr>
          <w:rFonts w:hint="eastAsia" w:ascii="仿宋_GB2312" w:hAnsi="黑体" w:eastAsia="仿宋_GB2312" w:cstheme="minorBidi"/>
          <w:color w:val="000000" w:themeColor="text1"/>
          <w:sz w:val="32"/>
          <w:szCs w:val="32"/>
        </w:rPr>
        <w:sectPr>
          <w:pgSz w:w="11906" w:h="16838"/>
          <w:pgMar w:top="1440" w:right="1800" w:bottom="1440" w:left="1800" w:header="851" w:footer="992" w:gutter="0"/>
          <w:cols w:space="425" w:num="1"/>
          <w:docGrid w:type="lines" w:linePitch="312" w:charSpace="0"/>
        </w:sectPr>
      </w:pPr>
      <w:r>
        <w:rPr>
          <w:rFonts w:hint="eastAsia" w:ascii="仿宋_GB2312" w:hAnsi="黑体" w:eastAsia="仿宋_GB2312" w:cstheme="minorBidi"/>
          <w:color w:val="000000" w:themeColor="text1"/>
          <w:sz w:val="32"/>
          <w:szCs w:val="32"/>
        </w:rPr>
        <w:t>202</w:t>
      </w:r>
      <w:r>
        <w:rPr>
          <w:rFonts w:hint="eastAsia" w:ascii="仿宋_GB2312" w:hAnsi="黑体" w:eastAsia="仿宋_GB2312" w:cstheme="minorBidi"/>
          <w:color w:val="000000" w:themeColor="text1"/>
          <w:sz w:val="32"/>
          <w:szCs w:val="32"/>
          <w:lang w:val="en-US" w:eastAsia="zh-CN"/>
        </w:rPr>
        <w:t>6</w:t>
      </w:r>
      <w:r>
        <w:rPr>
          <w:rFonts w:hint="eastAsia" w:ascii="仿宋_GB2312" w:hAnsi="黑体" w:eastAsia="仿宋_GB2312" w:cstheme="minorBidi"/>
          <w:color w:val="000000" w:themeColor="text1"/>
          <w:sz w:val="32"/>
          <w:szCs w:val="32"/>
        </w:rPr>
        <w:t xml:space="preserve">年 </w:t>
      </w:r>
      <w:r>
        <w:rPr>
          <w:rFonts w:hint="eastAsia" w:ascii="仿宋_GB2312" w:hAnsi="黑体" w:eastAsia="仿宋_GB2312" w:cstheme="minorBidi"/>
          <w:color w:val="000000" w:themeColor="text1"/>
          <w:sz w:val="32"/>
          <w:szCs w:val="32"/>
          <w:lang w:val="en-US" w:eastAsia="zh-CN"/>
        </w:rPr>
        <w:t>7</w:t>
      </w:r>
      <w:r>
        <w:rPr>
          <w:rFonts w:hint="eastAsia" w:ascii="仿宋_GB2312" w:hAnsi="黑体" w:eastAsia="仿宋_GB2312" w:cstheme="minorBidi"/>
          <w:color w:val="000000" w:themeColor="text1"/>
          <w:sz w:val="32"/>
          <w:szCs w:val="32"/>
        </w:rPr>
        <w:t>月</w:t>
      </w:r>
      <w:r>
        <w:rPr>
          <w:rFonts w:hint="eastAsia" w:ascii="仿宋_GB2312" w:hAnsi="黑体" w:eastAsia="仿宋_GB2312" w:cstheme="minorBidi"/>
          <w:color w:val="000000" w:themeColor="text1"/>
          <w:sz w:val="32"/>
          <w:szCs w:val="32"/>
          <w:lang w:val="en-US" w:eastAsia="zh-CN"/>
        </w:rPr>
        <w:t>30</w:t>
      </w:r>
      <w:r>
        <w:rPr>
          <w:rFonts w:hint="eastAsia" w:ascii="仿宋_GB2312" w:hAnsi="黑体" w:eastAsia="仿宋_GB2312" w:cstheme="minorBidi"/>
          <w:color w:val="000000" w:themeColor="text1"/>
          <w:sz w:val="32"/>
          <w:szCs w:val="32"/>
        </w:rPr>
        <w:t>日</w:t>
      </w:r>
    </w:p>
    <w:p>
      <w:pPr>
        <w:rPr>
          <w:color w:val="000000" w:themeColor="text1"/>
        </w:rPr>
      </w:pPr>
      <w:r>
        <w:rPr>
          <w:rFonts w:hint="eastAsia"/>
          <w:color w:val="000000" w:themeColor="text1"/>
        </w:rPr>
        <w:t>附件：</w:t>
      </w:r>
    </w:p>
    <w:p>
      <w:pPr>
        <w:jc w:val="center"/>
        <w:rPr>
          <w:color w:val="000000" w:themeColor="text1"/>
        </w:rPr>
      </w:pPr>
      <w:r>
        <w:rPr>
          <w:color w:val="000000" w:themeColor="text1"/>
        </w:rPr>
        <w:drawing>
          <wp:inline distT="0" distB="0" distL="114300" distR="114300">
            <wp:extent cx="6218555" cy="3408045"/>
            <wp:effectExtent l="0" t="0" r="1079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6218555" cy="3408045"/>
                    </a:xfrm>
                    <a:prstGeom prst="rect">
                      <a:avLst/>
                    </a:prstGeom>
                    <a:noFill/>
                    <a:ln>
                      <a:noFill/>
                    </a:ln>
                  </pic:spPr>
                </pic:pic>
              </a:graphicData>
            </a:graphic>
          </wp:inline>
        </w:drawing>
      </w:r>
      <w:r>
        <w:rPr>
          <w:color w:val="000000" w:themeColor="text1"/>
        </w:rPr>
        <mc:AlternateContent>
          <mc:Choice Requires="wps">
            <w:drawing>
              <wp:anchor distT="0" distB="0" distL="114300" distR="114300" simplePos="0" relativeHeight="251659264" behindDoc="0" locked="0" layoutInCell="1" allowOverlap="1">
                <wp:simplePos x="0" y="0"/>
                <wp:positionH relativeFrom="column">
                  <wp:posOffset>2801620</wp:posOffset>
                </wp:positionH>
                <wp:positionV relativeFrom="paragraph">
                  <wp:posOffset>3632200</wp:posOffset>
                </wp:positionV>
                <wp:extent cx="3576955" cy="974090"/>
                <wp:effectExtent l="0" t="0" r="4445" b="16510"/>
                <wp:wrapNone/>
                <wp:docPr id="14" name="对话气泡: 圆角矩形 10"/>
                <wp:cNvGraphicFramePr/>
                <a:graphic xmlns:a="http://schemas.openxmlformats.org/drawingml/2006/main">
                  <a:graphicData uri="http://schemas.microsoft.com/office/word/2010/wordprocessingShape">
                    <wps:wsp>
                      <wps:cNvSpPr/>
                      <wps:spPr>
                        <a:xfrm>
                          <a:off x="0" y="0"/>
                          <a:ext cx="3576955" cy="974090"/>
                        </a:xfrm>
                        <a:prstGeom prst="wedgeRectCallout">
                          <a:avLst>
                            <a:gd name="adj1" fmla="val -7358"/>
                            <a:gd name="adj2" fmla="val -48174"/>
                          </a:avLst>
                        </a:prstGeom>
                        <a:solidFill>
                          <a:srgbClr val="DD5F09"/>
                        </a:solidFill>
                        <a:ln w="25400" cap="flat" cmpd="sng" algn="ctr">
                          <a:noFill/>
                          <a:prstDash val="solid"/>
                        </a:ln>
                        <a:effectLst/>
                      </wps:spPr>
                      <wps:txbx>
                        <w:txbxContent>
                          <w:p>
                            <w:pPr>
                              <w:pStyle w:val="4"/>
                              <w:spacing w:beforeAutospacing="0" w:afterAutospacing="0" w:line="300" w:lineRule="exact"/>
                              <w:jc w:val="both"/>
                              <w:rPr>
                                <w:rFonts w:hint="eastAsia" w:ascii="黑体" w:hAnsi="黑体" w:eastAsia="黑体" w:cs="黑体"/>
                                <w:b/>
                                <w:bCs/>
                              </w:rPr>
                            </w:pPr>
                            <w:r>
                              <w:rPr>
                                <w:rFonts w:hint="eastAsia" w:ascii="黑体" w:hAnsi="黑体" w:eastAsia="黑体" w:cs="黑体"/>
                                <w:b/>
                                <w:bCs/>
                                <w:color w:val="000000" w:themeColor="text1"/>
                                <w:kern w:val="24"/>
                                <w:sz w:val="28"/>
                                <w:szCs w:val="28"/>
                              </w:rPr>
                              <w:t>以上道路全天禁止本市及外省、区、市核发号牌（含临时号牌）的重型载货汽车及专项作业车通行</w:t>
                            </w:r>
                          </w:p>
                        </w:txbxContent>
                      </wps:txbx>
                      <wps:bodyPr lIns="90000" tIns="46800" rIns="90000" bIns="46800" rtlCol="0" anchor="ctr">
                        <a:noAutofit/>
                      </wps:bodyPr>
                    </wps:wsp>
                  </a:graphicData>
                </a:graphic>
              </wp:anchor>
            </w:drawing>
          </mc:Choice>
          <mc:Fallback>
            <w:pict>
              <v:shape id="对话气泡: 圆角矩形 10" o:spid="_x0000_s1026" o:spt="61" type="#_x0000_t61" style="position:absolute;left:0pt;margin-left:220.6pt;margin-top:286pt;height:76.7pt;width:281.65pt;z-index:251659264;v-text-anchor:middle;mso-width-relative:page;mso-height-relative:page;" fillcolor="#DD5F09" filled="t" stroked="f" coordsize="21600,21600" o:gfxdata="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&#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T9LKrZAAAADAEAAA8AAAAAAAAAAQAgAAAAIgAAAGRy&#10;cy9kb3ducmV2LnhtbFBLAQIUABQAAAAIAIdO4kAWlbu5PQIAADwEAAAOAAAAAAAAAAEAIAAAACgB&#10;AABkcnMvZTJvRG9jLnhtbFBLBQYAAAAABgAGAFkBAADXBQAAAAA=&#10;" adj="9211,394">
                <v:fill on="t" focussize="0,0"/>
                <v:stroke on="f" weight="2pt"/>
                <v:imagedata o:title=""/>
                <o:lock v:ext="edit" aspectratio="f"/>
                <v:textbox inset="2.5mm,1.3mm,2.5mm,1.3mm">
                  <w:txbxContent>
                    <w:p>
                      <w:pPr>
                        <w:pStyle w:val="4"/>
                        <w:spacing w:beforeAutospacing="0" w:afterAutospacing="0" w:line="300" w:lineRule="exact"/>
                        <w:jc w:val="both"/>
                        <w:rPr>
                          <w:rFonts w:hint="eastAsia" w:ascii="黑体" w:hAnsi="黑体" w:eastAsia="黑体" w:cs="黑体"/>
                          <w:b/>
                          <w:bCs/>
                        </w:rPr>
                      </w:pPr>
                      <w:r>
                        <w:rPr>
                          <w:rFonts w:hint="eastAsia" w:ascii="黑体" w:hAnsi="黑体" w:eastAsia="黑体" w:cs="黑体"/>
                          <w:b/>
                          <w:bCs/>
                          <w:color w:val="000000" w:themeColor="text1"/>
                          <w:kern w:val="24"/>
                          <w:sz w:val="28"/>
                          <w:szCs w:val="28"/>
                        </w:rPr>
                        <w:t>以上道路全天禁止本市及外省、区、市核发号牌（含临时号牌）的重型载货汽车及专项作业车通行</w:t>
                      </w:r>
                    </w:p>
                  </w:txbxContent>
                </v:textbox>
              </v:shape>
            </w:pict>
          </mc:Fallback>
        </mc:AlternateContent>
      </w:r>
    </w:p>
    <w:p>
      <w:pPr>
        <w:jc w:val="center"/>
        <w:rPr>
          <w:color w:val="000000" w:themeColor="text1"/>
        </w:rPr>
      </w:pPr>
    </w:p>
    <w:p>
      <w:pPr>
        <w:jc w:val="center"/>
        <w:rPr>
          <w:color w:val="000000" w:themeColor="text1"/>
        </w:rPr>
      </w:pPr>
      <w:r>
        <w:rPr>
          <w:color w:val="000000" w:themeColor="text1"/>
        </w:rPr>
        <w:drawing>
          <wp:inline distT="0" distB="0" distL="0" distR="0">
            <wp:extent cx="7734300" cy="5257800"/>
            <wp:effectExtent l="0" t="0" r="0" b="0"/>
            <wp:docPr id="12819177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917787"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7734300" cy="5257800"/>
                    </a:xfrm>
                    <a:prstGeom prst="rect">
                      <a:avLst/>
                    </a:prstGeom>
                    <a:noFill/>
                    <a:ln>
                      <a:noFill/>
                    </a:ln>
                  </pic:spPr>
                </pic:pic>
              </a:graphicData>
            </a:graphic>
          </wp:inline>
        </w:drawing>
      </w:r>
    </w:p>
    <w:p>
      <w:pPr>
        <w:jc w:val="center"/>
        <w:rPr>
          <w:color w:val="000000" w:themeColor="text1"/>
        </w:rPr>
      </w:pPr>
      <w:r>
        <w:rPr>
          <w:color w:val="000000" w:themeColor="text1"/>
        </w:rPr>
        <w:drawing>
          <wp:inline distT="0" distB="0" distL="114300" distR="114300">
            <wp:extent cx="4071620" cy="4876800"/>
            <wp:effectExtent l="0" t="0" r="5080" b="0"/>
            <wp:docPr id="1"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2"/>
                    <pic:cNvPicPr>
                      <a:picLocks noChangeAspect="1"/>
                    </pic:cNvPicPr>
                  </pic:nvPicPr>
                  <pic:blipFill>
                    <a:blip r:embed="rId6"/>
                    <a:srcRect l="24887" t="24745" r="44797" b="21017"/>
                    <a:stretch>
                      <a:fillRect/>
                    </a:stretch>
                  </pic:blipFill>
                  <pic:spPr>
                    <a:xfrm>
                      <a:off x="0" y="0"/>
                      <a:ext cx="4071620" cy="4876800"/>
                    </a:xfrm>
                    <a:prstGeom prst="rect">
                      <a:avLst/>
                    </a:prstGeom>
                    <a:noFill/>
                    <a:ln>
                      <a:noFill/>
                    </a:ln>
                  </pic:spPr>
                </pic:pic>
              </a:graphicData>
            </a:graphic>
          </wp:inline>
        </w:drawing>
      </w:r>
    </w:p>
    <w:p>
      <w:pPr>
        <w:jc w:val="both"/>
        <w:rPr>
          <w:color w:val="000000" w:themeColor="text1"/>
        </w:rPr>
      </w:pPr>
    </w:p>
    <w:p>
      <w:pPr>
        <w:jc w:val="center"/>
        <w:rPr>
          <w:color w:val="000000" w:themeColor="text1"/>
        </w:rPr>
      </w:pPr>
      <w:r>
        <w:rPr>
          <w:color w:val="000000" w:themeColor="text1"/>
        </w:rPr>
        <w:drawing>
          <wp:inline distT="0" distB="0" distL="0" distR="0">
            <wp:extent cx="5810250" cy="3838575"/>
            <wp:effectExtent l="0" t="0" r="0" b="9525"/>
            <wp:docPr id="19296058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05847"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810250" cy="3838575"/>
                    </a:xfrm>
                    <a:prstGeom prst="rect">
                      <a:avLst/>
                    </a:prstGeom>
                    <a:noFill/>
                    <a:ln>
                      <a:noFill/>
                    </a:ln>
                  </pic:spPr>
                </pic:pic>
              </a:graphicData>
            </a:graphic>
          </wp:inline>
        </w:drawing>
      </w:r>
    </w:p>
    <w:p>
      <w:pPr>
        <w:pStyle w:val="4"/>
        <w:widowControl/>
        <w:spacing w:beforeAutospacing="0" w:after="0" w:afterAutospacing="0" w:line="560" w:lineRule="exact"/>
        <w:ind w:firstLine="4800" w:firstLineChars="1500"/>
        <w:jc w:val="both"/>
        <w:textAlignment w:val="baseline"/>
        <w:rPr>
          <w:rFonts w:hint="eastAsia" w:ascii="仿宋_GB2312" w:hAnsi="黑体" w:eastAsia="仿宋_GB2312" w:cstheme="minorBidi"/>
          <w:color w:val="000000" w:themeColor="text1"/>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ED"/>
    <w:rsid w:val="0000077B"/>
    <w:rsid w:val="000B6BED"/>
    <w:rsid w:val="00240F99"/>
    <w:rsid w:val="003E129A"/>
    <w:rsid w:val="00692D61"/>
    <w:rsid w:val="00B93034"/>
    <w:rsid w:val="00C65B3D"/>
    <w:rsid w:val="00E84D62"/>
    <w:rsid w:val="00E91FC5"/>
    <w:rsid w:val="00F12EC2"/>
    <w:rsid w:val="122104A8"/>
    <w:rsid w:val="13D76E47"/>
    <w:rsid w:val="1D2B3B53"/>
    <w:rsid w:val="2EE948D5"/>
    <w:rsid w:val="32AA3CBA"/>
    <w:rsid w:val="436372AE"/>
    <w:rsid w:val="449202C7"/>
    <w:rsid w:val="5DB003BD"/>
    <w:rsid w:val="78FB56F9"/>
    <w:rsid w:val="7DA00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Words>
  <Characters>601</Characters>
  <Lines>5</Lines>
  <Paragraphs>1</Paragraphs>
  <TotalTime>1</TotalTime>
  <ScaleCrop>false</ScaleCrop>
  <LinksUpToDate>false</LinksUpToDate>
  <CharactersWithSpaces>705</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2021-01-05T05:01:00Z</dcterms:created>
  <dc:creator>公安分局治安支队</dc:creator>
  <cp:lastModifiedBy>Administrator</cp:lastModifiedBy>
  <dcterms:modified xsi:type="dcterms:W3CDTF">2026-08-05T02:34:14Z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