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contextualSpacing/>
        <w:jc w:val="both"/>
        <w:rPr>
          <w:rFonts w:hint="eastAsia" w:ascii="仿宋_GB2312" w:hAnsi="仿宋_GB2312" w:eastAsia="方正小标宋_GBK" w:cs="方正小标宋_GBK"/>
          <w:b/>
          <w:bCs w:val="0"/>
          <w:sz w:val="44"/>
          <w:szCs w:val="44"/>
          <w:highlight w:val="none"/>
          <w:u w:val="none"/>
          <w:lang w:val="en-US" w:eastAsia="zh-CN" w:bidi="ar"/>
        </w:rPr>
      </w:pPr>
      <w:r>
        <w:rPr>
          <w:rFonts w:hint="eastAsia" w:ascii="方正黑体_GBK" w:hAnsi="方正黑体_GBK" w:eastAsia="方正黑体_GBK" w:cs="方正黑体_GBK"/>
          <w:b/>
          <w:bCs w:val="0"/>
          <w:sz w:val="32"/>
          <w:szCs w:val="32"/>
          <w:highlight w:val="none"/>
          <w:u w:val="none"/>
          <w:lang w:val="en-US" w:eastAsia="zh-CN" w:bidi="ar"/>
        </w:rPr>
        <w:t>附件1</w:t>
      </w:r>
    </w:p>
    <w:p>
      <w:pPr>
        <w:spacing w:line="480" w:lineRule="auto"/>
        <w:contextualSpacing/>
        <w:jc w:val="center"/>
        <w:rPr>
          <w:rFonts w:hint="eastAsia" w:ascii="仿宋_GB2312" w:hAnsi="仿宋_GB2312" w:eastAsia="方正小标宋_GBK" w:cs="方正小标宋_GBK"/>
          <w:b w:val="0"/>
          <w:bCs/>
          <w:sz w:val="44"/>
          <w:szCs w:val="44"/>
          <w:highlight w:val="none"/>
          <w:u w:val="none"/>
          <w:lang w:val="en-US" w:eastAsia="zh-CN" w:bidi="ar"/>
        </w:rPr>
      </w:pPr>
    </w:p>
    <w:p>
      <w:pPr>
        <w:spacing w:line="480" w:lineRule="auto"/>
        <w:contextualSpacing/>
        <w:jc w:val="center"/>
        <w:rPr>
          <w:rFonts w:hint="eastAsia" w:ascii="仿宋_GB2312" w:hAnsi="仿宋_GB2312" w:eastAsia="方正小标宋_GBK" w:cs="方正小标宋_GBK"/>
          <w:b w:val="0"/>
          <w:bCs/>
          <w:sz w:val="44"/>
          <w:szCs w:val="44"/>
          <w:highlight w:val="none"/>
          <w:u w:val="none"/>
          <w:lang w:val="en-US" w:eastAsia="zh-CN" w:bidi="ar"/>
        </w:rPr>
      </w:pPr>
    </w:p>
    <w:p>
      <w:pPr>
        <w:spacing w:line="480" w:lineRule="auto"/>
        <w:contextualSpacing/>
        <w:jc w:val="center"/>
        <w:rPr>
          <w:rFonts w:hint="eastAsia" w:ascii="仿宋_GB2312" w:hAnsi="仿宋_GB2312" w:eastAsia="方正小标宋_GBK" w:cs="方正小标宋_GBK"/>
          <w:b w:val="0"/>
          <w:bCs/>
          <w:sz w:val="44"/>
          <w:szCs w:val="44"/>
          <w:highlight w:val="none"/>
          <w:u w:val="none"/>
          <w:lang w:val="en-US" w:eastAsia="zh-CN" w:bidi="ar"/>
        </w:rPr>
      </w:pPr>
      <w:r>
        <w:rPr>
          <w:rFonts w:hint="eastAsia" w:ascii="仿宋_GB2312" w:hAnsi="仿宋_GB2312" w:eastAsia="方正小标宋_GBK" w:cs="方正小标宋_GBK"/>
          <w:b w:val="0"/>
          <w:bCs/>
          <w:sz w:val="44"/>
          <w:szCs w:val="44"/>
          <w:highlight w:val="none"/>
          <w:u w:val="none"/>
          <w:lang w:val="en-US" w:eastAsia="zh-CN" w:bidi="ar"/>
        </w:rPr>
        <w:t>怀柔区“十五五”时期公共服务发展规划</w:t>
      </w:r>
    </w:p>
    <w:p>
      <w:pPr>
        <w:spacing w:line="480" w:lineRule="auto"/>
        <w:contextualSpacing/>
        <w:jc w:val="center"/>
        <w:rPr>
          <w:rFonts w:hint="eastAsia" w:ascii="仿宋_GB2312" w:hAnsi="仿宋_GB2312" w:eastAsia="方正小标宋_GBK" w:cs="方正小标宋_GBK"/>
          <w:b w:val="0"/>
          <w:bCs/>
          <w:sz w:val="36"/>
          <w:szCs w:val="36"/>
          <w:highlight w:val="none"/>
          <w:u w:val="none"/>
          <w:lang w:val="en-US" w:eastAsia="zh-CN" w:bidi="ar"/>
        </w:rPr>
      </w:pPr>
      <w:r>
        <w:rPr>
          <w:rFonts w:hint="eastAsia" w:ascii="仿宋_GB2312" w:hAnsi="仿宋_GB2312" w:eastAsia="方正小标宋_GBK" w:cs="方正小标宋_GBK"/>
          <w:b w:val="0"/>
          <w:bCs/>
          <w:sz w:val="36"/>
          <w:szCs w:val="36"/>
          <w:highlight w:val="none"/>
          <w:u w:val="none"/>
          <w:lang w:val="en-US" w:eastAsia="zh-CN" w:bidi="ar"/>
        </w:rPr>
        <w:t>（征求意见稿）</w:t>
      </w:r>
    </w:p>
    <w:p>
      <w:pPr>
        <w:rPr>
          <w:rFonts w:hint="eastAsia" w:ascii="仿宋_GB2312" w:hAnsi="仿宋_GB2312" w:eastAsia="方正小标宋_GBK" w:cs="方正小标宋_GBK"/>
          <w:b/>
          <w:bCs w:val="0"/>
          <w:sz w:val="44"/>
          <w:szCs w:val="44"/>
          <w:highlight w:val="none"/>
          <w:u w:val="none"/>
          <w:lang w:val="en-US" w:eastAsia="zh-CN" w:bidi="ar"/>
        </w:rPr>
      </w:pPr>
    </w:p>
    <w:p>
      <w:pPr>
        <w:pStyle w:val="27"/>
        <w:rPr>
          <w:rFonts w:hint="eastAsia" w:ascii="仿宋_GB2312" w:hAnsi="仿宋_GB2312" w:eastAsia="方正小标宋_GBK" w:cs="方正小标宋_GBK"/>
          <w:b/>
          <w:bCs w:val="0"/>
          <w:sz w:val="44"/>
          <w:szCs w:val="44"/>
          <w:highlight w:val="none"/>
          <w:u w:val="none"/>
          <w:lang w:val="en-US" w:eastAsia="zh-CN" w:bidi="ar"/>
        </w:rPr>
      </w:pPr>
    </w:p>
    <w:p>
      <w:pPr>
        <w:rPr>
          <w:rFonts w:hint="eastAsia"/>
          <w:lang w:val="en-US" w:eastAsia="zh-CN"/>
        </w:rPr>
      </w:pPr>
    </w:p>
    <w:p>
      <w:pPr>
        <w:rPr>
          <w:rFonts w:hint="eastAsia" w:ascii="仿宋_GB2312" w:hAnsi="仿宋_GB2312" w:eastAsia="方正小标宋_GBK" w:cs="方正小标宋_GBK"/>
          <w:b/>
          <w:bCs w:val="0"/>
          <w:sz w:val="44"/>
          <w:szCs w:val="44"/>
          <w:highlight w:val="none"/>
          <w:u w:val="none"/>
          <w:lang w:val="en-US" w:eastAsia="zh-CN" w:bidi="ar"/>
        </w:rPr>
      </w:pPr>
    </w:p>
    <w:p>
      <w:pPr>
        <w:pStyle w:val="2"/>
        <w:rPr>
          <w:rFonts w:hint="eastAsia" w:ascii="仿宋_GB2312" w:hAnsi="仿宋_GB2312" w:eastAsia="方正小标宋_GBK" w:cs="方正小标宋_GBK"/>
          <w:b/>
          <w:bCs w:val="0"/>
          <w:sz w:val="44"/>
          <w:szCs w:val="44"/>
          <w:highlight w:val="none"/>
          <w:u w:val="none"/>
          <w:lang w:val="en-US" w:eastAsia="zh-CN" w:bidi="ar"/>
        </w:rPr>
      </w:pPr>
    </w:p>
    <w:p>
      <w:pPr>
        <w:jc w:val="center"/>
        <w:rPr>
          <w:rFonts w:hint="eastAsia" w:ascii="仿宋_GB2312" w:hAnsi="仿宋_GB2312" w:eastAsia="黑体" w:cs="黑体"/>
          <w:sz w:val="32"/>
          <w:szCs w:val="32"/>
          <w:highlight w:val="none"/>
          <w:u w:val="none"/>
          <w:lang w:val="en-US" w:eastAsia="zh-CN"/>
        </w:rPr>
      </w:pPr>
    </w:p>
    <w:p>
      <w:pPr>
        <w:jc w:val="center"/>
        <w:rPr>
          <w:rFonts w:hint="eastAsia" w:ascii="仿宋_GB2312" w:hAnsi="仿宋_GB2312" w:eastAsia="黑体" w:cs="黑体"/>
          <w:sz w:val="32"/>
          <w:szCs w:val="32"/>
          <w:highlight w:val="none"/>
          <w:u w:val="none"/>
          <w:lang w:val="en-US" w:eastAsia="zh-CN"/>
        </w:rPr>
      </w:pPr>
    </w:p>
    <w:p>
      <w:pPr>
        <w:jc w:val="center"/>
        <w:rPr>
          <w:rFonts w:hint="eastAsia" w:ascii="仿宋_GB2312" w:hAnsi="仿宋_GB2312" w:eastAsia="黑体" w:cs="黑体"/>
          <w:sz w:val="32"/>
          <w:szCs w:val="32"/>
          <w:highlight w:val="none"/>
          <w:u w:val="none"/>
          <w:lang w:val="en-US" w:eastAsia="zh-CN"/>
        </w:rPr>
      </w:pPr>
    </w:p>
    <w:p>
      <w:pPr>
        <w:jc w:val="center"/>
        <w:rPr>
          <w:rFonts w:hint="eastAsia" w:ascii="仿宋_GB2312" w:hAnsi="仿宋_GB2312" w:eastAsia="黑体" w:cs="黑体"/>
          <w:sz w:val="32"/>
          <w:szCs w:val="32"/>
          <w:highlight w:val="none"/>
          <w:u w:val="none"/>
          <w:lang w:val="en-US" w:eastAsia="zh-CN"/>
        </w:rPr>
      </w:pPr>
    </w:p>
    <w:p>
      <w:pPr>
        <w:jc w:val="center"/>
        <w:rPr>
          <w:rFonts w:hint="eastAsia" w:ascii="仿宋_GB2312" w:hAnsi="仿宋_GB2312" w:eastAsia="黑体" w:cs="黑体"/>
          <w:sz w:val="32"/>
          <w:szCs w:val="32"/>
          <w:highlight w:val="none"/>
          <w:u w:val="none"/>
          <w:lang w:val="en-US" w:eastAsia="zh-CN"/>
        </w:rPr>
      </w:pPr>
      <w:r>
        <w:rPr>
          <w:rFonts w:hint="eastAsia" w:ascii="仿宋_GB2312" w:hAnsi="仿宋_GB2312" w:eastAsia="黑体" w:cs="黑体"/>
          <w:sz w:val="32"/>
          <w:szCs w:val="32"/>
          <w:highlight w:val="none"/>
          <w:u w:val="none"/>
          <w:lang w:val="en-US" w:eastAsia="zh-CN"/>
        </w:rPr>
        <w:t>怀柔区发展和改革委员会</w:t>
      </w:r>
    </w:p>
    <w:p>
      <w:pPr>
        <w:jc w:val="center"/>
        <w:rPr>
          <w:rFonts w:hint="default" w:ascii="黑体" w:hAnsi="黑体" w:eastAsia="黑体" w:cs="黑体"/>
          <w:kern w:val="32"/>
          <w:sz w:val="32"/>
          <w:szCs w:val="32"/>
          <w:highlight w:val="none"/>
          <w:u w:val="none"/>
          <w:lang w:val="en-US" w:eastAsia="zh-CN"/>
        </w:rPr>
      </w:pPr>
      <w:r>
        <w:rPr>
          <w:rFonts w:hint="eastAsia" w:ascii="黑体" w:hAnsi="黑体" w:eastAsia="黑体" w:cs="黑体"/>
          <w:sz w:val="32"/>
          <w:szCs w:val="32"/>
          <w:highlight w:val="none"/>
          <w:u w:val="none"/>
        </w:rPr>
        <w:t>202</w:t>
      </w:r>
      <w:r>
        <w:rPr>
          <w:rFonts w:hint="eastAsia" w:ascii="黑体" w:hAnsi="黑体" w:eastAsia="黑体" w:cs="黑体"/>
          <w:sz w:val="32"/>
          <w:szCs w:val="32"/>
          <w:highlight w:val="none"/>
          <w:u w:val="none"/>
          <w:lang w:val="en-US" w:eastAsia="zh-CN"/>
        </w:rPr>
        <w:t>6</w:t>
      </w:r>
      <w:r>
        <w:rPr>
          <w:rFonts w:hint="eastAsia" w:ascii="黑体" w:hAnsi="黑体" w:eastAsia="黑体" w:cs="黑体"/>
          <w:kern w:val="32"/>
          <w:sz w:val="32"/>
          <w:szCs w:val="32"/>
          <w:highlight w:val="none"/>
          <w:u w:val="none"/>
        </w:rPr>
        <w:t>年</w:t>
      </w:r>
      <w:r>
        <w:rPr>
          <w:rFonts w:hint="eastAsia" w:ascii="黑体" w:hAnsi="黑体" w:eastAsia="黑体" w:cs="黑体"/>
          <w:sz w:val="32"/>
          <w:szCs w:val="32"/>
          <w:highlight w:val="none"/>
          <w:u w:val="none"/>
          <w:lang w:val="en-US" w:eastAsia="zh-CN"/>
        </w:rPr>
        <w:t>8</w:t>
      </w:r>
      <w:r>
        <w:rPr>
          <w:rFonts w:hint="eastAsia" w:ascii="黑体" w:hAnsi="黑体" w:eastAsia="黑体" w:cs="黑体"/>
          <w:kern w:val="32"/>
          <w:sz w:val="32"/>
          <w:szCs w:val="32"/>
          <w:highlight w:val="none"/>
          <w:u w:val="none"/>
        </w:rPr>
        <w:t>月</w:t>
      </w:r>
    </w:p>
    <w:p>
      <w:pPr>
        <w:pStyle w:val="9"/>
        <w:rPr>
          <w:rFonts w:hint="eastAsia" w:ascii="仿宋_GB2312" w:hAnsi="仿宋_GB2312" w:eastAsia="方正小标宋_GBK" w:cs="方正小标宋_GBK"/>
          <w:b/>
          <w:bCs w:val="0"/>
          <w:sz w:val="44"/>
          <w:szCs w:val="44"/>
          <w:highlight w:val="none"/>
          <w:u w:val="none"/>
          <w:lang w:val="en-US" w:eastAsia="zh-CN" w:bidi="ar"/>
        </w:rPr>
      </w:pPr>
    </w:p>
    <w:p>
      <w:pPr>
        <w:pStyle w:val="27"/>
        <w:rPr>
          <w:rFonts w:hint="eastAsia" w:ascii="仿宋_GB2312" w:hAnsi="仿宋_GB2312" w:eastAsia="方正小标宋_GBK" w:cs="方正小标宋_GBK"/>
          <w:b/>
          <w:bCs w:val="0"/>
          <w:sz w:val="44"/>
          <w:szCs w:val="44"/>
          <w:highlight w:val="none"/>
          <w:u w:val="none"/>
          <w:lang w:val="en-US" w:eastAsia="zh-CN" w:bidi="ar"/>
        </w:rPr>
      </w:pPr>
    </w:p>
    <w:p>
      <w:pPr>
        <w:rPr>
          <w:rFonts w:ascii="仿宋_GB2312" w:hAnsi="仿宋_GB2312"/>
          <w:highlight w:val="none"/>
          <w:u w:val="none"/>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0" w:beforeLines="0" w:after="313" w:afterLines="100" w:line="500" w:lineRule="exact"/>
        <w:ind w:left="0" w:leftChars="0" w:right="0" w:rightChars="0" w:firstLine="0" w:firstLineChars="0"/>
        <w:jc w:val="center"/>
        <w:textAlignment w:val="auto"/>
        <w:rPr>
          <w:rFonts w:ascii="仿宋_GB2312" w:hAnsi="仿宋_GB2312" w:eastAsia="宋体" w:cstheme="minorBidi"/>
          <w:kern w:val="2"/>
          <w:sz w:val="21"/>
          <w:szCs w:val="24"/>
          <w:highlight w:val="none"/>
          <w:u w:val="none"/>
          <w:lang w:val="en-US" w:eastAsia="zh-CN" w:bidi="ar-SA"/>
        </w:rPr>
      </w:pPr>
      <w:bookmarkStart w:id="589" w:name="_GoBack"/>
    </w:p>
    <w:p>
      <w:pPr>
        <w:rPr>
          <w:rFonts w:ascii="仿宋_GB2312" w:hAnsi="仿宋_GB2312" w:eastAsia="宋体" w:cstheme="minorBidi"/>
          <w:kern w:val="2"/>
          <w:sz w:val="21"/>
          <w:szCs w:val="24"/>
          <w:highlight w:val="none"/>
          <w:u w:val="none"/>
          <w:lang w:val="en-US" w:eastAsia="zh-CN" w:bidi="ar-SA"/>
        </w:rPr>
      </w:pPr>
      <w:r>
        <w:rPr>
          <w:rFonts w:ascii="仿宋_GB2312" w:hAnsi="仿宋_GB2312" w:eastAsia="宋体" w:cstheme="minorBidi"/>
          <w:kern w:val="2"/>
          <w:sz w:val="21"/>
          <w:szCs w:val="24"/>
          <w:highlight w:val="none"/>
          <w:u w:val="none"/>
          <w:lang w:val="en-US" w:eastAsia="zh-CN" w:bidi="ar-SA"/>
        </w:rPr>
        <w:br w:type="page"/>
      </w:r>
    </w:p>
    <w:bookmarkEnd w:id="589"/>
    <w:p>
      <w:pPr>
        <w:keepNext w:val="0"/>
        <w:keepLines w:val="0"/>
        <w:pageBreakBefore w:val="0"/>
        <w:widowControl w:val="0"/>
        <w:kinsoku/>
        <w:wordWrap/>
        <w:overflowPunct/>
        <w:topLinePunct w:val="0"/>
        <w:autoSpaceDE/>
        <w:autoSpaceDN/>
        <w:bidi w:val="0"/>
        <w:adjustRightInd/>
        <w:snapToGrid/>
        <w:spacing w:before="0" w:beforeLines="0" w:after="313" w:afterLines="100" w:line="500" w:lineRule="exact"/>
        <w:ind w:left="0" w:leftChars="0" w:right="0" w:rightChars="0" w:firstLine="0" w:firstLineChars="0"/>
        <w:jc w:val="center"/>
        <w:textAlignment w:val="auto"/>
        <w:rPr>
          <w:rFonts w:hint="eastAsia" w:ascii="仿宋_GB2312" w:hAnsi="仿宋_GB2312" w:eastAsia="黑体" w:cs="黑体"/>
          <w:b/>
          <w:bCs/>
          <w:sz w:val="32"/>
          <w:szCs w:val="40"/>
          <w:highlight w:val="none"/>
          <w:u w:val="none"/>
        </w:rPr>
      </w:pPr>
      <w:r>
        <w:rPr>
          <w:rFonts w:hint="eastAsia" w:ascii="仿宋_GB2312" w:hAnsi="仿宋_GB2312" w:eastAsia="黑体" w:cs="黑体"/>
          <w:b/>
          <w:bCs/>
          <w:sz w:val="32"/>
          <w:szCs w:val="40"/>
          <w:highlight w:val="none"/>
          <w:u w:val="none"/>
        </w:rPr>
        <w:t>目</w:t>
      </w:r>
      <w:r>
        <w:rPr>
          <w:rFonts w:hint="eastAsia" w:ascii="仿宋_GB2312" w:hAnsi="仿宋_GB2312" w:eastAsia="黑体" w:cs="黑体"/>
          <w:b/>
          <w:bCs/>
          <w:sz w:val="32"/>
          <w:szCs w:val="40"/>
          <w:highlight w:val="none"/>
          <w:u w:val="none"/>
          <w:lang w:val="en-US" w:eastAsia="zh-CN"/>
        </w:rPr>
        <w:t xml:space="preserve">  </w:t>
      </w:r>
      <w:r>
        <w:rPr>
          <w:rFonts w:hint="eastAsia" w:ascii="仿宋_GB2312" w:hAnsi="仿宋_GB2312" w:eastAsia="黑体" w:cs="黑体"/>
          <w:b/>
          <w:bCs/>
          <w:sz w:val="32"/>
          <w:szCs w:val="40"/>
          <w:highlight w:val="none"/>
          <w:u w:val="none"/>
        </w:rPr>
        <w:t>录</w:t>
      </w:r>
    </w:p>
    <w:p>
      <w:pPr>
        <w:pStyle w:val="14"/>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TOC \o "1-2" \h \u </w:instrText>
      </w:r>
      <w:r>
        <w:rPr>
          <w:rFonts w:hint="default" w:ascii="Times New Roman" w:hAnsi="Times New Roman" w:cs="Times New Roman"/>
          <w:sz w:val="28"/>
          <w:szCs w:val="28"/>
          <w:highlight w:val="none"/>
          <w:u w:val="none"/>
        </w:rPr>
        <w:fldChar w:fldCharType="separate"/>
      </w: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_Toc23733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方正小标宋_GBK" w:cs="方正小标宋_GBK"/>
          <w:bCs/>
          <w:kern w:val="2"/>
          <w:sz w:val="28"/>
          <w:szCs w:val="36"/>
          <w:highlight w:val="none"/>
          <w:u w:val="none"/>
          <w:lang w:val="en-US" w:eastAsia="zh-CN" w:bidi="ar-SA"/>
        </w:rPr>
        <w:t xml:space="preserve">第一章 </w:t>
      </w:r>
      <w:r>
        <w:rPr>
          <w:rFonts w:hint="eastAsia" w:ascii="Times New Roman" w:hAnsi="Times New Roman" w:eastAsia="方正小标宋_GBK" w:cs="方正小标宋_GBK"/>
          <w:bCs/>
          <w:sz w:val="28"/>
          <w:szCs w:val="36"/>
          <w:highlight w:val="none"/>
          <w:u w:val="none"/>
          <w:lang w:eastAsia="zh-CN"/>
        </w:rPr>
        <w:t>“</w:t>
      </w:r>
      <w:r>
        <w:rPr>
          <w:rFonts w:hint="eastAsia" w:ascii="Times New Roman" w:hAnsi="Times New Roman" w:eastAsia="方正小标宋_GBK" w:cs="方正小标宋_GBK"/>
          <w:bCs/>
          <w:sz w:val="28"/>
          <w:szCs w:val="36"/>
          <w:highlight w:val="none"/>
          <w:u w:val="none"/>
        </w:rPr>
        <w:t>十</w:t>
      </w:r>
      <w:r>
        <w:rPr>
          <w:rFonts w:hint="eastAsia" w:ascii="Times New Roman" w:hAnsi="Times New Roman" w:eastAsia="方正小标宋_GBK" w:cs="方正小标宋_GBK"/>
          <w:bCs/>
          <w:sz w:val="28"/>
          <w:szCs w:val="36"/>
          <w:highlight w:val="none"/>
          <w:u w:val="none"/>
          <w:lang w:val="en-US" w:eastAsia="zh-CN"/>
        </w:rPr>
        <w:t>四</w:t>
      </w:r>
      <w:r>
        <w:rPr>
          <w:rFonts w:hint="eastAsia" w:ascii="Times New Roman" w:hAnsi="Times New Roman" w:eastAsia="方正小标宋_GBK" w:cs="方正小标宋_GBK"/>
          <w:bCs/>
          <w:sz w:val="28"/>
          <w:szCs w:val="36"/>
          <w:highlight w:val="none"/>
          <w:u w:val="none"/>
        </w:rPr>
        <w:t>五</w:t>
      </w:r>
      <w:r>
        <w:rPr>
          <w:rFonts w:hint="eastAsia" w:ascii="Times New Roman" w:hAnsi="Times New Roman" w:eastAsia="方正小标宋_GBK" w:cs="方正小标宋_GBK"/>
          <w:bCs/>
          <w:sz w:val="28"/>
          <w:szCs w:val="36"/>
          <w:highlight w:val="none"/>
          <w:u w:val="none"/>
          <w:lang w:eastAsia="zh-CN"/>
        </w:rPr>
        <w:t>”</w:t>
      </w:r>
      <w:r>
        <w:rPr>
          <w:rFonts w:hint="eastAsia" w:ascii="Times New Roman" w:hAnsi="Times New Roman" w:eastAsia="方正小标宋_GBK" w:cs="方正小标宋_GBK"/>
          <w:bCs/>
          <w:sz w:val="28"/>
          <w:szCs w:val="36"/>
          <w:highlight w:val="none"/>
          <w:u w:val="none"/>
        </w:rPr>
        <w:t>时期发展成就与</w:t>
      </w:r>
      <w:r>
        <w:rPr>
          <w:rFonts w:hint="default" w:ascii="Times New Roman" w:hAnsi="Times New Roman" w:cs="Times New Roman"/>
          <w:sz w:val="28"/>
          <w:szCs w:val="28"/>
          <w:highlight w:val="none"/>
          <w:u w:val="none"/>
        </w:rPr>
        <w:fldChar w:fldCharType="end"/>
      </w: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_Toc32258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方正小标宋_GBK" w:cs="方正小标宋_GBK"/>
          <w:bCs/>
          <w:sz w:val="28"/>
          <w:szCs w:val="36"/>
          <w:highlight w:val="none"/>
          <w:u w:val="none"/>
          <w:lang w:eastAsia="zh-CN"/>
        </w:rPr>
        <w:t>“</w:t>
      </w:r>
      <w:r>
        <w:rPr>
          <w:rFonts w:hint="eastAsia" w:ascii="Times New Roman" w:hAnsi="Times New Roman" w:eastAsia="方正小标宋_GBK" w:cs="方正小标宋_GBK"/>
          <w:bCs/>
          <w:sz w:val="28"/>
          <w:szCs w:val="36"/>
          <w:highlight w:val="none"/>
          <w:u w:val="none"/>
        </w:rPr>
        <w:t>十五五</w:t>
      </w:r>
      <w:r>
        <w:rPr>
          <w:rFonts w:hint="eastAsia" w:ascii="Times New Roman" w:hAnsi="Times New Roman" w:eastAsia="方正小标宋_GBK" w:cs="方正小标宋_GBK"/>
          <w:bCs/>
          <w:sz w:val="28"/>
          <w:szCs w:val="36"/>
          <w:highlight w:val="none"/>
          <w:u w:val="none"/>
          <w:lang w:eastAsia="zh-CN"/>
        </w:rPr>
        <w:t>”</w:t>
      </w:r>
      <w:r>
        <w:rPr>
          <w:rFonts w:hint="eastAsia" w:ascii="Times New Roman" w:hAnsi="Times New Roman" w:eastAsia="方正小标宋_GBK" w:cs="方正小标宋_GBK"/>
          <w:bCs/>
          <w:sz w:val="28"/>
          <w:szCs w:val="36"/>
          <w:highlight w:val="none"/>
          <w:u w:val="none"/>
        </w:rPr>
        <w:t>时期面临形势</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_Toc32258 \h </w:instrText>
      </w:r>
      <w:r>
        <w:rPr>
          <w:rFonts w:ascii="Times New Roman" w:hAnsi="Times New Roman"/>
          <w:sz w:val="28"/>
          <w:u w:val="none"/>
        </w:rPr>
        <w:fldChar w:fldCharType="separate"/>
      </w:r>
      <w:r>
        <w:rPr>
          <w:rFonts w:ascii="Times New Roman" w:hAnsi="Times New Roman"/>
          <w:sz w:val="28"/>
          <w:u w:val="none"/>
        </w:rPr>
        <w:t>1</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_Toc29490 </w:instrText>
      </w:r>
      <w:r>
        <w:rPr>
          <w:rFonts w:hint="default" w:ascii="Times New Roman" w:hAnsi="Times New Roman" w:cs="Times New Roman"/>
          <w:sz w:val="28"/>
          <w:szCs w:val="28"/>
          <w:highlight w:val="none"/>
          <w:u w:val="none"/>
        </w:rPr>
        <w:fldChar w:fldCharType="separate"/>
      </w:r>
      <w:r>
        <w:rPr>
          <w:rFonts w:ascii="Times New Roman" w:hAnsi="Times New Roman" w:eastAsia="黑体" w:cs="Times New Roman"/>
          <w:sz w:val="28"/>
          <w:szCs w:val="32"/>
          <w:highlight w:val="none"/>
          <w:u w:val="none"/>
          <w:lang w:eastAsia="zh-Hans"/>
        </w:rPr>
        <w:t>一、</w:t>
      </w:r>
      <w:r>
        <w:rPr>
          <w:rFonts w:hint="eastAsia" w:ascii="Times New Roman" w:hAnsi="Times New Roman" w:eastAsia="黑体" w:cs="Times New Roman"/>
          <w:sz w:val="28"/>
          <w:szCs w:val="32"/>
          <w:highlight w:val="none"/>
          <w:u w:val="none"/>
          <w:lang w:eastAsia="zh-CN"/>
        </w:rPr>
        <w:t>“</w:t>
      </w:r>
      <w:r>
        <w:rPr>
          <w:rFonts w:ascii="Times New Roman" w:hAnsi="Times New Roman" w:eastAsia="黑体" w:cs="Times New Roman"/>
          <w:sz w:val="28"/>
          <w:szCs w:val="32"/>
          <w:highlight w:val="none"/>
          <w:u w:val="none"/>
          <w:lang w:eastAsia="zh-Hans"/>
        </w:rPr>
        <w:t>十</w:t>
      </w:r>
      <w:r>
        <w:rPr>
          <w:rFonts w:hint="eastAsia" w:ascii="Times New Roman" w:hAnsi="Times New Roman" w:eastAsia="黑体" w:cs="Times New Roman"/>
          <w:sz w:val="28"/>
          <w:szCs w:val="32"/>
          <w:highlight w:val="none"/>
          <w:u w:val="none"/>
          <w:lang w:val="en-US" w:eastAsia="zh-CN"/>
        </w:rPr>
        <w:t>四</w:t>
      </w:r>
      <w:r>
        <w:rPr>
          <w:rFonts w:ascii="Times New Roman" w:hAnsi="Times New Roman" w:eastAsia="黑体" w:cs="Times New Roman"/>
          <w:sz w:val="28"/>
          <w:szCs w:val="32"/>
          <w:highlight w:val="none"/>
          <w:u w:val="none"/>
          <w:lang w:eastAsia="zh-Hans"/>
        </w:rPr>
        <w:t>五</w:t>
      </w:r>
      <w:r>
        <w:rPr>
          <w:rFonts w:hint="eastAsia" w:ascii="Times New Roman" w:hAnsi="Times New Roman" w:eastAsia="黑体" w:cs="Times New Roman"/>
          <w:sz w:val="28"/>
          <w:szCs w:val="32"/>
          <w:highlight w:val="none"/>
          <w:u w:val="none"/>
          <w:lang w:eastAsia="zh-CN"/>
        </w:rPr>
        <w:t>”</w:t>
      </w:r>
      <w:r>
        <w:rPr>
          <w:rFonts w:ascii="Times New Roman" w:hAnsi="Times New Roman" w:eastAsia="黑体" w:cs="Times New Roman"/>
          <w:sz w:val="28"/>
          <w:szCs w:val="32"/>
          <w:highlight w:val="none"/>
          <w:u w:val="none"/>
          <w:lang w:eastAsia="zh-Hans"/>
        </w:rPr>
        <w:t>时期</w:t>
      </w:r>
      <w:r>
        <w:rPr>
          <w:rFonts w:hint="eastAsia" w:ascii="Times New Roman" w:hAnsi="Times New Roman" w:eastAsia="黑体" w:cs="Times New Roman"/>
          <w:sz w:val="28"/>
          <w:szCs w:val="32"/>
          <w:highlight w:val="none"/>
          <w:u w:val="none"/>
          <w:lang w:val="en-US" w:eastAsia="zh-CN"/>
        </w:rPr>
        <w:t>发展</w:t>
      </w:r>
      <w:r>
        <w:rPr>
          <w:rFonts w:ascii="Times New Roman" w:hAnsi="Times New Roman" w:eastAsia="黑体" w:cs="Times New Roman"/>
          <w:sz w:val="28"/>
          <w:szCs w:val="32"/>
          <w:highlight w:val="none"/>
          <w:u w:val="none"/>
          <w:lang w:eastAsia="zh-Hans"/>
        </w:rPr>
        <w:t>成就</w:t>
      </w:r>
      <w:r>
        <w:rPr>
          <w:rFonts w:hint="eastAsia" w:ascii="Times New Roman" w:hAnsi="Times New Roman" w:eastAsia="黑体" w:cs="Times New Roman"/>
          <w:sz w:val="28"/>
          <w:szCs w:val="32"/>
          <w:highlight w:val="none"/>
          <w:u w:val="none"/>
          <w:lang w:val="en-US" w:eastAsia="zh-CN"/>
        </w:rPr>
        <w:t>与存在问题</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_Toc29490 \h </w:instrText>
      </w:r>
      <w:r>
        <w:rPr>
          <w:rFonts w:ascii="Times New Roman" w:hAnsi="Times New Roman"/>
          <w:sz w:val="28"/>
          <w:u w:val="none"/>
        </w:rPr>
        <w:fldChar w:fldCharType="separate"/>
      </w:r>
      <w:r>
        <w:rPr>
          <w:rFonts w:ascii="Times New Roman" w:hAnsi="Times New Roman"/>
          <w:sz w:val="28"/>
          <w:u w:val="none"/>
        </w:rPr>
        <w:t>1</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_Toc12967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二、</w:t>
      </w:r>
      <w:r>
        <w:rPr>
          <w:rFonts w:hint="eastAsia" w:ascii="Times New Roman" w:hAnsi="Times New Roman" w:eastAsia="黑体" w:cs="Times New Roman"/>
          <w:sz w:val="28"/>
          <w:szCs w:val="32"/>
          <w:highlight w:val="none"/>
          <w:u w:val="none"/>
          <w:lang w:val="en-US" w:eastAsia="zh-CN"/>
        </w:rPr>
        <w:t>“十五五”时期面临形势</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_Toc12967 \h </w:instrText>
      </w:r>
      <w:r>
        <w:rPr>
          <w:rFonts w:ascii="Times New Roman" w:hAnsi="Times New Roman"/>
          <w:sz w:val="28"/>
          <w:u w:val="none"/>
        </w:rPr>
        <w:fldChar w:fldCharType="separate"/>
      </w:r>
      <w:r>
        <w:rPr>
          <w:rFonts w:ascii="Times New Roman" w:hAnsi="Times New Roman"/>
          <w:sz w:val="28"/>
          <w:u w:val="none"/>
        </w:rPr>
        <w:t>10</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4"/>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_Toc6944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方正小标宋_GBK" w:cs="方正小标宋_GBK"/>
          <w:bCs/>
          <w:sz w:val="28"/>
          <w:szCs w:val="36"/>
          <w:highlight w:val="none"/>
          <w:u w:val="none"/>
          <w:lang w:val="en-US" w:eastAsia="zh-CN"/>
        </w:rPr>
        <w:t>第二章 总体思路与发展目标</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_Toc6944 \h </w:instrText>
      </w:r>
      <w:r>
        <w:rPr>
          <w:rFonts w:ascii="Times New Roman" w:hAnsi="Times New Roman"/>
          <w:sz w:val="28"/>
          <w:u w:val="none"/>
        </w:rPr>
        <w:fldChar w:fldCharType="separate"/>
      </w:r>
      <w:r>
        <w:rPr>
          <w:rFonts w:ascii="Times New Roman" w:hAnsi="Times New Roman"/>
          <w:sz w:val="28"/>
          <w:u w:val="none"/>
        </w:rPr>
        <w:t>13</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_Toc29788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一、指导思想</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_Toc29788 \h </w:instrText>
      </w:r>
      <w:r>
        <w:rPr>
          <w:rFonts w:ascii="Times New Roman" w:hAnsi="Times New Roman"/>
          <w:sz w:val="28"/>
          <w:u w:val="none"/>
        </w:rPr>
        <w:fldChar w:fldCharType="separate"/>
      </w:r>
      <w:r>
        <w:rPr>
          <w:rFonts w:ascii="Times New Roman" w:hAnsi="Times New Roman"/>
          <w:sz w:val="28"/>
          <w:u w:val="none"/>
        </w:rPr>
        <w:t>13</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_Toc23329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二、发展原则</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_Toc23329 \h </w:instrText>
      </w:r>
      <w:r>
        <w:rPr>
          <w:rFonts w:ascii="Times New Roman" w:hAnsi="Times New Roman"/>
          <w:sz w:val="28"/>
          <w:u w:val="none"/>
        </w:rPr>
        <w:fldChar w:fldCharType="separate"/>
      </w:r>
      <w:r>
        <w:rPr>
          <w:rFonts w:ascii="Times New Roman" w:hAnsi="Times New Roman"/>
          <w:sz w:val="28"/>
          <w:u w:val="none"/>
        </w:rPr>
        <w:t>13</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_Toc4119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三、发展目标</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_Toc4119 \h </w:instrText>
      </w:r>
      <w:r>
        <w:rPr>
          <w:rFonts w:ascii="Times New Roman" w:hAnsi="Times New Roman"/>
          <w:sz w:val="28"/>
          <w:u w:val="none"/>
        </w:rPr>
        <w:fldChar w:fldCharType="separate"/>
      </w:r>
      <w:r>
        <w:rPr>
          <w:rFonts w:ascii="Times New Roman" w:hAnsi="Times New Roman"/>
          <w:sz w:val="28"/>
          <w:u w:val="none"/>
        </w:rPr>
        <w:t>14</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4"/>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_Toc13138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方正小标宋_GBK" w:cs="方正小标宋_GBK"/>
          <w:bCs/>
          <w:sz w:val="28"/>
          <w:szCs w:val="36"/>
          <w:highlight w:val="none"/>
          <w:u w:val="none"/>
          <w:lang w:val="en-US" w:eastAsia="zh-CN"/>
        </w:rPr>
        <w:t>第三章 建设高质量教育体系</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_Toc13138 \h </w:instrText>
      </w:r>
      <w:r>
        <w:rPr>
          <w:rFonts w:ascii="Times New Roman" w:hAnsi="Times New Roman"/>
          <w:sz w:val="28"/>
          <w:u w:val="none"/>
        </w:rPr>
        <w:fldChar w:fldCharType="separate"/>
      </w:r>
      <w:r>
        <w:rPr>
          <w:rFonts w:ascii="Times New Roman" w:hAnsi="Times New Roman"/>
          <w:sz w:val="28"/>
          <w:u w:val="none"/>
        </w:rPr>
        <w:t>17</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_Toc18812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一、推动基础</w:t>
      </w:r>
      <w:r>
        <w:rPr>
          <w:rFonts w:hint="eastAsia" w:ascii="Times New Roman" w:hAnsi="Times New Roman" w:eastAsia="黑体" w:cs="Times New Roman"/>
          <w:sz w:val="28"/>
          <w:szCs w:val="32"/>
          <w:highlight w:val="none"/>
          <w:u w:val="none"/>
        </w:rPr>
        <w:t>教育资源布局</w:t>
      </w:r>
      <w:r>
        <w:rPr>
          <w:rFonts w:hint="eastAsia" w:ascii="Times New Roman" w:hAnsi="Times New Roman" w:eastAsia="黑体" w:cs="Times New Roman"/>
          <w:sz w:val="28"/>
          <w:szCs w:val="32"/>
          <w:highlight w:val="none"/>
          <w:u w:val="none"/>
          <w:lang w:eastAsia="zh-CN"/>
        </w:rPr>
        <w:t>调整</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_Toc18812 \h </w:instrText>
      </w:r>
      <w:r>
        <w:rPr>
          <w:rFonts w:ascii="Times New Roman" w:hAnsi="Times New Roman"/>
          <w:sz w:val="28"/>
          <w:u w:val="none"/>
        </w:rPr>
        <w:fldChar w:fldCharType="separate"/>
      </w:r>
      <w:r>
        <w:rPr>
          <w:rFonts w:ascii="Times New Roman" w:hAnsi="Times New Roman"/>
          <w:sz w:val="28"/>
          <w:u w:val="none"/>
        </w:rPr>
        <w:t>17</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_Toc29914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二、</w:t>
      </w:r>
      <w:r>
        <w:rPr>
          <w:rFonts w:hint="eastAsia" w:ascii="Times New Roman" w:hAnsi="Times New Roman" w:eastAsia="黑体" w:cs="黑体"/>
          <w:kern w:val="2"/>
          <w:sz w:val="28"/>
          <w:szCs w:val="32"/>
          <w:highlight w:val="none"/>
          <w:u w:val="none"/>
          <w:lang w:val="en-US" w:eastAsia="zh-CN"/>
        </w:rPr>
        <w:t>深化一体化与集团化办学</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_Toc29914 \h </w:instrText>
      </w:r>
      <w:r>
        <w:rPr>
          <w:rFonts w:ascii="Times New Roman" w:hAnsi="Times New Roman"/>
          <w:sz w:val="28"/>
          <w:u w:val="none"/>
        </w:rPr>
        <w:fldChar w:fldCharType="separate"/>
      </w:r>
      <w:r>
        <w:rPr>
          <w:rFonts w:ascii="Times New Roman" w:hAnsi="Times New Roman"/>
          <w:sz w:val="28"/>
          <w:u w:val="none"/>
        </w:rPr>
        <w:t>18</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_Toc8418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三、促进各类教育多元融合发展</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_Toc8418 \h </w:instrText>
      </w:r>
      <w:r>
        <w:rPr>
          <w:rFonts w:ascii="Times New Roman" w:hAnsi="Times New Roman"/>
          <w:sz w:val="28"/>
          <w:u w:val="none"/>
        </w:rPr>
        <w:fldChar w:fldCharType="separate"/>
      </w:r>
      <w:r>
        <w:rPr>
          <w:rFonts w:ascii="Times New Roman" w:hAnsi="Times New Roman"/>
          <w:sz w:val="28"/>
          <w:u w:val="none"/>
        </w:rPr>
        <w:t>20</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_Toc27477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四、大力提升师生综合素养</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_Toc27477 \h </w:instrText>
      </w:r>
      <w:r>
        <w:rPr>
          <w:rFonts w:ascii="Times New Roman" w:hAnsi="Times New Roman"/>
          <w:sz w:val="28"/>
          <w:u w:val="none"/>
        </w:rPr>
        <w:fldChar w:fldCharType="separate"/>
      </w:r>
      <w:r>
        <w:rPr>
          <w:rFonts w:ascii="Times New Roman" w:hAnsi="Times New Roman"/>
          <w:sz w:val="28"/>
          <w:u w:val="none"/>
        </w:rPr>
        <w:t>23</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4"/>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_Toc21897 </w:instrText>
      </w:r>
      <w:r>
        <w:rPr>
          <w:rFonts w:hint="default" w:ascii="Times New Roman" w:hAnsi="Times New Roman" w:cs="Times New Roman"/>
          <w:sz w:val="28"/>
          <w:szCs w:val="28"/>
          <w:highlight w:val="none"/>
          <w:u w:val="none"/>
        </w:rPr>
        <w:fldChar w:fldCharType="separate"/>
      </w:r>
      <w:r>
        <w:rPr>
          <w:rFonts w:hint="default" w:ascii="Times New Roman" w:hAnsi="Times New Roman" w:eastAsia="方正小标宋_GBK" w:cs="Times New Roman"/>
          <w:bCs/>
          <w:sz w:val="28"/>
          <w:szCs w:val="36"/>
          <w:highlight w:val="none"/>
          <w:u w:val="none"/>
          <w:lang w:val="en-US" w:eastAsia="zh-CN"/>
        </w:rPr>
        <w:t xml:space="preserve">第四章 </w:t>
      </w:r>
      <w:r>
        <w:rPr>
          <w:rFonts w:hint="default" w:ascii="Times New Roman" w:hAnsi="Times New Roman" w:eastAsia="方正小标宋_GBK" w:cs="Times New Roman"/>
          <w:bCs/>
          <w:sz w:val="28"/>
          <w:szCs w:val="36"/>
          <w:highlight w:val="none"/>
          <w:u w:val="none"/>
        </w:rPr>
        <w:t>建设</w:t>
      </w:r>
      <w:r>
        <w:rPr>
          <w:rFonts w:hint="default" w:ascii="Times New Roman" w:hAnsi="Times New Roman" w:eastAsia="方正小标宋_GBK" w:cs="Times New Roman"/>
          <w:bCs/>
          <w:sz w:val="28"/>
          <w:szCs w:val="36"/>
          <w:highlight w:val="none"/>
          <w:u w:val="none"/>
          <w:lang w:val="en-US" w:eastAsia="zh-CN"/>
        </w:rPr>
        <w:t>更高</w:t>
      </w:r>
      <w:r>
        <w:rPr>
          <w:rFonts w:hint="eastAsia" w:ascii="Times New Roman" w:hAnsi="Times New Roman" w:eastAsia="方正小标宋_GBK" w:cs="Times New Roman"/>
          <w:bCs/>
          <w:sz w:val="28"/>
          <w:szCs w:val="36"/>
          <w:highlight w:val="none"/>
          <w:u w:val="none"/>
          <w:lang w:val="en-US" w:eastAsia="zh-CN"/>
        </w:rPr>
        <w:t>水平</w:t>
      </w:r>
      <w:r>
        <w:rPr>
          <w:rFonts w:hint="default" w:ascii="Times New Roman" w:hAnsi="Times New Roman" w:eastAsia="方正小标宋_GBK" w:cs="Times New Roman"/>
          <w:bCs/>
          <w:sz w:val="28"/>
          <w:szCs w:val="36"/>
          <w:highlight w:val="none"/>
          <w:u w:val="none"/>
          <w:lang w:val="en-US" w:eastAsia="zh-CN"/>
        </w:rPr>
        <w:t>的</w:t>
      </w:r>
      <w:r>
        <w:rPr>
          <w:rFonts w:hint="eastAsia" w:ascii="Times New Roman" w:hAnsi="Times New Roman" w:eastAsia="方正小标宋_GBK" w:cs="Times New Roman"/>
          <w:bCs/>
          <w:sz w:val="28"/>
          <w:szCs w:val="36"/>
          <w:highlight w:val="none"/>
          <w:u w:val="none"/>
          <w:lang w:val="en-US" w:eastAsia="zh-CN"/>
        </w:rPr>
        <w:t>“</w:t>
      </w:r>
      <w:r>
        <w:rPr>
          <w:rFonts w:hint="default" w:ascii="Times New Roman" w:hAnsi="Times New Roman" w:eastAsia="方正小标宋_GBK" w:cs="Times New Roman"/>
          <w:bCs/>
          <w:sz w:val="28"/>
          <w:szCs w:val="36"/>
          <w:highlight w:val="none"/>
          <w:u w:val="none"/>
          <w:lang w:val="en-US" w:eastAsia="zh-CN"/>
        </w:rPr>
        <w:t>健康怀柔</w:t>
      </w:r>
      <w:r>
        <w:rPr>
          <w:rFonts w:hint="eastAsia" w:ascii="Times New Roman" w:hAnsi="Times New Roman" w:eastAsia="方正小标宋_GBK" w:cs="Times New Roman"/>
          <w:bCs/>
          <w:sz w:val="28"/>
          <w:szCs w:val="36"/>
          <w:highlight w:val="none"/>
          <w:u w:val="none"/>
          <w:lang w:val="en-US" w:eastAsia="zh-CN"/>
        </w:rPr>
        <w:t>”</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_Toc21897 \h </w:instrText>
      </w:r>
      <w:r>
        <w:rPr>
          <w:rFonts w:ascii="Times New Roman" w:hAnsi="Times New Roman"/>
          <w:sz w:val="28"/>
          <w:u w:val="none"/>
        </w:rPr>
        <w:fldChar w:fldCharType="separate"/>
      </w:r>
      <w:r>
        <w:rPr>
          <w:rFonts w:ascii="Times New Roman" w:hAnsi="Times New Roman"/>
          <w:sz w:val="28"/>
          <w:u w:val="none"/>
        </w:rPr>
        <w:t>26</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_Toc23220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一、强化区级综合医疗服务能力</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_Toc23220 \h </w:instrText>
      </w:r>
      <w:r>
        <w:rPr>
          <w:rFonts w:ascii="Times New Roman" w:hAnsi="Times New Roman"/>
          <w:sz w:val="28"/>
          <w:u w:val="none"/>
        </w:rPr>
        <w:fldChar w:fldCharType="separate"/>
      </w:r>
      <w:r>
        <w:rPr>
          <w:rFonts w:ascii="Times New Roman" w:hAnsi="Times New Roman"/>
          <w:sz w:val="28"/>
          <w:u w:val="none"/>
        </w:rPr>
        <w:t>26</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_Toc24205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二、</w:t>
      </w:r>
      <w:r>
        <w:rPr>
          <w:rFonts w:hint="eastAsia" w:ascii="Times New Roman" w:hAnsi="Times New Roman" w:eastAsia="黑体" w:cs="Times New Roman"/>
          <w:sz w:val="28"/>
          <w:szCs w:val="32"/>
          <w:highlight w:val="none"/>
          <w:u w:val="none"/>
        </w:rPr>
        <w:t>强化科</w:t>
      </w:r>
      <w:r>
        <w:rPr>
          <w:rFonts w:hint="eastAsia" w:ascii="Times New Roman" w:hAnsi="Times New Roman" w:eastAsia="黑体" w:cs="Times New Roman"/>
          <w:sz w:val="28"/>
          <w:szCs w:val="32"/>
          <w:highlight w:val="none"/>
          <w:u w:val="none"/>
          <w:lang w:val="en-US" w:eastAsia="zh-CN"/>
        </w:rPr>
        <w:t>技</w:t>
      </w:r>
      <w:r>
        <w:rPr>
          <w:rFonts w:hint="eastAsia" w:ascii="Times New Roman" w:hAnsi="Times New Roman" w:eastAsia="黑体" w:cs="Times New Roman"/>
          <w:sz w:val="28"/>
          <w:szCs w:val="32"/>
          <w:highlight w:val="none"/>
          <w:u w:val="none"/>
        </w:rPr>
        <w:t>赋能与国际医疗供给</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_Toc24205 \h </w:instrText>
      </w:r>
      <w:r>
        <w:rPr>
          <w:rFonts w:ascii="Times New Roman" w:hAnsi="Times New Roman"/>
          <w:sz w:val="28"/>
          <w:u w:val="none"/>
        </w:rPr>
        <w:fldChar w:fldCharType="separate"/>
      </w:r>
      <w:r>
        <w:rPr>
          <w:rFonts w:ascii="Times New Roman" w:hAnsi="Times New Roman"/>
          <w:sz w:val="28"/>
          <w:u w:val="none"/>
        </w:rPr>
        <w:t>28</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_Toc15591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三</w:t>
      </w:r>
      <w:r>
        <w:rPr>
          <w:rFonts w:hint="default" w:ascii="Times New Roman" w:hAnsi="Times New Roman" w:eastAsia="黑体" w:cs="Times New Roman"/>
          <w:kern w:val="2"/>
          <w:sz w:val="28"/>
          <w:szCs w:val="32"/>
          <w:highlight w:val="none"/>
          <w:u w:val="none"/>
          <w:lang w:val="en-US" w:eastAsia="zh-CN" w:bidi="ar-SA"/>
        </w:rPr>
        <w:t>、</w:t>
      </w:r>
      <w:r>
        <w:rPr>
          <w:rFonts w:hint="eastAsia" w:ascii="Times New Roman" w:hAnsi="Times New Roman" w:eastAsia="黑体" w:cs="Times New Roman"/>
          <w:kern w:val="2"/>
          <w:sz w:val="28"/>
          <w:szCs w:val="32"/>
          <w:highlight w:val="none"/>
          <w:u w:val="none"/>
          <w:lang w:val="en-US" w:eastAsia="zh-CN" w:bidi="ar-SA"/>
        </w:rPr>
        <w:t>提升</w:t>
      </w:r>
      <w:r>
        <w:rPr>
          <w:rFonts w:hint="default" w:ascii="Times New Roman" w:hAnsi="Times New Roman" w:eastAsia="黑体" w:cs="Times New Roman"/>
          <w:kern w:val="2"/>
          <w:sz w:val="28"/>
          <w:szCs w:val="32"/>
          <w:highlight w:val="none"/>
          <w:u w:val="none"/>
          <w:lang w:val="en-US" w:eastAsia="zh-CN" w:bidi="ar-SA"/>
        </w:rPr>
        <w:t>基层医疗</w:t>
      </w:r>
      <w:r>
        <w:rPr>
          <w:rFonts w:hint="eastAsia" w:ascii="Times New Roman" w:hAnsi="Times New Roman" w:eastAsia="黑体" w:cs="Times New Roman"/>
          <w:kern w:val="2"/>
          <w:sz w:val="28"/>
          <w:szCs w:val="32"/>
          <w:highlight w:val="none"/>
          <w:u w:val="none"/>
          <w:lang w:val="en-US" w:eastAsia="zh-CN" w:bidi="ar-SA"/>
        </w:rPr>
        <w:t>卫生</w:t>
      </w:r>
      <w:r>
        <w:rPr>
          <w:rFonts w:hint="default" w:ascii="Times New Roman" w:hAnsi="Times New Roman" w:eastAsia="黑体" w:cs="Times New Roman"/>
          <w:kern w:val="2"/>
          <w:sz w:val="28"/>
          <w:szCs w:val="32"/>
          <w:highlight w:val="none"/>
          <w:u w:val="none"/>
          <w:lang w:val="en-US" w:eastAsia="zh-CN" w:bidi="ar-SA"/>
        </w:rPr>
        <w:t>服务</w:t>
      </w:r>
      <w:r>
        <w:rPr>
          <w:rFonts w:hint="eastAsia" w:ascii="Times New Roman" w:hAnsi="Times New Roman" w:eastAsia="黑体" w:cs="Times New Roman"/>
          <w:kern w:val="2"/>
          <w:sz w:val="28"/>
          <w:szCs w:val="32"/>
          <w:highlight w:val="none"/>
          <w:u w:val="none"/>
          <w:lang w:val="en-US" w:eastAsia="zh-CN" w:bidi="ar-SA"/>
        </w:rPr>
        <w:t>水平</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_Toc15591 \h </w:instrText>
      </w:r>
      <w:r>
        <w:rPr>
          <w:rFonts w:ascii="Times New Roman" w:hAnsi="Times New Roman"/>
          <w:sz w:val="28"/>
          <w:u w:val="none"/>
        </w:rPr>
        <w:fldChar w:fldCharType="separate"/>
      </w:r>
      <w:r>
        <w:rPr>
          <w:rFonts w:ascii="Times New Roman" w:hAnsi="Times New Roman"/>
          <w:sz w:val="28"/>
          <w:u w:val="none"/>
        </w:rPr>
        <w:t>29</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_Toc14420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四</w:t>
      </w:r>
      <w:r>
        <w:rPr>
          <w:rFonts w:hint="default" w:ascii="Times New Roman" w:hAnsi="Times New Roman" w:eastAsia="黑体" w:cs="Times New Roman"/>
          <w:kern w:val="2"/>
          <w:sz w:val="28"/>
          <w:szCs w:val="32"/>
          <w:highlight w:val="none"/>
          <w:u w:val="none"/>
          <w:lang w:val="en-US" w:eastAsia="zh-CN" w:bidi="ar-SA"/>
        </w:rPr>
        <w:t>、</w:t>
      </w:r>
      <w:r>
        <w:rPr>
          <w:rFonts w:hint="eastAsia" w:ascii="Times New Roman" w:hAnsi="Times New Roman" w:eastAsia="黑体" w:cs="Times New Roman"/>
          <w:kern w:val="2"/>
          <w:sz w:val="28"/>
          <w:szCs w:val="32"/>
          <w:highlight w:val="none"/>
          <w:u w:val="none"/>
          <w:lang w:val="en-US" w:eastAsia="zh-CN" w:bidi="ar-SA"/>
        </w:rPr>
        <w:t>加强</w:t>
      </w:r>
      <w:r>
        <w:rPr>
          <w:rFonts w:hint="default" w:ascii="Times New Roman" w:hAnsi="Times New Roman" w:eastAsia="黑体" w:cs="Times New Roman"/>
          <w:kern w:val="2"/>
          <w:sz w:val="28"/>
          <w:szCs w:val="32"/>
          <w:highlight w:val="none"/>
          <w:u w:val="none"/>
          <w:lang w:val="en-US" w:eastAsia="zh-CN" w:bidi="ar-SA"/>
        </w:rPr>
        <w:t>公共卫生防控能力</w:t>
      </w:r>
      <w:r>
        <w:rPr>
          <w:rFonts w:hint="eastAsia" w:ascii="Times New Roman" w:hAnsi="Times New Roman" w:eastAsia="黑体" w:cs="Times New Roman"/>
          <w:kern w:val="2"/>
          <w:sz w:val="28"/>
          <w:szCs w:val="32"/>
          <w:highlight w:val="none"/>
          <w:u w:val="none"/>
          <w:lang w:val="en-US" w:eastAsia="zh-CN" w:bidi="ar-SA"/>
        </w:rPr>
        <w:t>建设</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_Toc14420 \h </w:instrText>
      </w:r>
      <w:r>
        <w:rPr>
          <w:rFonts w:ascii="Times New Roman" w:hAnsi="Times New Roman"/>
          <w:sz w:val="28"/>
          <w:u w:val="none"/>
        </w:rPr>
        <w:fldChar w:fldCharType="separate"/>
      </w:r>
      <w:r>
        <w:rPr>
          <w:rFonts w:ascii="Times New Roman" w:hAnsi="Times New Roman"/>
          <w:sz w:val="28"/>
          <w:u w:val="none"/>
        </w:rPr>
        <w:t>31</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_Toc17935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五、</w:t>
      </w:r>
      <w:r>
        <w:rPr>
          <w:rFonts w:hint="default" w:ascii="Times New Roman" w:hAnsi="Times New Roman" w:eastAsia="黑体" w:cs="Times New Roman"/>
          <w:sz w:val="28"/>
          <w:szCs w:val="32"/>
          <w:highlight w:val="none"/>
          <w:u w:val="none"/>
          <w:lang w:val="en-US" w:eastAsia="zh-CN"/>
        </w:rPr>
        <w:t>促进各类办医主体</w:t>
      </w:r>
      <w:r>
        <w:rPr>
          <w:rFonts w:hint="eastAsia" w:ascii="Times New Roman" w:hAnsi="Times New Roman" w:eastAsia="黑体" w:cs="Times New Roman"/>
          <w:sz w:val="28"/>
          <w:szCs w:val="32"/>
          <w:highlight w:val="none"/>
          <w:u w:val="none"/>
          <w:lang w:val="en-US" w:eastAsia="zh-CN"/>
        </w:rPr>
        <w:t>协同</w:t>
      </w:r>
      <w:r>
        <w:rPr>
          <w:rFonts w:hint="default" w:ascii="Times New Roman" w:hAnsi="Times New Roman" w:eastAsia="黑体" w:cs="Times New Roman"/>
          <w:sz w:val="28"/>
          <w:szCs w:val="32"/>
          <w:highlight w:val="none"/>
          <w:u w:val="none"/>
          <w:lang w:val="en-US" w:eastAsia="zh-CN"/>
        </w:rPr>
        <w:t>发展</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_Toc17935 \h </w:instrText>
      </w:r>
      <w:r>
        <w:rPr>
          <w:rFonts w:ascii="Times New Roman" w:hAnsi="Times New Roman"/>
          <w:sz w:val="28"/>
          <w:u w:val="none"/>
        </w:rPr>
        <w:fldChar w:fldCharType="separate"/>
      </w:r>
      <w:r>
        <w:rPr>
          <w:rFonts w:ascii="Times New Roman" w:hAnsi="Times New Roman"/>
          <w:sz w:val="28"/>
          <w:u w:val="none"/>
        </w:rPr>
        <w:t>32</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4"/>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_Toc4745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方正小标宋_GBK" w:cs="Times New Roman"/>
          <w:bCs/>
          <w:kern w:val="2"/>
          <w:sz w:val="28"/>
          <w:szCs w:val="36"/>
          <w:highlight w:val="none"/>
          <w:u w:val="none"/>
          <w:lang w:val="en-US" w:eastAsia="zh-CN" w:bidi="ar-SA"/>
        </w:rPr>
        <w:t>第五章 建设高质量充分就业体系</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_Toc4745 \h </w:instrText>
      </w:r>
      <w:r>
        <w:rPr>
          <w:rFonts w:ascii="Times New Roman" w:hAnsi="Times New Roman"/>
          <w:sz w:val="28"/>
          <w:u w:val="none"/>
        </w:rPr>
        <w:fldChar w:fldCharType="separate"/>
      </w:r>
      <w:r>
        <w:rPr>
          <w:rFonts w:ascii="Times New Roman" w:hAnsi="Times New Roman"/>
          <w:sz w:val="28"/>
          <w:u w:val="none"/>
        </w:rPr>
        <w:t>33</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_Toc11019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一、强化就业优先战略导向</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_Toc11019 \h </w:instrText>
      </w:r>
      <w:r>
        <w:rPr>
          <w:rFonts w:ascii="Times New Roman" w:hAnsi="Times New Roman"/>
          <w:sz w:val="28"/>
          <w:u w:val="none"/>
        </w:rPr>
        <w:fldChar w:fldCharType="separate"/>
      </w:r>
      <w:r>
        <w:rPr>
          <w:rFonts w:ascii="Times New Roman" w:hAnsi="Times New Roman"/>
          <w:sz w:val="28"/>
          <w:u w:val="none"/>
        </w:rPr>
        <w:t>33</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_Toc2792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二、</w:t>
      </w:r>
      <w:r>
        <w:rPr>
          <w:rFonts w:hint="eastAsia" w:ascii="Times New Roman" w:hAnsi="Times New Roman" w:eastAsia="黑体" w:cs="Times New Roman"/>
          <w:sz w:val="28"/>
          <w:szCs w:val="32"/>
          <w:highlight w:val="none"/>
          <w:u w:val="none"/>
        </w:rPr>
        <w:t>织密</w:t>
      </w:r>
      <w:r>
        <w:rPr>
          <w:rFonts w:hint="eastAsia" w:ascii="Times New Roman" w:hAnsi="Times New Roman" w:eastAsia="黑体" w:cs="Times New Roman"/>
          <w:sz w:val="28"/>
          <w:szCs w:val="32"/>
          <w:highlight w:val="none"/>
          <w:u w:val="none"/>
          <w:lang w:val="en-US" w:eastAsia="zh-CN"/>
        </w:rPr>
        <w:t>全域</w:t>
      </w:r>
      <w:r>
        <w:rPr>
          <w:rFonts w:hint="eastAsia" w:ascii="Times New Roman" w:hAnsi="Times New Roman" w:eastAsia="黑体" w:cs="Times New Roman"/>
          <w:sz w:val="28"/>
          <w:szCs w:val="32"/>
          <w:highlight w:val="none"/>
          <w:u w:val="none"/>
        </w:rPr>
        <w:t>就业服务网络</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_Toc2792 \h </w:instrText>
      </w:r>
      <w:r>
        <w:rPr>
          <w:rFonts w:ascii="Times New Roman" w:hAnsi="Times New Roman"/>
          <w:sz w:val="28"/>
          <w:u w:val="none"/>
        </w:rPr>
        <w:fldChar w:fldCharType="separate"/>
      </w:r>
      <w:r>
        <w:rPr>
          <w:rFonts w:ascii="Times New Roman" w:hAnsi="Times New Roman"/>
          <w:sz w:val="28"/>
          <w:u w:val="none"/>
        </w:rPr>
        <w:t>34</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_Toc17816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三、</w:t>
      </w:r>
      <w:r>
        <w:rPr>
          <w:rFonts w:hint="eastAsia" w:ascii="Times New Roman" w:hAnsi="Times New Roman" w:eastAsia="黑体" w:cs="Times New Roman"/>
          <w:sz w:val="28"/>
          <w:szCs w:val="32"/>
          <w:highlight w:val="none"/>
          <w:u w:val="none"/>
        </w:rPr>
        <w:t>强化职业技能人才培养</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_Toc17816 \h </w:instrText>
      </w:r>
      <w:r>
        <w:rPr>
          <w:rFonts w:ascii="Times New Roman" w:hAnsi="Times New Roman"/>
          <w:sz w:val="28"/>
          <w:u w:val="none"/>
        </w:rPr>
        <w:fldChar w:fldCharType="separate"/>
      </w:r>
      <w:r>
        <w:rPr>
          <w:rFonts w:ascii="Times New Roman" w:hAnsi="Times New Roman"/>
          <w:sz w:val="28"/>
          <w:u w:val="none"/>
        </w:rPr>
        <w:t>35</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4"/>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_Toc17250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方正小标宋_GBK" w:cs="Times New Roman"/>
          <w:bCs/>
          <w:kern w:val="2"/>
          <w:sz w:val="28"/>
          <w:szCs w:val="36"/>
          <w:highlight w:val="none"/>
          <w:u w:val="none"/>
          <w:lang w:val="en-US" w:eastAsia="zh-CN" w:bidi="ar-SA"/>
        </w:rPr>
        <w:t xml:space="preserve">第六章 </w:t>
      </w:r>
      <w:r>
        <w:rPr>
          <w:rFonts w:hint="default" w:ascii="Times New Roman" w:hAnsi="Times New Roman" w:eastAsia="方正小标宋_GBK" w:cs="Times New Roman"/>
          <w:bCs/>
          <w:sz w:val="28"/>
          <w:szCs w:val="36"/>
          <w:highlight w:val="none"/>
          <w:u w:val="none"/>
          <w:lang w:val="en-US" w:eastAsia="zh-CN"/>
        </w:rPr>
        <w:t>提高公共文化体育</w:t>
      </w:r>
      <w:r>
        <w:rPr>
          <w:rFonts w:hint="eastAsia" w:ascii="Times New Roman" w:hAnsi="Times New Roman" w:eastAsia="方正小标宋_GBK" w:cs="Times New Roman"/>
          <w:bCs/>
          <w:sz w:val="28"/>
          <w:szCs w:val="36"/>
          <w:highlight w:val="none"/>
          <w:u w:val="none"/>
          <w:lang w:val="en-US" w:eastAsia="zh-CN"/>
        </w:rPr>
        <w:t>服务质效</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_Toc17250 \h </w:instrText>
      </w:r>
      <w:r>
        <w:rPr>
          <w:rFonts w:ascii="Times New Roman" w:hAnsi="Times New Roman"/>
          <w:sz w:val="28"/>
          <w:u w:val="none"/>
        </w:rPr>
        <w:fldChar w:fldCharType="separate"/>
      </w:r>
      <w:r>
        <w:rPr>
          <w:rFonts w:ascii="Times New Roman" w:hAnsi="Times New Roman"/>
          <w:sz w:val="28"/>
          <w:u w:val="none"/>
        </w:rPr>
        <w:t>37</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_Toc19046 </w:instrText>
      </w:r>
      <w:r>
        <w:rPr>
          <w:rFonts w:hint="default" w:ascii="Times New Roman" w:hAnsi="Times New Roman" w:cs="Times New Roman"/>
          <w:sz w:val="28"/>
          <w:szCs w:val="28"/>
          <w:highlight w:val="none"/>
          <w:u w:val="none"/>
        </w:rPr>
        <w:fldChar w:fldCharType="separate"/>
      </w:r>
      <w:r>
        <w:rPr>
          <w:rFonts w:hint="default" w:ascii="Times New Roman" w:hAnsi="Times New Roman" w:eastAsia="黑体" w:cs="Times New Roman"/>
          <w:kern w:val="2"/>
          <w:sz w:val="28"/>
          <w:szCs w:val="32"/>
          <w:highlight w:val="none"/>
          <w:u w:val="none"/>
          <w:lang w:val="en-US" w:eastAsia="zh-CN" w:bidi="ar-SA"/>
        </w:rPr>
        <w:t>一、增强公共文化服务供给能力</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_Toc19046 \h </w:instrText>
      </w:r>
      <w:r>
        <w:rPr>
          <w:rFonts w:ascii="Times New Roman" w:hAnsi="Times New Roman"/>
          <w:sz w:val="28"/>
          <w:u w:val="none"/>
        </w:rPr>
        <w:fldChar w:fldCharType="separate"/>
      </w:r>
      <w:r>
        <w:rPr>
          <w:rFonts w:ascii="Times New Roman" w:hAnsi="Times New Roman"/>
          <w:sz w:val="28"/>
          <w:u w:val="none"/>
        </w:rPr>
        <w:t>37</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_Toc22114 </w:instrText>
      </w:r>
      <w:r>
        <w:rPr>
          <w:rFonts w:hint="default" w:ascii="Times New Roman" w:hAnsi="Times New Roman" w:cs="Times New Roman"/>
          <w:sz w:val="28"/>
          <w:szCs w:val="28"/>
          <w:highlight w:val="none"/>
          <w:u w:val="none"/>
        </w:rPr>
        <w:fldChar w:fldCharType="separate"/>
      </w:r>
      <w:r>
        <w:rPr>
          <w:rFonts w:hint="default" w:ascii="Times New Roman" w:hAnsi="Times New Roman" w:eastAsia="黑体" w:cs="Times New Roman"/>
          <w:kern w:val="2"/>
          <w:sz w:val="28"/>
          <w:szCs w:val="32"/>
          <w:highlight w:val="none"/>
          <w:u w:val="none"/>
          <w:lang w:val="en-US" w:eastAsia="zh-CN" w:bidi="ar-SA"/>
        </w:rPr>
        <w:t>二、构建全民</w:t>
      </w:r>
      <w:r>
        <w:rPr>
          <w:rFonts w:hint="eastAsia" w:ascii="Times New Roman" w:hAnsi="Times New Roman" w:eastAsia="黑体" w:cs="Times New Roman"/>
          <w:kern w:val="2"/>
          <w:sz w:val="28"/>
          <w:szCs w:val="32"/>
          <w:highlight w:val="none"/>
          <w:u w:val="none"/>
          <w:lang w:val="en-US" w:eastAsia="zh-CN" w:bidi="ar-SA"/>
        </w:rPr>
        <w:t>多元</w:t>
      </w:r>
      <w:r>
        <w:rPr>
          <w:rFonts w:hint="default" w:ascii="Times New Roman" w:hAnsi="Times New Roman" w:eastAsia="黑体" w:cs="Times New Roman"/>
          <w:kern w:val="2"/>
          <w:sz w:val="28"/>
          <w:szCs w:val="32"/>
          <w:highlight w:val="none"/>
          <w:u w:val="none"/>
          <w:lang w:val="en-US" w:eastAsia="zh-CN" w:bidi="ar-SA"/>
        </w:rPr>
        <w:t>健身服务体系</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_Toc22114 \h </w:instrText>
      </w:r>
      <w:r>
        <w:rPr>
          <w:rFonts w:ascii="Times New Roman" w:hAnsi="Times New Roman"/>
          <w:sz w:val="28"/>
          <w:u w:val="none"/>
        </w:rPr>
        <w:fldChar w:fldCharType="separate"/>
      </w:r>
      <w:r>
        <w:rPr>
          <w:rFonts w:ascii="Times New Roman" w:hAnsi="Times New Roman"/>
          <w:sz w:val="28"/>
          <w:u w:val="none"/>
        </w:rPr>
        <w:t>39</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4"/>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_Toc10440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方正小标宋_GBK" w:cs="方正小标宋_GBK"/>
          <w:bCs/>
          <w:sz w:val="28"/>
          <w:szCs w:val="36"/>
          <w:highlight w:val="none"/>
          <w:u w:val="none"/>
          <w:lang w:val="en-US" w:eastAsia="zh-CN"/>
        </w:rPr>
        <w:t>第七章 构建重点人群精准保障体系</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_Toc10440 \h </w:instrText>
      </w:r>
      <w:r>
        <w:rPr>
          <w:rFonts w:ascii="Times New Roman" w:hAnsi="Times New Roman"/>
          <w:sz w:val="28"/>
          <w:u w:val="none"/>
        </w:rPr>
        <w:fldChar w:fldCharType="separate"/>
      </w:r>
      <w:r>
        <w:rPr>
          <w:rFonts w:ascii="Times New Roman" w:hAnsi="Times New Roman"/>
          <w:sz w:val="28"/>
          <w:u w:val="none"/>
        </w:rPr>
        <w:t>42</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_Toc569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一、抓好“一老一小”服务体系建设</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_Toc569 \h </w:instrText>
      </w:r>
      <w:r>
        <w:rPr>
          <w:rFonts w:ascii="Times New Roman" w:hAnsi="Times New Roman"/>
          <w:sz w:val="28"/>
          <w:u w:val="none"/>
        </w:rPr>
        <w:fldChar w:fldCharType="separate"/>
      </w:r>
      <w:r>
        <w:rPr>
          <w:rFonts w:ascii="Times New Roman" w:hAnsi="Times New Roman"/>
          <w:sz w:val="28"/>
          <w:u w:val="none"/>
        </w:rPr>
        <w:t>42</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_Toc10473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二、加强困难群体和残疾人保障</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_Toc10473 \h </w:instrText>
      </w:r>
      <w:r>
        <w:rPr>
          <w:rFonts w:ascii="Times New Roman" w:hAnsi="Times New Roman"/>
          <w:sz w:val="28"/>
          <w:u w:val="none"/>
        </w:rPr>
        <w:fldChar w:fldCharType="separate"/>
      </w:r>
      <w:r>
        <w:rPr>
          <w:rFonts w:ascii="Times New Roman" w:hAnsi="Times New Roman"/>
          <w:sz w:val="28"/>
          <w:u w:val="none"/>
        </w:rPr>
        <w:t>45</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_Toc27906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三、强化妇女儿童和退役军人服务</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_Toc27906 \h </w:instrText>
      </w:r>
      <w:r>
        <w:rPr>
          <w:rFonts w:ascii="Times New Roman" w:hAnsi="Times New Roman"/>
          <w:sz w:val="28"/>
          <w:u w:val="none"/>
        </w:rPr>
        <w:fldChar w:fldCharType="separate"/>
      </w:r>
      <w:r>
        <w:rPr>
          <w:rFonts w:ascii="Times New Roman" w:hAnsi="Times New Roman"/>
          <w:sz w:val="28"/>
          <w:u w:val="none"/>
        </w:rPr>
        <w:t>47</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4"/>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_Toc17582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方正小标宋_GBK" w:cs="方正小标宋_GBK"/>
          <w:bCs/>
          <w:sz w:val="28"/>
          <w:szCs w:val="36"/>
          <w:highlight w:val="none"/>
          <w:u w:val="none"/>
          <w:lang w:val="en-US" w:eastAsia="zh-CN"/>
        </w:rPr>
        <w:t>第八章 提质扩容社会保障服务网络</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_Toc17582 \h </w:instrText>
      </w:r>
      <w:r>
        <w:rPr>
          <w:rFonts w:ascii="Times New Roman" w:hAnsi="Times New Roman"/>
          <w:sz w:val="28"/>
          <w:u w:val="none"/>
        </w:rPr>
        <w:fldChar w:fldCharType="separate"/>
      </w:r>
      <w:r>
        <w:rPr>
          <w:rFonts w:ascii="Times New Roman" w:hAnsi="Times New Roman"/>
          <w:sz w:val="28"/>
          <w:u w:val="none"/>
        </w:rPr>
        <w:t>49</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_Toc11380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一、健全社会救助体系</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_Toc11380 \h </w:instrText>
      </w:r>
      <w:r>
        <w:rPr>
          <w:rFonts w:ascii="Times New Roman" w:hAnsi="Times New Roman"/>
          <w:sz w:val="28"/>
          <w:u w:val="none"/>
        </w:rPr>
        <w:fldChar w:fldCharType="separate"/>
      </w:r>
      <w:r>
        <w:rPr>
          <w:rFonts w:ascii="Times New Roman" w:hAnsi="Times New Roman"/>
          <w:sz w:val="28"/>
          <w:u w:val="none"/>
        </w:rPr>
        <w:t>49</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_Toc22704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bCs w:val="0"/>
          <w:sz w:val="28"/>
          <w:szCs w:val="32"/>
          <w:highlight w:val="none"/>
          <w:u w:val="none"/>
          <w:lang w:val="en-US" w:eastAsia="zh-CN"/>
        </w:rPr>
        <w:t>二、完善社会保险体系</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_Toc22704 \h </w:instrText>
      </w:r>
      <w:r>
        <w:rPr>
          <w:rFonts w:ascii="Times New Roman" w:hAnsi="Times New Roman"/>
          <w:sz w:val="28"/>
          <w:u w:val="none"/>
        </w:rPr>
        <w:fldChar w:fldCharType="separate"/>
      </w:r>
      <w:r>
        <w:rPr>
          <w:rFonts w:ascii="Times New Roman" w:hAnsi="Times New Roman"/>
          <w:sz w:val="28"/>
          <w:u w:val="none"/>
        </w:rPr>
        <w:t>49</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_Toc22913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bidi="ar-SA"/>
        </w:rPr>
        <w:t>三、</w:t>
      </w:r>
      <w:r>
        <w:rPr>
          <w:rFonts w:hint="eastAsia" w:ascii="Times New Roman" w:hAnsi="Times New Roman" w:eastAsia="黑体" w:cs="Times New Roman"/>
          <w:bCs w:val="0"/>
          <w:sz w:val="28"/>
          <w:szCs w:val="32"/>
          <w:highlight w:val="none"/>
          <w:u w:val="none"/>
          <w:lang w:val="en-US" w:eastAsia="zh-CN"/>
        </w:rPr>
        <w:t>优化住房保障服务</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_Toc22913 \h </w:instrText>
      </w:r>
      <w:r>
        <w:rPr>
          <w:rFonts w:ascii="Times New Roman" w:hAnsi="Times New Roman"/>
          <w:sz w:val="28"/>
          <w:u w:val="none"/>
        </w:rPr>
        <w:fldChar w:fldCharType="separate"/>
      </w:r>
      <w:r>
        <w:rPr>
          <w:rFonts w:ascii="Times New Roman" w:hAnsi="Times New Roman"/>
          <w:sz w:val="28"/>
          <w:u w:val="none"/>
        </w:rPr>
        <w:t>50</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_Toc30191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四、</w:t>
      </w:r>
      <w:r>
        <w:rPr>
          <w:rFonts w:hint="eastAsia" w:ascii="Times New Roman" w:hAnsi="Times New Roman" w:eastAsia="黑体" w:cs="Times New Roman"/>
          <w:sz w:val="28"/>
          <w:szCs w:val="32"/>
          <w:highlight w:val="none"/>
          <w:u w:val="none"/>
          <w:lang w:val="en-US" w:eastAsia="zh-CN"/>
        </w:rPr>
        <w:t>推进公益性殡葬设施</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_Toc30191 \h </w:instrText>
      </w:r>
      <w:r>
        <w:rPr>
          <w:rFonts w:ascii="Times New Roman" w:hAnsi="Times New Roman"/>
          <w:sz w:val="28"/>
          <w:u w:val="none"/>
        </w:rPr>
        <w:fldChar w:fldCharType="separate"/>
      </w:r>
      <w:r>
        <w:rPr>
          <w:rFonts w:ascii="Times New Roman" w:hAnsi="Times New Roman"/>
          <w:sz w:val="28"/>
          <w:u w:val="none"/>
        </w:rPr>
        <w:t>51</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_Toc30132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kern w:val="2"/>
          <w:sz w:val="28"/>
          <w:szCs w:val="32"/>
          <w:highlight w:val="none"/>
          <w:u w:val="none"/>
          <w:lang w:val="en-US" w:eastAsia="zh-CN" w:bidi="ar-SA"/>
        </w:rPr>
        <w:t>五</w:t>
      </w:r>
      <w:r>
        <w:rPr>
          <w:rFonts w:hint="eastAsia" w:ascii="Times New Roman" w:hAnsi="Times New Roman" w:eastAsia="黑体" w:cs="黑体"/>
          <w:bCs/>
          <w:sz w:val="28"/>
          <w:szCs w:val="32"/>
          <w:highlight w:val="none"/>
          <w:u w:val="none"/>
        </w:rPr>
        <w:t>、建设高水平“平安怀柔”</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_Toc30132 \h </w:instrText>
      </w:r>
      <w:r>
        <w:rPr>
          <w:rFonts w:ascii="Times New Roman" w:hAnsi="Times New Roman"/>
          <w:sz w:val="28"/>
          <w:u w:val="none"/>
        </w:rPr>
        <w:fldChar w:fldCharType="separate"/>
      </w:r>
      <w:r>
        <w:rPr>
          <w:rFonts w:ascii="Times New Roman" w:hAnsi="Times New Roman"/>
          <w:sz w:val="28"/>
          <w:u w:val="none"/>
        </w:rPr>
        <w:t>51</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_Toc8746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黑体"/>
          <w:kern w:val="2"/>
          <w:sz w:val="28"/>
          <w:szCs w:val="32"/>
          <w:highlight w:val="none"/>
          <w:u w:val="none"/>
          <w:lang w:val="en-US" w:eastAsia="zh-CN" w:bidi="ar-SA"/>
        </w:rPr>
        <w:t>六、提供高品质法律服务</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_Toc8746 \h </w:instrText>
      </w:r>
      <w:r>
        <w:rPr>
          <w:rFonts w:ascii="Times New Roman" w:hAnsi="Times New Roman"/>
          <w:sz w:val="28"/>
          <w:u w:val="none"/>
        </w:rPr>
        <w:fldChar w:fldCharType="separate"/>
      </w:r>
      <w:r>
        <w:rPr>
          <w:rFonts w:ascii="Times New Roman" w:hAnsi="Times New Roman"/>
          <w:sz w:val="28"/>
          <w:u w:val="none"/>
        </w:rPr>
        <w:t>53</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4"/>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_Toc22693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方正小标宋_GBK" w:cs="方正小标宋_GBK"/>
          <w:bCs/>
          <w:sz w:val="28"/>
          <w:szCs w:val="36"/>
          <w:highlight w:val="none"/>
          <w:u w:val="none"/>
          <w:lang w:val="en-US" w:eastAsia="zh-CN"/>
        </w:rPr>
        <w:t>第九章 保障措施</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_Toc22693 \h </w:instrText>
      </w:r>
      <w:r>
        <w:rPr>
          <w:rFonts w:ascii="Times New Roman" w:hAnsi="Times New Roman"/>
          <w:sz w:val="28"/>
          <w:u w:val="none"/>
        </w:rPr>
        <w:fldChar w:fldCharType="separate"/>
      </w:r>
      <w:r>
        <w:rPr>
          <w:rFonts w:ascii="Times New Roman" w:hAnsi="Times New Roman"/>
          <w:sz w:val="28"/>
          <w:u w:val="none"/>
        </w:rPr>
        <w:t>55</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_Toc1035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一、强化部门协同联动</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_Toc1035 \h </w:instrText>
      </w:r>
      <w:r>
        <w:rPr>
          <w:rFonts w:ascii="Times New Roman" w:hAnsi="Times New Roman"/>
          <w:sz w:val="28"/>
          <w:u w:val="none"/>
        </w:rPr>
        <w:fldChar w:fldCharType="separate"/>
      </w:r>
      <w:r>
        <w:rPr>
          <w:rFonts w:ascii="Times New Roman" w:hAnsi="Times New Roman"/>
          <w:sz w:val="28"/>
          <w:u w:val="none"/>
        </w:rPr>
        <w:t>55</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_Toc19975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二、增强多元资金保障</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_Toc19975 \h </w:instrText>
      </w:r>
      <w:r>
        <w:rPr>
          <w:rFonts w:ascii="Times New Roman" w:hAnsi="Times New Roman"/>
          <w:sz w:val="28"/>
          <w:u w:val="none"/>
        </w:rPr>
        <w:fldChar w:fldCharType="separate"/>
      </w:r>
      <w:r>
        <w:rPr>
          <w:rFonts w:ascii="Times New Roman" w:hAnsi="Times New Roman"/>
          <w:sz w:val="28"/>
          <w:u w:val="none"/>
        </w:rPr>
        <w:t>55</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_Toc8571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三、加强专业队伍建设</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_Toc8571 \h </w:instrText>
      </w:r>
      <w:r>
        <w:rPr>
          <w:rFonts w:ascii="Times New Roman" w:hAnsi="Times New Roman"/>
          <w:sz w:val="28"/>
          <w:u w:val="none"/>
        </w:rPr>
        <w:fldChar w:fldCharType="separate"/>
      </w:r>
      <w:r>
        <w:rPr>
          <w:rFonts w:ascii="Times New Roman" w:hAnsi="Times New Roman"/>
          <w:sz w:val="28"/>
          <w:u w:val="none"/>
        </w:rPr>
        <w:t>55</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pStyle w:val="16"/>
        <w:tabs>
          <w:tab w:val="right" w:leader="dot" w:pos="8306"/>
        </w:tabs>
        <w:rPr>
          <w:rFonts w:ascii="Times New Roman" w:hAnsi="Times New Roman"/>
          <w:sz w:val="28"/>
          <w:u w:val="none"/>
        </w:rPr>
      </w:pPr>
      <w:r>
        <w:rPr>
          <w:rFonts w:hint="default" w:ascii="Times New Roman" w:hAnsi="Times New Roman" w:cs="Times New Roman"/>
          <w:sz w:val="28"/>
          <w:szCs w:val="28"/>
          <w:highlight w:val="none"/>
          <w:u w:val="none"/>
        </w:rPr>
        <w:fldChar w:fldCharType="begin"/>
      </w:r>
      <w:r>
        <w:rPr>
          <w:rFonts w:hint="default" w:ascii="Times New Roman" w:hAnsi="Times New Roman" w:cs="Times New Roman"/>
          <w:sz w:val="28"/>
          <w:szCs w:val="28"/>
          <w:highlight w:val="none"/>
          <w:u w:val="none"/>
        </w:rPr>
        <w:instrText xml:space="preserve"> HYPERLINK \l _Toc4372 </w:instrText>
      </w:r>
      <w:r>
        <w:rPr>
          <w:rFonts w:hint="default" w:ascii="Times New Roman" w:hAnsi="Times New Roman" w:cs="Times New Roman"/>
          <w:sz w:val="28"/>
          <w:szCs w:val="28"/>
          <w:highlight w:val="none"/>
          <w:u w:val="none"/>
        </w:rPr>
        <w:fldChar w:fldCharType="separate"/>
      </w:r>
      <w:r>
        <w:rPr>
          <w:rFonts w:hint="eastAsia" w:ascii="Times New Roman" w:hAnsi="Times New Roman" w:eastAsia="黑体" w:cs="Times New Roman"/>
          <w:sz w:val="28"/>
          <w:szCs w:val="32"/>
          <w:highlight w:val="none"/>
          <w:u w:val="none"/>
          <w:lang w:val="en-US" w:eastAsia="zh-CN"/>
        </w:rPr>
        <w:t>四、落实规划监督评估</w:t>
      </w:r>
      <w:r>
        <w:rPr>
          <w:rFonts w:ascii="Times New Roman" w:hAnsi="Times New Roman"/>
          <w:sz w:val="28"/>
          <w:u w:val="none"/>
        </w:rPr>
        <w:tab/>
      </w:r>
      <w:r>
        <w:rPr>
          <w:rFonts w:ascii="Times New Roman" w:hAnsi="Times New Roman"/>
          <w:sz w:val="28"/>
          <w:u w:val="none"/>
        </w:rPr>
        <w:fldChar w:fldCharType="begin"/>
      </w:r>
      <w:r>
        <w:rPr>
          <w:rFonts w:ascii="Times New Roman" w:hAnsi="Times New Roman"/>
          <w:sz w:val="28"/>
          <w:u w:val="none"/>
        </w:rPr>
        <w:instrText xml:space="preserve"> PAGEREF _Toc4372 \h </w:instrText>
      </w:r>
      <w:r>
        <w:rPr>
          <w:rFonts w:ascii="Times New Roman" w:hAnsi="Times New Roman"/>
          <w:sz w:val="28"/>
          <w:u w:val="none"/>
        </w:rPr>
        <w:fldChar w:fldCharType="separate"/>
      </w:r>
      <w:r>
        <w:rPr>
          <w:rFonts w:ascii="Times New Roman" w:hAnsi="Times New Roman"/>
          <w:sz w:val="28"/>
          <w:u w:val="none"/>
        </w:rPr>
        <w:t>56</w:t>
      </w:r>
      <w:r>
        <w:rPr>
          <w:rFonts w:ascii="Times New Roman" w:hAnsi="Times New Roman"/>
          <w:sz w:val="28"/>
          <w:u w:val="none"/>
        </w:rPr>
        <w:fldChar w:fldCharType="end"/>
      </w:r>
      <w:r>
        <w:rPr>
          <w:rFonts w:hint="default" w:ascii="Times New Roman" w:hAnsi="Times New Roman" w:cs="Times New Roman"/>
          <w:sz w:val="28"/>
          <w:szCs w:val="28"/>
          <w:highlight w:val="none"/>
          <w:u w:val="none"/>
        </w:rPr>
        <w:fldChar w:fldCharType="end"/>
      </w:r>
    </w:p>
    <w:p>
      <w:pPr>
        <w:spacing w:beforeLines="0" w:afterLines="0" w:line="560" w:lineRule="exact"/>
        <w:rPr>
          <w:rFonts w:ascii="仿宋_GB2312" w:hAnsi="仿宋_GB2312"/>
          <w:sz w:val="28"/>
          <w:highlight w:val="none"/>
          <w:u w:val="none"/>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sz w:val="28"/>
          <w:szCs w:val="28"/>
          <w:highlight w:val="none"/>
          <w:u w:val="none"/>
        </w:rPr>
        <w:fldChar w:fldCharType="end"/>
      </w:r>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jc w:val="center"/>
        <w:textAlignment w:val="auto"/>
        <w:outlineLvl w:val="9"/>
        <w:rPr>
          <w:rFonts w:hint="eastAsia" w:ascii="仿宋_GB2312" w:hAnsi="仿宋_GB2312" w:eastAsia="方正小标宋_GBK" w:cs="方正小标宋_GBK"/>
          <w:b w:val="0"/>
          <w:bCs/>
          <w:sz w:val="36"/>
          <w:szCs w:val="36"/>
          <w:highlight w:val="none"/>
          <w:u w:val="none"/>
          <w:lang w:val="en-US" w:eastAsia="zh-CN"/>
        </w:rPr>
      </w:pPr>
      <w:bookmarkStart w:id="0" w:name="_Toc3931"/>
      <w:r>
        <w:rPr>
          <w:rFonts w:hint="eastAsia" w:ascii="仿宋_GB2312" w:hAnsi="仿宋_GB2312" w:eastAsia="方正小标宋_GBK" w:cs="方正小标宋_GBK"/>
          <w:b w:val="0"/>
          <w:bCs/>
          <w:sz w:val="36"/>
          <w:szCs w:val="36"/>
          <w:highlight w:val="none"/>
          <w:u w:val="none"/>
          <w:lang w:val="en-US" w:eastAsia="zh-CN"/>
        </w:rPr>
        <w:t>前  言</w:t>
      </w:r>
    </w:p>
    <w:p>
      <w:pPr>
        <w:keepNext w:val="0"/>
        <w:keepLines w:val="0"/>
        <w:pageBreakBefore w:val="0"/>
        <w:widowControl/>
        <w:kinsoku/>
        <w:wordWrap/>
        <w:overflowPunct/>
        <w:topLinePunct w:val="0"/>
        <w:autoSpaceDE/>
        <w:autoSpaceDN/>
        <w:bidi w:val="0"/>
        <w:adjustRightInd/>
        <w:snapToGrid/>
        <w:spacing w:before="0" w:beforeLines="0" w:after="0" w:afterLines="-2147483648" w:line="560" w:lineRule="exact"/>
        <w:ind w:firstLine="640" w:firstLineChars="200"/>
        <w:jc w:val="both"/>
        <w:textAlignment w:val="auto"/>
        <w:outlineLvl w:val="9"/>
        <w:rPr>
          <w:rFonts w:hint="eastAsia" w:ascii="仿宋_GB2312" w:hAnsi="仿宋_GB2312" w:eastAsia="仿宋_GB2312" w:cs="仿宋_GB2312"/>
          <w:bCs/>
          <w:sz w:val="32"/>
          <w:szCs w:val="32"/>
          <w:highlight w:val="none"/>
          <w:u w:val="none"/>
        </w:rPr>
      </w:pPr>
      <w:r>
        <w:rPr>
          <w:rFonts w:hint="eastAsia" w:ascii="仿宋_GB2312" w:hAnsi="仿宋_GB2312" w:eastAsia="仿宋_GB2312" w:cs="仿宋_GB2312"/>
          <w:bCs/>
          <w:sz w:val="32"/>
          <w:szCs w:val="32"/>
          <w:highlight w:val="none"/>
          <w:u w:val="none"/>
          <w:lang w:eastAsia="zh-CN"/>
        </w:rPr>
        <w:t>“十五五”时期在基本实现社会主义现代化进程中具有承前启后的重要地位，是</w:t>
      </w:r>
      <w:r>
        <w:rPr>
          <w:rFonts w:hint="eastAsia" w:ascii="仿宋_GB2312" w:hAnsi="仿宋_GB2312" w:eastAsia="仿宋_GB2312" w:cs="仿宋_GB2312"/>
          <w:bCs/>
          <w:sz w:val="32"/>
          <w:szCs w:val="32"/>
          <w:highlight w:val="none"/>
          <w:u w:val="none"/>
          <w:lang w:val="en-US" w:eastAsia="zh-CN"/>
        </w:rPr>
        <w:t>我国</w:t>
      </w:r>
      <w:r>
        <w:rPr>
          <w:rFonts w:hint="eastAsia" w:ascii="仿宋_GB2312" w:hAnsi="仿宋_GB2312" w:eastAsia="仿宋_GB2312" w:cs="仿宋_GB2312"/>
          <w:bCs/>
          <w:sz w:val="32"/>
          <w:szCs w:val="32"/>
          <w:highlight w:val="none"/>
          <w:u w:val="none"/>
          <w:lang w:eastAsia="zh-CN"/>
        </w:rPr>
        <w:t>基本实现社会主义现代化夯实基础、全面发力的关键时期，</w:t>
      </w:r>
      <w:r>
        <w:rPr>
          <w:rFonts w:hint="eastAsia" w:ascii="仿宋_GB2312" w:hAnsi="仿宋_GB2312" w:eastAsia="仿宋_GB2312" w:cs="仿宋_GB2312"/>
          <w:bCs/>
          <w:sz w:val="32"/>
          <w:szCs w:val="32"/>
          <w:highlight w:val="none"/>
          <w:u w:val="none"/>
        </w:rPr>
        <w:t>是北京市率先基本实现社会主义现代化的攻坚阶段，更是怀柔突破</w:t>
      </w:r>
      <w:r>
        <w:rPr>
          <w:rFonts w:hint="eastAsia" w:ascii="仿宋_GB2312" w:hAnsi="仿宋_GB2312" w:eastAsia="仿宋_GB2312" w:cs="仿宋_GB2312"/>
          <w:bCs/>
          <w:sz w:val="32"/>
          <w:szCs w:val="32"/>
          <w:highlight w:val="none"/>
          <w:u w:val="none"/>
          <w:lang w:val="en-US" w:eastAsia="zh-CN"/>
        </w:rPr>
        <w:t>怀柔</w:t>
      </w:r>
      <w:r>
        <w:rPr>
          <w:rFonts w:hint="eastAsia" w:ascii="仿宋_GB2312" w:hAnsi="仿宋_GB2312" w:eastAsia="仿宋_GB2312" w:cs="仿宋_GB2312"/>
          <w:bCs/>
          <w:sz w:val="32"/>
          <w:szCs w:val="32"/>
          <w:highlight w:val="none"/>
          <w:u w:val="none"/>
        </w:rPr>
        <w:t>科学城统领“1+3”融合发展、建设国际一流的战略科技融合发展示范区的重要机遇期。怀柔</w:t>
      </w:r>
      <w:r>
        <w:rPr>
          <w:rFonts w:hint="eastAsia" w:ascii="仿宋_GB2312" w:hAnsi="仿宋_GB2312" w:eastAsia="仿宋_GB2312" w:cs="仿宋_GB2312"/>
          <w:bCs/>
          <w:sz w:val="32"/>
          <w:szCs w:val="32"/>
          <w:highlight w:val="none"/>
          <w:u w:val="none"/>
          <w:lang w:eastAsia="zh-CN"/>
        </w:rPr>
        <w:t>区</w:t>
      </w:r>
      <w:r>
        <w:rPr>
          <w:rFonts w:hint="eastAsia" w:ascii="仿宋_GB2312" w:hAnsi="仿宋_GB2312" w:eastAsia="仿宋_GB2312" w:cs="仿宋_GB2312"/>
          <w:bCs/>
          <w:sz w:val="32"/>
          <w:szCs w:val="32"/>
          <w:highlight w:val="none"/>
          <w:u w:val="none"/>
        </w:rPr>
        <w:t>将</w:t>
      </w:r>
      <w:r>
        <w:rPr>
          <w:rFonts w:hint="eastAsia" w:ascii="仿宋_GB2312" w:hAnsi="仿宋_GB2312" w:eastAsia="仿宋_GB2312" w:cs="仿宋_GB2312"/>
          <w:bCs/>
          <w:sz w:val="32"/>
          <w:szCs w:val="32"/>
          <w:highlight w:val="none"/>
          <w:u w:val="none"/>
          <w:lang w:eastAsia="zh-CN"/>
        </w:rPr>
        <w:t>锚定“百年科学城”和世界级原始创新承载区目标</w:t>
      </w:r>
      <w:r>
        <w:rPr>
          <w:rFonts w:hint="eastAsia" w:ascii="仿宋_GB2312" w:hAnsi="仿宋_GB2312" w:eastAsia="仿宋_GB2312" w:cs="仿宋_GB2312"/>
          <w:bCs/>
          <w:sz w:val="32"/>
          <w:szCs w:val="32"/>
          <w:highlight w:val="none"/>
          <w:u w:val="none"/>
        </w:rPr>
        <w:t>，全力打造与人民美好生活需要相适应的现代化公共服务</w:t>
      </w:r>
      <w:r>
        <w:rPr>
          <w:rFonts w:hint="eastAsia" w:ascii="仿宋_GB2312" w:hAnsi="仿宋_GB2312" w:eastAsia="仿宋_GB2312" w:cs="仿宋_GB2312"/>
          <w:bCs/>
          <w:sz w:val="32"/>
          <w:szCs w:val="32"/>
          <w:highlight w:val="none"/>
          <w:u w:val="none"/>
          <w:lang w:eastAsia="zh-CN"/>
        </w:rPr>
        <w:t>体系</w:t>
      </w:r>
      <w:r>
        <w:rPr>
          <w:rFonts w:hint="eastAsia" w:ascii="仿宋_GB2312" w:hAnsi="仿宋_GB2312" w:eastAsia="仿宋_GB2312" w:cs="仿宋_GB2312"/>
          <w:bCs/>
          <w:sz w:val="32"/>
          <w:szCs w:val="32"/>
          <w:highlight w:val="none"/>
          <w:u w:val="none"/>
        </w:rPr>
        <w:t>。</w:t>
      </w:r>
    </w:p>
    <w:p>
      <w:pPr>
        <w:keepNext w:val="0"/>
        <w:keepLines w:val="0"/>
        <w:pageBreakBefore w:val="0"/>
        <w:widowControl/>
        <w:kinsoku/>
        <w:wordWrap/>
        <w:overflowPunct/>
        <w:topLinePunct w:val="0"/>
        <w:autoSpaceDE/>
        <w:autoSpaceDN/>
        <w:bidi w:val="0"/>
        <w:adjustRightInd/>
        <w:snapToGrid/>
        <w:spacing w:before="0" w:beforeLines="0" w:after="0" w:afterLines="-2147483648" w:line="560" w:lineRule="exact"/>
        <w:ind w:firstLine="640" w:firstLineChars="200"/>
        <w:jc w:val="both"/>
        <w:textAlignment w:val="auto"/>
        <w:outlineLvl w:val="9"/>
        <w:rPr>
          <w:rFonts w:hint="eastAsia" w:ascii="仿宋_GB2312" w:hAnsi="仿宋_GB2312" w:eastAsia="仿宋_GB2312" w:cs="仿宋_GB2312"/>
          <w:bCs/>
          <w:sz w:val="32"/>
          <w:szCs w:val="32"/>
          <w:highlight w:val="none"/>
          <w:u w:val="none"/>
        </w:rPr>
      </w:pPr>
      <w:r>
        <w:rPr>
          <w:rFonts w:hint="eastAsia" w:ascii="仿宋_GB2312" w:hAnsi="仿宋_GB2312" w:eastAsia="仿宋_GB2312" w:cs="仿宋_GB2312"/>
          <w:bCs/>
          <w:sz w:val="32"/>
          <w:szCs w:val="32"/>
          <w:highlight w:val="none"/>
          <w:u w:val="none"/>
        </w:rPr>
        <w:t>本规划深入贯彻落实以人民为中心的发展思想，坚持在发展中保障和改善民生，聚焦人口结构变化与公共服务短板，强化精准施策、靶向攻坚，旨在通过更高水平、更优质量、更</w:t>
      </w:r>
      <w:r>
        <w:rPr>
          <w:rFonts w:hint="eastAsia" w:ascii="仿宋_GB2312" w:hAnsi="仿宋_GB2312" w:eastAsia="仿宋_GB2312" w:cs="仿宋_GB2312"/>
          <w:bCs/>
          <w:sz w:val="32"/>
          <w:szCs w:val="32"/>
          <w:highlight w:val="none"/>
          <w:u w:val="none"/>
          <w:lang w:eastAsia="zh-CN"/>
        </w:rPr>
        <w:t>有</w:t>
      </w:r>
      <w:r>
        <w:rPr>
          <w:rFonts w:hint="eastAsia" w:ascii="仿宋_GB2312" w:hAnsi="仿宋_GB2312" w:eastAsia="仿宋_GB2312" w:cs="仿宋_GB2312"/>
          <w:bCs/>
          <w:sz w:val="32"/>
          <w:szCs w:val="32"/>
          <w:highlight w:val="none"/>
          <w:u w:val="none"/>
        </w:rPr>
        <w:t>温度的公共服务供给，持续增强人民群众获得感、幸福感、安全感，筑牢</w:t>
      </w:r>
      <w:r>
        <w:rPr>
          <w:rFonts w:hint="eastAsia" w:ascii="仿宋_GB2312" w:hAnsi="仿宋_GB2312" w:eastAsia="仿宋_GB2312" w:cs="仿宋_GB2312"/>
          <w:bCs/>
          <w:sz w:val="32"/>
          <w:szCs w:val="32"/>
          <w:highlight w:val="none"/>
          <w:u w:val="none"/>
          <w:lang w:eastAsia="zh-CN"/>
        </w:rPr>
        <w:t>群众</w:t>
      </w:r>
      <w:r>
        <w:rPr>
          <w:rFonts w:hint="eastAsia" w:ascii="仿宋_GB2312" w:hAnsi="仿宋_GB2312" w:eastAsia="仿宋_GB2312" w:cs="仿宋_GB2312"/>
          <w:bCs/>
          <w:sz w:val="32"/>
          <w:szCs w:val="32"/>
          <w:highlight w:val="none"/>
          <w:u w:val="none"/>
        </w:rPr>
        <w:t>民生根基。</w:t>
      </w:r>
    </w:p>
    <w:p>
      <w:pPr>
        <w:keepNext w:val="0"/>
        <w:keepLines w:val="0"/>
        <w:pageBreakBefore w:val="0"/>
        <w:widowControl/>
        <w:kinsoku/>
        <w:wordWrap/>
        <w:overflowPunct/>
        <w:topLinePunct w:val="0"/>
        <w:autoSpaceDE/>
        <w:autoSpaceDN/>
        <w:bidi w:val="0"/>
        <w:adjustRightInd/>
        <w:snapToGrid/>
        <w:spacing w:before="0" w:beforeLines="0" w:after="0" w:afterLines="-2147483648" w:line="560" w:lineRule="exact"/>
        <w:ind w:firstLine="640" w:firstLineChars="200"/>
        <w:jc w:val="both"/>
        <w:textAlignment w:val="auto"/>
        <w:outlineLvl w:val="9"/>
        <w:rPr>
          <w:rFonts w:hint="eastAsia" w:ascii="仿宋_GB2312" w:hAnsi="仿宋_GB2312" w:eastAsia="仿宋_GB2312" w:cs="仿宋_GB2312"/>
          <w:b w:val="0"/>
          <w:bCs/>
          <w:sz w:val="32"/>
          <w:szCs w:val="32"/>
          <w:highlight w:val="none"/>
          <w:u w:val="none"/>
          <w:lang w:val="en-US" w:eastAsia="zh-CN"/>
        </w:rPr>
      </w:pPr>
      <w:r>
        <w:rPr>
          <w:rFonts w:hint="eastAsia" w:ascii="仿宋_GB2312" w:hAnsi="仿宋_GB2312" w:eastAsia="仿宋_GB2312" w:cs="仿宋_GB2312"/>
          <w:bCs/>
          <w:sz w:val="32"/>
          <w:szCs w:val="32"/>
          <w:highlight w:val="none"/>
          <w:u w:val="none"/>
        </w:rPr>
        <w:t>根据《北京市国民经济和社会发展第十</w:t>
      </w:r>
      <w:r>
        <w:rPr>
          <w:rFonts w:hint="eastAsia" w:ascii="仿宋_GB2312" w:hAnsi="仿宋_GB2312" w:eastAsia="仿宋_GB2312" w:cs="仿宋_GB2312"/>
          <w:bCs/>
          <w:sz w:val="32"/>
          <w:szCs w:val="32"/>
          <w:highlight w:val="none"/>
          <w:u w:val="none"/>
          <w:lang w:eastAsia="zh-CN"/>
        </w:rPr>
        <w:t>五</w:t>
      </w:r>
      <w:r>
        <w:rPr>
          <w:rFonts w:hint="eastAsia" w:ascii="仿宋_GB2312" w:hAnsi="仿宋_GB2312" w:eastAsia="仿宋_GB2312" w:cs="仿宋_GB2312"/>
          <w:bCs/>
          <w:sz w:val="32"/>
          <w:szCs w:val="32"/>
          <w:highlight w:val="none"/>
          <w:u w:val="none"/>
        </w:rPr>
        <w:t>个五年规划纲要》《怀柔分区规划（国土空间规划）（</w:t>
      </w:r>
      <w:r>
        <w:rPr>
          <w:rFonts w:hint="eastAsia" w:ascii="仿宋_GB2312" w:hAnsi="仿宋_GB2312" w:eastAsia="仿宋_GB2312" w:cs="仿宋_GB2312"/>
          <w:bCs/>
          <w:sz w:val="32"/>
          <w:szCs w:val="32"/>
          <w:highlight w:val="none"/>
          <w:u w:val="none"/>
          <w:lang w:val="en-US" w:eastAsia="zh-CN"/>
        </w:rPr>
        <w:t>2017年-2035年</w:t>
      </w:r>
      <w:r>
        <w:rPr>
          <w:rFonts w:hint="eastAsia" w:ascii="仿宋_GB2312" w:hAnsi="仿宋_GB2312" w:eastAsia="仿宋_GB2312" w:cs="仿宋_GB2312"/>
          <w:bCs/>
          <w:sz w:val="32"/>
          <w:szCs w:val="32"/>
          <w:highlight w:val="none"/>
          <w:u w:val="none"/>
        </w:rPr>
        <w:t>）》《北京市怀柔区国民经济和社会发展第十</w:t>
      </w:r>
      <w:r>
        <w:rPr>
          <w:rFonts w:hint="eastAsia" w:ascii="仿宋_GB2312" w:hAnsi="仿宋_GB2312" w:eastAsia="仿宋_GB2312" w:cs="仿宋_GB2312"/>
          <w:bCs/>
          <w:sz w:val="32"/>
          <w:szCs w:val="32"/>
          <w:highlight w:val="none"/>
          <w:u w:val="none"/>
          <w:lang w:eastAsia="zh-CN"/>
        </w:rPr>
        <w:t>五</w:t>
      </w:r>
      <w:r>
        <w:rPr>
          <w:rFonts w:hint="eastAsia" w:ascii="仿宋_GB2312" w:hAnsi="仿宋_GB2312" w:eastAsia="仿宋_GB2312" w:cs="仿宋_GB2312"/>
          <w:bCs/>
          <w:sz w:val="32"/>
          <w:szCs w:val="32"/>
          <w:highlight w:val="none"/>
          <w:u w:val="none"/>
        </w:rPr>
        <w:t>个五年规划纲要》，结合怀柔区实际，制订《怀柔区</w:t>
      </w:r>
      <w:r>
        <w:rPr>
          <w:rFonts w:hint="eastAsia" w:ascii="仿宋_GB2312" w:hAnsi="仿宋_GB2312" w:eastAsia="仿宋_GB2312" w:cs="仿宋_GB2312"/>
          <w:bCs/>
          <w:sz w:val="32"/>
          <w:szCs w:val="32"/>
          <w:highlight w:val="none"/>
          <w:u w:val="none"/>
          <w:lang w:eastAsia="zh-CN"/>
        </w:rPr>
        <w:t>“</w:t>
      </w:r>
      <w:r>
        <w:rPr>
          <w:rFonts w:hint="eastAsia" w:ascii="仿宋_GB2312" w:hAnsi="仿宋_GB2312" w:eastAsia="仿宋_GB2312" w:cs="仿宋_GB2312"/>
          <w:bCs/>
          <w:sz w:val="32"/>
          <w:szCs w:val="32"/>
          <w:highlight w:val="none"/>
          <w:u w:val="none"/>
        </w:rPr>
        <w:t>十五五</w:t>
      </w:r>
      <w:r>
        <w:rPr>
          <w:rFonts w:hint="eastAsia" w:ascii="仿宋_GB2312" w:hAnsi="仿宋_GB2312" w:eastAsia="仿宋_GB2312" w:cs="仿宋_GB2312"/>
          <w:bCs/>
          <w:sz w:val="32"/>
          <w:szCs w:val="32"/>
          <w:highlight w:val="none"/>
          <w:u w:val="none"/>
          <w:lang w:eastAsia="zh-CN"/>
        </w:rPr>
        <w:t>”</w:t>
      </w:r>
      <w:r>
        <w:rPr>
          <w:rFonts w:hint="eastAsia" w:ascii="仿宋_GB2312" w:hAnsi="仿宋_GB2312" w:eastAsia="仿宋_GB2312" w:cs="仿宋_GB2312"/>
          <w:bCs/>
          <w:sz w:val="32"/>
          <w:szCs w:val="32"/>
          <w:highlight w:val="none"/>
          <w:u w:val="none"/>
        </w:rPr>
        <w:t>时期公共服务发展规划》</w:t>
      </w:r>
      <w:r>
        <w:rPr>
          <w:rFonts w:hint="eastAsia" w:ascii="仿宋_GB2312" w:hAnsi="仿宋_GB2312" w:eastAsia="仿宋_GB2312" w:cs="仿宋_GB2312"/>
          <w:bCs/>
          <w:sz w:val="32"/>
          <w:szCs w:val="32"/>
          <w:highlight w:val="none"/>
          <w:u w:val="none"/>
          <w:lang w:eastAsia="zh-CN"/>
        </w:rPr>
        <w:t>，</w:t>
      </w:r>
      <w:r>
        <w:rPr>
          <w:rFonts w:hint="eastAsia" w:ascii="仿宋_GB2312" w:hAnsi="仿宋_GB2312" w:eastAsia="仿宋_GB2312" w:cs="仿宋_GB2312"/>
          <w:bCs/>
          <w:sz w:val="32"/>
          <w:szCs w:val="32"/>
          <w:highlight w:val="none"/>
          <w:u w:val="none"/>
        </w:rPr>
        <w:t>规划期为</w:t>
      </w:r>
      <w:r>
        <w:rPr>
          <w:rFonts w:hint="eastAsia" w:ascii="仿宋_GB2312" w:hAnsi="仿宋_GB2312" w:eastAsia="仿宋_GB2312" w:cs="仿宋_GB2312"/>
          <w:b w:val="0"/>
          <w:bCs w:val="0"/>
          <w:sz w:val="32"/>
          <w:szCs w:val="32"/>
          <w:highlight w:val="none"/>
          <w:u w:val="none"/>
          <w:lang w:val="en-US" w:eastAsia="zh-CN"/>
        </w:rPr>
        <w:t>2026-2030</w:t>
      </w:r>
      <w:r>
        <w:rPr>
          <w:rFonts w:hint="eastAsia" w:ascii="仿宋_GB2312" w:hAnsi="仿宋_GB2312" w:eastAsia="仿宋_GB2312" w:cs="仿宋_GB2312"/>
          <w:bCs/>
          <w:sz w:val="32"/>
          <w:szCs w:val="32"/>
          <w:highlight w:val="none"/>
          <w:u w:val="none"/>
        </w:rPr>
        <w:t>年。</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仿宋_GB2312" w:hAnsi="仿宋_GB2312" w:eastAsia="方正小标宋_GBK" w:cs="方正小标宋_GBK"/>
          <w:b w:val="0"/>
          <w:bCs/>
          <w:sz w:val="36"/>
          <w:szCs w:val="36"/>
          <w:highlight w:val="none"/>
          <w:u w:val="none"/>
        </w:rPr>
        <w:sectPr>
          <w:footerReference r:id="rId3" w:type="default"/>
          <w:pgSz w:w="11906" w:h="16838"/>
          <w:pgMar w:top="2098" w:right="1474" w:bottom="1984" w:left="1587" w:header="851" w:footer="992" w:gutter="0"/>
          <w:pgNumType w:fmt="decimal" w:start="1"/>
          <w:cols w:space="425" w:num="1"/>
          <w:docGrid w:type="lines" w:linePitch="312" w:charSpace="0"/>
        </w:sectPr>
      </w:pPr>
      <w:bookmarkStart w:id="1" w:name="_Toc24717"/>
      <w:bookmarkStart w:id="2" w:name="_Toc9518"/>
      <w:bookmarkStart w:id="3" w:name="_Toc10397"/>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line="560" w:lineRule="exact"/>
        <w:jc w:val="center"/>
        <w:textAlignment w:val="auto"/>
        <w:outlineLvl w:val="0"/>
        <w:rPr>
          <w:rFonts w:hint="eastAsia" w:ascii="仿宋_GB2312" w:hAnsi="仿宋_GB2312" w:eastAsia="方正小标宋_GBK" w:cs="方正小标宋_GBK"/>
          <w:b w:val="0"/>
          <w:bCs/>
          <w:kern w:val="2"/>
          <w:sz w:val="36"/>
          <w:szCs w:val="36"/>
          <w:highlight w:val="none"/>
          <w:u w:val="none"/>
          <w:lang w:val="en-US" w:eastAsia="zh-CN" w:bidi="ar-SA"/>
        </w:rPr>
        <w:sectPr>
          <w:footerReference r:id="rId4" w:type="default"/>
          <w:footnotePr>
            <w:numFmt w:val="decimal"/>
          </w:footnotePr>
          <w:pgSz w:w="11906" w:h="16838"/>
          <w:pgMar w:top="2098" w:right="1474" w:bottom="1984" w:left="1587" w:header="851" w:footer="992" w:gutter="0"/>
          <w:pgNumType w:fmt="decimal" w:start="1"/>
          <w:cols w:space="425" w:num="1"/>
          <w:docGrid w:type="lines" w:linePitch="312" w:charSpace="0"/>
        </w:sectPr>
      </w:pPr>
      <w:bookmarkStart w:id="4" w:name="_Toc21993"/>
      <w:bookmarkStart w:id="5" w:name="_Toc6784"/>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line="560" w:lineRule="exact"/>
        <w:jc w:val="center"/>
        <w:textAlignment w:val="auto"/>
        <w:outlineLvl w:val="0"/>
        <w:rPr>
          <w:rFonts w:hint="eastAsia" w:ascii="仿宋_GB2312" w:hAnsi="仿宋_GB2312" w:eastAsia="方正小标宋_GBK" w:cs="方正小标宋_GBK"/>
          <w:b w:val="0"/>
          <w:bCs/>
          <w:sz w:val="36"/>
          <w:szCs w:val="36"/>
          <w:highlight w:val="none"/>
          <w:u w:val="none"/>
        </w:rPr>
      </w:pPr>
      <w:bookmarkStart w:id="6" w:name="_Toc4214"/>
      <w:bookmarkStart w:id="7" w:name="_Toc14139"/>
      <w:bookmarkStart w:id="8" w:name="_Toc10019"/>
      <w:bookmarkStart w:id="9" w:name="_Toc5737"/>
      <w:bookmarkStart w:id="10" w:name="_Toc22642"/>
      <w:bookmarkStart w:id="11" w:name="_Toc25101"/>
      <w:bookmarkStart w:id="12" w:name="_Toc3028"/>
      <w:bookmarkStart w:id="13" w:name="_Toc30820"/>
      <w:bookmarkStart w:id="14" w:name="_Toc23733"/>
      <w:bookmarkStart w:id="15" w:name="_Toc29190"/>
      <w:r>
        <w:rPr>
          <w:rFonts w:hint="eastAsia" w:ascii="仿宋_GB2312" w:hAnsi="仿宋_GB2312" w:eastAsia="方正小标宋_GBK" w:cs="方正小标宋_GBK"/>
          <w:b w:val="0"/>
          <w:bCs/>
          <w:kern w:val="2"/>
          <w:sz w:val="36"/>
          <w:szCs w:val="36"/>
          <w:highlight w:val="none"/>
          <w:u w:val="none"/>
          <w:lang w:val="en-US" w:eastAsia="zh-CN" w:bidi="ar-SA"/>
        </w:rPr>
        <w:t xml:space="preserve">第一章 </w:t>
      </w:r>
      <w:r>
        <w:rPr>
          <w:rFonts w:hint="eastAsia" w:ascii="仿宋_GB2312" w:hAnsi="仿宋_GB2312" w:eastAsia="方正小标宋_GBK" w:cs="方正小标宋_GBK"/>
          <w:b w:val="0"/>
          <w:bCs/>
          <w:sz w:val="36"/>
          <w:szCs w:val="36"/>
          <w:highlight w:val="none"/>
          <w:u w:val="none"/>
          <w:lang w:eastAsia="zh-CN"/>
        </w:rPr>
        <w:t>“</w:t>
      </w:r>
      <w:r>
        <w:rPr>
          <w:rFonts w:hint="eastAsia" w:ascii="仿宋_GB2312" w:hAnsi="仿宋_GB2312" w:eastAsia="方正小标宋_GBK" w:cs="方正小标宋_GBK"/>
          <w:b w:val="0"/>
          <w:bCs/>
          <w:sz w:val="36"/>
          <w:szCs w:val="36"/>
          <w:highlight w:val="none"/>
          <w:u w:val="none"/>
        </w:rPr>
        <w:t>十</w:t>
      </w:r>
      <w:r>
        <w:rPr>
          <w:rFonts w:hint="eastAsia" w:ascii="仿宋_GB2312" w:hAnsi="仿宋_GB2312" w:eastAsia="方正小标宋_GBK" w:cs="方正小标宋_GBK"/>
          <w:b w:val="0"/>
          <w:bCs/>
          <w:sz w:val="36"/>
          <w:szCs w:val="36"/>
          <w:highlight w:val="none"/>
          <w:u w:val="none"/>
          <w:lang w:val="en-US" w:eastAsia="zh-CN"/>
        </w:rPr>
        <w:t>四</w:t>
      </w:r>
      <w:r>
        <w:rPr>
          <w:rFonts w:hint="eastAsia" w:ascii="仿宋_GB2312" w:hAnsi="仿宋_GB2312" w:eastAsia="方正小标宋_GBK" w:cs="方正小标宋_GBK"/>
          <w:b w:val="0"/>
          <w:bCs/>
          <w:sz w:val="36"/>
          <w:szCs w:val="36"/>
          <w:highlight w:val="none"/>
          <w:u w:val="none"/>
        </w:rPr>
        <w:t>五</w:t>
      </w:r>
      <w:r>
        <w:rPr>
          <w:rFonts w:hint="eastAsia" w:ascii="仿宋_GB2312" w:hAnsi="仿宋_GB2312" w:eastAsia="方正小标宋_GBK" w:cs="方正小标宋_GBK"/>
          <w:b w:val="0"/>
          <w:bCs/>
          <w:sz w:val="36"/>
          <w:szCs w:val="36"/>
          <w:highlight w:val="none"/>
          <w:u w:val="none"/>
          <w:lang w:eastAsia="zh-CN"/>
        </w:rPr>
        <w:t>”</w:t>
      </w:r>
      <w:r>
        <w:rPr>
          <w:rFonts w:hint="eastAsia" w:ascii="仿宋_GB2312" w:hAnsi="仿宋_GB2312" w:eastAsia="方正小标宋_GBK" w:cs="方正小标宋_GBK"/>
          <w:b w:val="0"/>
          <w:bCs/>
          <w:sz w:val="36"/>
          <w:szCs w:val="36"/>
          <w:highlight w:val="none"/>
          <w:u w:val="none"/>
        </w:rPr>
        <w:t>时期发展成就与</w:t>
      </w:r>
      <w:bookmarkEnd w:id="6"/>
      <w:bookmarkEnd w:id="7"/>
      <w:bookmarkEnd w:id="8"/>
      <w:bookmarkEnd w:id="9"/>
      <w:bookmarkEnd w:id="10"/>
      <w:bookmarkEnd w:id="11"/>
      <w:bookmarkEnd w:id="12"/>
      <w:bookmarkEnd w:id="13"/>
      <w:bookmarkEnd w:id="14"/>
      <w:bookmarkEnd w:id="15"/>
    </w:p>
    <w:p>
      <w:pPr>
        <w:keepNext w:val="0"/>
        <w:keepLines w:val="0"/>
        <w:pageBreakBefore w:val="0"/>
        <w:widowControl w:val="0"/>
        <w:numPr>
          <w:ilvl w:val="0"/>
          <w:numId w:val="0"/>
        </w:numPr>
        <w:kinsoku/>
        <w:wordWrap/>
        <w:overflowPunct/>
        <w:topLinePunct w:val="0"/>
        <w:autoSpaceDE/>
        <w:autoSpaceDN/>
        <w:bidi w:val="0"/>
        <w:adjustRightInd/>
        <w:snapToGrid/>
        <w:spacing w:after="313" w:afterLines="100" w:line="560" w:lineRule="exact"/>
        <w:jc w:val="center"/>
        <w:textAlignment w:val="auto"/>
        <w:outlineLvl w:val="0"/>
        <w:rPr>
          <w:rFonts w:hint="eastAsia" w:ascii="仿宋_GB2312" w:hAnsi="仿宋_GB2312" w:eastAsia="方正小标宋_GBK" w:cs="方正小标宋_GBK"/>
          <w:bCs/>
          <w:sz w:val="32"/>
          <w:szCs w:val="32"/>
          <w:highlight w:val="none"/>
          <w:u w:val="none"/>
        </w:rPr>
      </w:pPr>
      <w:bookmarkStart w:id="16" w:name="_Toc32258"/>
      <w:bookmarkStart w:id="17" w:name="_Toc23413"/>
      <w:bookmarkStart w:id="18" w:name="_Toc13780"/>
      <w:bookmarkStart w:id="19" w:name="_Toc12136"/>
      <w:bookmarkStart w:id="20" w:name="_Toc32474"/>
      <w:bookmarkStart w:id="21" w:name="_Toc9482"/>
      <w:bookmarkStart w:id="22" w:name="_Toc9165"/>
      <w:bookmarkStart w:id="23" w:name="_Toc20179"/>
      <w:bookmarkStart w:id="24" w:name="_Toc20642"/>
      <w:bookmarkStart w:id="25" w:name="_Toc6657"/>
      <w:bookmarkStart w:id="26" w:name="_Toc26091"/>
      <w:r>
        <w:rPr>
          <w:rFonts w:hint="eastAsia" w:ascii="仿宋_GB2312" w:hAnsi="仿宋_GB2312" w:eastAsia="方正小标宋_GBK" w:cs="方正小标宋_GBK"/>
          <w:b w:val="0"/>
          <w:bCs/>
          <w:sz w:val="36"/>
          <w:szCs w:val="36"/>
          <w:highlight w:val="none"/>
          <w:u w:val="none"/>
          <w:lang w:eastAsia="zh-CN"/>
        </w:rPr>
        <w:t>“</w:t>
      </w:r>
      <w:r>
        <w:rPr>
          <w:rFonts w:hint="eastAsia" w:ascii="仿宋_GB2312" w:hAnsi="仿宋_GB2312" w:eastAsia="方正小标宋_GBK" w:cs="方正小标宋_GBK"/>
          <w:b w:val="0"/>
          <w:bCs/>
          <w:sz w:val="36"/>
          <w:szCs w:val="36"/>
          <w:highlight w:val="none"/>
          <w:u w:val="none"/>
        </w:rPr>
        <w:t>十五五</w:t>
      </w:r>
      <w:r>
        <w:rPr>
          <w:rFonts w:hint="eastAsia" w:ascii="仿宋_GB2312" w:hAnsi="仿宋_GB2312" w:eastAsia="方正小标宋_GBK" w:cs="方正小标宋_GBK"/>
          <w:b w:val="0"/>
          <w:bCs/>
          <w:sz w:val="36"/>
          <w:szCs w:val="36"/>
          <w:highlight w:val="none"/>
          <w:u w:val="none"/>
          <w:lang w:eastAsia="zh-CN"/>
        </w:rPr>
        <w:t>”</w:t>
      </w:r>
      <w:r>
        <w:rPr>
          <w:rFonts w:hint="eastAsia" w:ascii="仿宋_GB2312" w:hAnsi="仿宋_GB2312" w:eastAsia="方正小标宋_GBK" w:cs="方正小标宋_GBK"/>
          <w:b w:val="0"/>
          <w:bCs/>
          <w:sz w:val="36"/>
          <w:szCs w:val="36"/>
          <w:highlight w:val="none"/>
          <w:u w:val="none"/>
        </w:rPr>
        <w:t>时期面临形势</w:t>
      </w:r>
      <w:bookmarkEnd w:id="0"/>
      <w:bookmarkEnd w:id="1"/>
      <w:bookmarkEnd w:id="2"/>
      <w:bookmarkEnd w:id="3"/>
      <w:bookmarkEnd w:id="4"/>
      <w:bookmarkEnd w:id="5"/>
      <w:bookmarkEnd w:id="16"/>
      <w:bookmarkEnd w:id="17"/>
      <w:bookmarkEnd w:id="18"/>
      <w:bookmarkEnd w:id="19"/>
      <w:bookmarkEnd w:id="20"/>
      <w:bookmarkEnd w:id="21"/>
      <w:bookmarkEnd w:id="22"/>
      <w:bookmarkEnd w:id="23"/>
      <w:bookmarkEnd w:id="24"/>
      <w:bookmarkEnd w:id="25"/>
      <w:bookmarkEnd w:id="26"/>
    </w:p>
    <w:p>
      <w:pPr>
        <w:spacing w:line="560" w:lineRule="exact"/>
        <w:ind w:firstLine="640" w:firstLineChars="200"/>
        <w:outlineLvl w:val="1"/>
        <w:rPr>
          <w:rFonts w:hint="default" w:ascii="仿宋_GB2312" w:hAnsi="仿宋_GB2312" w:eastAsia="黑体" w:cs="Times New Roman"/>
          <w:sz w:val="32"/>
          <w:szCs w:val="32"/>
          <w:highlight w:val="none"/>
          <w:u w:val="none"/>
          <w:lang w:val="en-US" w:eastAsia="zh-CN"/>
        </w:rPr>
      </w:pPr>
      <w:bookmarkStart w:id="27" w:name="_Toc201"/>
      <w:bookmarkStart w:id="28" w:name="_Toc2298"/>
      <w:bookmarkStart w:id="29" w:name="_Toc27666"/>
      <w:bookmarkStart w:id="30" w:name="_Toc1418174153_WPSOffice_Level2"/>
      <w:bookmarkStart w:id="31" w:name="_Toc276"/>
      <w:bookmarkStart w:id="32" w:name="_Toc24735"/>
      <w:bookmarkStart w:id="33" w:name="_Toc23680"/>
      <w:bookmarkStart w:id="34" w:name="_Toc465"/>
      <w:bookmarkStart w:id="35" w:name="_Toc26305"/>
      <w:bookmarkStart w:id="36" w:name="_Toc29490"/>
      <w:bookmarkStart w:id="37" w:name="_Toc9385"/>
      <w:bookmarkStart w:id="38" w:name="_Toc3527"/>
      <w:bookmarkStart w:id="39" w:name="_Toc25000"/>
      <w:bookmarkStart w:id="40" w:name="_Toc28075"/>
      <w:bookmarkStart w:id="41" w:name="_Toc19169"/>
      <w:bookmarkStart w:id="42" w:name="_Toc799"/>
      <w:bookmarkStart w:id="43" w:name="_Toc23593"/>
      <w:bookmarkStart w:id="44" w:name="_Toc29991"/>
      <w:r>
        <w:rPr>
          <w:rFonts w:ascii="仿宋_GB2312" w:hAnsi="仿宋_GB2312" w:eastAsia="黑体" w:cs="Times New Roman"/>
          <w:sz w:val="32"/>
          <w:szCs w:val="32"/>
          <w:highlight w:val="none"/>
          <w:u w:val="none"/>
          <w:lang w:eastAsia="zh-Hans"/>
        </w:rPr>
        <w:t>一、</w:t>
      </w:r>
      <w:r>
        <w:rPr>
          <w:rFonts w:hint="eastAsia" w:ascii="仿宋_GB2312" w:hAnsi="仿宋_GB2312" w:eastAsia="黑体" w:cs="Times New Roman"/>
          <w:sz w:val="32"/>
          <w:szCs w:val="32"/>
          <w:highlight w:val="none"/>
          <w:u w:val="none"/>
          <w:lang w:eastAsia="zh-CN"/>
        </w:rPr>
        <w:t>“</w:t>
      </w:r>
      <w:r>
        <w:rPr>
          <w:rFonts w:ascii="仿宋_GB2312" w:hAnsi="仿宋_GB2312" w:eastAsia="黑体" w:cs="Times New Roman"/>
          <w:sz w:val="32"/>
          <w:szCs w:val="32"/>
          <w:highlight w:val="none"/>
          <w:u w:val="none"/>
          <w:lang w:eastAsia="zh-Hans"/>
        </w:rPr>
        <w:t>十</w:t>
      </w:r>
      <w:r>
        <w:rPr>
          <w:rFonts w:hint="eastAsia" w:ascii="仿宋_GB2312" w:hAnsi="仿宋_GB2312" w:eastAsia="黑体" w:cs="Times New Roman"/>
          <w:sz w:val="32"/>
          <w:szCs w:val="32"/>
          <w:highlight w:val="none"/>
          <w:u w:val="none"/>
          <w:lang w:val="en-US" w:eastAsia="zh-CN"/>
        </w:rPr>
        <w:t>四</w:t>
      </w:r>
      <w:r>
        <w:rPr>
          <w:rFonts w:ascii="仿宋_GB2312" w:hAnsi="仿宋_GB2312" w:eastAsia="黑体" w:cs="Times New Roman"/>
          <w:sz w:val="32"/>
          <w:szCs w:val="32"/>
          <w:highlight w:val="none"/>
          <w:u w:val="none"/>
          <w:lang w:eastAsia="zh-Hans"/>
        </w:rPr>
        <w:t>五</w:t>
      </w:r>
      <w:r>
        <w:rPr>
          <w:rFonts w:hint="eastAsia" w:ascii="仿宋_GB2312" w:hAnsi="仿宋_GB2312" w:eastAsia="黑体" w:cs="Times New Roman"/>
          <w:sz w:val="32"/>
          <w:szCs w:val="32"/>
          <w:highlight w:val="none"/>
          <w:u w:val="none"/>
          <w:lang w:eastAsia="zh-CN"/>
        </w:rPr>
        <w:t>”</w:t>
      </w:r>
      <w:r>
        <w:rPr>
          <w:rFonts w:ascii="仿宋_GB2312" w:hAnsi="仿宋_GB2312" w:eastAsia="黑体" w:cs="Times New Roman"/>
          <w:sz w:val="32"/>
          <w:szCs w:val="32"/>
          <w:highlight w:val="none"/>
          <w:u w:val="none"/>
          <w:lang w:eastAsia="zh-Hans"/>
        </w:rPr>
        <w:t>时期</w:t>
      </w:r>
      <w:r>
        <w:rPr>
          <w:rFonts w:hint="eastAsia" w:ascii="仿宋_GB2312" w:hAnsi="仿宋_GB2312" w:eastAsia="黑体" w:cs="Times New Roman"/>
          <w:sz w:val="32"/>
          <w:szCs w:val="32"/>
          <w:highlight w:val="none"/>
          <w:u w:val="none"/>
          <w:lang w:val="en-US" w:eastAsia="zh-CN"/>
        </w:rPr>
        <w:t>发展</w:t>
      </w:r>
      <w:r>
        <w:rPr>
          <w:rFonts w:ascii="仿宋_GB2312" w:hAnsi="仿宋_GB2312" w:eastAsia="黑体" w:cs="Times New Roman"/>
          <w:sz w:val="32"/>
          <w:szCs w:val="32"/>
          <w:highlight w:val="none"/>
          <w:u w:val="none"/>
          <w:lang w:eastAsia="zh-Hans"/>
        </w:rPr>
        <w:t>成就</w:t>
      </w:r>
      <w:bookmarkEnd w:id="27"/>
      <w:bookmarkEnd w:id="28"/>
      <w:bookmarkEnd w:id="29"/>
      <w:bookmarkEnd w:id="30"/>
      <w:bookmarkEnd w:id="31"/>
      <w:r>
        <w:rPr>
          <w:rFonts w:hint="eastAsia" w:ascii="仿宋_GB2312" w:hAnsi="仿宋_GB2312" w:eastAsia="黑体" w:cs="Times New Roman"/>
          <w:sz w:val="32"/>
          <w:szCs w:val="32"/>
          <w:highlight w:val="none"/>
          <w:u w:val="none"/>
          <w:lang w:val="en-US" w:eastAsia="zh-CN"/>
        </w:rPr>
        <w:t>与存在问题</w:t>
      </w:r>
      <w:bookmarkEnd w:id="32"/>
      <w:bookmarkEnd w:id="33"/>
      <w:bookmarkEnd w:id="34"/>
      <w:bookmarkEnd w:id="35"/>
      <w:bookmarkEnd w:id="36"/>
      <w:bookmarkEnd w:id="37"/>
      <w:bookmarkEnd w:id="38"/>
      <w:bookmarkEnd w:id="39"/>
      <w:bookmarkEnd w:id="40"/>
      <w:bookmarkEnd w:id="41"/>
      <w:bookmarkEnd w:id="42"/>
      <w:bookmarkEnd w:id="43"/>
      <w:bookmarkEnd w:id="44"/>
    </w:p>
    <w:p>
      <w:pPr>
        <w:pStyle w:val="9"/>
        <w:spacing w:line="560" w:lineRule="exact"/>
        <w:ind w:firstLine="640" w:firstLineChars="200"/>
        <w:jc w:val="left"/>
        <w:rPr>
          <w:rFonts w:hint="eastAsia" w:ascii="仿宋_GB2312" w:hAnsi="仿宋_GB2312" w:eastAsia="仿宋_GB2312" w:cs="仿宋_GB2312"/>
          <w:b w:val="0"/>
          <w:sz w:val="32"/>
          <w:szCs w:val="32"/>
          <w:highlight w:val="none"/>
          <w:u w:val="none"/>
          <w:lang w:eastAsia="zh-CN"/>
        </w:rPr>
      </w:pP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rPr>
        <w:t>十四五</w:t>
      </w: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rPr>
        <w:t>期间，怀柔区</w:t>
      </w:r>
      <w:r>
        <w:rPr>
          <w:rFonts w:hint="eastAsia" w:ascii="仿宋_GB2312" w:hAnsi="仿宋_GB2312" w:eastAsia="仿宋_GB2312" w:cs="仿宋_GB2312"/>
          <w:b w:val="0"/>
          <w:sz w:val="32"/>
          <w:szCs w:val="32"/>
          <w:highlight w:val="none"/>
          <w:u w:val="none"/>
          <w:lang w:eastAsia="zh-CN"/>
        </w:rPr>
        <w:t>民生改善更加可感可及，教育</w:t>
      </w:r>
      <w:r>
        <w:rPr>
          <w:rFonts w:hint="eastAsia" w:ascii="仿宋_GB2312" w:hAnsi="仿宋_GB2312" w:eastAsia="仿宋_GB2312" w:cs="仿宋_GB2312"/>
          <w:b w:val="0"/>
          <w:sz w:val="32"/>
          <w:szCs w:val="32"/>
          <w:highlight w:val="none"/>
          <w:u w:val="none"/>
          <w:lang w:val="en-US" w:eastAsia="zh-CN"/>
        </w:rPr>
        <w:t>卫生</w:t>
      </w: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lang w:val="en-US" w:eastAsia="zh-CN"/>
        </w:rPr>
        <w:t>公共文体、社会保障、社会服务</w:t>
      </w:r>
      <w:r>
        <w:rPr>
          <w:rFonts w:hint="eastAsia" w:ascii="仿宋_GB2312" w:hAnsi="仿宋_GB2312" w:eastAsia="仿宋_GB2312" w:cs="仿宋_GB2312"/>
          <w:b w:val="0"/>
          <w:sz w:val="32"/>
          <w:szCs w:val="32"/>
          <w:highlight w:val="none"/>
          <w:u w:val="none"/>
          <w:lang w:eastAsia="zh-CN"/>
        </w:rPr>
        <w:t>等基本公共服务体系更加完善，</w:t>
      </w:r>
      <w:r>
        <w:rPr>
          <w:rFonts w:hint="eastAsia" w:ascii="仿宋_GB2312" w:hAnsi="仿宋_GB2312" w:eastAsia="仿宋_GB2312" w:cs="仿宋_GB2312"/>
          <w:b w:val="0"/>
          <w:sz w:val="32"/>
          <w:szCs w:val="32"/>
          <w:highlight w:val="none"/>
          <w:u w:val="none"/>
        </w:rPr>
        <w:t>公共服务便利性、可及性显著提升，群众获得感、幸福感稳步增强。</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2"/>
        <w:rPr>
          <w:rFonts w:hint="default" w:ascii="仿宋_GB2312" w:hAnsi="仿宋_GB2312" w:eastAsia="楷体_GB2312" w:cs="楷体_GB2312"/>
          <w:b w:val="0"/>
          <w:bCs/>
          <w:sz w:val="32"/>
          <w:szCs w:val="32"/>
          <w:highlight w:val="none"/>
          <w:u w:val="none"/>
          <w:lang w:val="en-US" w:eastAsia="zh-CN"/>
        </w:rPr>
      </w:pPr>
      <w:r>
        <w:rPr>
          <w:rFonts w:hint="eastAsia" w:ascii="仿宋_GB2312" w:hAnsi="仿宋_GB2312" w:eastAsia="楷体_GB2312" w:cs="楷体_GB2312"/>
          <w:b w:val="0"/>
          <w:bCs/>
          <w:sz w:val="32"/>
          <w:szCs w:val="32"/>
          <w:highlight w:val="none"/>
          <w:u w:val="none"/>
        </w:rPr>
        <w:t>（一）</w:t>
      </w:r>
      <w:r>
        <w:rPr>
          <w:rFonts w:hint="eastAsia" w:ascii="仿宋_GB2312" w:hAnsi="仿宋_GB2312" w:eastAsia="楷体_GB2312" w:cs="楷体_GB2312"/>
          <w:b w:val="0"/>
          <w:bCs/>
          <w:sz w:val="32"/>
          <w:szCs w:val="32"/>
          <w:highlight w:val="none"/>
          <w:u w:val="none"/>
          <w:lang w:val="en-US" w:eastAsia="zh-CN"/>
        </w:rPr>
        <w:t>发展成绩</w:t>
      </w:r>
    </w:p>
    <w:p>
      <w:pPr>
        <w:keepNext w:val="0"/>
        <w:keepLines w:val="0"/>
        <w:pageBreakBefore w:val="0"/>
        <w:kinsoku/>
        <w:wordWrap/>
        <w:overflowPunct/>
        <w:topLinePunct w:val="0"/>
        <w:autoSpaceDE/>
        <w:autoSpaceDN/>
        <w:bidi w:val="0"/>
        <w:adjustRightInd/>
        <w:snapToGrid/>
        <w:spacing w:before="0" w:beforeLines="0" w:after="0" w:afterLines="0" w:line="560" w:lineRule="exact"/>
        <w:ind w:firstLine="642" w:firstLineChars="200"/>
        <w:textAlignment w:val="auto"/>
        <w:outlineLvl w:val="9"/>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b/>
          <w:bCs/>
          <w:sz w:val="32"/>
          <w:szCs w:val="36"/>
          <w:highlight w:val="none"/>
          <w:u w:val="none"/>
          <w:lang w:val="en-US" w:eastAsia="zh-CN" w:bidi="ar-SA"/>
        </w:rPr>
        <w:t>教育高质量发展取得显著成效。</w:t>
      </w:r>
      <w:r>
        <w:rPr>
          <w:rFonts w:hint="eastAsia" w:ascii="仿宋_GB2312" w:hAnsi="仿宋_GB2312" w:eastAsia="仿宋_GB2312" w:cs="仿宋_GB2312"/>
          <w:b w:val="0"/>
          <w:bCs w:val="0"/>
          <w:sz w:val="32"/>
          <w:szCs w:val="32"/>
          <w:highlight w:val="none"/>
          <w:u w:val="none"/>
          <w:lang w:val="en-US" w:eastAsia="zh-CN"/>
        </w:rPr>
        <w:t>“十四五”期间，持续优化教育资源布局，完善各学段协调发展机制，推动集团化办学和特色学校建设，教育服务能力和特色水平不断增强，实现</w:t>
      </w:r>
      <w:r>
        <w:rPr>
          <w:rFonts w:hint="eastAsia" w:ascii="仿宋_GB2312" w:hAnsi="仿宋_GB2312" w:eastAsia="仿宋_GB2312" w:cs="仿宋_GB2312"/>
          <w:kern w:val="2"/>
          <w:sz w:val="32"/>
          <w:szCs w:val="32"/>
          <w:highlight w:val="none"/>
          <w:u w:val="none"/>
          <w:lang w:eastAsia="zh-CN"/>
        </w:rPr>
        <w:t>公办园在园幼儿占比</w:t>
      </w:r>
      <w:r>
        <w:rPr>
          <w:rFonts w:hint="eastAsia" w:ascii="仿宋_GB2312" w:hAnsi="仿宋_GB2312" w:eastAsia="仿宋_GB2312" w:cs="仿宋_GB2312"/>
          <w:kern w:val="2"/>
          <w:sz w:val="32"/>
          <w:szCs w:val="32"/>
          <w:highlight w:val="none"/>
          <w:u w:val="none"/>
          <w:lang w:val="en-US" w:eastAsia="zh-CN"/>
        </w:rPr>
        <w:t>55%以上</w:t>
      </w:r>
      <w:r>
        <w:rPr>
          <w:rFonts w:hint="eastAsia" w:ascii="仿宋_GB2312" w:hAnsi="仿宋_GB2312" w:eastAsia="仿宋_GB2312" w:cs="仿宋_GB2312"/>
          <w:b w:val="0"/>
          <w:bCs w:val="0"/>
          <w:sz w:val="32"/>
          <w:szCs w:val="32"/>
          <w:highlight w:val="none"/>
          <w:u w:val="none"/>
          <w:lang w:val="en-US" w:eastAsia="zh-CN"/>
        </w:rPr>
        <w:t>，</w:t>
      </w:r>
      <w:r>
        <w:rPr>
          <w:rFonts w:hint="eastAsia" w:ascii="仿宋_GB2312" w:hAnsi="仿宋_GB2312" w:eastAsia="仿宋_GB2312" w:cs="仿宋_GB2312"/>
          <w:kern w:val="2"/>
          <w:sz w:val="32"/>
          <w:szCs w:val="32"/>
          <w:highlight w:val="none"/>
          <w:u w:val="none"/>
        </w:rPr>
        <w:t>义务教育</w:t>
      </w:r>
      <w:r>
        <w:rPr>
          <w:rFonts w:hint="eastAsia" w:ascii="仿宋_GB2312" w:hAnsi="仿宋_GB2312" w:eastAsia="仿宋_GB2312" w:cs="仿宋_GB2312"/>
          <w:kern w:val="2"/>
          <w:sz w:val="32"/>
          <w:szCs w:val="32"/>
          <w:highlight w:val="none"/>
          <w:u w:val="none"/>
          <w:lang w:val="en-US" w:eastAsia="zh-CN"/>
        </w:rPr>
        <w:t>登记</w:t>
      </w:r>
      <w:r>
        <w:rPr>
          <w:rFonts w:hint="eastAsia" w:ascii="仿宋_GB2312" w:hAnsi="仿宋_GB2312" w:eastAsia="仿宋_GB2312" w:cs="仿宋_GB2312"/>
          <w:kern w:val="2"/>
          <w:sz w:val="32"/>
          <w:szCs w:val="32"/>
          <w:highlight w:val="none"/>
          <w:u w:val="none"/>
        </w:rPr>
        <w:t>入学率</w:t>
      </w:r>
      <w:r>
        <w:rPr>
          <w:rFonts w:hint="eastAsia" w:ascii="仿宋_GB2312" w:hAnsi="仿宋_GB2312" w:eastAsia="仿宋_GB2312" w:cs="仿宋_GB2312"/>
          <w:b w:val="0"/>
          <w:bCs w:val="0"/>
          <w:sz w:val="32"/>
          <w:szCs w:val="32"/>
          <w:highlight w:val="none"/>
          <w:u w:val="none"/>
          <w:lang w:val="en-US" w:eastAsia="zh-CN"/>
        </w:rPr>
        <w:t>99%，中小学体质健康测试达标优良率81.61%。</w:t>
      </w:r>
      <w:r>
        <w:rPr>
          <w:rFonts w:hint="eastAsia" w:ascii="仿宋_GB2312" w:hAnsi="仿宋_GB2312" w:eastAsia="仿宋_GB2312" w:cs="仿宋_GB2312"/>
          <w:b/>
          <w:bCs/>
          <w:sz w:val="32"/>
          <w:szCs w:val="32"/>
          <w:highlight w:val="none"/>
          <w:u w:val="none"/>
          <w:lang w:val="en-US" w:eastAsia="zh-CN"/>
        </w:rPr>
        <w:t>教育资源布局进一步优化，</w:t>
      </w:r>
      <w:r>
        <w:rPr>
          <w:rFonts w:hint="eastAsia" w:ascii="仿宋_GB2312" w:hAnsi="仿宋_GB2312" w:eastAsia="仿宋_GB2312" w:cs="仿宋_GB2312"/>
          <w:b w:val="0"/>
          <w:bCs w:val="0"/>
          <w:sz w:val="32"/>
          <w:szCs w:val="32"/>
          <w:highlight w:val="none"/>
          <w:u w:val="none"/>
          <w:lang w:val="en-US" w:eastAsia="zh-CN"/>
        </w:rPr>
        <w:t>通过新建、扩建、整合调配等措施，逐渐构建起中学成“点”、小学成“群”、幼儿园成“网”的优质教育格局，</w:t>
      </w:r>
      <w:r>
        <w:rPr>
          <w:rFonts w:hint="eastAsia" w:ascii="仿宋_GB2312" w:hAnsi="仿宋_GB2312" w:eastAsia="仿宋_GB2312" w:cs="仿宋_GB2312"/>
          <w:i w:val="0"/>
          <w:caps w:val="0"/>
          <w:color w:val="auto"/>
          <w:spacing w:val="0"/>
          <w:kern w:val="2"/>
          <w:sz w:val="32"/>
          <w:szCs w:val="32"/>
          <w:highlight w:val="none"/>
          <w:u w:val="none"/>
          <w:shd w:val="clear" w:color="auto" w:fill="FFFFFF"/>
          <w:lang w:val="en-US" w:eastAsia="zh-CN" w:bidi="ar-SA"/>
        </w:rPr>
        <w:t>科学城第三幼儿园、中关村一小怀柔分校、中关村三小怀柔分校、北京一零一中怀柔科学城学校二期等重点项目建成投用，</w:t>
      </w:r>
      <w:r>
        <w:rPr>
          <w:rFonts w:hint="eastAsia" w:ascii="仿宋_GB2312" w:hAnsi="仿宋_GB2312" w:eastAsia="仿宋_GB2312" w:cs="仿宋_GB2312"/>
          <w:sz w:val="32"/>
          <w:szCs w:val="32"/>
          <w:highlight w:val="none"/>
          <w:u w:val="none"/>
          <w:lang w:val="en-US" w:eastAsia="zh-CN"/>
        </w:rPr>
        <w:t>怀柔三小北校区改造完成，</w:t>
      </w:r>
      <w:r>
        <w:rPr>
          <w:rFonts w:hint="eastAsia" w:ascii="仿宋_GB2312" w:hAnsi="仿宋_GB2312" w:eastAsia="仿宋_GB2312" w:cs="仿宋_GB2312"/>
          <w:i w:val="0"/>
          <w:caps w:val="0"/>
          <w:color w:val="auto"/>
          <w:spacing w:val="0"/>
          <w:kern w:val="2"/>
          <w:sz w:val="32"/>
          <w:szCs w:val="32"/>
          <w:highlight w:val="none"/>
          <w:u w:val="none"/>
          <w:shd w:val="clear" w:color="auto" w:fill="FFFFFF"/>
          <w:lang w:val="en-US" w:eastAsia="zh-CN" w:bidi="ar-SA"/>
        </w:rPr>
        <w:t>北京第三实验学校实现招生，</w:t>
      </w:r>
      <w:r>
        <w:rPr>
          <w:rFonts w:hint="eastAsia" w:ascii="仿宋_GB2312" w:hAnsi="仿宋_GB2312" w:eastAsia="仿宋_GB2312" w:cs="仿宋_GB2312"/>
          <w:sz w:val="32"/>
          <w:szCs w:val="32"/>
          <w:highlight w:val="none"/>
          <w:u w:val="none"/>
          <w:lang w:val="en-US" w:eastAsia="zh-CN"/>
        </w:rPr>
        <w:t>新增公办幼儿园学位1290个、小学学位3360个、中学学位3150个，平稳度过入园入学高峰期。</w:t>
      </w:r>
      <w:r>
        <w:rPr>
          <w:rFonts w:hint="eastAsia" w:ascii="仿宋_GB2312" w:hAnsi="仿宋_GB2312" w:eastAsia="仿宋_GB2312"/>
          <w:b w:val="0"/>
          <w:bCs w:val="0"/>
          <w:color w:val="auto"/>
          <w:sz w:val="32"/>
          <w:szCs w:val="32"/>
          <w:highlight w:val="none"/>
          <w:u w:val="none"/>
          <w:lang w:eastAsia="zh-CN"/>
        </w:rPr>
        <w:t>青苗国际学校、</w:t>
      </w:r>
      <w:r>
        <w:rPr>
          <w:rFonts w:hint="eastAsia" w:ascii="仿宋_GB2312" w:hAnsi="仿宋_GB2312" w:eastAsia="仿宋_GB2312"/>
          <w:b w:val="0"/>
          <w:bCs w:val="0"/>
          <w:color w:val="auto"/>
          <w:sz w:val="32"/>
          <w:szCs w:val="32"/>
          <w:highlight w:val="none"/>
          <w:u w:val="none"/>
          <w:lang w:val="en-US" w:eastAsia="zh-CN"/>
        </w:rPr>
        <w:t>索兰诺中学、</w:t>
      </w:r>
      <w:r>
        <w:rPr>
          <w:rFonts w:hint="eastAsia" w:ascii="仿宋_GB2312" w:hAnsi="仿宋_GB2312" w:eastAsia="仿宋_GB2312"/>
          <w:b w:val="0"/>
          <w:bCs w:val="0"/>
          <w:color w:val="auto"/>
          <w:sz w:val="32"/>
          <w:szCs w:val="32"/>
          <w:highlight w:val="none"/>
          <w:u w:val="none"/>
          <w:lang w:eastAsia="zh-CN"/>
        </w:rPr>
        <w:t>北京一零一中怀柔科学城学校国际部等</w:t>
      </w:r>
      <w:r>
        <w:rPr>
          <w:rFonts w:hint="eastAsia" w:ascii="仿宋_GB2312" w:hAnsi="仿宋_GB2312" w:eastAsia="仿宋_GB2312"/>
          <w:b w:val="0"/>
          <w:bCs w:val="0"/>
          <w:color w:val="auto"/>
          <w:sz w:val="32"/>
          <w:szCs w:val="32"/>
          <w:highlight w:val="none"/>
          <w:u w:val="none"/>
          <w:lang w:val="en-US" w:eastAsia="zh-CN"/>
        </w:rPr>
        <w:t>顺利招生办学，</w:t>
      </w:r>
      <w:r>
        <w:rPr>
          <w:rFonts w:hint="eastAsia" w:ascii="仿宋_GB2312" w:hAnsi="仿宋_GB2312" w:eastAsia="仿宋_GB2312"/>
          <w:b w:val="0"/>
          <w:bCs w:val="0"/>
          <w:color w:val="auto"/>
          <w:sz w:val="32"/>
          <w:szCs w:val="32"/>
          <w:highlight w:val="none"/>
          <w:u w:val="none"/>
          <w:lang w:eastAsia="zh-CN"/>
        </w:rPr>
        <w:t>实现国际教育从无到</w:t>
      </w:r>
      <w:r>
        <w:rPr>
          <w:rFonts w:hint="eastAsia" w:ascii="仿宋_GB2312" w:hAnsi="仿宋_GB2312" w:eastAsia="仿宋_GB2312"/>
          <w:b w:val="0"/>
          <w:bCs w:val="0"/>
          <w:color w:val="auto"/>
          <w:sz w:val="32"/>
          <w:szCs w:val="32"/>
          <w:highlight w:val="none"/>
          <w:u w:val="none"/>
          <w:lang w:val="en-US" w:eastAsia="zh-CN"/>
        </w:rPr>
        <w:t>有</w:t>
      </w:r>
      <w:r>
        <w:rPr>
          <w:rFonts w:hint="default" w:ascii="仿宋_GB2312" w:hAnsi="仿宋_GB2312" w:eastAsia="仿宋_GB2312"/>
          <w:b w:val="0"/>
          <w:bCs w:val="0"/>
          <w:color w:val="auto"/>
          <w:sz w:val="32"/>
          <w:szCs w:val="32"/>
          <w:highlight w:val="none"/>
          <w:u w:val="none"/>
          <w:lang w:val="en-US" w:eastAsia="zh-CN"/>
        </w:rPr>
        <w:t>。</w:t>
      </w:r>
      <w:r>
        <w:rPr>
          <w:rFonts w:hint="default" w:ascii="仿宋_GB2312" w:hAnsi="仿宋_GB2312" w:eastAsia="仿宋_GB2312"/>
          <w:b/>
          <w:bCs/>
          <w:color w:val="auto"/>
          <w:sz w:val="32"/>
          <w:szCs w:val="32"/>
          <w:highlight w:val="none"/>
          <w:u w:val="none"/>
          <w:lang w:val="en-US" w:eastAsia="zh-CN"/>
        </w:rPr>
        <w:t>托育服务建设全面完善，</w:t>
      </w:r>
      <w:r>
        <w:rPr>
          <w:rFonts w:hint="default" w:ascii="仿宋_GB2312" w:hAnsi="仿宋_GB2312" w:eastAsia="仿宋_GB2312"/>
          <w:b w:val="0"/>
          <w:bCs w:val="0"/>
          <w:color w:val="auto"/>
          <w:sz w:val="32"/>
          <w:szCs w:val="32"/>
          <w:highlight w:val="none"/>
          <w:u w:val="none"/>
          <w:lang w:val="en-US" w:eastAsia="zh-CN"/>
        </w:rPr>
        <w:t>区托育综合服务中心挂牌运行，3</w:t>
      </w:r>
      <w:r>
        <w:rPr>
          <w:rFonts w:hint="eastAsia" w:ascii="仿宋_GB2312" w:hAnsi="仿宋_GB2312" w:eastAsia="仿宋_GB2312"/>
          <w:b w:val="0"/>
          <w:bCs w:val="0"/>
          <w:color w:val="auto"/>
          <w:sz w:val="32"/>
          <w:szCs w:val="32"/>
          <w:highlight w:val="none"/>
          <w:u w:val="none"/>
          <w:lang w:val="en-US" w:eastAsia="zh-CN"/>
        </w:rPr>
        <w:t>8所</w:t>
      </w:r>
      <w:r>
        <w:rPr>
          <w:rFonts w:hint="default" w:ascii="仿宋_GB2312" w:hAnsi="仿宋_GB2312" w:eastAsia="仿宋_GB2312"/>
          <w:b w:val="0"/>
          <w:bCs w:val="0"/>
          <w:color w:val="auto"/>
          <w:sz w:val="32"/>
          <w:szCs w:val="32"/>
          <w:highlight w:val="none"/>
          <w:u w:val="none"/>
          <w:lang w:val="en-US" w:eastAsia="zh-CN"/>
        </w:rPr>
        <w:t>幼儿园开设托班，</w:t>
      </w:r>
      <w:r>
        <w:rPr>
          <w:rFonts w:hint="eastAsia" w:ascii="仿宋_GB2312" w:hAnsi="仿宋_GB2312" w:eastAsia="仿宋_GB2312"/>
          <w:b w:val="0"/>
          <w:bCs w:val="0"/>
          <w:color w:val="auto"/>
          <w:sz w:val="32"/>
          <w:szCs w:val="32"/>
          <w:highlight w:val="none"/>
          <w:u w:val="none"/>
          <w:lang w:val="en-US" w:eastAsia="zh-CN"/>
        </w:rPr>
        <w:t>现有</w:t>
      </w:r>
      <w:r>
        <w:rPr>
          <w:rFonts w:hint="default" w:ascii="仿宋_GB2312" w:hAnsi="仿宋_GB2312" w:eastAsia="仿宋_GB2312"/>
          <w:b w:val="0"/>
          <w:bCs w:val="0"/>
          <w:color w:val="auto"/>
          <w:sz w:val="32"/>
          <w:szCs w:val="32"/>
          <w:highlight w:val="none"/>
          <w:u w:val="none"/>
          <w:lang w:val="en-US" w:eastAsia="zh-CN"/>
        </w:rPr>
        <w:t>3家托育机构，全区共</w:t>
      </w:r>
      <w:r>
        <w:rPr>
          <w:rFonts w:hint="eastAsia" w:ascii="仿宋_GB2312" w:hAnsi="仿宋_GB2312" w:eastAsia="仿宋_GB2312"/>
          <w:b w:val="0"/>
          <w:bCs w:val="0"/>
          <w:color w:val="auto"/>
          <w:sz w:val="32"/>
          <w:szCs w:val="32"/>
          <w:highlight w:val="none"/>
          <w:u w:val="none"/>
          <w:lang w:val="en-US" w:eastAsia="zh-CN"/>
        </w:rPr>
        <w:t>设置</w:t>
      </w:r>
      <w:r>
        <w:rPr>
          <w:rFonts w:hint="default" w:ascii="仿宋_GB2312" w:hAnsi="仿宋_GB2312" w:eastAsia="仿宋_GB2312"/>
          <w:b w:val="0"/>
          <w:bCs w:val="0"/>
          <w:color w:val="auto"/>
          <w:sz w:val="32"/>
          <w:szCs w:val="32"/>
          <w:highlight w:val="none"/>
          <w:u w:val="none"/>
          <w:lang w:val="en-US" w:eastAsia="zh-CN"/>
        </w:rPr>
        <w:t>托位</w:t>
      </w:r>
      <w:r>
        <w:rPr>
          <w:rFonts w:hint="eastAsia" w:ascii="仿宋_GB2312" w:hAnsi="仿宋_GB2312" w:eastAsia="仿宋_GB2312"/>
          <w:b w:val="0"/>
          <w:bCs w:val="0"/>
          <w:color w:val="auto"/>
          <w:sz w:val="32"/>
          <w:szCs w:val="32"/>
          <w:highlight w:val="none"/>
          <w:u w:val="none"/>
          <w:lang w:val="en-US" w:eastAsia="zh-CN"/>
        </w:rPr>
        <w:t>1330</w:t>
      </w:r>
      <w:r>
        <w:rPr>
          <w:rFonts w:hint="default" w:ascii="仿宋_GB2312" w:hAnsi="仿宋_GB2312" w:eastAsia="仿宋_GB2312"/>
          <w:b w:val="0"/>
          <w:bCs w:val="0"/>
          <w:color w:val="auto"/>
          <w:sz w:val="32"/>
          <w:szCs w:val="32"/>
          <w:highlight w:val="none"/>
          <w:u w:val="none"/>
          <w:lang w:val="en-US" w:eastAsia="zh-CN"/>
        </w:rPr>
        <w:t>个，其中普惠托位11</w:t>
      </w:r>
      <w:r>
        <w:rPr>
          <w:rFonts w:hint="eastAsia" w:ascii="仿宋_GB2312" w:hAnsi="仿宋_GB2312" w:eastAsia="仿宋_GB2312"/>
          <w:b w:val="0"/>
          <w:bCs w:val="0"/>
          <w:color w:val="auto"/>
          <w:sz w:val="32"/>
          <w:szCs w:val="32"/>
          <w:highlight w:val="none"/>
          <w:u w:val="none"/>
          <w:lang w:val="en-US" w:eastAsia="zh-CN"/>
        </w:rPr>
        <w:t>6</w:t>
      </w:r>
      <w:r>
        <w:rPr>
          <w:rFonts w:hint="default" w:ascii="仿宋_GB2312" w:hAnsi="仿宋_GB2312" w:eastAsia="仿宋_GB2312"/>
          <w:b w:val="0"/>
          <w:bCs w:val="0"/>
          <w:color w:val="auto"/>
          <w:sz w:val="32"/>
          <w:szCs w:val="32"/>
          <w:highlight w:val="none"/>
          <w:u w:val="none"/>
          <w:lang w:val="en-US" w:eastAsia="zh-CN"/>
        </w:rPr>
        <w:t>0个，建成以幼儿园托班为主渠道，社会化托育机构为补充的托育服务供给体系，托育机构</w:t>
      </w:r>
      <w:r>
        <w:rPr>
          <w:rFonts w:hint="eastAsia" w:ascii="仿宋_GB2312" w:hAnsi="仿宋_GB2312" w:eastAsia="仿宋_GB2312"/>
          <w:b w:val="0"/>
          <w:bCs w:val="0"/>
          <w:color w:val="auto"/>
          <w:sz w:val="32"/>
          <w:szCs w:val="32"/>
          <w:highlight w:val="none"/>
          <w:u w:val="none"/>
          <w:lang w:val="en-US" w:eastAsia="zh-CN"/>
        </w:rPr>
        <w:t>“</w:t>
      </w:r>
      <w:r>
        <w:rPr>
          <w:rFonts w:hint="default" w:ascii="仿宋_GB2312" w:hAnsi="仿宋_GB2312" w:eastAsia="仿宋_GB2312"/>
          <w:b w:val="0"/>
          <w:bCs w:val="0"/>
          <w:color w:val="auto"/>
          <w:sz w:val="32"/>
          <w:szCs w:val="32"/>
          <w:highlight w:val="none"/>
          <w:u w:val="none"/>
          <w:lang w:val="en-US" w:eastAsia="zh-CN"/>
        </w:rPr>
        <w:t>先服务后收费</w:t>
      </w:r>
      <w:r>
        <w:rPr>
          <w:rFonts w:hint="eastAsia" w:ascii="仿宋_GB2312" w:hAnsi="仿宋_GB2312" w:eastAsia="仿宋_GB2312"/>
          <w:b w:val="0"/>
          <w:bCs w:val="0"/>
          <w:color w:val="auto"/>
          <w:sz w:val="32"/>
          <w:szCs w:val="32"/>
          <w:highlight w:val="none"/>
          <w:u w:val="none"/>
          <w:lang w:val="en-US" w:eastAsia="zh-CN"/>
        </w:rPr>
        <w:t>”</w:t>
      </w:r>
      <w:r>
        <w:rPr>
          <w:rFonts w:hint="default" w:ascii="仿宋_GB2312" w:hAnsi="仿宋_GB2312" w:eastAsia="仿宋_GB2312"/>
          <w:b w:val="0"/>
          <w:bCs w:val="0"/>
          <w:color w:val="auto"/>
          <w:sz w:val="32"/>
          <w:szCs w:val="32"/>
          <w:highlight w:val="none"/>
          <w:u w:val="none"/>
          <w:lang w:val="en-US" w:eastAsia="zh-CN"/>
        </w:rPr>
        <w:t>模式在全市推广。</w:t>
      </w:r>
      <w:r>
        <w:rPr>
          <w:rFonts w:hint="eastAsia" w:ascii="仿宋_GB2312" w:hAnsi="仿宋_GB2312" w:eastAsia="仿宋_GB2312" w:cs="仿宋_GB2312"/>
          <w:b/>
          <w:bCs/>
          <w:sz w:val="32"/>
          <w:szCs w:val="32"/>
          <w:highlight w:val="none"/>
          <w:u w:val="none"/>
          <w:lang w:val="en-US" w:eastAsia="zh-CN"/>
        </w:rPr>
        <w:t>集团化办学进一步加强。</w:t>
      </w:r>
      <w:r>
        <w:rPr>
          <w:rFonts w:hint="eastAsia" w:ascii="仿宋_GB2312" w:hAnsi="仿宋_GB2312" w:eastAsia="仿宋_GB2312" w:cs="仿宋_GB2312"/>
          <w:sz w:val="32"/>
          <w:szCs w:val="32"/>
          <w:highlight w:val="none"/>
          <w:u w:val="none"/>
          <w:lang w:val="en-US" w:eastAsia="zh-CN"/>
        </w:rPr>
        <w:t>成立由北京一零一中怀柔科学城学校、北京第三实验学校、怀柔区第一中学、首都师范大学附属红螺寺中学牵头的四大教育集团，覆盖怀柔所有中小学，打破中小学之间界限，统筹推动各学段协调发展。</w:t>
      </w:r>
      <w:r>
        <w:rPr>
          <w:rFonts w:hint="eastAsia" w:ascii="仿宋_GB2312" w:hAnsi="仿宋_GB2312" w:eastAsia="仿宋_GB2312" w:cs="仿宋_GB2312"/>
          <w:b/>
          <w:bCs/>
          <w:sz w:val="32"/>
          <w:szCs w:val="32"/>
          <w:highlight w:val="none"/>
          <w:u w:val="none"/>
          <w:lang w:val="en-US" w:eastAsia="zh-CN"/>
        </w:rPr>
        <w:t>教育教学质量稳步提升。</w:t>
      </w:r>
      <w:r>
        <w:rPr>
          <w:rFonts w:hint="eastAsia" w:ascii="仿宋_GB2312" w:hAnsi="仿宋_GB2312" w:eastAsia="仿宋_GB2312" w:cs="仿宋_GB2312"/>
          <w:b w:val="0"/>
          <w:bCs w:val="0"/>
          <w:sz w:val="32"/>
          <w:szCs w:val="32"/>
          <w:highlight w:val="none"/>
          <w:u w:val="none"/>
          <w:lang w:val="en-US" w:eastAsia="zh-CN"/>
        </w:rPr>
        <w:t>优化课程结构，常态化实施STEAM+课程，突出科学素养与研究能力培养。开设小语种、艺术类等特色课程，实行因材施教和差异化培养，促进学生个性化发展。全面实行科技、艺术、法治副校长制度，促进学生德智体美劳全面发展。设立青少年创新学院，培育青少年优秀人才。入选全市首批“大中小学思想政治教育一体化改革创新试验区”，强化思政育人能力。顺利通过</w:t>
      </w:r>
      <w:r>
        <w:rPr>
          <w:rFonts w:hint="eastAsia" w:ascii="仿宋_GB2312" w:hAnsi="仿宋_GB2312" w:eastAsia="仿宋_GB2312"/>
          <w:b w:val="0"/>
          <w:bCs w:val="0"/>
          <w:color w:val="auto"/>
          <w:sz w:val="32"/>
          <w:szCs w:val="32"/>
          <w:highlight w:val="none"/>
          <w:u w:val="none"/>
          <w:lang w:val="en-US" w:eastAsia="zh-CN"/>
        </w:rPr>
        <w:t>教育部</w:t>
      </w:r>
      <w:r>
        <w:rPr>
          <w:rFonts w:hint="eastAsia" w:ascii="仿宋_GB2312" w:hAnsi="仿宋_GB2312" w:eastAsia="仿宋_GB2312"/>
          <w:b w:val="0"/>
          <w:bCs w:val="0"/>
          <w:color w:val="auto"/>
          <w:sz w:val="32"/>
          <w:szCs w:val="32"/>
          <w:highlight w:val="none"/>
          <w:u w:val="none"/>
          <w:lang w:eastAsia="zh-CN"/>
        </w:rPr>
        <w:t>义务教育优质均衡发展区和学前教育普及普惠区验收，教育优质均衡发展持续向好。</w:t>
      </w:r>
      <w:r>
        <w:rPr>
          <w:rFonts w:hint="eastAsia" w:ascii="仿宋_GB2312" w:hAnsi="仿宋_GB2312" w:eastAsia="仿宋_GB2312" w:cs="仿宋_GB2312"/>
          <w:b/>
          <w:bCs/>
          <w:sz w:val="32"/>
          <w:szCs w:val="32"/>
          <w:highlight w:val="none"/>
          <w:u w:val="none"/>
          <w:lang w:val="en-US" w:eastAsia="zh-CN"/>
        </w:rPr>
        <w:t>其他教育多元化体系逐步形成。</w:t>
      </w:r>
      <w:r>
        <w:rPr>
          <w:rFonts w:hint="eastAsia" w:ascii="仿宋_GB2312" w:hAnsi="仿宋_GB2312" w:eastAsia="仿宋_GB2312" w:cs="仿宋_GB2312"/>
          <w:b w:val="0"/>
          <w:bCs w:val="0"/>
          <w:sz w:val="32"/>
          <w:szCs w:val="32"/>
          <w:highlight w:val="none"/>
          <w:u w:val="none"/>
          <w:lang w:val="en-US" w:eastAsia="zh-CN"/>
        </w:rPr>
        <w:t>职业教育不断优化专业布局，聚焦怀柔科学城、国际会都、中国影都等领域所需人才，新增安全智能监测技术、机电一体化技术和网络营销与电商直播专业。依托北京市应急救护培训基地、怀柔区工匠学院和特种作业培训基地，年培训1万人次以上。推进社区教育网络建设，初步形成终身教育格局，特殊教育不断完善设施、师资和课程体系。</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9"/>
        <w:rPr>
          <w:rFonts w:hint="default" w:ascii="仿宋_GB2312" w:hAnsi="仿宋_GB2312" w:eastAsia="仿宋_GB2312" w:cs="Times New Roman"/>
          <w:sz w:val="32"/>
          <w:szCs w:val="32"/>
          <w:highlight w:val="none"/>
          <w:u w:val="none"/>
          <w:lang w:val="en-US" w:eastAsia="zh-CN"/>
        </w:rPr>
      </w:pPr>
      <w:r>
        <w:rPr>
          <w:rFonts w:hint="default" w:ascii="仿宋_GB2312" w:hAnsi="仿宋_GB2312" w:eastAsia="仿宋_GB2312" w:cs="Times New Roman"/>
          <w:b/>
          <w:bCs/>
          <w:sz w:val="32"/>
          <w:szCs w:val="32"/>
          <w:highlight w:val="none"/>
          <w:u w:val="none"/>
          <w:lang w:val="en-US" w:eastAsia="zh-CN"/>
        </w:rPr>
        <w:t>医疗服务能力显著提升。</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十四五</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时期，怀柔区大力推进</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健康怀柔</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建设，持续提升区域医疗、基层医疗、公共卫生服务能力，</w:t>
      </w:r>
      <w:r>
        <w:rPr>
          <w:rFonts w:hint="eastAsia" w:ascii="仿宋_GB2312" w:hAnsi="仿宋_GB2312" w:eastAsia="仿宋_GB2312" w:cs="仿宋_GB2312"/>
          <w:sz w:val="32"/>
          <w:szCs w:val="32"/>
          <w:highlight w:val="none"/>
          <w:u w:val="none"/>
          <w:lang w:val="en-US" w:eastAsia="zh-CN"/>
        </w:rPr>
        <w:t>全区年门急诊量达495.5万人次，较</w:t>
      </w:r>
      <w:bookmarkStart w:id="45" w:name="OLE_LINK4"/>
      <w:r>
        <w:rPr>
          <w:rFonts w:hint="eastAsia" w:ascii="宋体" w:hAnsi="宋体" w:eastAsia="宋体" w:cs="宋体"/>
          <w:sz w:val="32"/>
          <w:szCs w:val="32"/>
          <w:highlight w:val="none"/>
          <w:u w:val="none"/>
          <w:lang w:val="en-US" w:eastAsia="zh-CN"/>
        </w:rPr>
        <w:t>“</w:t>
      </w:r>
      <w:r>
        <w:rPr>
          <w:rFonts w:hint="eastAsia" w:ascii="仿宋_GB2312" w:hAnsi="仿宋_GB2312" w:eastAsia="仿宋_GB2312" w:cs="仿宋_GB2312"/>
          <w:sz w:val="32"/>
          <w:szCs w:val="32"/>
          <w:highlight w:val="none"/>
          <w:u w:val="none"/>
          <w:lang w:val="en-US" w:eastAsia="zh-CN"/>
        </w:rPr>
        <w:t>十三五</w:t>
      </w:r>
      <w:r>
        <w:rPr>
          <w:rFonts w:hint="eastAsia" w:ascii="宋体" w:hAnsi="宋体" w:eastAsia="宋体" w:cs="宋体"/>
          <w:sz w:val="32"/>
          <w:szCs w:val="32"/>
          <w:highlight w:val="none"/>
          <w:u w:val="none"/>
          <w:lang w:val="en-US" w:eastAsia="zh-CN"/>
        </w:rPr>
        <w:t>”</w:t>
      </w:r>
      <w:bookmarkEnd w:id="45"/>
      <w:r>
        <w:rPr>
          <w:rFonts w:hint="eastAsia" w:ascii="仿宋_GB2312" w:hAnsi="仿宋_GB2312" w:eastAsia="仿宋_GB2312" w:cs="仿宋_GB2312"/>
          <w:sz w:val="32"/>
          <w:szCs w:val="32"/>
          <w:highlight w:val="none"/>
          <w:u w:val="none"/>
          <w:lang w:val="en-US" w:eastAsia="zh-CN"/>
        </w:rPr>
        <w:t>期末增长38.9%</w:t>
      </w:r>
      <w:r>
        <w:rPr>
          <w:rFonts w:hint="eastAsia" w:ascii="仿宋_GB2312" w:hAnsi="仿宋_GB2312" w:eastAsia="仿宋_GB2312" w:cs="Times New Roman"/>
          <w:color w:val="auto"/>
          <w:sz w:val="32"/>
          <w:szCs w:val="32"/>
          <w:highlight w:val="none"/>
          <w:u w:val="none"/>
          <w:lang w:val="en-US" w:eastAsia="zh-CN"/>
        </w:rPr>
        <w:t>，每千常住人口病床数达到6张，每千人执业（助理）医师数达5.1人，注册护士数达5.3人，人均预期寿命达到82.70岁。</w:t>
      </w:r>
      <w:r>
        <w:rPr>
          <w:rFonts w:hint="default" w:ascii="仿宋_GB2312" w:hAnsi="仿宋_GB2312" w:eastAsia="仿宋_GB2312" w:cs="Times New Roman"/>
          <w:sz w:val="32"/>
          <w:szCs w:val="32"/>
          <w:highlight w:val="none"/>
          <w:u w:val="none"/>
          <w:lang w:eastAsia="zh-CN"/>
        </w:rPr>
        <w:t>社区卫生服务综合评价指数</w:t>
      </w:r>
      <w:r>
        <w:rPr>
          <w:rFonts w:hint="default" w:ascii="仿宋_GB2312" w:hAnsi="仿宋_GB2312" w:eastAsia="仿宋_GB2312" w:cs="Times New Roman"/>
          <w:sz w:val="32"/>
          <w:szCs w:val="32"/>
          <w:highlight w:val="none"/>
          <w:u w:val="none"/>
          <w:lang w:val="en-US" w:eastAsia="zh-CN"/>
        </w:rPr>
        <w:t>提升至</w:t>
      </w:r>
      <w:r>
        <w:rPr>
          <w:rFonts w:hint="eastAsia" w:ascii="仿宋_GB2312" w:hAnsi="仿宋_GB2312" w:eastAsia="仿宋_GB2312" w:cs="Times New Roman"/>
          <w:sz w:val="32"/>
          <w:szCs w:val="32"/>
          <w:highlight w:val="none"/>
          <w:u w:val="none"/>
          <w:lang w:val="en-US" w:eastAsia="zh-CN"/>
        </w:rPr>
        <w:t>93.72</w:t>
      </w:r>
      <w:r>
        <w:rPr>
          <w:rFonts w:hint="default" w:ascii="仿宋_GB2312" w:hAnsi="仿宋_GB2312" w:eastAsia="仿宋_GB2312" w:cs="Times New Roman"/>
          <w:sz w:val="32"/>
          <w:szCs w:val="32"/>
          <w:highlight w:val="none"/>
          <w:u w:val="none"/>
          <w:lang w:eastAsia="zh-CN"/>
        </w:rPr>
        <w:t>。</w:t>
      </w:r>
      <w:r>
        <w:rPr>
          <w:rFonts w:hint="default" w:ascii="仿宋_GB2312" w:hAnsi="仿宋_GB2312" w:eastAsia="仿宋_GB2312" w:cs="Times New Roman"/>
          <w:b/>
          <w:bCs/>
          <w:sz w:val="32"/>
          <w:szCs w:val="32"/>
          <w:highlight w:val="none"/>
          <w:u w:val="none"/>
          <w:lang w:val="en-US" w:eastAsia="zh-CN"/>
        </w:rPr>
        <w:t>区域综合诊疗服务能力全面提升</w:t>
      </w:r>
      <w:r>
        <w:rPr>
          <w:rFonts w:hint="eastAsia" w:ascii="仿宋_GB2312" w:hAnsi="仿宋_GB2312" w:eastAsia="仿宋_GB2312" w:cs="Times New Roman"/>
          <w:b/>
          <w:bCs/>
          <w:sz w:val="32"/>
          <w:szCs w:val="32"/>
          <w:highlight w:val="none"/>
          <w:u w:val="none"/>
          <w:lang w:val="en-US" w:eastAsia="zh-CN"/>
        </w:rPr>
        <w:t>，</w:t>
      </w:r>
      <w:r>
        <w:rPr>
          <w:rFonts w:hint="eastAsia" w:ascii="仿宋_GB2312" w:hAnsi="仿宋_GB2312" w:eastAsia="仿宋_GB2312" w:cs="Times New Roman"/>
          <w:b w:val="0"/>
          <w:bCs w:val="0"/>
          <w:sz w:val="32"/>
          <w:szCs w:val="32"/>
          <w:highlight w:val="none"/>
          <w:u w:val="none"/>
          <w:lang w:val="en-US" w:eastAsia="zh-CN"/>
        </w:rPr>
        <w:t>“</w:t>
      </w:r>
      <w:r>
        <w:rPr>
          <w:rFonts w:hint="default" w:ascii="仿宋_GB2312" w:hAnsi="仿宋_GB2312" w:eastAsia="仿宋_GB2312" w:cs="Times New Roman"/>
          <w:b w:val="0"/>
          <w:bCs w:val="0"/>
          <w:sz w:val="32"/>
          <w:szCs w:val="32"/>
          <w:highlight w:val="none"/>
          <w:u w:val="none"/>
          <w:lang w:val="en-US" w:eastAsia="zh-CN"/>
        </w:rPr>
        <w:t>区办市管</w:t>
      </w:r>
      <w:r>
        <w:rPr>
          <w:rFonts w:hint="eastAsia" w:ascii="仿宋_GB2312" w:hAnsi="仿宋_GB2312" w:eastAsia="仿宋_GB2312" w:cs="Times New Roman"/>
          <w:b w:val="0"/>
          <w:bCs w:val="0"/>
          <w:sz w:val="32"/>
          <w:szCs w:val="32"/>
          <w:highlight w:val="none"/>
          <w:u w:val="none"/>
          <w:lang w:val="en-US" w:eastAsia="zh-CN"/>
        </w:rPr>
        <w:t>”</w:t>
      </w:r>
      <w:r>
        <w:rPr>
          <w:rFonts w:hint="default" w:ascii="仿宋_GB2312" w:hAnsi="仿宋_GB2312" w:eastAsia="仿宋_GB2312" w:cs="Times New Roman"/>
          <w:b w:val="0"/>
          <w:bCs w:val="0"/>
          <w:sz w:val="32"/>
          <w:szCs w:val="32"/>
          <w:highlight w:val="none"/>
          <w:u w:val="none"/>
          <w:lang w:val="en-US" w:eastAsia="zh-CN"/>
        </w:rPr>
        <w:t>模式深化落实，</w:t>
      </w:r>
      <w:r>
        <w:rPr>
          <w:rFonts w:hint="eastAsia" w:ascii="仿宋_GB2312" w:hAnsi="仿宋_GB2312" w:eastAsia="仿宋_GB2312" w:cs="Times New Roman"/>
          <w:color w:val="auto"/>
          <w:sz w:val="32"/>
          <w:szCs w:val="32"/>
          <w:highlight w:val="none"/>
          <w:u w:val="none"/>
          <w:lang w:val="en-US" w:eastAsia="zh-CN"/>
        </w:rPr>
        <w:t>3家公立医院累计</w:t>
      </w:r>
      <w:r>
        <w:rPr>
          <w:rFonts w:hint="eastAsia" w:ascii="仿宋_GB2312" w:hAnsi="仿宋_GB2312" w:eastAsia="仿宋_GB2312" w:cs="仿宋_GB2312"/>
          <w:b w:val="0"/>
          <w:bCs w:val="0"/>
          <w:color w:val="auto"/>
          <w:sz w:val="32"/>
          <w:szCs w:val="32"/>
          <w:highlight w:val="none"/>
          <w:u w:val="none"/>
          <w:lang w:val="en-US" w:eastAsia="zh-CN"/>
        </w:rPr>
        <w:t>开展新技术、新项目264项，新增科室、特色门诊108个，填补医疗技术空白70个。</w:t>
      </w:r>
      <w:r>
        <w:rPr>
          <w:rFonts w:hint="default" w:ascii="仿宋_GB2312" w:hAnsi="仿宋_GB2312" w:eastAsia="仿宋_GB2312" w:cs="Times New Roman"/>
          <w:sz w:val="32"/>
          <w:szCs w:val="32"/>
          <w:highlight w:val="none"/>
          <w:u w:val="none"/>
          <w:lang w:val="en-US" w:eastAsia="zh-CN"/>
        </w:rPr>
        <w:t>怀柔区中医医院和怀柔医院先后成功创建三级甲等中医医院和三级综合医院，实现区域三级医院</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零突破</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。医务人员学历层次明显提高，</w:t>
      </w:r>
      <w:r>
        <w:rPr>
          <w:rFonts w:hint="eastAsia" w:ascii="仿宋_GB2312" w:hAnsi="仿宋_GB2312" w:eastAsia="仿宋_GB2312" w:cs="仿宋_GB2312"/>
          <w:b w:val="0"/>
          <w:bCs w:val="0"/>
          <w:color w:val="auto"/>
          <w:sz w:val="32"/>
          <w:szCs w:val="32"/>
          <w:highlight w:val="none"/>
          <w:u w:val="none"/>
          <w:lang w:val="en-US" w:eastAsia="zh-CN"/>
        </w:rPr>
        <w:t>专业技术人员中硕士研究生及以上学历占比提升至13.67%</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b/>
          <w:bCs/>
          <w:sz w:val="32"/>
          <w:szCs w:val="32"/>
          <w:highlight w:val="none"/>
          <w:u w:val="none"/>
          <w:lang w:val="en-US" w:eastAsia="zh-CN"/>
        </w:rPr>
        <w:t>专科建设成果丰硕，</w:t>
      </w:r>
      <w:r>
        <w:rPr>
          <w:rFonts w:hint="eastAsia" w:ascii="仿宋_GB2312" w:hAnsi="仿宋_GB2312" w:eastAsia="仿宋_GB2312" w:cs="仿宋_GB2312"/>
          <w:b w:val="0"/>
          <w:bCs w:val="0"/>
          <w:color w:val="auto"/>
          <w:sz w:val="32"/>
          <w:szCs w:val="32"/>
          <w:highlight w:val="none"/>
          <w:u w:val="none"/>
          <w:lang w:val="en-US" w:eastAsia="zh-CN"/>
        </w:rPr>
        <w:t>怀柔医院</w:t>
      </w:r>
      <w:r>
        <w:rPr>
          <w:rFonts w:hint="default" w:ascii="仿宋_GB2312" w:hAnsi="仿宋_GB2312" w:eastAsia="仿宋_GB2312" w:cs="Times New Roman"/>
          <w:sz w:val="32"/>
          <w:szCs w:val="32"/>
          <w:highlight w:val="none"/>
          <w:u w:val="none"/>
          <w:lang w:val="en-US" w:eastAsia="zh-CN"/>
        </w:rPr>
        <w:t>成功创建国家高级认知障碍诊疗中心</w:t>
      </w:r>
      <w:r>
        <w:rPr>
          <w:rFonts w:hint="eastAsia" w:ascii="仿宋_GB2312" w:hAnsi="仿宋_GB2312" w:eastAsia="仿宋_GB2312" w:cs="Times New Roman"/>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none"/>
          <w:lang w:val="zh-CN" w:eastAsia="zh-CN"/>
        </w:rPr>
        <w:t>国家级胸痛中心，</w:t>
      </w:r>
      <w:r>
        <w:rPr>
          <w:rFonts w:hint="eastAsia" w:ascii="仿宋_GB2312" w:hAnsi="仿宋_GB2312" w:eastAsia="仿宋_GB2312" w:cs="仿宋_GB2312"/>
          <w:b w:val="0"/>
          <w:bCs w:val="0"/>
          <w:color w:val="auto"/>
          <w:sz w:val="32"/>
          <w:szCs w:val="32"/>
          <w:highlight w:val="none"/>
          <w:u w:val="none"/>
          <w:lang w:val="en-US" w:eastAsia="zh-CN"/>
        </w:rPr>
        <w:t>成立京郊首个变态反应诊疗中心，</w:t>
      </w:r>
      <w:r>
        <w:rPr>
          <w:rFonts w:hint="default" w:ascii="仿宋_GB2312" w:hAnsi="仿宋_GB2312" w:eastAsia="仿宋_GB2312" w:cs="Times New Roman"/>
          <w:sz w:val="32"/>
          <w:szCs w:val="32"/>
          <w:highlight w:val="none"/>
          <w:u w:val="none"/>
          <w:lang w:val="en-US" w:eastAsia="zh-CN"/>
        </w:rPr>
        <w:t>获评</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三级卒中中心</w:t>
      </w:r>
      <w:r>
        <w:rPr>
          <w:rFonts w:hint="eastAsia" w:ascii="仿宋_GB2312" w:hAnsi="仿宋_GB2312" w:eastAsia="仿宋_GB2312" w:cs="Times New Roman"/>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none"/>
          <w:lang w:val="zh-CN" w:eastAsia="zh-CN"/>
        </w:rPr>
        <w:t>。</w:t>
      </w:r>
      <w:r>
        <w:rPr>
          <w:rFonts w:hint="default" w:ascii="仿宋_GB2312" w:hAnsi="仿宋_GB2312" w:eastAsia="仿宋_GB2312" w:cs="Times New Roman"/>
          <w:b w:val="0"/>
          <w:bCs w:val="0"/>
          <w:color w:val="auto"/>
          <w:sz w:val="32"/>
          <w:szCs w:val="32"/>
          <w:highlight w:val="none"/>
          <w:u w:val="none"/>
          <w:lang w:val="en-US" w:eastAsia="zh-CN"/>
        </w:rPr>
        <w:t>区</w:t>
      </w:r>
      <w:r>
        <w:rPr>
          <w:rFonts w:hint="eastAsia" w:ascii="仿宋_GB2312" w:hAnsi="仿宋_GB2312" w:eastAsia="仿宋_GB2312" w:cs="仿宋_GB2312"/>
          <w:b w:val="0"/>
          <w:bCs w:val="0"/>
          <w:color w:val="auto"/>
          <w:sz w:val="32"/>
          <w:szCs w:val="32"/>
          <w:highlight w:val="none"/>
          <w:u w:val="none"/>
          <w:lang w:val="en-US" w:eastAsia="zh-CN"/>
        </w:rPr>
        <w:t>中医院挂牌“国家胸痛中心”、成立京郊首个精准医学检验中心，区妇幼保健院增设了麻醉门诊、新生儿危重症监护病房、日间手术病房等，</w:t>
      </w:r>
      <w:r>
        <w:rPr>
          <w:rFonts w:hint="default" w:ascii="仿宋_GB2312" w:hAnsi="仿宋_GB2312" w:eastAsia="仿宋_GB2312" w:cs="Times New Roman"/>
          <w:sz w:val="32"/>
          <w:szCs w:val="32"/>
          <w:highlight w:val="none"/>
          <w:u w:val="none"/>
          <w:lang w:val="en-US" w:eastAsia="zh-CN"/>
        </w:rPr>
        <w:t>专科影响力显著提升。</w:t>
      </w:r>
      <w:r>
        <w:rPr>
          <w:rFonts w:hint="default" w:ascii="仿宋_GB2312" w:hAnsi="仿宋_GB2312" w:eastAsia="仿宋_GB2312" w:cs="Times New Roman"/>
          <w:b/>
          <w:bCs/>
          <w:sz w:val="32"/>
          <w:szCs w:val="32"/>
          <w:highlight w:val="none"/>
          <w:u w:val="none"/>
          <w:lang w:val="en-US" w:eastAsia="zh-CN"/>
        </w:rPr>
        <w:t>扎实推进医联体建设，</w:t>
      </w:r>
      <w:r>
        <w:rPr>
          <w:rFonts w:hint="eastAsia" w:ascii="仿宋_GB2312" w:hAnsi="仿宋_GB2312" w:eastAsia="仿宋_GB2312" w:cs="仿宋_GB2312"/>
          <w:b w:val="0"/>
          <w:bCs w:val="0"/>
          <w:color w:val="auto"/>
          <w:sz w:val="32"/>
          <w:szCs w:val="32"/>
          <w:highlight w:val="none"/>
          <w:u w:val="none"/>
          <w:lang w:val="en-US" w:eastAsia="zh-CN"/>
        </w:rPr>
        <w:t>怀柔医院</w:t>
      </w:r>
      <w:r>
        <w:rPr>
          <w:rFonts w:hint="default" w:ascii="仿宋_GB2312" w:hAnsi="仿宋_GB2312" w:eastAsia="仿宋_GB2312" w:cs="仿宋_GB2312"/>
          <w:b w:val="0"/>
          <w:bCs w:val="0"/>
          <w:color w:val="auto"/>
          <w:sz w:val="32"/>
          <w:szCs w:val="32"/>
          <w:highlight w:val="none"/>
          <w:u w:val="none"/>
          <w:lang w:val="en-US" w:eastAsia="zh-CN"/>
        </w:rPr>
        <w:t>与北京儿童医院建</w:t>
      </w:r>
      <w:r>
        <w:rPr>
          <w:rFonts w:hint="default" w:ascii="仿宋_GB2312" w:hAnsi="仿宋_GB2312" w:eastAsia="仿宋_GB2312" w:cs="Times New Roman"/>
          <w:sz w:val="32"/>
          <w:szCs w:val="32"/>
          <w:highlight w:val="none"/>
          <w:u w:val="none"/>
          <w:lang w:val="en-US" w:eastAsia="zh-CN"/>
        </w:rPr>
        <w:t>立紧密型儿科医联体，开设儿童生长发育和青少年保健特色门诊，推动儿童医院12种自研药剂在怀柔医院上架供应，举办怀柔区儿科诊疗服务能力提升培训班，逐步提升区域儿童医疗服务水平。</w:t>
      </w:r>
      <w:r>
        <w:rPr>
          <w:rFonts w:hint="eastAsia" w:ascii="仿宋_GB2312" w:hAnsi="仿宋_GB2312" w:eastAsia="仿宋_GB2312" w:cs="仿宋_GB2312"/>
          <w:sz w:val="32"/>
          <w:szCs w:val="32"/>
          <w:highlight w:val="none"/>
          <w:u w:val="none"/>
          <w:lang w:val="en-US" w:eastAsia="zh-CN"/>
        </w:rPr>
        <w:t>建立</w:t>
      </w:r>
      <w:r>
        <w:rPr>
          <w:rFonts w:hint="eastAsia" w:ascii="仿宋_GB2312" w:hAnsi="仿宋_GB2312" w:eastAsia="仿宋_GB2312" w:cs="仿宋_GB2312"/>
          <w:b w:val="0"/>
          <w:bCs w:val="0"/>
          <w:color w:val="auto"/>
          <w:sz w:val="32"/>
          <w:szCs w:val="32"/>
          <w:highlight w:val="none"/>
          <w:u w:val="none"/>
          <w:lang w:val="en-US" w:eastAsia="zh-CN"/>
        </w:rPr>
        <w:t>综合医联体与中医、儿科、慢性病防治等紧密型医联体</w:t>
      </w:r>
      <w:r>
        <w:rPr>
          <w:rFonts w:hint="default" w:ascii="仿宋_GB2312" w:hAnsi="仿宋_GB2312" w:eastAsia="仿宋_GB2312" w:cs="Times New Roman"/>
          <w:sz w:val="32"/>
          <w:szCs w:val="32"/>
          <w:highlight w:val="none"/>
          <w:u w:val="none"/>
          <w:lang w:val="en-US" w:eastAsia="zh-CN"/>
        </w:rPr>
        <w:t>，重点推进医联体内远程会诊与双向转诊绿色通道建设，</w:t>
      </w:r>
      <w:r>
        <w:rPr>
          <w:rFonts w:hint="eastAsia" w:ascii="仿宋_GB2312" w:hAnsi="仿宋_GB2312" w:eastAsia="仿宋_GB2312" w:cs="仿宋_GB2312"/>
          <w:b w:val="0"/>
          <w:bCs w:val="0"/>
          <w:color w:val="auto"/>
          <w:sz w:val="32"/>
          <w:szCs w:val="32"/>
          <w:highlight w:val="none"/>
          <w:u w:val="none"/>
          <w:lang w:val="en-US" w:eastAsia="zh-CN"/>
        </w:rPr>
        <w:t>逐步推动“社区首诊、</w:t>
      </w:r>
      <w:r>
        <w:rPr>
          <w:rFonts w:hint="default" w:ascii="仿宋_GB2312" w:hAnsi="仿宋_GB2312" w:eastAsia="仿宋_GB2312" w:cs="仿宋_GB2312"/>
          <w:b w:val="0"/>
          <w:bCs w:val="0"/>
          <w:color w:val="auto"/>
          <w:sz w:val="32"/>
          <w:szCs w:val="32"/>
          <w:highlight w:val="none"/>
          <w:u w:val="none"/>
          <w:lang w:val="en-US" w:eastAsia="zh-CN"/>
        </w:rPr>
        <w:t>双向转诊、急慢分治、上下联动</w:t>
      </w:r>
      <w:r>
        <w:rPr>
          <w:rFonts w:hint="eastAsia" w:ascii="仿宋_GB2312" w:hAnsi="仿宋_GB2312" w:eastAsia="仿宋_GB2312" w:cs="仿宋_GB2312"/>
          <w:b w:val="0"/>
          <w:bCs w:val="0"/>
          <w:color w:val="auto"/>
          <w:sz w:val="32"/>
          <w:szCs w:val="32"/>
          <w:highlight w:val="none"/>
          <w:u w:val="none"/>
          <w:lang w:val="en-US" w:eastAsia="zh-CN"/>
        </w:rPr>
        <w:t>”的分级诊疗模式</w:t>
      </w:r>
      <w:r>
        <w:rPr>
          <w:rFonts w:hint="default" w:ascii="仿宋_GB2312" w:hAnsi="仿宋_GB2312" w:eastAsia="仿宋_GB2312" w:cs="Times New Roman"/>
          <w:color w:val="auto"/>
          <w:sz w:val="32"/>
          <w:szCs w:val="32"/>
          <w:highlight w:val="none"/>
          <w:u w:val="none"/>
          <w:lang w:val="en-US" w:eastAsia="zh-CN"/>
        </w:rPr>
        <w:t>。</w:t>
      </w:r>
      <w:r>
        <w:rPr>
          <w:rFonts w:hint="default" w:ascii="仿宋_GB2312" w:hAnsi="仿宋_GB2312" w:eastAsia="仿宋_GB2312" w:cs="Times New Roman"/>
          <w:b/>
          <w:bCs/>
          <w:sz w:val="32"/>
          <w:szCs w:val="32"/>
          <w:highlight w:val="none"/>
          <w:u w:val="none"/>
          <w:lang w:val="en-US" w:eastAsia="zh-CN"/>
        </w:rPr>
        <w:t>医疗基础设施</w:t>
      </w:r>
      <w:r>
        <w:rPr>
          <w:rFonts w:hint="eastAsia" w:ascii="仿宋_GB2312" w:hAnsi="仿宋_GB2312" w:eastAsia="仿宋_GB2312" w:cs="Times New Roman"/>
          <w:b/>
          <w:bCs/>
          <w:sz w:val="32"/>
          <w:szCs w:val="32"/>
          <w:highlight w:val="none"/>
          <w:u w:val="none"/>
          <w:lang w:val="en-US" w:eastAsia="zh-CN"/>
        </w:rPr>
        <w:t>改善提升。</w:t>
      </w:r>
      <w:r>
        <w:rPr>
          <w:rFonts w:hint="default" w:ascii="仿宋_GB2312" w:hAnsi="仿宋_GB2312" w:eastAsia="仿宋_GB2312" w:cs="Times New Roman"/>
          <w:sz w:val="32"/>
          <w:szCs w:val="32"/>
          <w:highlight w:val="none"/>
          <w:u w:val="none"/>
          <w:lang w:val="en-US" w:eastAsia="zh-CN"/>
        </w:rPr>
        <w:t>怀柔医院二期项目建成投用、国际部启用，怀柔区妇幼保健院迁建项目开工建设，医疗服务保障能力持续提升。完成全区16家社区卫生服务中心和6家社区卫生服务站升级改造</w:t>
      </w:r>
      <w:r>
        <w:rPr>
          <w:rFonts w:hint="eastAsia" w:ascii="仿宋_GB2312" w:hAnsi="仿宋_GB2312" w:eastAsia="仿宋_GB2312" w:cs="Times New Roman"/>
          <w:sz w:val="32"/>
          <w:szCs w:val="32"/>
          <w:highlight w:val="none"/>
          <w:u w:val="none"/>
          <w:lang w:val="en-US" w:eastAsia="zh-CN"/>
        </w:rPr>
        <w:t>，消除安全隐患，改善业务用房条件。</w:t>
      </w:r>
      <w:r>
        <w:rPr>
          <w:rFonts w:hint="default" w:ascii="仿宋_GB2312" w:hAnsi="仿宋_GB2312" w:eastAsia="仿宋_GB2312" w:cs="Times New Roman"/>
          <w:b/>
          <w:bCs/>
          <w:sz w:val="32"/>
          <w:szCs w:val="32"/>
          <w:highlight w:val="none"/>
          <w:u w:val="none"/>
          <w:lang w:val="en-US" w:eastAsia="zh-CN"/>
        </w:rPr>
        <w:t>基层医疗服务能力明显增强。</w:t>
      </w:r>
      <w:r>
        <w:rPr>
          <w:rFonts w:hint="default" w:ascii="仿宋_GB2312" w:hAnsi="仿宋_GB2312" w:eastAsia="仿宋_GB2312" w:cs="Times New Roman"/>
          <w:sz w:val="32"/>
          <w:szCs w:val="32"/>
          <w:highlight w:val="none"/>
          <w:u w:val="none"/>
          <w:lang w:val="en-US" w:eastAsia="zh-CN"/>
        </w:rPr>
        <w:t>建成涵盖高血压、</w:t>
      </w:r>
      <w:r>
        <w:rPr>
          <w:rFonts w:ascii="仿宋_GB2312" w:hAnsi="仿宋_GB2312" w:eastAsia="仿宋_GB2312" w:cs="Times New Roman"/>
          <w:i w:val="0"/>
          <w:caps w:val="0"/>
          <w:color w:val="333333"/>
          <w:spacing w:val="0"/>
          <w:kern w:val="2"/>
          <w:sz w:val="32"/>
          <w:szCs w:val="32"/>
          <w:highlight w:val="none"/>
          <w:u w:val="none"/>
          <w:shd w:val="clear" w:fill="auto"/>
          <w:lang w:val="en-US" w:eastAsia="zh-CN" w:bidi="ar"/>
        </w:rPr>
        <w:t>Ⅱ</w:t>
      </w:r>
      <w:r>
        <w:rPr>
          <w:rFonts w:hint="default" w:ascii="仿宋_GB2312" w:hAnsi="仿宋_GB2312" w:eastAsia="仿宋_GB2312" w:cs="Times New Roman"/>
          <w:sz w:val="32"/>
          <w:szCs w:val="32"/>
          <w:highlight w:val="none"/>
          <w:u w:val="none"/>
          <w:lang w:val="en-US" w:eastAsia="zh-CN"/>
        </w:rPr>
        <w:t>型糖尿病等重点病种专病特色科室</w:t>
      </w:r>
      <w:r>
        <w:rPr>
          <w:rFonts w:hint="eastAsia" w:ascii="仿宋_GB2312" w:hAnsi="仿宋_GB2312" w:eastAsia="仿宋_GB2312" w:cs="Times New Roman"/>
          <w:sz w:val="32"/>
          <w:szCs w:val="32"/>
          <w:highlight w:val="none"/>
          <w:u w:val="none"/>
          <w:lang w:val="en-US" w:eastAsia="zh-CN"/>
        </w:rPr>
        <w:t>23</w:t>
      </w:r>
      <w:r>
        <w:rPr>
          <w:rFonts w:hint="default" w:ascii="仿宋_GB2312" w:hAnsi="仿宋_GB2312" w:eastAsia="仿宋_GB2312" w:cs="Times New Roman"/>
          <w:sz w:val="32"/>
          <w:szCs w:val="32"/>
          <w:highlight w:val="none"/>
          <w:u w:val="none"/>
          <w:lang w:val="en-US" w:eastAsia="zh-CN"/>
        </w:rPr>
        <w:t>个，中医科</w:t>
      </w:r>
      <w:r>
        <w:rPr>
          <w:rFonts w:hint="eastAsia" w:ascii="仿宋_GB2312" w:hAnsi="仿宋_GB2312" w:eastAsia="仿宋_GB2312" w:cs="Times New Roman"/>
          <w:sz w:val="32"/>
          <w:szCs w:val="32"/>
          <w:highlight w:val="none"/>
          <w:u w:val="none"/>
          <w:lang w:val="en-US" w:eastAsia="zh-CN"/>
        </w:rPr>
        <w:t>、儿科</w:t>
      </w:r>
      <w:r>
        <w:rPr>
          <w:rFonts w:hint="default" w:ascii="仿宋_GB2312" w:hAnsi="仿宋_GB2312" w:eastAsia="仿宋_GB2312" w:cs="Times New Roman"/>
          <w:sz w:val="32"/>
          <w:szCs w:val="32"/>
          <w:highlight w:val="none"/>
          <w:u w:val="none"/>
          <w:lang w:val="en-US" w:eastAsia="zh-CN"/>
        </w:rPr>
        <w:t>实现全覆盖</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汤河口社区卫生服务中心建成血液透析室，填补北部山区血液透析</w:t>
      </w:r>
      <w:r>
        <w:rPr>
          <w:rFonts w:hint="eastAsia" w:ascii="仿宋_GB2312" w:hAnsi="仿宋_GB2312" w:eastAsia="仿宋_GB2312" w:cs="Times New Roman"/>
          <w:sz w:val="32"/>
          <w:szCs w:val="32"/>
          <w:highlight w:val="none"/>
          <w:u w:val="none"/>
          <w:lang w:val="en-US" w:eastAsia="zh-CN"/>
        </w:rPr>
        <w:t>医疗技术</w:t>
      </w:r>
      <w:r>
        <w:rPr>
          <w:rFonts w:hint="default" w:ascii="仿宋_GB2312" w:hAnsi="仿宋_GB2312" w:eastAsia="仿宋_GB2312" w:cs="Times New Roman"/>
          <w:sz w:val="32"/>
          <w:szCs w:val="32"/>
          <w:highlight w:val="none"/>
          <w:u w:val="none"/>
          <w:lang w:val="en-US" w:eastAsia="zh-CN"/>
        </w:rPr>
        <w:t>空白。</w:t>
      </w:r>
      <w:r>
        <w:rPr>
          <w:rFonts w:hint="eastAsia" w:ascii="仿宋_GB2312" w:hAnsi="仿宋_GB2312" w:eastAsia="仿宋_GB2312" w:cs="Times New Roman"/>
          <w:b w:val="0"/>
          <w:bCs w:val="0"/>
          <w:color w:val="auto"/>
          <w:sz w:val="32"/>
          <w:szCs w:val="32"/>
          <w:highlight w:val="none"/>
          <w:u w:val="none"/>
          <w:lang w:val="en-US" w:eastAsia="zh-CN"/>
        </w:rPr>
        <w:t>一体化综合性远程诊疗服务不断深入</w:t>
      </w:r>
      <w:r>
        <w:rPr>
          <w:rFonts w:hint="eastAsia" w:ascii="仿宋_GB2312" w:hAnsi="仿宋_GB2312" w:eastAsia="仿宋_GB2312" w:cs="Times New Roman"/>
          <w:b w:val="0"/>
          <w:bCs w:val="0"/>
          <w:sz w:val="32"/>
          <w:szCs w:val="32"/>
          <w:highlight w:val="none"/>
          <w:u w:val="none"/>
          <w:lang w:val="en-US" w:eastAsia="zh-CN"/>
        </w:rPr>
        <w:t>，荣获国家“基本公共卫生服务典型案例”“2025年基层卫生综合改革”双料典型，</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互联网健康乡村门诊</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实现全覆盖，《小病不出村 报销有</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医</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靠 怀柔区村卫生室实现医保定点全覆盖》成为全市唯一荣获全国农村公共服务典型案例。</w:t>
      </w:r>
      <w:r>
        <w:rPr>
          <w:rFonts w:hint="eastAsia" w:ascii="仿宋_GB2312" w:hAnsi="仿宋_GB2312" w:eastAsia="仿宋_GB2312" w:cs="仿宋_GB2312"/>
          <w:b w:val="0"/>
          <w:bCs w:val="0"/>
          <w:color w:val="auto"/>
          <w:sz w:val="32"/>
          <w:szCs w:val="32"/>
          <w:highlight w:val="none"/>
          <w:u w:val="none"/>
          <w:lang w:val="en-US" w:eastAsia="zh-CN"/>
        </w:rPr>
        <w:t>社区卫生年门急诊量达到226.2万人次，</w:t>
      </w:r>
      <w:r>
        <w:rPr>
          <w:rFonts w:hint="eastAsia" w:ascii="仿宋_GB2312" w:hAnsi="仿宋_GB2312" w:eastAsia="仿宋_GB2312" w:cs="仿宋_GB2312"/>
          <w:sz w:val="32"/>
          <w:szCs w:val="32"/>
          <w:highlight w:val="none"/>
          <w:u w:val="none"/>
          <w:lang w:val="en-US" w:eastAsia="zh-CN"/>
        </w:rPr>
        <w:t>较</w:t>
      </w:r>
      <w:r>
        <w:rPr>
          <w:rFonts w:hint="eastAsia" w:ascii="宋体" w:hAnsi="宋体" w:eastAsia="宋体" w:cs="宋体"/>
          <w:sz w:val="32"/>
          <w:szCs w:val="32"/>
          <w:highlight w:val="none"/>
          <w:u w:val="none"/>
          <w:lang w:val="en-US" w:eastAsia="zh-CN"/>
        </w:rPr>
        <w:t>“</w:t>
      </w:r>
      <w:r>
        <w:rPr>
          <w:rFonts w:hint="eastAsia" w:ascii="仿宋_GB2312" w:hAnsi="仿宋_GB2312" w:eastAsia="仿宋_GB2312" w:cs="仿宋_GB2312"/>
          <w:sz w:val="32"/>
          <w:szCs w:val="32"/>
          <w:highlight w:val="none"/>
          <w:u w:val="none"/>
          <w:lang w:val="en-US" w:eastAsia="zh-CN"/>
        </w:rPr>
        <w:t>十三五</w:t>
      </w:r>
      <w:r>
        <w:rPr>
          <w:rFonts w:hint="eastAsia" w:ascii="宋体" w:hAnsi="宋体" w:eastAsia="宋体" w:cs="宋体"/>
          <w:sz w:val="32"/>
          <w:szCs w:val="32"/>
          <w:highlight w:val="none"/>
          <w:u w:val="none"/>
          <w:lang w:val="en-US" w:eastAsia="zh-CN"/>
        </w:rPr>
        <w:t>”</w:t>
      </w:r>
      <w:r>
        <w:rPr>
          <w:rFonts w:hint="eastAsia" w:ascii="仿宋_GB2312" w:hAnsi="仿宋_GB2312" w:eastAsia="仿宋_GB2312" w:cs="仿宋_GB2312"/>
          <w:sz w:val="32"/>
          <w:szCs w:val="32"/>
          <w:highlight w:val="none"/>
          <w:u w:val="none"/>
          <w:lang w:val="en-US" w:eastAsia="zh-CN"/>
        </w:rPr>
        <w:t>期末增长80.5</w:t>
      </w:r>
      <w:r>
        <w:rPr>
          <w:rFonts w:hint="eastAsia" w:ascii="仿宋_GB2312" w:hAnsi="仿宋_GB2312" w:eastAsia="仿宋_GB2312" w:cs="仿宋_GB2312"/>
          <w:b w:val="0"/>
          <w:bCs w:val="0"/>
          <w:color w:val="auto"/>
          <w:sz w:val="32"/>
          <w:szCs w:val="32"/>
          <w:highlight w:val="none"/>
          <w:u w:val="none"/>
          <w:lang w:val="en-US" w:eastAsia="zh-CN"/>
        </w:rPr>
        <w:t>%</w:t>
      </w:r>
      <w:r>
        <w:rPr>
          <w:rFonts w:hint="default" w:ascii="仿宋_GB2312" w:hAnsi="仿宋_GB2312" w:eastAsia="仿宋_GB2312" w:cs="Times New Roman"/>
          <w:b w:val="0"/>
          <w:bCs w:val="0"/>
          <w:sz w:val="32"/>
          <w:szCs w:val="32"/>
          <w:highlight w:val="none"/>
          <w:u w:val="none"/>
          <w:lang w:val="en-US" w:eastAsia="zh-CN"/>
        </w:rPr>
        <w:t>。</w:t>
      </w:r>
      <w:r>
        <w:rPr>
          <w:rFonts w:hint="eastAsia" w:ascii="仿宋_GB2312" w:hAnsi="仿宋_GB2312" w:eastAsia="仿宋_GB2312" w:cs="Times New Roman"/>
          <w:b/>
          <w:bCs/>
          <w:color w:val="auto"/>
          <w:sz w:val="32"/>
          <w:szCs w:val="32"/>
          <w:highlight w:val="none"/>
          <w:u w:val="none"/>
          <w:lang w:val="en-US" w:eastAsia="zh-CN"/>
        </w:rPr>
        <w:t>公共卫生服务能力全面提升。</w:t>
      </w:r>
      <w:r>
        <w:rPr>
          <w:rFonts w:hint="eastAsia" w:ascii="仿宋_GB2312" w:hAnsi="仿宋_GB2312" w:eastAsia="仿宋_GB2312" w:cs="仿宋_GB2312"/>
          <w:b w:val="0"/>
          <w:bCs w:val="0"/>
          <w:color w:val="auto"/>
          <w:sz w:val="32"/>
          <w:szCs w:val="32"/>
          <w:highlight w:val="none"/>
          <w:u w:val="none"/>
          <w:lang w:val="en-US" w:eastAsia="zh-CN"/>
        </w:rPr>
        <w:t>顺利通过国家慢性病综合防控示范区和国家卫生区复审，累计建成健康食堂、健康社区、健康学校等健康机构405家，</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1+16</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急救网络体系全面建成，</w:t>
      </w:r>
      <w:r>
        <w:rPr>
          <w:rFonts w:hint="eastAsia" w:ascii="仿宋_GB2312" w:hAnsi="仿宋_GB2312" w:eastAsia="仿宋_GB2312" w:cs="Times New Roman"/>
          <w:sz w:val="32"/>
          <w:szCs w:val="32"/>
          <w:highlight w:val="none"/>
          <w:u w:val="none"/>
          <w:lang w:val="en-US" w:eastAsia="zh-CN"/>
        </w:rPr>
        <w:t>在</w:t>
      </w:r>
      <w:r>
        <w:rPr>
          <w:rFonts w:hint="eastAsia" w:ascii="仿宋_GB2312" w:hAnsi="仿宋_GB2312" w:eastAsia="仿宋_GB2312" w:cs="仿宋_GB2312"/>
          <w:b w:val="0"/>
          <w:bCs w:val="0"/>
          <w:color w:val="auto"/>
          <w:sz w:val="32"/>
          <w:szCs w:val="32"/>
          <w:highlight w:val="none"/>
          <w:u w:val="none"/>
          <w:lang w:val="en-US" w:eastAsia="zh-CN"/>
        </w:rPr>
        <w:t>全市率先完成2家急救车洗消站及17家急救中心（站）标准化建设并投入使用，</w:t>
      </w:r>
      <w:r>
        <w:rPr>
          <w:rFonts w:hint="eastAsia" w:ascii="仿宋_GB2312" w:hAnsi="仿宋_GB2312" w:eastAsia="仿宋_GB2312" w:cs="Times New Roman"/>
          <w:color w:val="auto"/>
          <w:sz w:val="32"/>
          <w:szCs w:val="32"/>
          <w:highlight w:val="none"/>
          <w:u w:val="none"/>
          <w:lang w:val="en-US" w:eastAsia="zh-CN"/>
        </w:rPr>
        <w:t>院前呼叫满足率提升至99.9%，平均急救反应时间缩短至10.11分钟。</w:t>
      </w:r>
      <w:r>
        <w:rPr>
          <w:rFonts w:hint="default" w:ascii="仿宋_GB2312" w:hAnsi="仿宋_GB2312" w:eastAsia="仿宋_GB2312" w:cs="Times New Roman"/>
          <w:sz w:val="32"/>
          <w:szCs w:val="32"/>
          <w:highlight w:val="none"/>
          <w:u w:val="none"/>
          <w:lang w:val="en-US" w:eastAsia="zh-CN"/>
        </w:rPr>
        <w:t>怀柔医院</w:t>
      </w:r>
      <w:r>
        <w:rPr>
          <w:rFonts w:hint="default" w:ascii="仿宋_GB2312" w:hAnsi="仿宋_GB2312" w:eastAsia="仿宋_GB2312" w:cs="Times New Roman"/>
          <w:b w:val="0"/>
          <w:bCs w:val="0"/>
          <w:kern w:val="2"/>
          <w:sz w:val="32"/>
          <w:szCs w:val="32"/>
          <w:highlight w:val="none"/>
          <w:u w:val="none"/>
          <w:lang w:val="en-US" w:eastAsia="zh-CN" w:bidi="ar-SA"/>
        </w:rPr>
        <w:t>推动急救关口前移，</w:t>
      </w:r>
      <w:r>
        <w:rPr>
          <w:rFonts w:hint="default" w:ascii="仿宋_GB2312" w:hAnsi="仿宋_GB2312" w:eastAsia="仿宋_GB2312" w:cs="Times New Roman"/>
          <w:sz w:val="32"/>
          <w:szCs w:val="32"/>
          <w:highlight w:val="none"/>
          <w:u w:val="none"/>
          <w:lang w:val="en-US" w:eastAsia="zh-CN"/>
        </w:rPr>
        <w:t>建成</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上车即入院</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急救模式。</w:t>
      </w:r>
      <w:r>
        <w:rPr>
          <w:rFonts w:hint="eastAsia" w:ascii="仿宋_GB2312" w:hAnsi="仿宋_GB2312" w:eastAsia="仿宋_GB2312" w:cs="仿宋_GB2312"/>
          <w:b w:val="0"/>
          <w:bCs w:val="0"/>
          <w:color w:val="auto"/>
          <w:sz w:val="32"/>
          <w:szCs w:val="32"/>
          <w:highlight w:val="none"/>
          <w:u w:val="none"/>
          <w:lang w:val="en-US" w:eastAsia="zh-CN"/>
        </w:rPr>
        <w:t>率先在全市完成重点公共场所128台AED配备工作，实现了学校、公交枢纽等重点公共场所急救设施全覆盖。</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b w:val="0"/>
          <w:bCs w:val="0"/>
          <w:sz w:val="32"/>
          <w:highlight w:val="none"/>
          <w:u w:val="none"/>
          <w:lang w:val="en-US" w:eastAsia="zh-CN"/>
        </w:rPr>
      </w:pPr>
      <w:r>
        <w:rPr>
          <w:rFonts w:hint="eastAsia" w:ascii="仿宋_GB2312" w:hAnsi="仿宋_GB2312" w:eastAsia="仿宋_GB2312"/>
          <w:b/>
          <w:bCs/>
          <w:sz w:val="32"/>
          <w:highlight w:val="none"/>
          <w:u w:val="none"/>
          <w:lang w:val="en-US" w:eastAsia="zh-CN"/>
        </w:rPr>
        <w:t>养老服务保障体系持续完善。</w:t>
      </w:r>
      <w:r>
        <w:rPr>
          <w:rFonts w:hint="eastAsia" w:ascii="仿宋_GB2312" w:hAnsi="仿宋_GB2312" w:eastAsia="仿宋_GB2312"/>
          <w:b w:val="0"/>
          <w:bCs w:val="0"/>
          <w:sz w:val="32"/>
          <w:highlight w:val="none"/>
          <w:u w:val="none"/>
          <w:lang w:val="en-US" w:eastAsia="zh-CN"/>
        </w:rPr>
        <w:t>“十四五”时期，每千常住人口养老床位数达</w:t>
      </w:r>
      <w:bookmarkStart w:id="46" w:name="养老"/>
      <w:r>
        <w:rPr>
          <w:rFonts w:hint="eastAsia" w:ascii="仿宋_GB2312" w:hAnsi="仿宋_GB2312" w:eastAsia="仿宋_GB2312"/>
          <w:b w:val="0"/>
          <w:bCs w:val="0"/>
          <w:sz w:val="32"/>
          <w:highlight w:val="none"/>
          <w:u w:val="none"/>
          <w:lang w:val="en-US" w:eastAsia="zh-CN"/>
        </w:rPr>
        <w:t>7.</w:t>
      </w:r>
      <w:bookmarkEnd w:id="46"/>
      <w:r>
        <w:rPr>
          <w:rFonts w:hint="eastAsia" w:ascii="仿宋_GB2312" w:hAnsi="仿宋_GB2312" w:eastAsia="仿宋_GB2312"/>
          <w:b w:val="0"/>
          <w:bCs w:val="0"/>
          <w:sz w:val="32"/>
          <w:highlight w:val="none"/>
          <w:u w:val="none"/>
          <w:lang w:val="en-US" w:eastAsia="zh-CN"/>
        </w:rPr>
        <w:t>38张，每万名老年人拥有养老护理员数达</w:t>
      </w:r>
      <w:r>
        <w:rPr>
          <w:rFonts w:hint="eastAsia" w:ascii="仿宋_GB2312" w:hAnsi="仿宋_GB2312" w:eastAsia="仿宋_GB2312" w:cstheme="minorBidi"/>
          <w:color w:val="auto"/>
          <w:kern w:val="2"/>
          <w:sz w:val="32"/>
          <w:szCs w:val="24"/>
          <w:highlight w:val="none"/>
          <w:u w:val="none"/>
          <w:lang w:val="en-US" w:eastAsia="zh-CN" w:bidi="ar-SA"/>
        </w:rPr>
        <w:t>92.5</w:t>
      </w:r>
      <w:r>
        <w:rPr>
          <w:rFonts w:hint="eastAsia" w:ascii="仿宋_GB2312" w:hAnsi="仿宋_GB2312" w:eastAsia="仿宋_GB2312"/>
          <w:b w:val="0"/>
          <w:bCs w:val="0"/>
          <w:sz w:val="32"/>
          <w:highlight w:val="none"/>
          <w:u w:val="none"/>
          <w:lang w:val="en-US" w:eastAsia="zh-CN"/>
        </w:rPr>
        <w:t>人，</w:t>
      </w:r>
      <w:r>
        <w:rPr>
          <w:rFonts w:hint="eastAsia" w:ascii="仿宋_GB2312" w:hAnsi="仿宋_GB2312" w:eastAsia="仿宋_GB2312" w:cs="仿宋_GB2312"/>
          <w:b w:val="0"/>
          <w:bCs w:val="0"/>
          <w:strike w:val="0"/>
          <w:dstrike w:val="0"/>
          <w:sz w:val="32"/>
          <w:szCs w:val="32"/>
          <w:highlight w:val="none"/>
          <w:u w:val="none"/>
          <w:lang w:val="en-US" w:eastAsia="zh-CN"/>
        </w:rPr>
        <w:t>养老机构护理型床位占比为</w:t>
      </w:r>
      <w:r>
        <w:rPr>
          <w:rFonts w:hint="eastAsia" w:ascii="仿宋_GB2312" w:hAnsi="仿宋_GB2312" w:eastAsia="仿宋_GB2312" w:cstheme="minorBidi"/>
          <w:b w:val="0"/>
          <w:bCs w:val="0"/>
          <w:strike w:val="0"/>
          <w:dstrike w:val="0"/>
          <w:sz w:val="32"/>
          <w:szCs w:val="24"/>
          <w:highlight w:val="none"/>
          <w:u w:val="none"/>
          <w:lang w:val="en-US" w:eastAsia="zh-CN"/>
        </w:rPr>
        <w:t>71%</w:t>
      </w:r>
      <w:r>
        <w:rPr>
          <w:rFonts w:hint="eastAsia" w:ascii="仿宋_GB2312" w:hAnsi="仿宋_GB2312" w:eastAsia="仿宋_GB2312"/>
          <w:b w:val="0"/>
          <w:bCs w:val="0"/>
          <w:sz w:val="32"/>
          <w:highlight w:val="none"/>
          <w:u w:val="none"/>
          <w:lang w:val="en-US" w:eastAsia="zh-CN"/>
        </w:rPr>
        <w:t>，养老保障水平不断提高。</w:t>
      </w:r>
      <w:r>
        <w:rPr>
          <w:rFonts w:hint="eastAsia" w:ascii="仿宋_GB2312" w:hAnsi="仿宋_GB2312" w:eastAsia="仿宋_GB2312"/>
          <w:b/>
          <w:bCs/>
          <w:sz w:val="32"/>
          <w:highlight w:val="none"/>
          <w:u w:val="none"/>
          <w:lang w:val="en-US" w:eastAsia="zh-CN"/>
        </w:rPr>
        <w:t>居家-社区-机构</w:t>
      </w:r>
      <w:r>
        <w:rPr>
          <w:rFonts w:hint="eastAsia" w:ascii="仿宋_GB2312" w:hAnsi="仿宋_GB2312" w:eastAsia="仿宋_GB2312" w:cs="仿宋_GB2312"/>
          <w:b/>
          <w:bCs/>
          <w:color w:val="auto"/>
          <w:kern w:val="0"/>
          <w:sz w:val="32"/>
          <w:szCs w:val="32"/>
          <w:highlight w:val="none"/>
          <w:u w:val="none"/>
          <w:lang w:val="en-US" w:eastAsia="zh-CN" w:bidi="ar-SA"/>
        </w:rPr>
        <w:t>多元化养老格局形成，</w:t>
      </w:r>
      <w:r>
        <w:rPr>
          <w:rFonts w:hint="eastAsia" w:ascii="仿宋_GB2312" w:hAnsi="仿宋_GB2312" w:eastAsia="仿宋_GB2312" w:cs="仿宋_GB2312"/>
          <w:color w:val="auto"/>
          <w:kern w:val="0"/>
          <w:sz w:val="32"/>
          <w:szCs w:val="32"/>
          <w:highlight w:val="none"/>
          <w:u w:val="none"/>
          <w:lang w:val="en-US" w:eastAsia="zh-CN" w:bidi="ar-SA"/>
        </w:rPr>
        <w:t>养老机构达</w:t>
      </w:r>
      <w:r>
        <w:rPr>
          <w:rFonts w:hint="eastAsia" w:ascii="仿宋_GB2312" w:hAnsi="仿宋_GB2312" w:eastAsia="仿宋_GB2312" w:cstheme="minorBidi"/>
          <w:color w:val="auto"/>
          <w:kern w:val="2"/>
          <w:sz w:val="32"/>
          <w:szCs w:val="24"/>
          <w:highlight w:val="none"/>
          <w:u w:val="none"/>
          <w:lang w:val="en-US" w:eastAsia="zh-CN" w:bidi="ar-SA"/>
        </w:rPr>
        <w:t>126家，其中养老服务机构22家（公办公营3家、公办民营10家、民办养老机构9家）、社区驿站15家、幸福晚年驿站89</w:t>
      </w:r>
      <w:r>
        <w:rPr>
          <w:rFonts w:hint="eastAsia" w:ascii="仿宋_GB2312" w:hAnsi="仿宋_GB2312" w:eastAsia="仿宋_GB2312" w:cs="仿宋_GB2312"/>
          <w:color w:val="auto"/>
          <w:kern w:val="0"/>
          <w:sz w:val="32"/>
          <w:szCs w:val="32"/>
          <w:highlight w:val="none"/>
          <w:u w:val="none"/>
          <w:lang w:val="en-US" w:eastAsia="zh-CN" w:bidi="ar-SA"/>
        </w:rPr>
        <w:t>家，共设置养老床位3195张，</w:t>
      </w:r>
      <w:r>
        <w:rPr>
          <w:rFonts w:hint="default" w:ascii="仿宋_GB2312" w:hAnsi="仿宋_GB2312" w:eastAsia="仿宋_GB2312" w:cs="Times New Roman"/>
          <w:b w:val="0"/>
          <w:bCs w:val="0"/>
          <w:sz w:val="32"/>
          <w:szCs w:val="32"/>
          <w:highlight w:val="none"/>
          <w:u w:val="none"/>
          <w:lang w:val="en-US" w:eastAsia="zh-CN"/>
        </w:rPr>
        <w:t>养老家庭照护床位46</w:t>
      </w:r>
      <w:r>
        <w:rPr>
          <w:rFonts w:hint="eastAsia" w:ascii="仿宋_GB2312" w:hAnsi="仿宋_GB2312" w:eastAsia="仿宋_GB2312" w:cs="Times New Roman"/>
          <w:b w:val="0"/>
          <w:bCs w:val="0"/>
          <w:sz w:val="32"/>
          <w:szCs w:val="32"/>
          <w:highlight w:val="none"/>
          <w:u w:val="none"/>
          <w:lang w:val="en-US" w:eastAsia="zh-CN"/>
        </w:rPr>
        <w:t>8</w:t>
      </w:r>
      <w:r>
        <w:rPr>
          <w:rFonts w:hint="default" w:ascii="仿宋_GB2312" w:hAnsi="仿宋_GB2312" w:eastAsia="仿宋_GB2312" w:cs="Times New Roman"/>
          <w:b w:val="0"/>
          <w:bCs w:val="0"/>
          <w:sz w:val="32"/>
          <w:szCs w:val="32"/>
          <w:highlight w:val="none"/>
          <w:u w:val="none"/>
          <w:lang w:val="en-US" w:eastAsia="zh-CN"/>
        </w:rPr>
        <w:t>张</w:t>
      </w:r>
      <w:r>
        <w:rPr>
          <w:rFonts w:hint="eastAsia" w:ascii="仿宋_GB2312" w:hAnsi="仿宋_GB2312" w:eastAsia="仿宋_GB2312" w:cs="Times New Roman"/>
          <w:b w:val="0"/>
          <w:bCs w:val="0"/>
          <w:sz w:val="32"/>
          <w:szCs w:val="32"/>
          <w:highlight w:val="none"/>
          <w:u w:val="none"/>
          <w:lang w:val="en-US" w:eastAsia="zh-CN"/>
        </w:rPr>
        <w:t>。</w:t>
      </w:r>
      <w:r>
        <w:rPr>
          <w:rFonts w:hint="eastAsia" w:ascii="仿宋_GB2312" w:hAnsi="仿宋_GB2312" w:eastAsia="仿宋_GB2312"/>
          <w:b w:val="0"/>
          <w:bCs w:val="0"/>
          <w:sz w:val="32"/>
          <w:highlight w:val="none"/>
          <w:u w:val="none"/>
          <w:lang w:val="en-US" w:eastAsia="zh-CN"/>
        </w:rPr>
        <w:t>建设农村邻里互助养老服务点70个，重点为周边特困、高龄、失能、失智老年人提供各类居家养老服务。</w:t>
      </w:r>
      <w:r>
        <w:rPr>
          <w:rFonts w:hint="eastAsia" w:ascii="仿宋_GB2312" w:hAnsi="仿宋_GB2312" w:eastAsia="仿宋_GB2312"/>
          <w:b/>
          <w:bCs/>
          <w:sz w:val="32"/>
          <w:highlight w:val="none"/>
          <w:u w:val="none"/>
          <w:lang w:val="en-US" w:eastAsia="zh-CN"/>
        </w:rPr>
        <w:t>加快养老设施改造升级，</w:t>
      </w:r>
      <w:r>
        <w:rPr>
          <w:rFonts w:hint="eastAsia" w:ascii="仿宋_GB2312" w:hAnsi="仿宋_GB2312" w:eastAsia="仿宋_GB2312"/>
          <w:b w:val="0"/>
          <w:bCs w:val="0"/>
          <w:sz w:val="32"/>
          <w:highlight w:val="none"/>
          <w:u w:val="none"/>
          <w:lang w:val="en-US" w:eastAsia="zh-CN"/>
        </w:rPr>
        <w:t>对九渡河镇、宝山镇、琉璃庙镇等敬老院进行了改造，改善入住老年人生活条件。</w:t>
      </w:r>
      <w:r>
        <w:rPr>
          <w:rFonts w:hint="eastAsia" w:ascii="仿宋_GB2312" w:hAnsi="仿宋_GB2312" w:eastAsia="仿宋_GB2312"/>
          <w:b/>
          <w:bCs/>
          <w:sz w:val="32"/>
          <w:highlight w:val="none"/>
          <w:u w:val="none"/>
          <w:lang w:val="en-US" w:eastAsia="zh-CN"/>
        </w:rPr>
        <w:t>养老服务能力提高，</w:t>
      </w:r>
      <w:r>
        <w:rPr>
          <w:rFonts w:hint="eastAsia" w:ascii="仿宋_GB2312" w:hAnsi="仿宋_GB2312" w:eastAsia="仿宋_GB2312"/>
          <w:b w:val="0"/>
          <w:bCs w:val="0"/>
          <w:sz w:val="32"/>
          <w:highlight w:val="none"/>
          <w:u w:val="none"/>
          <w:lang w:val="en-US" w:eastAsia="zh-CN"/>
        </w:rPr>
        <w:t>为300名养老护理员开展初级养老护理员技能培训，培养460名中医药健康养老护理员，老年照护和康复护理服务能力不断提升。</w:t>
      </w:r>
      <w:r>
        <w:rPr>
          <w:rFonts w:hint="eastAsia" w:ascii="仿宋_GB2312" w:hAnsi="仿宋_GB2312" w:eastAsia="仿宋_GB2312"/>
          <w:b/>
          <w:bCs/>
          <w:sz w:val="32"/>
          <w:highlight w:val="none"/>
          <w:u w:val="none"/>
          <w:lang w:val="en-US" w:eastAsia="zh-CN"/>
        </w:rPr>
        <w:t>老年助餐服务体系进一步完善，</w:t>
      </w:r>
      <w:r>
        <w:rPr>
          <w:rFonts w:hint="default" w:ascii="仿宋_GB2312" w:hAnsi="仿宋_GB2312" w:eastAsia="仿宋_GB2312" w:cs="Times New Roman"/>
          <w:b w:val="0"/>
          <w:bCs w:val="0"/>
          <w:sz w:val="32"/>
          <w:szCs w:val="32"/>
          <w:highlight w:val="none"/>
          <w:u w:val="none"/>
          <w:lang w:val="en-US" w:eastAsia="zh-CN"/>
        </w:rPr>
        <w:t>建成全市首家农村老年餐配送中心，建设养老助餐点98个</w:t>
      </w:r>
      <w:r>
        <w:rPr>
          <w:rFonts w:hint="eastAsia" w:ascii="仿宋_GB2312" w:hAnsi="仿宋_GB2312" w:eastAsia="仿宋_GB2312" w:cs="Times New Roman"/>
          <w:b w:val="0"/>
          <w:bCs w:val="0"/>
          <w:sz w:val="32"/>
          <w:szCs w:val="32"/>
          <w:highlight w:val="none"/>
          <w:u w:val="none"/>
          <w:lang w:val="en-US" w:eastAsia="zh-CN"/>
        </w:rPr>
        <w:t>。</w:t>
      </w:r>
      <w:r>
        <w:rPr>
          <w:rFonts w:hint="eastAsia" w:ascii="仿宋_GB2312" w:hAnsi="仿宋_GB2312" w:eastAsia="仿宋_GB2312"/>
          <w:b w:val="0"/>
          <w:bCs w:val="0"/>
          <w:sz w:val="32"/>
          <w:highlight w:val="none"/>
          <w:u w:val="none"/>
          <w:lang w:val="en-US" w:eastAsia="zh-CN"/>
        </w:rPr>
        <w:t>年均提供助餐服务92.98万人次，实现全区老年人用餐、助餐全覆盖。</w:t>
      </w:r>
      <w:r>
        <w:rPr>
          <w:rFonts w:hint="eastAsia" w:ascii="仿宋_GB2312" w:hAnsi="仿宋_GB2312" w:eastAsia="仿宋_GB2312"/>
          <w:b/>
          <w:bCs/>
          <w:sz w:val="32"/>
          <w:highlight w:val="none"/>
          <w:u w:val="none"/>
          <w:lang w:val="en-US" w:eastAsia="zh-CN"/>
        </w:rPr>
        <w:t>养老健康服务网络搭建完成，</w:t>
      </w:r>
      <w:r>
        <w:rPr>
          <w:rFonts w:hint="eastAsia" w:ascii="仿宋_GB2312" w:hAnsi="仿宋_GB2312" w:eastAsia="仿宋_GB2312"/>
          <w:b w:val="0"/>
          <w:bCs w:val="0"/>
          <w:sz w:val="32"/>
          <w:highlight w:val="none"/>
          <w:u w:val="none"/>
          <w:lang w:val="en-US" w:eastAsia="zh-CN"/>
        </w:rPr>
        <w:t>形成以“区级老年健康服务和医养结合指导中心-16家社区卫生服务中心-社区卫生站（室）、养老机构、医养结合机构”为主体的“1+16+N”老年健康服务网络。</w:t>
      </w:r>
      <w:r>
        <w:rPr>
          <w:rFonts w:hint="eastAsia" w:ascii="仿宋_GB2312" w:hAnsi="仿宋_GB2312" w:eastAsia="仿宋_GB2312"/>
          <w:b/>
          <w:bCs/>
          <w:sz w:val="32"/>
          <w:highlight w:val="none"/>
          <w:u w:val="none"/>
          <w:lang w:val="en-US" w:eastAsia="zh-CN"/>
        </w:rPr>
        <w:t>深入推进医养融合发展，</w:t>
      </w:r>
      <w:r>
        <w:rPr>
          <w:rFonts w:hint="eastAsia" w:ascii="仿宋_GB2312" w:hAnsi="仿宋_GB2312" w:eastAsia="仿宋_GB2312"/>
          <w:b w:val="0"/>
          <w:bCs w:val="0"/>
          <w:sz w:val="32"/>
          <w:highlight w:val="none"/>
          <w:u w:val="none"/>
          <w:lang w:val="en-US" w:eastAsia="zh-CN"/>
        </w:rPr>
        <w:t>推进养老机构和养老驿站通过与医疗机构签约等形式进行合作，医疗覆盖率实现100%。</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b/>
          <w:bCs/>
          <w:sz w:val="32"/>
          <w:highlight w:val="none"/>
          <w:u w:val="none"/>
          <w:lang w:val="en-US" w:eastAsia="zh-CN"/>
        </w:rPr>
      </w:pPr>
      <w:r>
        <w:rPr>
          <w:rFonts w:hint="eastAsia" w:ascii="仿宋_GB2312" w:hAnsi="仿宋_GB2312" w:eastAsia="仿宋_GB2312" w:cs="仿宋_GB2312"/>
          <w:b/>
          <w:bCs/>
          <w:sz w:val="32"/>
          <w:szCs w:val="32"/>
          <w:highlight w:val="none"/>
          <w:u w:val="none"/>
          <w:lang w:val="en-US" w:eastAsia="zh-CN"/>
        </w:rPr>
        <w:t>社会保障水平不断提升。</w:t>
      </w:r>
      <w:r>
        <w:rPr>
          <w:rFonts w:hint="eastAsia" w:ascii="仿宋_GB2312" w:hAnsi="仿宋_GB2312" w:eastAsia="仿宋_GB2312" w:cs="仿宋_GB2312"/>
          <w:sz w:val="32"/>
          <w:szCs w:val="32"/>
          <w:highlight w:val="none"/>
          <w:u w:val="none"/>
          <w:lang w:val="en-US" w:eastAsia="zh-CN"/>
        </w:rPr>
        <w:t>“十四五”期间，就业服务体系不断完善，社会保险覆盖面持续扩大，困难群众救助精准有力，妇女儿童服务持续优化。实现城镇登记失业率4%，残疾人基本康复服务覆盖率100%。</w:t>
      </w:r>
      <w:r>
        <w:rPr>
          <w:rFonts w:hint="eastAsia" w:ascii="仿宋_GB2312" w:hAnsi="仿宋_GB2312" w:eastAsia="仿宋_GB2312" w:cs="仿宋_GB2312"/>
          <w:b/>
          <w:bCs/>
          <w:sz w:val="32"/>
          <w:szCs w:val="40"/>
          <w:highlight w:val="none"/>
          <w:u w:val="none"/>
          <w:lang w:val="en-US" w:eastAsia="zh-CN"/>
        </w:rPr>
        <w:t>就业服务能力不断提升，</w:t>
      </w:r>
      <w:r>
        <w:rPr>
          <w:rFonts w:hint="eastAsia" w:ascii="仿宋_GB2312" w:hAnsi="仿宋_GB2312" w:eastAsia="仿宋_GB2312" w:cs="仿宋_GB2312"/>
          <w:b w:val="0"/>
          <w:bCs w:val="0"/>
          <w:sz w:val="32"/>
          <w:szCs w:val="40"/>
          <w:highlight w:val="none"/>
          <w:u w:val="none"/>
          <w:lang w:val="en-US" w:eastAsia="zh-CN"/>
        </w:rPr>
        <w:t>全面建成“区-镇街-社区（村）”三级就业服务网络，规范性“零工市场”建成投用，累计开展补贴性城乡劳动力培训9709人，发放补贴资金397.31万元，新增职业技能培训机构5家，促进城乡劳动力就业4.3万人，其中公共服务岗位吸纳就业1662人，实现零就业家庭动态清零。</w:t>
      </w:r>
      <w:r>
        <w:rPr>
          <w:rFonts w:hint="eastAsia" w:ascii="仿宋_GB2312" w:hAnsi="仿宋_GB2312" w:eastAsia="仿宋_GB2312" w:cs="仿宋_GB2312"/>
          <w:b/>
          <w:bCs/>
          <w:sz w:val="32"/>
          <w:szCs w:val="40"/>
          <w:highlight w:val="none"/>
          <w:u w:val="none"/>
          <w:lang w:val="en-US" w:eastAsia="zh-CN"/>
        </w:rPr>
        <w:t>社会保险</w:t>
      </w:r>
      <w:r>
        <w:rPr>
          <w:rFonts w:hint="eastAsia" w:ascii="仿宋_GB2312" w:hAnsi="仿宋_GB2312" w:eastAsia="仿宋_GB2312" w:cs="仿宋_GB2312"/>
          <w:b/>
          <w:bCs/>
          <w:sz w:val="32"/>
          <w:szCs w:val="32"/>
          <w:highlight w:val="none"/>
          <w:u w:val="none"/>
          <w:lang w:val="en-US" w:eastAsia="zh-CN"/>
        </w:rPr>
        <w:t>覆盖面持续扩大</w:t>
      </w:r>
      <w:r>
        <w:rPr>
          <w:rFonts w:hint="eastAsia" w:ascii="仿宋_GB2312" w:hAnsi="仿宋_GB2312" w:eastAsia="仿宋_GB2312" w:cs="仿宋_GB2312"/>
          <w:b/>
          <w:bCs/>
          <w:sz w:val="32"/>
          <w:szCs w:val="40"/>
          <w:highlight w:val="none"/>
          <w:u w:val="none"/>
          <w:lang w:val="en-US" w:eastAsia="zh-CN"/>
        </w:rPr>
        <w:t>，</w:t>
      </w:r>
      <w:r>
        <w:rPr>
          <w:rFonts w:hint="eastAsia" w:ascii="仿宋_GB2312" w:hAnsi="仿宋_GB2312" w:eastAsia="仿宋_GB2312" w:cs="仿宋_GB2312"/>
          <w:b w:val="0"/>
          <w:bCs w:val="0"/>
          <w:sz w:val="32"/>
          <w:szCs w:val="40"/>
          <w:highlight w:val="none"/>
          <w:u w:val="none"/>
          <w:lang w:val="en-US" w:eastAsia="zh-CN"/>
        </w:rPr>
        <w:t>健全完善覆盖全民、统筹城乡、公平统一、安全规范、可持续的多层次社会保障体系。养老、失业、工伤三项保险累计参保354.4万人次，累计支出118亿元，累计发放技能培训补贴资金643.3万元、创业担保贷款8.99亿元。基本医疗保险参保人数达42.75万人，其中城镇职工26.87万人，城乡居民12.02万人，其他3.86万人，基本医疗保险累计支出71.2亿元。</w:t>
      </w:r>
      <w:r>
        <w:rPr>
          <w:rFonts w:hint="eastAsia" w:ascii="仿宋_GB2312" w:hAnsi="仿宋_GB2312" w:eastAsia="仿宋_GB2312" w:cs="仿宋_GB2312"/>
          <w:b/>
          <w:bCs/>
          <w:sz w:val="32"/>
          <w:szCs w:val="32"/>
          <w:highlight w:val="none"/>
          <w:u w:val="none"/>
          <w:lang w:val="en-US" w:eastAsia="zh-CN"/>
        </w:rPr>
        <w:t>社会救助托底保障能力显著增强</w:t>
      </w:r>
      <w:r>
        <w:rPr>
          <w:rFonts w:hint="eastAsia" w:ascii="仿宋_GB2312" w:hAnsi="仿宋_GB2312" w:eastAsia="仿宋_GB2312" w:cs="仿宋_GB2312"/>
          <w:b/>
          <w:bCs/>
          <w:sz w:val="32"/>
          <w:szCs w:val="40"/>
          <w:highlight w:val="none"/>
          <w:u w:val="none"/>
          <w:lang w:val="en-US" w:eastAsia="zh-CN" w:bidi="ar-SA"/>
        </w:rPr>
        <w:t>，</w:t>
      </w:r>
      <w:r>
        <w:rPr>
          <w:rFonts w:hint="eastAsia" w:ascii="仿宋_GB2312" w:hAnsi="仿宋_GB2312" w:eastAsia="仿宋_GB2312" w:cs="仿宋_GB2312"/>
          <w:b w:val="0"/>
          <w:bCs w:val="0"/>
          <w:sz w:val="32"/>
          <w:szCs w:val="40"/>
          <w:highlight w:val="none"/>
          <w:u w:val="none"/>
          <w:lang w:val="en-US" w:eastAsia="zh-CN" w:bidi="ar-SA"/>
        </w:rPr>
        <w:t>累计为1.1万人次残疾人群体、1200余名特困人员和3000余名低保人员分别发放补助资金2.5亿元、1.45亿元和2.9亿元。累计为32.73万人次社会救助对象实施医疗救助。累计为1813人次残疾儿童报销康复补助1160余万元，救助重大疾病、残疾、贫困妇女儿童1200余人次，发放救助金106万元。实现残疾人温馨家园服务覆盖率100%，社会救助服务率83%，临时救助可及率9.08%，均排在全市前列。</w:t>
      </w:r>
      <w:r>
        <w:rPr>
          <w:rFonts w:hint="default" w:ascii="仿宋_GB2312" w:hAnsi="仿宋_GB2312" w:eastAsia="仿宋_GB2312" w:cs="仿宋_GB2312"/>
          <w:b/>
          <w:bCs/>
          <w:sz w:val="32"/>
          <w:szCs w:val="40"/>
          <w:highlight w:val="none"/>
          <w:u w:val="none"/>
          <w:lang w:val="en-US" w:eastAsia="zh-CN" w:bidi="ar-SA"/>
        </w:rPr>
        <w:t>妇女儿童</w:t>
      </w:r>
      <w:r>
        <w:rPr>
          <w:rFonts w:hint="eastAsia" w:ascii="仿宋_GB2312" w:hAnsi="仿宋_GB2312" w:eastAsia="仿宋_GB2312" w:cs="仿宋_GB2312"/>
          <w:b/>
          <w:bCs/>
          <w:sz w:val="32"/>
          <w:szCs w:val="40"/>
          <w:highlight w:val="none"/>
          <w:u w:val="none"/>
          <w:lang w:val="en-US" w:eastAsia="zh-CN" w:bidi="ar-SA"/>
        </w:rPr>
        <w:t>权益得到有效保障</w:t>
      </w:r>
      <w:r>
        <w:rPr>
          <w:rFonts w:hint="eastAsia" w:ascii="仿宋_GB2312" w:hAnsi="仿宋_GB2312" w:eastAsia="仿宋_GB2312" w:cs="仿宋_GB2312"/>
          <w:b w:val="0"/>
          <w:bCs w:val="0"/>
          <w:sz w:val="32"/>
          <w:szCs w:val="40"/>
          <w:highlight w:val="none"/>
          <w:u w:val="none"/>
          <w:lang w:val="en-US" w:eastAsia="zh-CN" w:bidi="ar-SA"/>
        </w:rPr>
        <w:t>，</w:t>
      </w:r>
      <w:r>
        <w:rPr>
          <w:rFonts w:hint="eastAsia" w:ascii="仿宋_GB2312" w:hAnsi="仿宋_GB2312" w:eastAsia="仿宋_GB2312" w:cs="仿宋_GB2312"/>
          <w:b w:val="0"/>
          <w:bCs w:val="0"/>
          <w:color w:val="auto"/>
          <w:sz w:val="32"/>
          <w:szCs w:val="32"/>
          <w:highlight w:val="none"/>
          <w:u w:val="none"/>
          <w:lang w:val="en-US" w:eastAsia="zh-CN"/>
        </w:rPr>
        <w:t>全市率先实现现代产房建设、母婴友好医院、生育友好医院、早孕门诊、儿童健康友好社区、AA级妇女保健和儿童保健规范化门诊区域全覆盖，连续五年实现孕产妇“零死亡”</w:t>
      </w:r>
      <w:r>
        <w:rPr>
          <w:rFonts w:hint="eastAsia" w:ascii="仿宋_GB2312" w:hAnsi="仿宋_GB2312" w:eastAsia="仿宋_GB2312" w:cs="仿宋_GB2312"/>
          <w:b w:val="0"/>
          <w:bCs w:val="0"/>
          <w:sz w:val="32"/>
          <w:szCs w:val="40"/>
          <w:highlight w:val="none"/>
          <w:u w:val="none"/>
          <w:lang w:val="en-US" w:eastAsia="zh-CN" w:bidi="ar-SA"/>
        </w:rPr>
        <w:t>。打造女性就业服务平台，累计开展线上线下专场招聘会112场，提供就业岗位8万余个。深入推进儿童友好城市建设，儿童之家实现社区全覆盖。强化儿童福利保护，怀柔区儿童福利院投入使用，实现儿童福利院、区未成年人救助保护中心全面运营，各街道（乡镇）配设19名儿童督导员和319名社区（村）儿童主任。累计为7000余人次重度残疾少年儿童“送教上门”服务近10000课时，实现三类残疾少年儿童100%入学。</w:t>
      </w:r>
      <w:r>
        <w:rPr>
          <w:rFonts w:hint="eastAsia" w:ascii="仿宋_GB2312" w:hAnsi="仿宋_GB2312" w:eastAsia="仿宋_GB2312" w:cs="仿宋_GB2312"/>
          <w:b/>
          <w:bCs/>
          <w:sz w:val="32"/>
          <w:szCs w:val="40"/>
          <w:highlight w:val="none"/>
          <w:u w:val="none"/>
          <w:lang w:val="en-US" w:eastAsia="zh-CN"/>
        </w:rPr>
        <w:t>住房保障水平显著提升，保障覆盖面持续扩大。</w:t>
      </w:r>
      <w:r>
        <w:rPr>
          <w:rFonts w:hint="eastAsia" w:ascii="仿宋_GB2312" w:hAnsi="仿宋_GB2312" w:eastAsia="仿宋_GB2312" w:cs="仿宋_GB2312"/>
          <w:b w:val="0"/>
          <w:bCs w:val="0"/>
          <w:sz w:val="32"/>
          <w:szCs w:val="40"/>
          <w:highlight w:val="none"/>
          <w:u w:val="none"/>
          <w:lang w:val="en-US" w:eastAsia="zh-CN"/>
        </w:rPr>
        <w:t>截至“十四五”期末，公租房备案家庭保障率达86.1%，重点人群保障率达93.41%，公租房轮候家庭房源可供率</w:t>
      </w:r>
      <w:r>
        <w:rPr>
          <w:rFonts w:hint="eastAsia" w:ascii="仿宋_GB2312" w:hAnsi="仿宋_GB2312" w:eastAsia="仿宋_GB2312" w:cs="仿宋_GB2312"/>
          <w:b w:val="0"/>
          <w:bCs w:val="0"/>
          <w:i w:val="0"/>
          <w:iCs w:val="0"/>
          <w:sz w:val="32"/>
          <w:szCs w:val="40"/>
          <w:highlight w:val="none"/>
          <w:u w:val="none"/>
          <w:lang w:val="en-US" w:eastAsia="zh-CN"/>
        </w:rPr>
        <w:t>28.39%</w:t>
      </w:r>
      <w:r>
        <w:rPr>
          <w:rFonts w:hint="eastAsia" w:ascii="仿宋_GB2312" w:hAnsi="仿宋_GB2312" w:eastAsia="仿宋_GB2312" w:cs="仿宋_GB2312"/>
          <w:b w:val="0"/>
          <w:bCs w:val="0"/>
          <w:sz w:val="32"/>
          <w:szCs w:val="40"/>
          <w:highlight w:val="none"/>
          <w:u w:val="none"/>
          <w:lang w:val="en-US" w:eastAsia="zh-CN"/>
        </w:rPr>
        <w:t>，实现特殊困难家庭“应保尽保”。房源供给能力不断增强，累计建设筹集保障性租赁住房6169套，满足不同层次人群租赁住房需求。住房保障方式持续创新，统筹商品房、共有产权房、保障性租赁住房，保障科研人员、创新人才“短租、长住、久居”的多样需求。累计发放公租房、市场租房补贴1.04亿元，惠及2427户家庭。</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9"/>
        <w:rPr>
          <w:rFonts w:hint="default" w:ascii="仿宋_GB2312" w:hAnsi="仿宋_GB2312" w:eastAsia="仿宋_GB2312" w:cs="Times New Roman"/>
          <w:sz w:val="32"/>
          <w:highlight w:val="none"/>
          <w:u w:val="none"/>
          <w:lang w:val="en-US" w:eastAsia="zh-CN"/>
        </w:rPr>
      </w:pPr>
      <w:r>
        <w:rPr>
          <w:rFonts w:hint="default" w:ascii="仿宋_GB2312" w:hAnsi="仿宋_GB2312" w:eastAsia="仿宋_GB2312" w:cs="Times New Roman"/>
          <w:b/>
          <w:bCs/>
          <w:sz w:val="32"/>
          <w:highlight w:val="none"/>
          <w:u w:val="none"/>
          <w:lang w:val="en-US" w:eastAsia="zh-CN"/>
        </w:rPr>
        <w:t>公共文体服务能力持续加强。</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十四五</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期间，怀柔区通过建体系、增设施、拓活动，</w:t>
      </w:r>
      <w:r>
        <w:rPr>
          <w:rFonts w:hint="default" w:ascii="仿宋_GB2312" w:hAnsi="仿宋_GB2312" w:eastAsia="仿宋_GB2312" w:cs="Times New Roman"/>
          <w:sz w:val="32"/>
          <w:highlight w:val="none"/>
          <w:u w:val="none"/>
        </w:rPr>
        <w:t>推动公共文化体育服务能力与水平稳步提</w:t>
      </w:r>
      <w:r>
        <w:rPr>
          <w:rFonts w:hint="default" w:ascii="仿宋_GB2312" w:hAnsi="仿宋_GB2312" w:eastAsia="仿宋_GB2312" w:cs="Times New Roman"/>
          <w:sz w:val="32"/>
          <w:highlight w:val="none"/>
          <w:u w:val="none"/>
          <w:lang w:val="en-US" w:eastAsia="zh-CN"/>
        </w:rPr>
        <w:t>高</w:t>
      </w:r>
      <w:r>
        <w:rPr>
          <w:rFonts w:hint="default" w:ascii="仿宋_GB2312" w:hAnsi="仿宋_GB2312" w:eastAsia="仿宋_GB2312" w:cs="Times New Roman"/>
          <w:sz w:val="32"/>
          <w:highlight w:val="none"/>
          <w:u w:val="none"/>
        </w:rPr>
        <w:t>。</w:t>
      </w:r>
      <w:r>
        <w:rPr>
          <w:rFonts w:hint="default" w:ascii="仿宋_GB2312" w:hAnsi="仿宋_GB2312" w:eastAsia="仿宋_GB2312" w:cs="Times New Roman"/>
          <w:b/>
          <w:bCs/>
          <w:sz w:val="32"/>
          <w:highlight w:val="none"/>
          <w:u w:val="none"/>
          <w:lang w:val="en-US" w:eastAsia="zh-CN"/>
        </w:rPr>
        <w:t>全面推进公共文化服务体系示范区建设</w:t>
      </w:r>
      <w:r>
        <w:rPr>
          <w:rFonts w:hint="eastAsia" w:ascii="仿宋_GB2312" w:hAnsi="仿宋_GB2312" w:eastAsia="仿宋_GB2312" w:cs="Times New Roman"/>
          <w:b/>
          <w:bCs/>
          <w:sz w:val="32"/>
          <w:highlight w:val="none"/>
          <w:u w:val="none"/>
          <w:lang w:val="en-US" w:eastAsia="zh-CN"/>
        </w:rPr>
        <w:t>，</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1+16+319</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的区</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镇乡（街道）</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行政村（社区）三级文化馆、图书馆总分馆制体系基本建成，</w:t>
      </w:r>
      <w:r>
        <w:rPr>
          <w:rFonts w:hint="eastAsia" w:ascii="仿宋_GB2312" w:hAnsi="仿宋_GB2312" w:eastAsia="仿宋_GB2312" w:cs="仿宋_GB2312"/>
          <w:sz w:val="32"/>
          <w:szCs w:val="32"/>
          <w:highlight w:val="none"/>
          <w:u w:val="none"/>
          <w:lang w:val="en-US" w:eastAsia="zh-CN"/>
        </w:rPr>
        <w:t>人均公共文化设施建筑面积达3.57平方米</w:t>
      </w:r>
      <w:r>
        <w:rPr>
          <w:rFonts w:hint="default"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b/>
          <w:bCs/>
          <w:sz w:val="32"/>
          <w:highlight w:val="none"/>
          <w:u w:val="none"/>
          <w:lang w:val="en-US" w:eastAsia="zh-CN"/>
        </w:rPr>
        <w:t>公共文化活动供给不断丰富</w:t>
      </w:r>
      <w:r>
        <w:rPr>
          <w:rFonts w:hint="eastAsia" w:ascii="仿宋_GB2312" w:hAnsi="仿宋_GB2312" w:eastAsia="仿宋_GB2312" w:cs="Times New Roman"/>
          <w:b/>
          <w:bCs/>
          <w:sz w:val="32"/>
          <w:highlight w:val="none"/>
          <w:u w:val="none"/>
          <w:lang w:val="en-US" w:eastAsia="zh-CN"/>
        </w:rPr>
        <w:t>，</w:t>
      </w:r>
      <w:r>
        <w:rPr>
          <w:rFonts w:hint="default" w:ascii="仿宋_GB2312" w:hAnsi="仿宋_GB2312" w:eastAsia="仿宋_GB2312" w:cs="Times New Roman"/>
          <w:sz w:val="32"/>
          <w:highlight w:val="none"/>
          <w:u w:val="none"/>
          <w:lang w:val="en-US" w:eastAsia="zh-CN"/>
        </w:rPr>
        <w:t>高标准开展</w:t>
      </w:r>
      <w:r>
        <w:rPr>
          <w:rFonts w:hint="eastAsia" w:ascii="仿宋_GB2312" w:hAnsi="仿宋_GB2312" w:eastAsia="仿宋_GB2312" w:cs="仿宋_GB2312"/>
          <w:sz w:val="32"/>
          <w:szCs w:val="32"/>
          <w:highlight w:val="none"/>
          <w:u w:val="none"/>
          <w:lang w:val="en-US" w:eastAsia="zh-CN"/>
        </w:rPr>
        <w:t>怀柔国潮文化季</w:t>
      </w:r>
      <w:r>
        <w:rPr>
          <w:rFonts w:hint="default" w:ascii="仿宋_GB2312" w:hAnsi="仿宋_GB2312" w:eastAsia="仿宋_GB2312" w:cs="Times New Roman"/>
          <w:sz w:val="32"/>
          <w:highlight w:val="none"/>
          <w:u w:val="none"/>
          <w:lang w:val="en-US" w:eastAsia="zh-CN"/>
        </w:rPr>
        <w:t>、京韵满乡文化旅游节、群众艺术节系列活动、永不落幕的音乐节和</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书香怀柔</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全民阅读等品牌文化活动。</w:t>
      </w:r>
      <w:r>
        <w:rPr>
          <w:rFonts w:hint="eastAsia" w:ascii="仿宋_GB2312" w:hAnsi="仿宋_GB2312" w:eastAsia="仿宋_GB2312" w:cs="仿宋_GB2312"/>
          <w:sz w:val="32"/>
          <w:szCs w:val="32"/>
          <w:highlight w:val="none"/>
          <w:u w:val="none"/>
          <w:lang w:val="en-US" w:eastAsia="zh-CN"/>
        </w:rPr>
        <w:t>举办公益性演出活动</w:t>
      </w:r>
      <w:r>
        <w:rPr>
          <w:rFonts w:hint="default" w:ascii="仿宋_GB2312" w:hAnsi="仿宋_GB2312" w:eastAsia="仿宋_GB2312" w:cs="Times New Roman"/>
          <w:sz w:val="32"/>
          <w:highlight w:val="none"/>
          <w:u w:val="none"/>
          <w:lang w:val="en-US" w:eastAsia="zh-CN"/>
        </w:rPr>
        <w:t>，累计举办各类文化活动</w:t>
      </w:r>
      <w:r>
        <w:rPr>
          <w:rFonts w:hint="eastAsia" w:ascii="仿宋_GB2312" w:hAnsi="仿宋_GB2312" w:eastAsia="仿宋_GB2312" w:cs="Times New Roman"/>
          <w:sz w:val="32"/>
          <w:highlight w:val="none"/>
          <w:u w:val="none"/>
          <w:lang w:val="en-US" w:eastAsia="zh-CN"/>
        </w:rPr>
        <w:t>9100</w:t>
      </w:r>
      <w:r>
        <w:rPr>
          <w:rFonts w:hint="default" w:ascii="仿宋_GB2312" w:hAnsi="仿宋_GB2312" w:eastAsia="仿宋_GB2312" w:cs="Times New Roman"/>
          <w:sz w:val="32"/>
          <w:highlight w:val="none"/>
          <w:u w:val="none"/>
          <w:lang w:val="en-US" w:eastAsia="zh-CN"/>
        </w:rPr>
        <w:t>余场，有效满足城乡居民多元化、个性化、差异化的文化需求。</w:t>
      </w:r>
      <w:r>
        <w:rPr>
          <w:rFonts w:hint="default" w:ascii="仿宋_GB2312" w:hAnsi="仿宋_GB2312" w:eastAsia="仿宋_GB2312" w:cs="Times New Roman"/>
          <w:b/>
          <w:bCs/>
          <w:sz w:val="32"/>
          <w:highlight w:val="none"/>
          <w:u w:val="none"/>
          <w:lang w:val="en-US" w:eastAsia="zh-CN"/>
        </w:rPr>
        <w:t>体育场地设施供给持续扩大</w:t>
      </w:r>
      <w:r>
        <w:rPr>
          <w:rFonts w:hint="eastAsia" w:ascii="仿宋_GB2312" w:hAnsi="仿宋_GB2312" w:eastAsia="仿宋_GB2312" w:cs="Times New Roman"/>
          <w:b/>
          <w:bCs/>
          <w:sz w:val="32"/>
          <w:highlight w:val="none"/>
          <w:u w:val="none"/>
          <w:lang w:val="en-US" w:eastAsia="zh-CN"/>
        </w:rPr>
        <w:t>，</w:t>
      </w:r>
      <w:r>
        <w:rPr>
          <w:rFonts w:hint="eastAsia" w:ascii="仿宋_GB2312" w:hAnsi="仿宋_GB2312" w:eastAsia="仿宋_GB2312" w:cs="Times New Roman"/>
          <w:b w:val="0"/>
          <w:bCs w:val="0"/>
          <w:sz w:val="32"/>
          <w:highlight w:val="none"/>
          <w:u w:val="none"/>
          <w:lang w:val="en-US" w:eastAsia="zh-CN"/>
        </w:rPr>
        <w:t>“</w:t>
      </w:r>
      <w:r>
        <w:rPr>
          <w:rFonts w:hint="default" w:ascii="仿宋_GB2312" w:hAnsi="仿宋_GB2312" w:eastAsia="仿宋_GB2312" w:cs="Times New Roman"/>
          <w:b w:val="0"/>
          <w:bCs w:val="0"/>
          <w:sz w:val="32"/>
          <w:highlight w:val="none"/>
          <w:u w:val="none"/>
          <w:lang w:val="en-US" w:eastAsia="zh-CN"/>
        </w:rPr>
        <w:t>十四五</w:t>
      </w:r>
      <w:r>
        <w:rPr>
          <w:rFonts w:hint="eastAsia" w:ascii="仿宋_GB2312" w:hAnsi="仿宋_GB2312" w:eastAsia="仿宋_GB2312" w:cs="Times New Roman"/>
          <w:b w:val="0"/>
          <w:bCs w:val="0"/>
          <w:sz w:val="32"/>
          <w:highlight w:val="none"/>
          <w:u w:val="none"/>
          <w:lang w:val="en-US" w:eastAsia="zh-CN"/>
        </w:rPr>
        <w:t>”</w:t>
      </w:r>
      <w:r>
        <w:rPr>
          <w:rFonts w:hint="default" w:ascii="仿宋_GB2312" w:hAnsi="仿宋_GB2312" w:eastAsia="仿宋_GB2312" w:cs="Times New Roman"/>
          <w:b w:val="0"/>
          <w:bCs w:val="0"/>
          <w:sz w:val="32"/>
          <w:highlight w:val="none"/>
          <w:u w:val="none"/>
          <w:lang w:val="en-US" w:eastAsia="zh-CN"/>
        </w:rPr>
        <w:t>期间新增体育场地119处，其中球类场地59片、全民健身工程60套</w:t>
      </w:r>
      <w:r>
        <w:rPr>
          <w:rFonts w:hint="eastAsia" w:ascii="仿宋_GB2312" w:hAnsi="仿宋_GB2312" w:eastAsia="仿宋_GB2312" w:cs="Times New Roman"/>
          <w:b w:val="0"/>
          <w:bCs w:val="0"/>
          <w:sz w:val="32"/>
          <w:highlight w:val="none"/>
          <w:u w:val="none"/>
          <w:lang w:val="en-US" w:eastAsia="zh-CN"/>
        </w:rPr>
        <w:t>，</w:t>
      </w:r>
      <w:r>
        <w:rPr>
          <w:rFonts w:hint="default" w:ascii="仿宋_GB2312" w:hAnsi="仿宋_GB2312" w:eastAsia="仿宋_GB2312" w:cs="Times New Roman"/>
          <w:sz w:val="32"/>
          <w:highlight w:val="none"/>
          <w:u w:val="none"/>
          <w:lang w:val="en-US" w:eastAsia="zh-CN"/>
        </w:rPr>
        <w:t>人均</w:t>
      </w:r>
      <w:r>
        <w:rPr>
          <w:rFonts w:hint="eastAsia" w:ascii="仿宋_GB2312" w:hAnsi="仿宋_GB2312" w:eastAsia="仿宋_GB2312" w:cs="Times New Roman"/>
          <w:sz w:val="32"/>
          <w:highlight w:val="none"/>
          <w:u w:val="none"/>
          <w:lang w:val="en-US" w:eastAsia="zh-CN"/>
        </w:rPr>
        <w:t>体育</w:t>
      </w:r>
      <w:r>
        <w:rPr>
          <w:rFonts w:hint="default" w:ascii="仿宋_GB2312" w:hAnsi="仿宋_GB2312" w:eastAsia="仿宋_GB2312" w:cs="Times New Roman"/>
          <w:sz w:val="32"/>
          <w:highlight w:val="none"/>
          <w:u w:val="none"/>
          <w:lang w:val="en-US" w:eastAsia="zh-CN"/>
        </w:rPr>
        <w:t>场地面积达3.69平方米。</w:t>
      </w:r>
      <w:r>
        <w:rPr>
          <w:rFonts w:hint="default" w:ascii="仿宋_GB2312" w:hAnsi="仿宋_GB2312" w:eastAsia="仿宋_GB2312" w:cs="Times New Roman"/>
          <w:b/>
          <w:bCs/>
          <w:sz w:val="32"/>
          <w:highlight w:val="none"/>
          <w:u w:val="none"/>
          <w:lang w:val="en-US" w:eastAsia="zh-CN"/>
        </w:rPr>
        <w:t>特色体育活动蓬勃开展</w:t>
      </w:r>
      <w:r>
        <w:rPr>
          <w:rFonts w:hint="eastAsia" w:ascii="仿宋_GB2312" w:hAnsi="仿宋_GB2312" w:eastAsia="仿宋_GB2312" w:cs="Times New Roman"/>
          <w:b/>
          <w:bCs/>
          <w:sz w:val="32"/>
          <w:highlight w:val="none"/>
          <w:u w:val="none"/>
          <w:lang w:val="en-US" w:eastAsia="zh-CN"/>
        </w:rPr>
        <w:t>，</w:t>
      </w:r>
      <w:r>
        <w:rPr>
          <w:rFonts w:hint="default" w:ascii="仿宋_GB2312" w:hAnsi="仿宋_GB2312" w:eastAsia="仿宋_GB2312" w:cs="Times New Roman"/>
          <w:sz w:val="32"/>
          <w:highlight w:val="none"/>
          <w:u w:val="none"/>
          <w:lang w:val="en-US" w:eastAsia="zh-CN"/>
        </w:rPr>
        <w:t>打造怀柔长城马拉松、龙舟大赛、北京怀柔徒步大会等区域特色品牌活动。举办足球、篮球、拔河等</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全民健身体育节</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系列区级赛事</w:t>
      </w:r>
      <w:r>
        <w:rPr>
          <w:rFonts w:hint="eastAsia" w:ascii="仿宋_GB2312" w:hAnsi="仿宋_GB2312" w:eastAsia="仿宋_GB2312" w:cs="Times New Roman"/>
          <w:sz w:val="32"/>
          <w:highlight w:val="none"/>
          <w:u w:val="none"/>
          <w:lang w:val="en-US" w:eastAsia="zh-CN"/>
        </w:rPr>
        <w:t>66</w:t>
      </w:r>
      <w:r>
        <w:rPr>
          <w:rFonts w:hint="default" w:ascii="仿宋_GB2312" w:hAnsi="仿宋_GB2312" w:eastAsia="仿宋_GB2312" w:cs="Times New Roman"/>
          <w:sz w:val="32"/>
          <w:highlight w:val="none"/>
          <w:u w:val="none"/>
          <w:lang w:val="en-US" w:eastAsia="zh-CN"/>
        </w:rPr>
        <w:t>场。以冬奥会、冬残奥会为契机，举办冰雪嘉年华、冰雪知识讲座、冰雪进社区、进校园、进群众冰雪体验活动</w:t>
      </w:r>
      <w:r>
        <w:rPr>
          <w:rFonts w:hint="eastAsia" w:ascii="仿宋_GB2312" w:hAnsi="仿宋_GB2312" w:eastAsia="仿宋_GB2312" w:cs="Times New Roman"/>
          <w:sz w:val="32"/>
          <w:highlight w:val="none"/>
          <w:u w:val="none"/>
          <w:lang w:val="en-US" w:eastAsia="zh-CN"/>
        </w:rPr>
        <w:t>380</w:t>
      </w:r>
      <w:r>
        <w:rPr>
          <w:rFonts w:hint="default" w:ascii="仿宋_GB2312" w:hAnsi="仿宋_GB2312" w:eastAsia="仿宋_GB2312" w:cs="Times New Roman"/>
          <w:sz w:val="32"/>
          <w:highlight w:val="none"/>
          <w:u w:val="none"/>
          <w:lang w:val="en-US" w:eastAsia="zh-CN"/>
        </w:rPr>
        <w:t>余场，参与总人数达到</w:t>
      </w:r>
      <w:r>
        <w:rPr>
          <w:rFonts w:hint="eastAsia" w:ascii="仿宋_GB2312" w:hAnsi="仿宋_GB2312" w:eastAsia="仿宋_GB2312" w:cs="Times New Roman"/>
          <w:sz w:val="32"/>
          <w:highlight w:val="none"/>
          <w:u w:val="none"/>
          <w:lang w:val="en-US" w:eastAsia="zh-CN"/>
        </w:rPr>
        <w:t>33</w:t>
      </w:r>
      <w:r>
        <w:rPr>
          <w:rFonts w:hint="default" w:ascii="仿宋_GB2312" w:hAnsi="仿宋_GB2312" w:eastAsia="仿宋_GB2312" w:cs="Times New Roman"/>
          <w:sz w:val="32"/>
          <w:highlight w:val="none"/>
          <w:u w:val="none"/>
          <w:lang w:val="en-US" w:eastAsia="zh-CN"/>
        </w:rPr>
        <w:t>万人</w:t>
      </w:r>
      <w:r>
        <w:rPr>
          <w:rFonts w:hint="eastAsia" w:ascii="仿宋_GB2312" w:hAnsi="仿宋_GB2312" w:eastAsia="仿宋_GB2312" w:cs="Times New Roman"/>
          <w:sz w:val="32"/>
          <w:highlight w:val="none"/>
          <w:u w:val="none"/>
          <w:lang w:val="en-US" w:eastAsia="zh-CN"/>
        </w:rPr>
        <w:t>次</w:t>
      </w:r>
      <w:r>
        <w:rPr>
          <w:rFonts w:hint="default" w:ascii="仿宋_GB2312" w:hAnsi="仿宋_GB2312" w:eastAsia="仿宋_GB2312" w:cs="Times New Roman"/>
          <w:sz w:val="32"/>
          <w:highlight w:val="none"/>
          <w:u w:val="none"/>
          <w:lang w:val="en-US" w:eastAsia="zh-CN"/>
        </w:rPr>
        <w:t>，冰雪运动人口规模明显扩大。</w:t>
      </w:r>
    </w:p>
    <w:p>
      <w:pPr>
        <w:keepNext w:val="0"/>
        <w:keepLines w:val="0"/>
        <w:pageBreakBefore w:val="0"/>
        <w:kinsoku/>
        <w:wordWrap/>
        <w:overflowPunct/>
        <w:topLinePunct w:val="0"/>
        <w:autoSpaceDE/>
        <w:autoSpaceDN/>
        <w:bidi w:val="0"/>
        <w:adjustRightInd/>
        <w:snapToGrid/>
        <w:spacing w:before="0" w:beforeLines="0" w:after="0" w:afterLines="0" w:line="560" w:lineRule="exact"/>
        <w:ind w:firstLine="642" w:firstLineChars="200"/>
        <w:textAlignment w:val="auto"/>
        <w:outlineLvl w:val="9"/>
        <w:rPr>
          <w:rFonts w:hint="eastAsia" w:ascii="仿宋_GB2312" w:hAnsi="仿宋_GB2312" w:eastAsia="仿宋_GB2312"/>
          <w:sz w:val="32"/>
          <w:highlight w:val="none"/>
          <w:u w:val="none"/>
          <w:lang w:val="en-US" w:eastAsia="zh-CN"/>
        </w:rPr>
      </w:pPr>
      <w:r>
        <w:rPr>
          <w:rFonts w:hint="eastAsia" w:ascii="仿宋_GB2312" w:hAnsi="仿宋_GB2312" w:eastAsia="仿宋_GB2312" w:cs="Times New Roman"/>
          <w:b/>
          <w:bCs/>
          <w:color w:val="auto"/>
          <w:sz w:val="32"/>
          <w:highlight w:val="none"/>
          <w:u w:val="none"/>
          <w:lang w:val="en-US" w:eastAsia="zh-CN"/>
        </w:rPr>
        <w:t>政法工作</w:t>
      </w:r>
      <w:r>
        <w:rPr>
          <w:rFonts w:hint="default" w:ascii="仿宋_GB2312" w:hAnsi="仿宋_GB2312" w:eastAsia="仿宋_GB2312" w:cs="Times New Roman"/>
          <w:b/>
          <w:bCs/>
          <w:color w:val="auto"/>
          <w:sz w:val="32"/>
          <w:highlight w:val="none"/>
          <w:u w:val="none"/>
          <w:lang w:val="en-US" w:eastAsia="zh-CN"/>
        </w:rPr>
        <w:t>稳步推进。</w:t>
      </w:r>
      <w:r>
        <w:rPr>
          <w:rFonts w:hint="eastAsia" w:ascii="仿宋_GB2312" w:hAnsi="仿宋_GB2312" w:eastAsia="仿宋_GB2312" w:cs="Times New Roman"/>
          <w:color w:val="auto"/>
          <w:sz w:val="32"/>
          <w:highlight w:val="none"/>
          <w:u w:val="none"/>
          <w:lang w:val="en-US" w:eastAsia="zh-CN"/>
        </w:rPr>
        <w:t>“</w:t>
      </w:r>
      <w:r>
        <w:rPr>
          <w:rFonts w:hint="default" w:ascii="仿宋_GB2312" w:hAnsi="仿宋_GB2312" w:eastAsia="仿宋_GB2312" w:cs="Times New Roman"/>
          <w:color w:val="auto"/>
          <w:sz w:val="32"/>
          <w:highlight w:val="none"/>
          <w:u w:val="none"/>
          <w:lang w:val="en-US" w:eastAsia="zh-CN"/>
        </w:rPr>
        <w:t>十四五</w:t>
      </w:r>
      <w:r>
        <w:rPr>
          <w:rFonts w:hint="eastAsia" w:ascii="仿宋_GB2312" w:hAnsi="仿宋_GB2312" w:eastAsia="仿宋_GB2312" w:cs="Times New Roman"/>
          <w:color w:val="auto"/>
          <w:sz w:val="32"/>
          <w:highlight w:val="none"/>
          <w:u w:val="none"/>
          <w:lang w:val="en-US" w:eastAsia="zh-CN"/>
        </w:rPr>
        <w:t>”</w:t>
      </w:r>
      <w:r>
        <w:rPr>
          <w:rFonts w:hint="default" w:ascii="仿宋_GB2312" w:hAnsi="仿宋_GB2312" w:eastAsia="仿宋_GB2312" w:cs="Times New Roman"/>
          <w:color w:val="auto"/>
          <w:sz w:val="32"/>
          <w:highlight w:val="none"/>
          <w:u w:val="none"/>
          <w:lang w:val="en-US" w:eastAsia="zh-CN"/>
        </w:rPr>
        <w:t>期间，怀柔区大力推进</w:t>
      </w:r>
      <w:r>
        <w:rPr>
          <w:rFonts w:hint="eastAsia" w:ascii="仿宋_GB2312" w:hAnsi="仿宋_GB2312" w:eastAsia="仿宋_GB2312" w:cs="Times New Roman"/>
          <w:color w:val="auto"/>
          <w:sz w:val="32"/>
          <w:highlight w:val="none"/>
          <w:u w:val="none"/>
          <w:lang w:val="en-US" w:eastAsia="zh-CN"/>
        </w:rPr>
        <w:t>“</w:t>
      </w:r>
      <w:r>
        <w:rPr>
          <w:rFonts w:hint="default" w:ascii="仿宋_GB2312" w:hAnsi="仿宋_GB2312" w:eastAsia="仿宋_GB2312" w:cs="Times New Roman"/>
          <w:color w:val="auto"/>
          <w:sz w:val="32"/>
          <w:highlight w:val="none"/>
          <w:u w:val="none"/>
          <w:lang w:val="en-US" w:eastAsia="zh-CN"/>
        </w:rPr>
        <w:t>平安怀柔</w:t>
      </w:r>
      <w:r>
        <w:rPr>
          <w:rFonts w:hint="eastAsia" w:ascii="仿宋_GB2312" w:hAnsi="仿宋_GB2312" w:eastAsia="仿宋_GB2312" w:cs="Times New Roman"/>
          <w:color w:val="auto"/>
          <w:sz w:val="32"/>
          <w:highlight w:val="none"/>
          <w:u w:val="none"/>
          <w:lang w:val="en-US" w:eastAsia="zh-CN"/>
        </w:rPr>
        <w:t>”</w:t>
      </w:r>
      <w:r>
        <w:rPr>
          <w:rFonts w:hint="default" w:ascii="仿宋_GB2312" w:hAnsi="仿宋_GB2312" w:eastAsia="仿宋_GB2312" w:cs="Times New Roman"/>
          <w:color w:val="auto"/>
          <w:sz w:val="32"/>
          <w:highlight w:val="none"/>
          <w:u w:val="none"/>
          <w:lang w:val="en-US" w:eastAsia="zh-CN"/>
        </w:rPr>
        <w:t>建设，着力打造</w:t>
      </w:r>
      <w:r>
        <w:rPr>
          <w:rFonts w:hint="eastAsia" w:ascii="仿宋_GB2312" w:hAnsi="仿宋_GB2312" w:eastAsia="仿宋_GB2312" w:cs="Times New Roman"/>
          <w:color w:val="auto"/>
          <w:sz w:val="32"/>
          <w:highlight w:val="none"/>
          <w:u w:val="none"/>
          <w:lang w:val="en-US" w:eastAsia="zh-CN"/>
        </w:rPr>
        <w:t>“</w:t>
      </w:r>
      <w:r>
        <w:rPr>
          <w:rFonts w:hint="default" w:ascii="仿宋_GB2312" w:hAnsi="仿宋_GB2312" w:eastAsia="仿宋_GB2312" w:cs="Times New Roman"/>
          <w:color w:val="auto"/>
          <w:sz w:val="32"/>
          <w:highlight w:val="none"/>
          <w:u w:val="none"/>
          <w:lang w:val="en-US" w:eastAsia="zh-CN"/>
        </w:rPr>
        <w:t>身边的法律顾问</w:t>
      </w:r>
      <w:r>
        <w:rPr>
          <w:rFonts w:hint="eastAsia" w:ascii="仿宋_GB2312" w:hAnsi="仿宋_GB2312" w:eastAsia="仿宋_GB2312" w:cs="Times New Roman"/>
          <w:color w:val="auto"/>
          <w:sz w:val="32"/>
          <w:highlight w:val="none"/>
          <w:u w:val="none"/>
          <w:lang w:val="en-US" w:eastAsia="zh-CN"/>
        </w:rPr>
        <w:t>”</w:t>
      </w:r>
      <w:r>
        <w:rPr>
          <w:rFonts w:hint="default" w:ascii="仿宋_GB2312" w:hAnsi="仿宋_GB2312" w:eastAsia="仿宋_GB2312" w:cs="Times New Roman"/>
          <w:color w:val="auto"/>
          <w:sz w:val="32"/>
          <w:highlight w:val="none"/>
          <w:u w:val="none"/>
          <w:lang w:val="en-US" w:eastAsia="zh-CN"/>
        </w:rPr>
        <w:t>，居民安全感明显提升。</w:t>
      </w:r>
      <w:r>
        <w:rPr>
          <w:rFonts w:hint="eastAsia" w:ascii="仿宋_GB2312" w:hAnsi="仿宋_GB2312" w:eastAsia="仿宋_GB2312" w:cs="Times New Roman"/>
          <w:color w:val="auto"/>
          <w:sz w:val="32"/>
          <w:highlight w:val="none"/>
          <w:u w:val="none"/>
          <w:lang w:val="en-US" w:eastAsia="zh-CN"/>
        </w:rPr>
        <w:t>“</w:t>
      </w:r>
      <w:r>
        <w:rPr>
          <w:rFonts w:hint="default" w:ascii="仿宋_GB2312" w:hAnsi="仿宋_GB2312" w:eastAsia="仿宋_GB2312" w:cs="Times New Roman"/>
          <w:b/>
          <w:bCs/>
          <w:color w:val="auto"/>
          <w:sz w:val="32"/>
          <w:highlight w:val="none"/>
          <w:u w:val="none"/>
          <w:lang w:val="en-US" w:eastAsia="zh-CN"/>
        </w:rPr>
        <w:t>平安怀柔</w:t>
      </w:r>
      <w:r>
        <w:rPr>
          <w:rFonts w:hint="eastAsia" w:ascii="仿宋_GB2312" w:hAnsi="仿宋_GB2312" w:eastAsia="仿宋_GB2312" w:cs="Times New Roman"/>
          <w:b/>
          <w:bCs/>
          <w:color w:val="auto"/>
          <w:sz w:val="32"/>
          <w:highlight w:val="none"/>
          <w:u w:val="none"/>
          <w:lang w:val="en-US" w:eastAsia="zh-CN"/>
        </w:rPr>
        <w:t>”</w:t>
      </w:r>
      <w:r>
        <w:rPr>
          <w:rFonts w:hint="default" w:ascii="仿宋_GB2312" w:hAnsi="仿宋_GB2312" w:eastAsia="仿宋_GB2312" w:cs="Times New Roman"/>
          <w:b/>
          <w:bCs/>
          <w:color w:val="auto"/>
          <w:sz w:val="32"/>
          <w:highlight w:val="none"/>
          <w:u w:val="none"/>
          <w:lang w:val="en-US" w:eastAsia="zh-CN"/>
        </w:rPr>
        <w:t>建设成效显著</w:t>
      </w:r>
      <w:r>
        <w:rPr>
          <w:rFonts w:hint="eastAsia" w:ascii="仿宋_GB2312" w:hAnsi="仿宋_GB2312" w:eastAsia="仿宋_GB2312" w:cs="Times New Roman"/>
          <w:b/>
          <w:bCs/>
          <w:color w:val="auto"/>
          <w:sz w:val="32"/>
          <w:highlight w:val="none"/>
          <w:u w:val="none"/>
          <w:lang w:val="en-US" w:eastAsia="zh-CN"/>
        </w:rPr>
        <w:t>，</w:t>
      </w:r>
      <w:r>
        <w:rPr>
          <w:rFonts w:hint="eastAsia" w:ascii="仿宋_GB2312" w:hAnsi="仿宋_GB2312" w:eastAsia="仿宋_GB2312" w:cs="Times New Roman"/>
          <w:color w:val="auto"/>
          <w:sz w:val="32"/>
          <w:highlight w:val="none"/>
          <w:u w:val="none"/>
          <w:lang w:val="en-US" w:eastAsia="zh-CN"/>
        </w:rPr>
        <w:t>持续加大犯罪打击力度，</w:t>
      </w:r>
      <w:r>
        <w:rPr>
          <w:rFonts w:hint="eastAsia" w:ascii="仿宋_GB2312" w:hAnsi="仿宋_GB2312" w:eastAsia="仿宋_GB2312" w:cs="仿宋_GB2312"/>
          <w:kern w:val="2"/>
          <w:sz w:val="32"/>
          <w:szCs w:val="24"/>
          <w:highlight w:val="none"/>
          <w:u w:val="none"/>
          <w:lang w:val="en-US" w:eastAsia="zh-CN" w:bidi="ar-SA"/>
        </w:rPr>
        <w:t>加强防范电信网络诈骗宣传、高危人群自身安全防范宣传等，提升群众防范意识，加大高发点位、重点部位显性用警，持续开展常态化巡逻防范，</w:t>
      </w:r>
      <w:r>
        <w:rPr>
          <w:rFonts w:hint="default" w:ascii="仿宋_GB2312" w:hAnsi="仿宋_GB2312" w:eastAsia="仿宋_GB2312" w:cs="Times New Roman"/>
          <w:sz w:val="32"/>
          <w:highlight w:val="none"/>
          <w:u w:val="none"/>
          <w:lang w:val="en-US" w:eastAsia="zh-CN"/>
        </w:rPr>
        <w:t>重点刑事案件万人发案率</w:t>
      </w:r>
      <w:r>
        <w:rPr>
          <w:rFonts w:hint="eastAsia" w:ascii="仿宋_GB2312" w:hAnsi="仿宋_GB2312" w:eastAsia="仿宋_GB2312" w:cs="Times New Roman"/>
          <w:sz w:val="32"/>
          <w:highlight w:val="none"/>
          <w:u w:val="none"/>
          <w:lang w:val="en-US" w:eastAsia="zh-CN"/>
        </w:rPr>
        <w:t>0.886</w:t>
      </w:r>
      <w:r>
        <w:rPr>
          <w:rFonts w:hint="default" w:ascii="仿宋_GB2312" w:hAnsi="仿宋_GB2312" w:eastAsia="仿宋_GB2312" w:cs="Times New Roman"/>
          <w:sz w:val="32"/>
          <w:highlight w:val="none"/>
          <w:u w:val="none"/>
          <w:lang w:val="en-US" w:eastAsia="zh-CN"/>
        </w:rPr>
        <w:t>起，在全市保持较低水平，居民生命财产安全得到进一步保障。</w:t>
      </w:r>
      <w:r>
        <w:rPr>
          <w:rFonts w:hint="default" w:ascii="仿宋_GB2312" w:hAnsi="仿宋_GB2312" w:eastAsia="仿宋_GB2312" w:cs="Times New Roman"/>
          <w:color w:val="auto"/>
          <w:sz w:val="32"/>
          <w:highlight w:val="none"/>
          <w:u w:val="none"/>
          <w:lang w:val="en-US" w:eastAsia="zh-CN"/>
        </w:rPr>
        <w:t>怀柔区战勤保障消防站、训练基地及桥梓消防站</w:t>
      </w:r>
      <w:r>
        <w:rPr>
          <w:rFonts w:hint="eastAsia" w:ascii="仿宋_GB2312" w:hAnsi="仿宋_GB2312" w:eastAsia="仿宋_GB2312" w:cs="Times New Roman"/>
          <w:color w:val="auto"/>
          <w:sz w:val="32"/>
          <w:highlight w:val="none"/>
          <w:u w:val="none"/>
          <w:lang w:val="en-US" w:eastAsia="zh-CN"/>
        </w:rPr>
        <w:t>“</w:t>
      </w:r>
      <w:r>
        <w:rPr>
          <w:rFonts w:hint="default" w:ascii="仿宋_GB2312" w:hAnsi="仿宋_GB2312" w:eastAsia="仿宋_GB2312" w:cs="Times New Roman"/>
          <w:color w:val="auto"/>
          <w:sz w:val="32"/>
          <w:highlight w:val="none"/>
          <w:u w:val="none"/>
          <w:lang w:val="en-US" w:eastAsia="zh-CN"/>
        </w:rPr>
        <w:t>三合一</w:t>
      </w:r>
      <w:r>
        <w:rPr>
          <w:rFonts w:hint="eastAsia" w:ascii="仿宋_GB2312" w:hAnsi="仿宋_GB2312" w:eastAsia="仿宋_GB2312" w:cs="Times New Roman"/>
          <w:color w:val="auto"/>
          <w:sz w:val="32"/>
          <w:highlight w:val="none"/>
          <w:u w:val="none"/>
          <w:lang w:val="en-US" w:eastAsia="zh-CN"/>
        </w:rPr>
        <w:t>”</w:t>
      </w:r>
      <w:r>
        <w:rPr>
          <w:rFonts w:hint="default" w:ascii="仿宋_GB2312" w:hAnsi="仿宋_GB2312" w:eastAsia="仿宋_GB2312" w:cs="Times New Roman"/>
          <w:color w:val="auto"/>
          <w:sz w:val="32"/>
          <w:highlight w:val="none"/>
          <w:u w:val="none"/>
          <w:lang w:val="en-US" w:eastAsia="zh-CN"/>
        </w:rPr>
        <w:t>项目投入使用，科学城、渤海、红螺湖消防救援站启动建设，重点单位微型消防站实现全覆盖，初步</w:t>
      </w:r>
      <w:r>
        <w:rPr>
          <w:rFonts w:hint="default" w:ascii="仿宋_GB2312" w:hAnsi="仿宋_GB2312" w:eastAsia="仿宋_GB2312" w:cs="Times New Roman"/>
          <w:b w:val="0"/>
          <w:bCs w:val="0"/>
          <w:color w:val="auto"/>
          <w:sz w:val="32"/>
          <w:szCs w:val="32"/>
          <w:highlight w:val="none"/>
          <w:u w:val="none"/>
          <w:lang w:val="en-US" w:eastAsia="zh-CN"/>
        </w:rPr>
        <w:t>形成</w:t>
      </w:r>
      <w:r>
        <w:rPr>
          <w:rFonts w:hint="eastAsia" w:ascii="仿宋_GB2312" w:hAnsi="仿宋_GB2312" w:eastAsia="仿宋_GB2312" w:cs="Times New Roman"/>
          <w:b w:val="0"/>
          <w:bCs w:val="0"/>
          <w:color w:val="auto"/>
          <w:sz w:val="32"/>
          <w:szCs w:val="32"/>
          <w:highlight w:val="none"/>
          <w:u w:val="none"/>
          <w:lang w:val="en-US" w:eastAsia="zh-CN"/>
        </w:rPr>
        <w:t>“</w:t>
      </w:r>
      <w:r>
        <w:rPr>
          <w:rFonts w:hint="default" w:ascii="仿宋_GB2312" w:hAnsi="仿宋_GB2312" w:eastAsia="仿宋_GB2312" w:cs="Times New Roman"/>
          <w:b w:val="0"/>
          <w:bCs w:val="0"/>
          <w:color w:val="auto"/>
          <w:sz w:val="32"/>
          <w:szCs w:val="32"/>
          <w:highlight w:val="none"/>
          <w:u w:val="none"/>
          <w:lang w:val="en-US" w:eastAsia="zh-CN"/>
        </w:rPr>
        <w:t>大站</w:t>
      </w:r>
      <w:r>
        <w:rPr>
          <w:rFonts w:hint="eastAsia" w:ascii="仿宋_GB2312" w:hAnsi="仿宋_GB2312" w:eastAsia="仿宋_GB2312" w:cs="Times New Roman"/>
          <w:b w:val="0"/>
          <w:bCs w:val="0"/>
          <w:color w:val="auto"/>
          <w:sz w:val="32"/>
          <w:szCs w:val="32"/>
          <w:highlight w:val="none"/>
          <w:u w:val="none"/>
          <w:lang w:val="en-US" w:eastAsia="zh-CN"/>
        </w:rPr>
        <w:t>-</w:t>
      </w:r>
      <w:r>
        <w:rPr>
          <w:rFonts w:hint="default" w:ascii="仿宋_GB2312" w:hAnsi="仿宋_GB2312" w:eastAsia="仿宋_GB2312" w:cs="Times New Roman"/>
          <w:b w:val="0"/>
          <w:bCs w:val="0"/>
          <w:color w:val="auto"/>
          <w:sz w:val="32"/>
          <w:szCs w:val="32"/>
          <w:highlight w:val="none"/>
          <w:u w:val="none"/>
          <w:lang w:val="en-US" w:eastAsia="zh-CN"/>
        </w:rPr>
        <w:t>小站</w:t>
      </w:r>
      <w:r>
        <w:rPr>
          <w:rFonts w:hint="eastAsia" w:ascii="仿宋_GB2312" w:hAnsi="仿宋_GB2312" w:eastAsia="仿宋_GB2312" w:cs="Times New Roman"/>
          <w:b w:val="0"/>
          <w:bCs w:val="0"/>
          <w:color w:val="auto"/>
          <w:sz w:val="32"/>
          <w:szCs w:val="32"/>
          <w:highlight w:val="none"/>
          <w:u w:val="none"/>
          <w:lang w:val="en-US" w:eastAsia="zh-CN"/>
        </w:rPr>
        <w:t>-</w:t>
      </w:r>
      <w:r>
        <w:rPr>
          <w:rFonts w:hint="default" w:ascii="仿宋_GB2312" w:hAnsi="仿宋_GB2312" w:eastAsia="仿宋_GB2312" w:cs="Times New Roman"/>
          <w:b w:val="0"/>
          <w:bCs w:val="0"/>
          <w:color w:val="auto"/>
          <w:sz w:val="32"/>
          <w:szCs w:val="32"/>
          <w:highlight w:val="none"/>
          <w:u w:val="none"/>
          <w:lang w:val="en-US" w:eastAsia="zh-CN"/>
        </w:rPr>
        <w:t>微站</w:t>
      </w:r>
      <w:r>
        <w:rPr>
          <w:rFonts w:hint="eastAsia" w:ascii="仿宋_GB2312" w:hAnsi="仿宋_GB2312" w:eastAsia="仿宋_GB2312" w:cs="Times New Roman"/>
          <w:b w:val="0"/>
          <w:bCs w:val="0"/>
          <w:color w:val="auto"/>
          <w:sz w:val="32"/>
          <w:szCs w:val="32"/>
          <w:highlight w:val="none"/>
          <w:u w:val="none"/>
          <w:lang w:val="en-US" w:eastAsia="zh-CN"/>
        </w:rPr>
        <w:t>”</w:t>
      </w:r>
      <w:r>
        <w:rPr>
          <w:rFonts w:hint="default" w:ascii="仿宋_GB2312" w:hAnsi="仿宋_GB2312" w:eastAsia="仿宋_GB2312" w:cs="Times New Roman"/>
          <w:b w:val="0"/>
          <w:bCs w:val="0"/>
          <w:color w:val="auto"/>
          <w:sz w:val="32"/>
          <w:szCs w:val="32"/>
          <w:highlight w:val="none"/>
          <w:u w:val="none"/>
          <w:lang w:val="en-US" w:eastAsia="zh-CN"/>
        </w:rPr>
        <w:t>三级消防体系</w:t>
      </w:r>
      <w:r>
        <w:rPr>
          <w:rFonts w:hint="default" w:ascii="仿宋_GB2312" w:hAnsi="仿宋_GB2312" w:eastAsia="仿宋_GB2312" w:cs="Times New Roman"/>
          <w:color w:val="auto"/>
          <w:sz w:val="32"/>
          <w:highlight w:val="none"/>
          <w:u w:val="none"/>
          <w:lang w:val="en-US" w:eastAsia="zh-CN"/>
        </w:rPr>
        <w:t>。消防救援应急响应</w:t>
      </w:r>
      <w:r>
        <w:rPr>
          <w:rFonts w:hint="eastAsia" w:ascii="仿宋_GB2312" w:hAnsi="仿宋_GB2312" w:eastAsia="仿宋_GB2312" w:cs="Times New Roman"/>
          <w:color w:val="auto"/>
          <w:sz w:val="32"/>
          <w:highlight w:val="none"/>
          <w:u w:val="none"/>
          <w:lang w:val="en-US" w:eastAsia="zh-CN"/>
        </w:rPr>
        <w:t>平均</w:t>
      </w:r>
      <w:r>
        <w:rPr>
          <w:rFonts w:hint="default" w:ascii="仿宋_GB2312" w:hAnsi="仿宋_GB2312" w:eastAsia="仿宋_GB2312" w:cs="Times New Roman"/>
          <w:color w:val="auto"/>
          <w:sz w:val="32"/>
          <w:highlight w:val="none"/>
          <w:u w:val="none"/>
          <w:lang w:val="en-US" w:eastAsia="zh-CN"/>
        </w:rPr>
        <w:t>时间缩短至</w:t>
      </w:r>
      <w:r>
        <w:rPr>
          <w:rFonts w:hint="eastAsia" w:ascii="仿宋_GB2312" w:hAnsi="仿宋_GB2312" w:eastAsia="仿宋_GB2312" w:cs="Times New Roman"/>
          <w:color w:val="auto"/>
          <w:sz w:val="32"/>
          <w:highlight w:val="none"/>
          <w:u w:val="none"/>
          <w:lang w:val="en-US" w:eastAsia="zh-CN"/>
        </w:rPr>
        <w:t>14</w:t>
      </w:r>
      <w:r>
        <w:rPr>
          <w:rFonts w:hint="default" w:ascii="仿宋_GB2312" w:hAnsi="仿宋_GB2312" w:eastAsia="仿宋_GB2312" w:cs="Times New Roman"/>
          <w:color w:val="auto"/>
          <w:sz w:val="32"/>
          <w:highlight w:val="none"/>
          <w:u w:val="none"/>
          <w:lang w:val="en-US" w:eastAsia="zh-CN"/>
        </w:rPr>
        <w:t>分钟，应急</w:t>
      </w:r>
      <w:r>
        <w:rPr>
          <w:rFonts w:hint="default" w:ascii="仿宋_GB2312" w:hAnsi="仿宋_GB2312" w:eastAsia="仿宋_GB2312" w:cs="Times New Roman"/>
          <w:sz w:val="32"/>
          <w:highlight w:val="none"/>
          <w:u w:val="none"/>
          <w:lang w:val="en-US" w:eastAsia="zh-CN"/>
        </w:rPr>
        <w:t>救援能力持续增强。</w:t>
      </w:r>
      <w:r>
        <w:rPr>
          <w:rFonts w:hint="default" w:ascii="仿宋_GB2312" w:hAnsi="仿宋_GB2312" w:eastAsia="仿宋_GB2312" w:cs="Times New Roman"/>
          <w:b/>
          <w:bCs/>
          <w:sz w:val="32"/>
          <w:highlight w:val="none"/>
          <w:u w:val="none"/>
          <w:lang w:val="en-US" w:eastAsia="zh-CN"/>
        </w:rPr>
        <w:t>公共法律服务</w:t>
      </w:r>
      <w:r>
        <w:rPr>
          <w:rFonts w:hint="default" w:ascii="仿宋_GB2312" w:hAnsi="仿宋_GB2312" w:eastAsia="仿宋_GB2312" w:cs="Times New Roman"/>
          <w:b/>
          <w:bCs/>
          <w:color w:val="auto"/>
          <w:sz w:val="32"/>
          <w:highlight w:val="none"/>
          <w:u w:val="none"/>
          <w:lang w:val="en-US" w:eastAsia="zh-CN"/>
        </w:rPr>
        <w:t>效能</w:t>
      </w:r>
      <w:r>
        <w:rPr>
          <w:rFonts w:hint="eastAsia" w:ascii="仿宋_GB2312" w:hAnsi="仿宋_GB2312" w:eastAsia="仿宋_GB2312" w:cs="Times New Roman"/>
          <w:b/>
          <w:bCs/>
          <w:color w:val="auto"/>
          <w:sz w:val="32"/>
          <w:highlight w:val="none"/>
          <w:u w:val="none"/>
          <w:lang w:val="en-US" w:eastAsia="zh-CN"/>
        </w:rPr>
        <w:t>显著提升</w:t>
      </w:r>
      <w:r>
        <w:rPr>
          <w:rFonts w:hint="default" w:ascii="仿宋_GB2312" w:hAnsi="仿宋_GB2312" w:eastAsia="仿宋_GB2312" w:cs="Times New Roman"/>
          <w:b/>
          <w:bCs/>
          <w:color w:val="auto"/>
          <w:sz w:val="32"/>
          <w:highlight w:val="none"/>
          <w:u w:val="none"/>
          <w:lang w:val="en-US" w:eastAsia="zh-CN"/>
        </w:rPr>
        <w:t>，</w:t>
      </w:r>
      <w:r>
        <w:rPr>
          <w:rFonts w:hint="default" w:ascii="仿宋_GB2312" w:hAnsi="仿宋_GB2312" w:eastAsia="仿宋_GB2312" w:cs="Times New Roman"/>
          <w:strike w:val="0"/>
          <w:sz w:val="32"/>
          <w:highlight w:val="none"/>
          <w:u w:val="none"/>
          <w:lang w:val="en-US" w:eastAsia="zh-CN"/>
        </w:rPr>
        <w:t>以怀柔区公共法律服务中心为枢纽和指挥，</w:t>
      </w:r>
      <w:r>
        <w:rPr>
          <w:rFonts w:hint="eastAsia" w:ascii="仿宋_GB2312" w:hAnsi="仿宋_GB2312" w:eastAsia="仿宋_GB2312" w:cs="Times New Roman"/>
          <w:strike w:val="0"/>
          <w:sz w:val="32"/>
          <w:highlight w:val="none"/>
          <w:u w:val="none"/>
          <w:lang w:val="en-US" w:eastAsia="zh-CN"/>
        </w:rPr>
        <w:t>发挥</w:t>
      </w:r>
      <w:r>
        <w:rPr>
          <w:rFonts w:hint="default" w:ascii="仿宋_GB2312" w:hAnsi="仿宋_GB2312" w:eastAsia="仿宋_GB2312" w:cs="Times New Roman"/>
          <w:strike w:val="0"/>
          <w:color w:val="auto"/>
          <w:sz w:val="32"/>
          <w:szCs w:val="40"/>
          <w:highlight w:val="none"/>
          <w:u w:val="none"/>
          <w:lang w:val="en-US" w:eastAsia="zh-CN"/>
        </w:rPr>
        <w:t>全区</w:t>
      </w:r>
      <w:r>
        <w:rPr>
          <w:rFonts w:hint="default" w:ascii="仿宋_GB2312" w:hAnsi="仿宋_GB2312" w:eastAsia="仿宋_GB2312" w:cs="Times New Roman"/>
          <w:strike w:val="0"/>
          <w:sz w:val="32"/>
          <w:highlight w:val="none"/>
          <w:u w:val="none"/>
          <w:lang w:val="en-US" w:eastAsia="zh-CN"/>
        </w:rPr>
        <w:t>16个镇乡街道公共法律服务站和319个村居公共法律服务室</w:t>
      </w:r>
      <w:r>
        <w:rPr>
          <w:rFonts w:hint="eastAsia" w:ascii="仿宋_GB2312" w:hAnsi="仿宋_GB2312" w:eastAsia="仿宋_GB2312" w:cs="Times New Roman"/>
          <w:strike w:val="0"/>
          <w:sz w:val="32"/>
          <w:highlight w:val="none"/>
          <w:u w:val="none"/>
          <w:lang w:val="en-US" w:eastAsia="zh-CN"/>
        </w:rPr>
        <w:t>职能，</w:t>
      </w:r>
      <w:r>
        <w:rPr>
          <w:rFonts w:hint="default" w:ascii="仿宋_GB2312" w:hAnsi="仿宋_GB2312" w:eastAsia="仿宋_GB2312" w:cs="Times New Roman"/>
          <w:color w:val="auto"/>
          <w:sz w:val="32"/>
          <w:szCs w:val="32"/>
          <w:highlight w:val="none"/>
          <w:u w:val="none"/>
          <w:lang w:val="en-US" w:eastAsia="zh-CN"/>
        </w:rPr>
        <w:t>集成法</w:t>
      </w:r>
      <w:r>
        <w:rPr>
          <w:rFonts w:hint="default" w:ascii="仿宋_GB2312" w:hAnsi="仿宋_GB2312" w:eastAsia="仿宋_GB2312" w:cs="Times New Roman"/>
          <w:color w:val="auto"/>
          <w:sz w:val="32"/>
          <w:szCs w:val="40"/>
          <w:highlight w:val="none"/>
          <w:u w:val="none"/>
          <w:lang w:val="en-US" w:eastAsia="zh-CN"/>
        </w:rPr>
        <w:t>律咨询、公证咨询、法治宣传、人民调解、法律援助等</w:t>
      </w:r>
      <w:r>
        <w:rPr>
          <w:rFonts w:hint="eastAsia" w:ascii="仿宋_GB2312" w:hAnsi="仿宋_GB2312" w:eastAsia="仿宋_GB2312" w:cs="仿宋_GB2312"/>
          <w:color w:val="auto"/>
          <w:sz w:val="32"/>
          <w:szCs w:val="40"/>
          <w:highlight w:val="none"/>
          <w:u w:val="none"/>
          <w:lang w:val="en-US" w:eastAsia="zh-CN"/>
        </w:rPr>
        <w:t>“一站式”</w:t>
      </w:r>
      <w:r>
        <w:rPr>
          <w:rFonts w:hint="default" w:ascii="仿宋_GB2312" w:hAnsi="仿宋_GB2312" w:eastAsia="仿宋_GB2312" w:cs="Times New Roman"/>
          <w:color w:val="auto"/>
          <w:sz w:val="32"/>
          <w:szCs w:val="40"/>
          <w:highlight w:val="none"/>
          <w:u w:val="none"/>
          <w:lang w:val="en-US" w:eastAsia="zh-CN"/>
        </w:rPr>
        <w:t>服务功能</w:t>
      </w:r>
      <w:r>
        <w:rPr>
          <w:rFonts w:hint="eastAsia" w:ascii="仿宋_GB2312" w:hAnsi="仿宋_GB2312" w:eastAsia="仿宋_GB2312" w:cs="仿宋_GB2312"/>
          <w:color w:val="000000"/>
          <w:spacing w:val="0"/>
          <w:sz w:val="32"/>
          <w:szCs w:val="32"/>
          <w:highlight w:val="none"/>
          <w:u w:val="none"/>
          <w:lang w:val="zh-CN" w:eastAsia="zh-CN"/>
        </w:rPr>
        <w:t>。</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Times New Roman"/>
          <w:color w:val="auto"/>
          <w:sz w:val="32"/>
          <w:szCs w:val="32"/>
          <w:highlight w:val="none"/>
          <w:u w:val="none"/>
          <w:lang w:val="en-US" w:eastAsia="zh-CN"/>
        </w:rPr>
        <w:t>12348</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Times New Roman"/>
          <w:color w:val="auto"/>
          <w:sz w:val="32"/>
          <w:szCs w:val="32"/>
          <w:highlight w:val="none"/>
          <w:u w:val="none"/>
          <w:lang w:val="en-US" w:eastAsia="zh-CN"/>
        </w:rPr>
        <w:t>热线平台设置</w:t>
      </w:r>
      <w:r>
        <w:rPr>
          <w:rFonts w:hint="default" w:ascii="仿宋_GB2312" w:hAnsi="仿宋_GB2312" w:eastAsia="仿宋_GB2312" w:cs="Times New Roman"/>
          <w:color w:val="auto"/>
          <w:sz w:val="32"/>
          <w:szCs w:val="40"/>
          <w:highlight w:val="none"/>
          <w:u w:val="none"/>
          <w:lang w:val="en-US" w:eastAsia="zh-CN"/>
        </w:rPr>
        <w:t>综合类和劳动争议类坐席，开通周末</w:t>
      </w:r>
      <w:r>
        <w:rPr>
          <w:rFonts w:hint="eastAsia" w:ascii="仿宋_GB2312" w:hAnsi="仿宋_GB2312" w:eastAsia="仿宋_GB2312" w:cs="Times New Roman"/>
          <w:color w:val="auto"/>
          <w:sz w:val="32"/>
          <w:szCs w:val="40"/>
          <w:highlight w:val="none"/>
          <w:u w:val="none"/>
          <w:lang w:val="en-US" w:eastAsia="zh-CN"/>
        </w:rPr>
        <w:t>咨询</w:t>
      </w:r>
      <w:r>
        <w:rPr>
          <w:rFonts w:hint="default" w:ascii="仿宋_GB2312" w:hAnsi="仿宋_GB2312" w:eastAsia="仿宋_GB2312" w:cs="Times New Roman"/>
          <w:color w:val="auto"/>
          <w:sz w:val="32"/>
          <w:szCs w:val="40"/>
          <w:highlight w:val="none"/>
          <w:u w:val="none"/>
          <w:lang w:val="en-US" w:eastAsia="zh-CN"/>
        </w:rPr>
        <w:t>热线，</w:t>
      </w:r>
      <w:r>
        <w:rPr>
          <w:rFonts w:hint="default" w:ascii="仿宋_GB2312" w:hAnsi="仿宋_GB2312" w:eastAsia="仿宋_GB2312" w:cs="Times New Roman"/>
          <w:color w:val="auto"/>
          <w:sz w:val="32"/>
          <w:highlight w:val="none"/>
          <w:u w:val="none"/>
          <w:lang w:val="en-US" w:eastAsia="zh-CN"/>
        </w:rPr>
        <w:t>累计接听法律咨询</w:t>
      </w:r>
      <w:r>
        <w:rPr>
          <w:rFonts w:hint="eastAsia" w:ascii="仿宋_GB2312" w:hAnsi="仿宋_GB2312" w:eastAsia="仿宋_GB2312" w:cs="Times New Roman"/>
          <w:color w:val="auto"/>
          <w:spacing w:val="0"/>
          <w:sz w:val="32"/>
          <w:szCs w:val="32"/>
          <w:highlight w:val="none"/>
          <w:u w:val="none"/>
          <w:lang w:val="en-US" w:eastAsia="zh-CN"/>
        </w:rPr>
        <w:t>14万余</w:t>
      </w:r>
      <w:r>
        <w:rPr>
          <w:rFonts w:hint="default" w:ascii="仿宋_GB2312" w:hAnsi="仿宋_GB2312" w:eastAsia="仿宋_GB2312" w:cs="Times New Roman"/>
          <w:color w:val="auto"/>
          <w:spacing w:val="0"/>
          <w:sz w:val="32"/>
          <w:szCs w:val="32"/>
          <w:highlight w:val="none"/>
          <w:u w:val="none"/>
          <w:lang w:val="zh-CN" w:eastAsia="zh-CN"/>
        </w:rPr>
        <w:t>人次</w:t>
      </w:r>
      <w:r>
        <w:rPr>
          <w:rFonts w:hint="eastAsia" w:ascii="仿宋_GB2312" w:hAnsi="仿宋_GB2312" w:eastAsia="仿宋_GB2312" w:cs="Times New Roman"/>
          <w:color w:val="auto"/>
          <w:spacing w:val="0"/>
          <w:sz w:val="32"/>
          <w:szCs w:val="32"/>
          <w:highlight w:val="none"/>
          <w:u w:val="none"/>
          <w:lang w:val="zh-CN" w:eastAsia="zh-CN"/>
        </w:rPr>
        <w:t>，</w:t>
      </w:r>
      <w:r>
        <w:rPr>
          <w:rFonts w:hint="default" w:ascii="仿宋_GB2312" w:hAnsi="仿宋_GB2312" w:eastAsia="仿宋_GB2312" w:cs="Times New Roman"/>
          <w:color w:val="auto"/>
          <w:sz w:val="32"/>
          <w:szCs w:val="40"/>
          <w:highlight w:val="none"/>
          <w:u w:val="none"/>
          <w:lang w:val="en-US" w:eastAsia="zh-CN"/>
        </w:rPr>
        <w:t>服务</w:t>
      </w:r>
      <w:r>
        <w:rPr>
          <w:rFonts w:hint="eastAsia" w:ascii="仿宋_GB2312" w:hAnsi="仿宋_GB2312" w:eastAsia="仿宋_GB2312" w:cs="Times New Roman"/>
          <w:color w:val="auto"/>
          <w:sz w:val="32"/>
          <w:szCs w:val="40"/>
          <w:highlight w:val="none"/>
          <w:u w:val="none"/>
          <w:lang w:val="en-US" w:eastAsia="zh-CN"/>
        </w:rPr>
        <w:t>能力明显</w:t>
      </w:r>
      <w:r>
        <w:rPr>
          <w:rFonts w:hint="default" w:ascii="仿宋_GB2312" w:hAnsi="仿宋_GB2312" w:eastAsia="仿宋_GB2312" w:cs="Times New Roman"/>
          <w:color w:val="auto"/>
          <w:sz w:val="32"/>
          <w:szCs w:val="40"/>
          <w:highlight w:val="none"/>
          <w:u w:val="none"/>
          <w:lang w:val="en-US" w:eastAsia="zh-CN"/>
        </w:rPr>
        <w:t>提升。</w:t>
      </w:r>
      <w:r>
        <w:rPr>
          <w:rFonts w:hint="eastAsia" w:ascii="仿宋_GB2312" w:hAnsi="仿宋_GB2312" w:eastAsia="仿宋_GB2312" w:cs="Times New Roman"/>
          <w:color w:val="auto"/>
          <w:sz w:val="32"/>
          <w:szCs w:val="40"/>
          <w:highlight w:val="none"/>
          <w:u w:val="none"/>
          <w:lang w:val="en-US" w:eastAsia="zh-CN"/>
        </w:rPr>
        <w:t>实现</w:t>
      </w:r>
      <w:r>
        <w:rPr>
          <w:rFonts w:hint="default" w:ascii="仿宋_GB2312" w:hAnsi="仿宋_GB2312" w:eastAsia="仿宋_GB2312" w:cs="Times New Roman"/>
          <w:color w:val="auto"/>
          <w:sz w:val="32"/>
          <w:szCs w:val="40"/>
          <w:highlight w:val="none"/>
          <w:u w:val="none"/>
          <w:lang w:val="en-US" w:eastAsia="zh-CN"/>
        </w:rPr>
        <w:t>平均每个司法所拥有法律职业资格人员</w:t>
      </w:r>
      <w:r>
        <w:rPr>
          <w:rFonts w:hint="eastAsia" w:ascii="仿宋_GB2312" w:hAnsi="仿宋_GB2312" w:eastAsia="仿宋_GB2312" w:cs="Times New Roman"/>
          <w:color w:val="auto"/>
          <w:sz w:val="32"/>
          <w:szCs w:val="40"/>
          <w:highlight w:val="none"/>
          <w:u w:val="none"/>
          <w:lang w:val="en-US" w:eastAsia="zh-CN"/>
        </w:rPr>
        <w:t>2</w:t>
      </w:r>
      <w:r>
        <w:rPr>
          <w:rFonts w:hint="default" w:ascii="仿宋_GB2312" w:hAnsi="仿宋_GB2312" w:eastAsia="仿宋_GB2312" w:cs="Times New Roman"/>
          <w:color w:val="auto"/>
          <w:sz w:val="32"/>
          <w:szCs w:val="40"/>
          <w:highlight w:val="none"/>
          <w:u w:val="none"/>
          <w:lang w:val="en-US" w:eastAsia="zh-CN"/>
        </w:rPr>
        <w:t>名，</w:t>
      </w:r>
      <w:r>
        <w:rPr>
          <w:rFonts w:hint="eastAsia" w:ascii="仿宋_GB2312" w:hAnsi="仿宋_GB2312" w:eastAsia="仿宋_GB2312" w:cs="仿宋_GB2312"/>
          <w:color w:val="auto"/>
          <w:sz w:val="32"/>
          <w:szCs w:val="40"/>
          <w:highlight w:val="none"/>
          <w:u w:val="none"/>
          <w:lang w:val="en-US" w:eastAsia="zh-CN"/>
        </w:rPr>
        <w:t>持证</w:t>
      </w:r>
      <w:r>
        <w:rPr>
          <w:rFonts w:hint="default" w:ascii="仿宋_GB2312" w:hAnsi="仿宋_GB2312" w:eastAsia="仿宋_GB2312" w:cs="Times New Roman"/>
          <w:color w:val="auto"/>
          <w:sz w:val="32"/>
          <w:szCs w:val="40"/>
          <w:highlight w:val="none"/>
          <w:u w:val="none"/>
          <w:lang w:val="en-US" w:eastAsia="zh-CN"/>
        </w:rPr>
        <w:t>人数占在编人员</w:t>
      </w:r>
      <w:r>
        <w:rPr>
          <w:rFonts w:hint="eastAsia" w:ascii="仿宋_GB2312" w:hAnsi="仿宋_GB2312" w:eastAsia="仿宋_GB2312" w:cs="Times New Roman"/>
          <w:color w:val="auto"/>
          <w:sz w:val="32"/>
          <w:szCs w:val="40"/>
          <w:highlight w:val="none"/>
          <w:u w:val="none"/>
          <w:lang w:val="en-US" w:eastAsia="zh-CN"/>
        </w:rPr>
        <w:t>比例达64</w:t>
      </w:r>
      <w:r>
        <w:rPr>
          <w:rFonts w:hint="default" w:ascii="仿宋_GB2312" w:hAnsi="仿宋_GB2312" w:eastAsia="仿宋_GB2312" w:cs="Times New Roman"/>
          <w:color w:val="auto"/>
          <w:sz w:val="32"/>
          <w:szCs w:val="40"/>
          <w:highlight w:val="none"/>
          <w:u w:val="none"/>
          <w:lang w:val="en-US" w:eastAsia="zh-CN"/>
        </w:rPr>
        <w:t>%，排名全市首位。</w:t>
      </w:r>
      <w:r>
        <w:rPr>
          <w:rFonts w:hint="eastAsia" w:ascii="仿宋_GB2312" w:hAnsi="仿宋_GB2312" w:eastAsia="仿宋_GB2312" w:cs="仿宋_GB2312"/>
          <w:color w:val="auto"/>
          <w:spacing w:val="0"/>
          <w:sz w:val="32"/>
          <w:szCs w:val="32"/>
          <w:highlight w:val="none"/>
          <w:u w:val="none"/>
          <w:lang w:val="zh-CN" w:eastAsia="zh-CN"/>
        </w:rPr>
        <w:t>“</w:t>
      </w:r>
      <w:r>
        <w:rPr>
          <w:rFonts w:hint="eastAsia" w:ascii="仿宋_GB2312" w:hAnsi="仿宋_GB2312" w:eastAsia="仿宋_GB2312" w:cs="仿宋_GB2312"/>
          <w:color w:val="auto"/>
          <w:spacing w:val="0"/>
          <w:sz w:val="32"/>
          <w:szCs w:val="32"/>
          <w:highlight w:val="none"/>
          <w:u w:val="none"/>
          <w:lang w:val="en-US" w:eastAsia="zh-CN"/>
        </w:rPr>
        <w:t>十四五</w:t>
      </w:r>
      <w:r>
        <w:rPr>
          <w:rFonts w:hint="eastAsia" w:ascii="仿宋_GB2312" w:hAnsi="仿宋_GB2312" w:eastAsia="仿宋_GB2312" w:cs="仿宋_GB2312"/>
          <w:color w:val="auto"/>
          <w:spacing w:val="0"/>
          <w:sz w:val="32"/>
          <w:szCs w:val="32"/>
          <w:highlight w:val="none"/>
          <w:u w:val="none"/>
          <w:lang w:val="zh-CN" w:eastAsia="zh-CN"/>
        </w:rPr>
        <w:t>”</w:t>
      </w:r>
      <w:r>
        <w:rPr>
          <w:rFonts w:hint="default" w:ascii="仿宋_GB2312" w:hAnsi="仿宋_GB2312" w:eastAsia="仿宋_GB2312" w:cs="Times New Roman"/>
          <w:color w:val="auto"/>
          <w:spacing w:val="0"/>
          <w:sz w:val="32"/>
          <w:szCs w:val="32"/>
          <w:highlight w:val="none"/>
          <w:u w:val="none"/>
          <w:lang w:val="en-US" w:eastAsia="zh-CN"/>
        </w:rPr>
        <w:t>期间</w:t>
      </w:r>
      <w:r>
        <w:rPr>
          <w:rFonts w:hint="default" w:ascii="仿宋_GB2312" w:hAnsi="仿宋_GB2312" w:eastAsia="仿宋_GB2312" w:cs="Times New Roman"/>
          <w:color w:val="auto"/>
          <w:spacing w:val="0"/>
          <w:sz w:val="32"/>
          <w:szCs w:val="32"/>
          <w:highlight w:val="none"/>
          <w:u w:val="none"/>
          <w:lang w:val="zh-CN" w:eastAsia="zh-CN"/>
        </w:rPr>
        <w:t>，</w:t>
      </w:r>
      <w:r>
        <w:rPr>
          <w:rFonts w:hint="eastAsia" w:ascii="仿宋_GB2312" w:hAnsi="仿宋_GB2312" w:eastAsia="仿宋_GB2312" w:cs="仿宋_GB2312"/>
          <w:color w:val="auto"/>
          <w:sz w:val="32"/>
          <w:szCs w:val="40"/>
          <w:highlight w:val="none"/>
          <w:u w:val="none"/>
          <w:lang w:val="en-US" w:eastAsia="zh-CN"/>
        </w:rPr>
        <w:t>基层公共法律服务站室提供咨询服务占全区比重提升至</w:t>
      </w:r>
      <w:r>
        <w:rPr>
          <w:rFonts w:hint="default" w:ascii="仿宋_GB2312" w:hAnsi="仿宋_GB2312" w:eastAsia="仿宋_GB2312" w:cs="Times New Roman"/>
          <w:color w:val="auto"/>
          <w:sz w:val="32"/>
          <w:szCs w:val="40"/>
          <w:highlight w:val="none"/>
          <w:u w:val="none"/>
          <w:lang w:val="en-US" w:eastAsia="zh-CN"/>
        </w:rPr>
        <w:t>90%</w:t>
      </w:r>
      <w:r>
        <w:rPr>
          <w:rFonts w:hint="eastAsia" w:ascii="仿宋_GB2312" w:hAnsi="仿宋_GB2312" w:eastAsia="仿宋_GB2312" w:cs="仿宋_GB2312"/>
          <w:color w:val="auto"/>
          <w:sz w:val="32"/>
          <w:szCs w:val="40"/>
          <w:highlight w:val="none"/>
          <w:u w:val="none"/>
          <w:lang w:val="en-US" w:eastAsia="zh-CN"/>
        </w:rPr>
        <w:t>以上，</w:t>
      </w:r>
      <w:r>
        <w:rPr>
          <w:rFonts w:hint="default" w:ascii="仿宋_GB2312" w:hAnsi="仿宋_GB2312" w:eastAsia="仿宋_GB2312" w:cs="Times New Roman"/>
          <w:color w:val="auto"/>
          <w:sz w:val="32"/>
          <w:szCs w:val="40"/>
          <w:highlight w:val="none"/>
          <w:u w:val="none"/>
          <w:lang w:val="en-US" w:eastAsia="zh-CN"/>
        </w:rPr>
        <w:t>12348热线的</w:t>
      </w:r>
      <w:r>
        <w:rPr>
          <w:rFonts w:hint="default" w:ascii="仿宋_GB2312" w:hAnsi="仿宋_GB2312" w:eastAsia="仿宋_GB2312" w:cs="Times New Roman"/>
          <w:color w:val="000000"/>
          <w:spacing w:val="0"/>
          <w:sz w:val="32"/>
          <w:szCs w:val="32"/>
          <w:highlight w:val="none"/>
          <w:u w:val="none"/>
          <w:lang w:val="zh-CN" w:eastAsia="zh-CN"/>
        </w:rPr>
        <w:t>满意率常年保持在</w:t>
      </w:r>
      <w:r>
        <w:rPr>
          <w:rFonts w:hint="default" w:ascii="仿宋_GB2312" w:hAnsi="仿宋_GB2312" w:eastAsia="仿宋_GB2312" w:cs="Times New Roman"/>
          <w:color w:val="000000"/>
          <w:spacing w:val="0"/>
          <w:sz w:val="32"/>
          <w:szCs w:val="32"/>
          <w:highlight w:val="none"/>
          <w:u w:val="none"/>
          <w:lang w:val="en-US" w:eastAsia="zh-CN"/>
        </w:rPr>
        <w:t>99%以上。</w:t>
      </w:r>
    </w:p>
    <w:p>
      <w:pPr>
        <w:keepNext w:val="0"/>
        <w:keepLines w:val="0"/>
        <w:pageBreakBefore w:val="0"/>
        <w:kinsoku/>
        <w:wordWrap/>
        <w:overflowPunct/>
        <w:topLinePunct w:val="0"/>
        <w:autoSpaceDE/>
        <w:autoSpaceDN/>
        <w:bidi w:val="0"/>
        <w:adjustRightInd/>
        <w:snapToGrid/>
        <w:spacing w:before="0" w:beforeLines="0" w:after="0" w:afterLines="0" w:line="560" w:lineRule="exact"/>
        <w:ind w:firstLine="640" w:firstLineChars="200"/>
        <w:textAlignment w:val="auto"/>
        <w:outlineLvl w:val="2"/>
        <w:rPr>
          <w:rFonts w:hint="eastAsia" w:ascii="仿宋_GB2312" w:hAnsi="仿宋_GB2312" w:eastAsia="楷体_GB2312" w:cs="楷体_GB2312"/>
          <w:b w:val="0"/>
          <w:bCs/>
          <w:kern w:val="2"/>
          <w:sz w:val="32"/>
          <w:szCs w:val="32"/>
          <w:highlight w:val="none"/>
          <w:u w:val="none"/>
          <w:lang w:val="en-US" w:eastAsia="zh-CN" w:bidi="ar-SA"/>
        </w:rPr>
      </w:pPr>
      <w:r>
        <w:rPr>
          <w:rFonts w:hint="eastAsia" w:ascii="仿宋_GB2312" w:hAnsi="仿宋_GB2312" w:eastAsia="楷体_GB2312" w:cs="楷体_GB2312"/>
          <w:b w:val="0"/>
          <w:bCs/>
          <w:kern w:val="2"/>
          <w:sz w:val="32"/>
          <w:szCs w:val="32"/>
          <w:highlight w:val="none"/>
          <w:u w:val="none"/>
          <w:lang w:val="en-US" w:eastAsia="zh-CN" w:bidi="ar-SA"/>
        </w:rPr>
        <w:t>（二）存在问题</w:t>
      </w:r>
    </w:p>
    <w:p>
      <w:pPr>
        <w:spacing w:line="560" w:lineRule="exact"/>
        <w:ind w:firstLine="642" w:firstLineChars="200"/>
        <w:outlineLvl w:val="9"/>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bCs/>
          <w:sz w:val="32"/>
          <w:szCs w:val="32"/>
          <w:highlight w:val="none"/>
          <w:u w:val="none"/>
          <w:lang w:val="en-US" w:eastAsia="zh-CN"/>
        </w:rPr>
        <w:t>优质公共服务设施仍需提质增效</w:t>
      </w:r>
      <w:r>
        <w:rPr>
          <w:rFonts w:hint="eastAsia" w:ascii="仿宋_GB2312" w:hAnsi="仿宋_GB2312" w:eastAsia="仿宋_GB2312" w:cs="仿宋_GB2312"/>
          <w:b/>
          <w:bCs/>
          <w:sz w:val="32"/>
          <w:szCs w:val="32"/>
          <w:highlight w:val="none"/>
          <w:u w:val="none"/>
        </w:rPr>
        <w:t>。</w:t>
      </w:r>
      <w:r>
        <w:rPr>
          <w:rFonts w:hint="eastAsia" w:ascii="仿宋_GB2312" w:hAnsi="仿宋_GB2312" w:eastAsia="仿宋_GB2312" w:cs="仿宋_GB2312"/>
          <w:b w:val="0"/>
          <w:bCs w:val="0"/>
          <w:sz w:val="32"/>
          <w:szCs w:val="32"/>
          <w:highlight w:val="none"/>
          <w:u w:val="none"/>
          <w:lang w:eastAsia="zh-CN"/>
        </w:rPr>
        <w:t>怀柔区公共服务设施建设已</w:t>
      </w:r>
      <w:r>
        <w:rPr>
          <w:rFonts w:hint="eastAsia" w:ascii="仿宋_GB2312" w:hAnsi="仿宋_GB2312" w:eastAsia="仿宋_GB2312" w:cs="仿宋_GB2312"/>
          <w:b w:val="0"/>
          <w:bCs w:val="0"/>
          <w:sz w:val="32"/>
          <w:szCs w:val="32"/>
          <w:highlight w:val="none"/>
          <w:u w:val="none"/>
          <w:lang w:val="en-US" w:eastAsia="zh-CN"/>
        </w:rPr>
        <w:t>形成</w:t>
      </w:r>
      <w:r>
        <w:rPr>
          <w:rFonts w:hint="eastAsia" w:ascii="仿宋_GB2312" w:hAnsi="仿宋_GB2312" w:eastAsia="仿宋_GB2312" w:cs="仿宋_GB2312"/>
          <w:b w:val="0"/>
          <w:bCs w:val="0"/>
          <w:sz w:val="32"/>
          <w:szCs w:val="32"/>
          <w:highlight w:val="none"/>
          <w:u w:val="none"/>
          <w:lang w:eastAsia="zh-CN"/>
        </w:rPr>
        <w:t>较好基础，</w:t>
      </w:r>
      <w:r>
        <w:rPr>
          <w:rFonts w:hint="eastAsia" w:ascii="仿宋_GB2312" w:hAnsi="仿宋_GB2312" w:eastAsia="仿宋_GB2312" w:cs="仿宋_GB2312"/>
          <w:b w:val="0"/>
          <w:bCs w:val="0"/>
          <w:sz w:val="32"/>
          <w:szCs w:val="32"/>
          <w:highlight w:val="none"/>
          <w:u w:val="none"/>
          <w:lang w:val="en-US" w:eastAsia="zh-CN"/>
        </w:rPr>
        <w:t>引入了一批优质的教育、医疗资源，但与中心城区相比仍有较大差距，还不具备区级大型文体活动场所等设施，</w:t>
      </w:r>
      <w:r>
        <w:rPr>
          <w:rFonts w:hint="eastAsia" w:ascii="仿宋_GB2312" w:hAnsi="仿宋_GB2312" w:eastAsia="仿宋_GB2312" w:cs="仿宋_GB2312"/>
          <w:b w:val="0"/>
          <w:bCs w:val="0"/>
          <w:sz w:val="32"/>
          <w:szCs w:val="32"/>
          <w:highlight w:val="none"/>
          <w:u w:val="none"/>
          <w:lang w:eastAsia="zh-CN"/>
        </w:rPr>
        <w:t>与建设国际一流的战略科技融合发展示范区的目标以及群众对美好生活的向往相比，还有</w:t>
      </w:r>
      <w:r>
        <w:rPr>
          <w:rFonts w:hint="eastAsia" w:ascii="仿宋_GB2312" w:hAnsi="仿宋_GB2312" w:eastAsia="仿宋_GB2312" w:cs="仿宋_GB2312"/>
          <w:b w:val="0"/>
          <w:bCs w:val="0"/>
          <w:sz w:val="32"/>
          <w:szCs w:val="32"/>
          <w:highlight w:val="none"/>
          <w:u w:val="none"/>
          <w:lang w:val="en-US" w:eastAsia="zh-CN"/>
        </w:rPr>
        <w:t>一定</w:t>
      </w:r>
      <w:r>
        <w:rPr>
          <w:rFonts w:hint="eastAsia" w:ascii="仿宋_GB2312" w:hAnsi="仿宋_GB2312" w:eastAsia="仿宋_GB2312" w:cs="仿宋_GB2312"/>
          <w:b w:val="0"/>
          <w:bCs w:val="0"/>
          <w:sz w:val="32"/>
          <w:szCs w:val="32"/>
          <w:highlight w:val="none"/>
          <w:u w:val="none"/>
          <w:lang w:eastAsia="zh-CN"/>
        </w:rPr>
        <w:t>差距。</w:t>
      </w:r>
    </w:p>
    <w:p>
      <w:pPr>
        <w:spacing w:line="560" w:lineRule="exact"/>
        <w:ind w:firstLine="642" w:firstLineChars="200"/>
        <w:outlineLvl w:val="9"/>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bCs/>
          <w:sz w:val="32"/>
          <w:szCs w:val="32"/>
          <w:highlight w:val="none"/>
          <w:u w:val="none"/>
        </w:rPr>
        <w:t>公共服务空间布局均衡性亟待增强。</w:t>
      </w:r>
      <w:r>
        <w:rPr>
          <w:rFonts w:hint="eastAsia" w:ascii="仿宋_GB2312" w:hAnsi="仿宋_GB2312" w:eastAsia="仿宋_GB2312" w:cs="仿宋_GB2312"/>
          <w:sz w:val="32"/>
          <w:szCs w:val="32"/>
          <w:highlight w:val="none"/>
          <w:u w:val="none"/>
        </w:rPr>
        <w:t>怀柔区人口老龄化趋势明显，人口加速向城镇涌入，公共服务资源配置亟需结构性调整。北部山区老龄化持续加深，养老服务兜底保障能力相对薄弱。老城区承载压力加大，中学学位供给趋紧，优质医疗资源可及性不足。</w:t>
      </w:r>
      <w:r>
        <w:rPr>
          <w:rFonts w:hint="eastAsia" w:ascii="仿宋_GB2312" w:hAnsi="仿宋_GB2312" w:eastAsia="仿宋_GB2312" w:cs="仿宋_GB2312"/>
          <w:sz w:val="32"/>
          <w:szCs w:val="32"/>
          <w:highlight w:val="none"/>
          <w:u w:val="none"/>
          <w:lang w:val="en-US" w:eastAsia="zh-CN"/>
        </w:rPr>
        <w:t>怀柔</w:t>
      </w:r>
      <w:r>
        <w:rPr>
          <w:rFonts w:hint="eastAsia" w:ascii="仿宋_GB2312" w:hAnsi="仿宋_GB2312" w:eastAsia="仿宋_GB2312" w:cs="仿宋_GB2312"/>
          <w:sz w:val="32"/>
          <w:szCs w:val="32"/>
          <w:highlight w:val="none"/>
          <w:u w:val="none"/>
        </w:rPr>
        <w:t>科学城新城区创新要素加快集聚，科研人群对高品质、国际化公共服务需求快速攀升，国际教育、国际医疗、高端文体设施等供给缺口依然明显。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cs="仿宋_GB2312"/>
          <w:b w:val="0"/>
          <w:bCs w:val="0"/>
          <w:sz w:val="32"/>
          <w:szCs w:val="40"/>
          <w:highlight w:val="none"/>
          <w:u w:val="none"/>
          <w:lang w:val="en-US" w:eastAsia="zh-CN"/>
        </w:rPr>
      </w:pPr>
      <w:r>
        <w:rPr>
          <w:rFonts w:hint="eastAsia" w:ascii="仿宋_GB2312" w:hAnsi="仿宋_GB2312" w:eastAsia="仿宋_GB2312" w:cs="仿宋_GB2312"/>
          <w:b/>
          <w:bCs/>
          <w:sz w:val="32"/>
          <w:szCs w:val="40"/>
          <w:highlight w:val="none"/>
          <w:u w:val="none"/>
          <w:lang w:val="en-US" w:eastAsia="zh-CN"/>
        </w:rPr>
        <w:t>公共服务专业水平亟待提升。</w:t>
      </w:r>
      <w:r>
        <w:rPr>
          <w:rFonts w:hint="eastAsia" w:ascii="仿宋_GB2312" w:hAnsi="仿宋_GB2312" w:eastAsia="仿宋_GB2312" w:cs="仿宋_GB2312"/>
          <w:b w:val="0"/>
          <w:bCs w:val="0"/>
          <w:sz w:val="32"/>
          <w:szCs w:val="40"/>
          <w:highlight w:val="none"/>
          <w:u w:val="none"/>
          <w:lang w:val="en-US" w:eastAsia="zh-CN"/>
        </w:rPr>
        <w:t>随着区域经济社会发展和人口结构变化，公共服务面临许多新课题，教育、医疗、养老等重点领域的专业技术力量储备不足，公共服务供给的广度与深度不能完全契合群众新期待，专业化服务水平有待提升。</w:t>
      </w:r>
    </w:p>
    <w:p>
      <w:pPr>
        <w:keepNext w:val="0"/>
        <w:keepLines w:val="0"/>
        <w:widowControl w:val="0"/>
        <w:suppressLineNumbers w:val="0"/>
        <w:autoSpaceDE w:val="0"/>
        <w:autoSpaceDN/>
        <w:spacing w:before="0" w:beforeAutospacing="0" w:after="0" w:afterAutospacing="0" w:line="560" w:lineRule="exact"/>
        <w:ind w:left="0" w:right="0" w:firstLine="642" w:firstLineChars="200"/>
        <w:jc w:val="both"/>
        <w:rPr>
          <w:rFonts w:hint="eastAsia" w:ascii="仿宋_GB2312" w:eastAsia="仿宋_GB2312" w:cs="仿宋_GB2312"/>
          <w:b/>
          <w:bCs/>
          <w:kern w:val="2"/>
          <w:sz w:val="32"/>
          <w:szCs w:val="32"/>
          <w:highlight w:val="none"/>
          <w:u w:val="none"/>
        </w:rPr>
      </w:pPr>
      <w:r>
        <w:rPr>
          <w:rFonts w:hint="eastAsia" w:ascii="仿宋_GB2312" w:hAnsi="仿宋_GB2312" w:eastAsia="仿宋_GB2312" w:cs="仿宋_GB2312"/>
          <w:b/>
          <w:bCs/>
          <w:sz w:val="32"/>
          <w:szCs w:val="40"/>
          <w:highlight w:val="none"/>
          <w:u w:val="none"/>
          <w:lang w:val="en-US" w:eastAsia="zh-CN"/>
        </w:rPr>
        <w:t>公共服务数字化建设尚需加快。</w:t>
      </w:r>
      <w:r>
        <w:rPr>
          <w:rFonts w:hint="eastAsia" w:ascii="仿宋_GB2312" w:hAnsi="仿宋_GB2312" w:eastAsia="仿宋_GB2312" w:cs="仿宋_GB2312"/>
          <w:b w:val="0"/>
          <w:bCs w:val="0"/>
          <w:sz w:val="32"/>
          <w:szCs w:val="40"/>
          <w:highlight w:val="none"/>
          <w:u w:val="none"/>
          <w:lang w:val="en-US" w:eastAsia="zh-CN"/>
        </w:rPr>
        <w:t>随着人工智能等新技术的兴起，怀柔区公共服务各领域信息化应用的深度仍显不足，数字化转型进程缓慢，影响公共服务从“有无”向“优质”转型升级。</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cs="仿宋_GB2312"/>
          <w:sz w:val="32"/>
          <w:szCs w:val="32"/>
          <w:highlight w:val="none"/>
          <w:u w:val="none"/>
        </w:rPr>
      </w:pPr>
      <w:r>
        <w:rPr>
          <w:rFonts w:hint="eastAsia" w:ascii="仿宋_GB2312" w:hAnsi="仿宋_GB2312" w:eastAsia="仿宋_GB2312"/>
          <w:b/>
          <w:bCs/>
          <w:sz w:val="32"/>
          <w:highlight w:val="none"/>
          <w:u w:val="none"/>
          <w:lang w:val="en-US" w:eastAsia="zh-CN"/>
        </w:rPr>
        <w:t>社会力量参与度还需加强。</w:t>
      </w:r>
      <w:r>
        <w:rPr>
          <w:rFonts w:hint="eastAsia" w:ascii="仿宋_GB2312" w:hAnsi="仿宋_GB2312" w:eastAsia="仿宋_GB2312"/>
          <w:b w:val="0"/>
          <w:bCs w:val="0"/>
          <w:sz w:val="32"/>
          <w:highlight w:val="none"/>
          <w:u w:val="none"/>
          <w:lang w:val="en-US" w:eastAsia="zh-CN"/>
        </w:rPr>
        <w:t>怀柔区公共服务领域建设和运营仍以政府投入为主，</w:t>
      </w:r>
      <w:r>
        <w:rPr>
          <w:rFonts w:hint="eastAsia" w:ascii="仿宋_GB2312" w:hAnsi="仿宋_GB2312" w:eastAsia="仿宋_GB2312" w:cs="仿宋_GB2312"/>
          <w:sz w:val="32"/>
          <w:szCs w:val="32"/>
          <w:highlight w:val="none"/>
          <w:u w:val="none"/>
        </w:rPr>
        <w:t>供给方式和供给主体</w:t>
      </w:r>
      <w:r>
        <w:rPr>
          <w:rFonts w:hint="eastAsia" w:ascii="仿宋_GB2312" w:hAnsi="仿宋_GB2312" w:eastAsia="仿宋_GB2312" w:cs="仿宋_GB2312"/>
          <w:sz w:val="32"/>
          <w:szCs w:val="32"/>
          <w:highlight w:val="none"/>
          <w:u w:val="none"/>
          <w:lang w:eastAsia="zh-CN"/>
        </w:rPr>
        <w:t>较为单一</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u w:val="none"/>
          <w:lang w:eastAsia="zh-CN"/>
        </w:rPr>
        <w:t>社会资本投入较少，区域</w:t>
      </w:r>
      <w:r>
        <w:rPr>
          <w:rFonts w:hint="eastAsia" w:ascii="仿宋_GB2312" w:hAnsi="仿宋_GB2312" w:eastAsia="仿宋_GB2312"/>
          <w:b w:val="0"/>
          <w:bCs w:val="0"/>
          <w:sz w:val="32"/>
          <w:highlight w:val="none"/>
          <w:u w:val="none"/>
          <w:lang w:val="en-US" w:eastAsia="zh-CN"/>
        </w:rPr>
        <w:t>公共服务设施运营效能不高，供</w:t>
      </w:r>
      <w:r>
        <w:rPr>
          <w:rFonts w:hint="eastAsia" w:ascii="仿宋_GB2312" w:hAnsi="仿宋_GB2312" w:eastAsia="仿宋_GB2312" w:cs="仿宋_GB2312"/>
          <w:sz w:val="32"/>
          <w:szCs w:val="32"/>
          <w:highlight w:val="none"/>
          <w:u w:val="none"/>
        </w:rPr>
        <w:t>给效率有待提升。</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黑体" w:cs="Times New Roman"/>
          <w:sz w:val="32"/>
          <w:szCs w:val="32"/>
          <w:highlight w:val="none"/>
          <w:u w:val="none"/>
          <w:lang w:val="en-US" w:eastAsia="zh-CN"/>
        </w:rPr>
      </w:pPr>
      <w:bookmarkStart w:id="47" w:name="_Toc17704"/>
      <w:bookmarkStart w:id="48" w:name="_Toc11130"/>
      <w:bookmarkStart w:id="49" w:name="_Toc19207"/>
      <w:bookmarkStart w:id="50" w:name="_Toc26935"/>
      <w:bookmarkStart w:id="51" w:name="_Toc10704"/>
      <w:bookmarkStart w:id="52" w:name="_Toc23803"/>
      <w:bookmarkStart w:id="53" w:name="_Toc19987"/>
      <w:bookmarkStart w:id="54" w:name="_Toc26659"/>
      <w:bookmarkStart w:id="55" w:name="_Toc7136"/>
      <w:bookmarkStart w:id="56" w:name="_Toc9061"/>
      <w:bookmarkStart w:id="57" w:name="_Toc18563"/>
      <w:bookmarkStart w:id="58" w:name="_Toc28905"/>
      <w:bookmarkStart w:id="59" w:name="_Toc9870"/>
      <w:bookmarkStart w:id="60" w:name="_Toc30749"/>
      <w:bookmarkStart w:id="61" w:name="_Toc2511"/>
      <w:bookmarkStart w:id="62" w:name="_Toc15120"/>
      <w:bookmarkStart w:id="63" w:name="_Toc19124"/>
      <w:bookmarkStart w:id="64" w:name="_Toc23818"/>
      <w:bookmarkStart w:id="65" w:name="_Toc12967"/>
      <w:r>
        <w:rPr>
          <w:rFonts w:hint="eastAsia" w:ascii="仿宋_GB2312" w:hAnsi="仿宋_GB2312" w:eastAsia="黑体" w:cs="Times New Roman"/>
          <w:kern w:val="2"/>
          <w:sz w:val="32"/>
          <w:szCs w:val="32"/>
          <w:highlight w:val="none"/>
          <w:u w:val="none"/>
          <w:lang w:val="en-US" w:eastAsia="zh-CN" w:bidi="ar-SA"/>
        </w:rPr>
        <w:t>二、</w:t>
      </w:r>
      <w:r>
        <w:rPr>
          <w:rFonts w:hint="eastAsia" w:ascii="仿宋_GB2312" w:hAnsi="仿宋_GB2312" w:eastAsia="黑体" w:cs="Times New Roman"/>
          <w:sz w:val="32"/>
          <w:szCs w:val="32"/>
          <w:highlight w:val="none"/>
          <w:u w:val="none"/>
          <w:lang w:val="en-US" w:eastAsia="zh-CN"/>
        </w:rPr>
        <w:t>“十五五”时期面临形势</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cs="仿宋_GB2312"/>
          <w:b/>
          <w:bCs w:val="0"/>
          <w:kern w:val="2"/>
          <w:sz w:val="32"/>
          <w:szCs w:val="32"/>
          <w:highlight w:val="none"/>
          <w:u w:val="none"/>
          <w:lang w:val="en-US" w:eastAsia="zh-CN" w:bidi="ar-SA"/>
        </w:rPr>
      </w:pPr>
      <w:r>
        <w:rPr>
          <w:rFonts w:hint="eastAsia" w:ascii="仿宋_GB2312" w:hAnsi="仿宋_GB2312" w:eastAsia="仿宋_GB2312" w:cs="仿宋_GB2312"/>
          <w:b/>
          <w:bCs w:val="0"/>
          <w:kern w:val="2"/>
          <w:sz w:val="32"/>
          <w:szCs w:val="32"/>
          <w:highlight w:val="none"/>
          <w:u w:val="none"/>
          <w:lang w:val="en-US" w:eastAsia="zh-CN" w:bidi="ar-SA"/>
        </w:rPr>
        <w:t>国家提出“投资于人”新要求。</w:t>
      </w:r>
      <w:r>
        <w:rPr>
          <w:rFonts w:hint="eastAsia" w:ascii="仿宋_GB2312" w:hAnsi="仿宋_GB2312" w:eastAsia="仿宋_GB2312" w:cs="仿宋_GB2312"/>
          <w:b w:val="0"/>
          <w:bCs/>
          <w:kern w:val="2"/>
          <w:sz w:val="32"/>
          <w:szCs w:val="32"/>
          <w:highlight w:val="none"/>
          <w:u w:val="none"/>
          <w:lang w:val="en-US" w:eastAsia="zh-CN" w:bidi="ar-SA"/>
        </w:rPr>
        <w:t>国家强调将更多财政资金和公共资源投向教育、就业、医疗、社会保障等民生重点领域。这一战略导向对怀柔区公共服务提出了更高要求，需更加注重公共服务提质升级，持续减轻群众负担，努力实现经济发展与民生改善的良性互动，推动发展成果更加公平普惠地惠及全体居民。</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2" w:firstLineChars="200"/>
        <w:textAlignment w:val="auto"/>
        <w:outlineLvl w:val="9"/>
        <w:rPr>
          <w:rFonts w:hint="eastAsia" w:ascii="仿宋_GB2312" w:hAnsi="仿宋_GB2312" w:eastAsia="仿宋_GB2312" w:cs="仿宋_GB2312"/>
          <w:b w:val="0"/>
          <w:bCs/>
          <w:sz w:val="32"/>
          <w:szCs w:val="32"/>
          <w:highlight w:val="none"/>
          <w:u w:val="none"/>
          <w:lang w:eastAsia="zh-CN"/>
        </w:rPr>
      </w:pPr>
      <w:r>
        <w:rPr>
          <w:rFonts w:hint="eastAsia" w:ascii="仿宋_GB2312" w:hAnsi="仿宋_GB2312" w:eastAsia="仿宋_GB2312" w:cs="仿宋_GB2312"/>
          <w:b/>
          <w:bCs w:val="0"/>
          <w:kern w:val="2"/>
          <w:sz w:val="32"/>
          <w:szCs w:val="32"/>
          <w:highlight w:val="none"/>
          <w:u w:val="none"/>
          <w:lang w:val="en-US" w:eastAsia="zh-CN" w:bidi="ar-SA"/>
        </w:rPr>
        <w:t>人口结构呈现新变化。</w:t>
      </w:r>
      <w:r>
        <w:rPr>
          <w:rFonts w:hint="eastAsia" w:ascii="仿宋_GB2312" w:hAnsi="仿宋_GB2312" w:eastAsia="仿宋_GB2312" w:cs="仿宋_GB2312"/>
          <w:b w:val="0"/>
          <w:bCs/>
          <w:sz w:val="32"/>
          <w:szCs w:val="32"/>
          <w:highlight w:val="none"/>
          <w:u w:val="none"/>
          <w:lang w:eastAsia="zh-CN"/>
        </w:rPr>
        <w:t>“</w:t>
      </w:r>
      <w:r>
        <w:rPr>
          <w:rFonts w:hint="eastAsia" w:ascii="仿宋_GB2312" w:hAnsi="仿宋_GB2312" w:eastAsia="仿宋_GB2312" w:cs="仿宋_GB2312"/>
          <w:b w:val="0"/>
          <w:bCs/>
          <w:sz w:val="32"/>
          <w:szCs w:val="32"/>
          <w:highlight w:val="none"/>
          <w:u w:val="none"/>
          <w:lang w:val="en-US" w:eastAsia="zh-CN"/>
        </w:rPr>
        <w:t>十五五</w:t>
      </w:r>
      <w:r>
        <w:rPr>
          <w:rFonts w:hint="eastAsia" w:ascii="仿宋_GB2312" w:hAnsi="仿宋_GB2312" w:eastAsia="仿宋_GB2312" w:cs="仿宋_GB2312"/>
          <w:b w:val="0"/>
          <w:bCs/>
          <w:sz w:val="32"/>
          <w:szCs w:val="32"/>
          <w:highlight w:val="none"/>
          <w:u w:val="none"/>
          <w:lang w:eastAsia="zh-CN"/>
        </w:rPr>
        <w:t>”</w:t>
      </w:r>
      <w:r>
        <w:rPr>
          <w:rFonts w:hint="eastAsia" w:ascii="仿宋_GB2312" w:hAnsi="仿宋_GB2312" w:eastAsia="仿宋_GB2312" w:cs="仿宋_GB2312"/>
          <w:b w:val="0"/>
          <w:bCs/>
          <w:sz w:val="32"/>
          <w:szCs w:val="32"/>
          <w:highlight w:val="none"/>
          <w:u w:val="none"/>
          <w:lang w:val="en-US" w:eastAsia="zh-CN"/>
        </w:rPr>
        <w:t>时期，</w:t>
      </w:r>
      <w:r>
        <w:rPr>
          <w:rFonts w:hint="eastAsia" w:ascii="仿宋_GB2312" w:hAnsi="仿宋_GB2312" w:eastAsia="仿宋_GB2312" w:cs="仿宋_GB2312"/>
          <w:b w:val="0"/>
          <w:bCs/>
          <w:sz w:val="32"/>
          <w:szCs w:val="32"/>
          <w:highlight w:val="none"/>
          <w:u w:val="none"/>
        </w:rPr>
        <w:t>北部山区老龄化程度持续加深，</w:t>
      </w:r>
      <w:r>
        <w:rPr>
          <w:rFonts w:hint="eastAsia" w:ascii="仿宋_GB2312" w:hAnsi="仿宋_GB2312" w:eastAsia="仿宋_GB2312" w:cstheme="minorBidi"/>
          <w:b w:val="0"/>
          <w:bCs/>
          <w:kern w:val="2"/>
          <w:sz w:val="32"/>
          <w:szCs w:val="24"/>
          <w:highlight w:val="none"/>
          <w:u w:val="none"/>
          <w:lang w:val="en-US" w:eastAsia="zh-CN" w:bidi="ar-SA"/>
        </w:rPr>
        <w:t>乡村人口持续减少，</w:t>
      </w:r>
      <w:r>
        <w:rPr>
          <w:rFonts w:hint="eastAsia" w:ascii="仿宋_GB2312" w:hAnsi="仿宋_GB2312" w:eastAsia="仿宋_GB2312" w:cs="仿宋_GB2312"/>
          <w:b w:val="0"/>
          <w:bCs/>
          <w:sz w:val="32"/>
          <w:szCs w:val="32"/>
          <w:highlight w:val="none"/>
          <w:u w:val="none"/>
          <w:lang w:eastAsia="zh-CN"/>
        </w:rPr>
        <w:t>“</w:t>
      </w:r>
      <w:r>
        <w:rPr>
          <w:rFonts w:hint="eastAsia" w:ascii="仿宋_GB2312" w:hAnsi="仿宋_GB2312" w:eastAsia="仿宋_GB2312" w:cs="仿宋_GB2312"/>
          <w:b w:val="0"/>
          <w:bCs/>
          <w:sz w:val="32"/>
          <w:szCs w:val="32"/>
          <w:highlight w:val="none"/>
          <w:u w:val="none"/>
        </w:rPr>
        <w:t>空巢、独居、高龄</w:t>
      </w:r>
      <w:r>
        <w:rPr>
          <w:rFonts w:hint="eastAsia" w:ascii="仿宋_GB2312" w:hAnsi="仿宋_GB2312" w:eastAsia="仿宋_GB2312" w:cs="仿宋_GB2312"/>
          <w:b w:val="0"/>
          <w:bCs/>
          <w:sz w:val="32"/>
          <w:szCs w:val="32"/>
          <w:highlight w:val="none"/>
          <w:u w:val="none"/>
          <w:lang w:eastAsia="zh-CN"/>
        </w:rPr>
        <w:t>”</w:t>
      </w:r>
      <w:r>
        <w:rPr>
          <w:rFonts w:hint="eastAsia" w:ascii="仿宋_GB2312" w:hAnsi="仿宋_GB2312" w:eastAsia="仿宋_GB2312" w:cs="仿宋_GB2312"/>
          <w:b w:val="0"/>
          <w:bCs/>
          <w:sz w:val="32"/>
          <w:szCs w:val="32"/>
          <w:highlight w:val="none"/>
          <w:u w:val="none"/>
        </w:rPr>
        <w:t>特征明显，失能失智老年人照护、慢病管理、医养结合等兜底保障与长期照护需求大幅攀升，乡村公共服务可持续供给压力加大；老城区因山区人口迁入、</w:t>
      </w:r>
      <w:r>
        <w:rPr>
          <w:rFonts w:hint="eastAsia" w:ascii="仿宋_GB2312" w:hAnsi="仿宋_GB2312" w:eastAsia="仿宋_GB2312" w:cs="仿宋_GB2312"/>
          <w:b w:val="0"/>
          <w:bCs/>
          <w:sz w:val="32"/>
          <w:szCs w:val="32"/>
          <w:highlight w:val="none"/>
          <w:u w:val="none"/>
          <w:lang w:eastAsia="zh-CN"/>
        </w:rPr>
        <w:t>“</w:t>
      </w:r>
      <w:r>
        <w:rPr>
          <w:rFonts w:hint="eastAsia" w:ascii="仿宋_GB2312" w:hAnsi="仿宋_GB2312" w:eastAsia="仿宋_GB2312" w:cs="仿宋_GB2312"/>
          <w:b w:val="0"/>
          <w:bCs/>
          <w:sz w:val="32"/>
          <w:szCs w:val="32"/>
          <w:highlight w:val="none"/>
          <w:u w:val="none"/>
        </w:rPr>
        <w:t>人户分离</w:t>
      </w:r>
      <w:r>
        <w:rPr>
          <w:rFonts w:hint="eastAsia" w:ascii="仿宋_GB2312" w:hAnsi="仿宋_GB2312" w:eastAsia="仿宋_GB2312" w:cs="仿宋_GB2312"/>
          <w:b w:val="0"/>
          <w:bCs/>
          <w:sz w:val="32"/>
          <w:szCs w:val="32"/>
          <w:highlight w:val="none"/>
          <w:u w:val="none"/>
          <w:lang w:eastAsia="zh-CN"/>
        </w:rPr>
        <w:t>”</w:t>
      </w:r>
      <w:r>
        <w:rPr>
          <w:rFonts w:hint="eastAsia" w:ascii="仿宋_GB2312" w:hAnsi="仿宋_GB2312" w:eastAsia="仿宋_GB2312" w:cs="仿宋_GB2312"/>
          <w:b w:val="0"/>
          <w:bCs/>
          <w:sz w:val="32"/>
          <w:szCs w:val="32"/>
          <w:highlight w:val="none"/>
          <w:u w:val="none"/>
        </w:rPr>
        <w:t>现象增多，</w:t>
      </w:r>
      <w:r>
        <w:rPr>
          <w:rFonts w:hint="eastAsia" w:ascii="仿宋_GB2312" w:hAnsi="仿宋_GB2312" w:eastAsia="仿宋_GB2312" w:cs="仿宋_GB2312"/>
          <w:b w:val="0"/>
          <w:bCs/>
          <w:sz w:val="32"/>
          <w:szCs w:val="32"/>
          <w:highlight w:val="none"/>
          <w:u w:val="none"/>
          <w:lang w:val="en-US" w:eastAsia="zh-CN"/>
        </w:rPr>
        <w:t>基础</w:t>
      </w:r>
      <w:r>
        <w:rPr>
          <w:rFonts w:hint="eastAsia" w:ascii="仿宋_GB2312" w:hAnsi="仿宋_GB2312" w:eastAsia="仿宋_GB2312" w:cs="仿宋_GB2312"/>
          <w:b w:val="0"/>
          <w:bCs/>
          <w:sz w:val="32"/>
          <w:szCs w:val="32"/>
          <w:highlight w:val="none"/>
          <w:u w:val="none"/>
        </w:rPr>
        <w:t>教育学位、优质医疗资源等承载压力凸显，服务错配矛盾需系统化解</w:t>
      </w:r>
      <w:r>
        <w:rPr>
          <w:rFonts w:hint="eastAsia" w:ascii="仿宋_GB2312" w:hAnsi="仿宋_GB2312" w:eastAsia="仿宋_GB2312" w:cs="仿宋_GB2312"/>
          <w:b w:val="0"/>
          <w:bCs/>
          <w:sz w:val="32"/>
          <w:szCs w:val="32"/>
          <w:highlight w:val="none"/>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cstheme="minorBidi"/>
          <w:b w:val="0"/>
          <w:bCs w:val="0"/>
          <w:kern w:val="2"/>
          <w:sz w:val="32"/>
          <w:szCs w:val="24"/>
          <w:highlight w:val="none"/>
          <w:u w:val="none"/>
          <w:lang w:val="en-US" w:eastAsia="zh-CN" w:bidi="ar-SA"/>
        </w:rPr>
      </w:pPr>
      <w:r>
        <w:rPr>
          <w:rFonts w:hint="eastAsia" w:ascii="仿宋_GB2312" w:hAnsi="仿宋_GB2312" w:eastAsia="仿宋_GB2312" w:cs="仿宋_GB2312"/>
          <w:b/>
          <w:bCs w:val="0"/>
          <w:kern w:val="2"/>
          <w:sz w:val="32"/>
          <w:szCs w:val="32"/>
          <w:highlight w:val="none"/>
          <w:u w:val="none"/>
          <w:lang w:val="en-US" w:eastAsia="zh-CN" w:bidi="ar-SA"/>
        </w:rPr>
        <w:t>科学城</w:t>
      </w:r>
      <w:r>
        <w:rPr>
          <w:rFonts w:hint="eastAsia" w:ascii="仿宋_GB2312" w:hAnsi="仿宋_GB2312" w:eastAsia="仿宋_GB2312" w:cs="仿宋_GB2312"/>
          <w:b/>
          <w:sz w:val="32"/>
          <w:szCs w:val="32"/>
          <w:highlight w:val="none"/>
          <w:u w:val="none"/>
        </w:rPr>
        <w:t>新人群对公共服务提出国际化</w:t>
      </w:r>
      <w:r>
        <w:rPr>
          <w:rFonts w:hint="eastAsia" w:ascii="仿宋_GB2312" w:hAnsi="仿宋_GB2312" w:eastAsia="仿宋_GB2312" w:cs="仿宋_GB2312"/>
          <w:b/>
          <w:sz w:val="32"/>
          <w:szCs w:val="32"/>
          <w:highlight w:val="none"/>
          <w:u w:val="none"/>
          <w:lang w:eastAsia="zh-CN"/>
        </w:rPr>
        <w:t>、</w:t>
      </w:r>
      <w:r>
        <w:rPr>
          <w:rFonts w:hint="eastAsia" w:ascii="仿宋_GB2312" w:hAnsi="仿宋_GB2312" w:eastAsia="仿宋_GB2312" w:cs="仿宋_GB2312"/>
          <w:b/>
          <w:sz w:val="32"/>
          <w:szCs w:val="32"/>
          <w:highlight w:val="none"/>
          <w:u w:val="none"/>
        </w:rPr>
        <w:t>高品质新诉求</w:t>
      </w:r>
      <w:r>
        <w:rPr>
          <w:rFonts w:hint="eastAsia" w:ascii="仿宋_GB2312" w:hAnsi="仿宋_GB2312" w:eastAsia="仿宋_GB2312" w:cs="仿宋_GB2312"/>
          <w:b/>
          <w:bCs w:val="0"/>
          <w:kern w:val="2"/>
          <w:sz w:val="32"/>
          <w:szCs w:val="32"/>
          <w:highlight w:val="none"/>
          <w:u w:val="none"/>
          <w:lang w:val="en-US" w:eastAsia="zh-CN" w:bidi="ar-SA"/>
        </w:rPr>
        <w:t>。</w:t>
      </w:r>
      <w:r>
        <w:rPr>
          <w:rFonts w:hint="eastAsia" w:ascii="仿宋_GB2312" w:hAnsi="仿宋_GB2312" w:eastAsia="仿宋_GB2312" w:cstheme="minorBidi"/>
          <w:b w:val="0"/>
          <w:bCs w:val="0"/>
          <w:kern w:val="2"/>
          <w:sz w:val="32"/>
          <w:szCs w:val="24"/>
          <w:highlight w:val="none"/>
          <w:u w:val="none"/>
          <w:lang w:val="en-US" w:eastAsia="zh-CN" w:bidi="ar-SA"/>
        </w:rPr>
        <w:t>怀柔科学城已经进入“运行为主”阶段，科技创新逐步进入密集活跃期，已集聚各类人才超3万人，预计2035年将达到18.9万人，高学历、年轻化、国际化的科研及关联产业人员，将加速由“工作人口”向“生活人口”转变，家庭随迁定居比例也将有所上升。新人群对国际教育、高品质医疗、现代文体设施等提出更高要求，公共服务供给须从“保基本”向“高标准、智能化、精细化”转型，为建设我国原始创新高地、世界知名的综合性国家科学中心提供坚实支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outlineLvl w:val="9"/>
        <w:rPr>
          <w:rFonts w:hint="default" w:ascii="仿宋_GB2312" w:hAnsi="仿宋_GB2312" w:eastAsia="仿宋_GB2312" w:cstheme="minorBidi"/>
          <w:b w:val="0"/>
          <w:bCs w:val="0"/>
          <w:kern w:val="2"/>
          <w:sz w:val="32"/>
          <w:szCs w:val="24"/>
          <w:highlight w:val="none"/>
          <w:u w:val="none"/>
          <w:lang w:val="en-US" w:eastAsia="zh-CN" w:bidi="ar-SA"/>
        </w:rPr>
      </w:pPr>
      <w:r>
        <w:rPr>
          <w:rFonts w:hint="eastAsia" w:ascii="仿宋_GB2312" w:hAnsi="仿宋_GB2312" w:eastAsia="仿宋_GB2312" w:cstheme="minorBidi"/>
          <w:b/>
          <w:bCs/>
          <w:kern w:val="2"/>
          <w:sz w:val="32"/>
          <w:szCs w:val="24"/>
          <w:highlight w:val="none"/>
          <w:u w:val="none"/>
          <w:lang w:val="en-US" w:eastAsia="zh-CN" w:bidi="ar-SA"/>
        </w:rPr>
        <w:t>生态涵养发展</w:t>
      </w:r>
      <w:r>
        <w:rPr>
          <w:rFonts w:hint="eastAsia" w:ascii="仿宋_GB2312" w:hAnsi="仿宋_GB2312" w:eastAsia="仿宋_GB2312" w:cs="仿宋_GB2312"/>
          <w:b/>
          <w:bCs w:val="0"/>
          <w:kern w:val="2"/>
          <w:sz w:val="32"/>
          <w:szCs w:val="32"/>
          <w:highlight w:val="none"/>
          <w:u w:val="none"/>
          <w:lang w:val="en-US" w:eastAsia="zh-CN" w:bidi="ar-SA"/>
        </w:rPr>
        <w:t>注入新动能</w:t>
      </w:r>
      <w:r>
        <w:rPr>
          <w:rFonts w:hint="eastAsia" w:ascii="仿宋_GB2312" w:hAnsi="仿宋_GB2312" w:eastAsia="仿宋_GB2312" w:cstheme="minorBidi"/>
          <w:b/>
          <w:bCs/>
          <w:kern w:val="2"/>
          <w:sz w:val="32"/>
          <w:szCs w:val="24"/>
          <w:highlight w:val="none"/>
          <w:u w:val="none"/>
          <w:lang w:val="en-US" w:eastAsia="zh-CN" w:bidi="ar-SA"/>
        </w:rPr>
        <w:t>。</w:t>
      </w:r>
      <w:r>
        <w:rPr>
          <w:rFonts w:hint="eastAsia" w:ascii="仿宋_GB2312" w:hAnsi="仿宋_GB2312" w:eastAsia="仿宋_GB2312" w:cstheme="minorBidi"/>
          <w:b w:val="0"/>
          <w:bCs w:val="0"/>
          <w:kern w:val="2"/>
          <w:sz w:val="32"/>
          <w:szCs w:val="24"/>
          <w:highlight w:val="none"/>
          <w:u w:val="none"/>
          <w:lang w:val="en-US" w:eastAsia="zh-CN" w:bidi="ar-SA"/>
        </w:rPr>
        <w:t>怀柔是首都北部重点生态保育及区域生态治理协作区、服务国家对外交往的生态发展示范区、绿色创新引领的高端科技文化发展区，</w:t>
      </w:r>
      <w:r>
        <w:rPr>
          <w:rFonts w:hint="eastAsia" w:ascii="仿宋_GB2312" w:hAnsi="仿宋_GB2312" w:eastAsia="仿宋_GB2312" w:cstheme="minorBidi"/>
          <w:kern w:val="2"/>
          <w:sz w:val="32"/>
          <w:szCs w:val="24"/>
          <w:highlight w:val="none"/>
          <w:u w:val="none"/>
          <w:lang w:val="en-US" w:eastAsia="zh-CN" w:bidi="ar-SA"/>
        </w:rPr>
        <w:t>在非首都功能疏解和京津冀协同发展中承载力持续增强，“一城两都”建设全面加快，国际教育、高端医疗等服务需求加速释放，康养、休闲等新型服务场景加快形成，为公共服务优质化、均衡化发展注入新动能。</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2" w:firstLineChars="200"/>
        <w:textAlignment w:val="auto"/>
        <w:outlineLvl w:val="9"/>
        <w:rPr>
          <w:rFonts w:hint="eastAsia" w:ascii="仿宋_GB2312" w:hAnsi="仿宋_GB2312" w:eastAsia="仿宋_GB2312"/>
          <w:sz w:val="32"/>
          <w:highlight w:val="none"/>
          <w:u w:val="none"/>
          <w:lang w:val="en-US" w:eastAsia="zh-CN"/>
        </w:rPr>
      </w:pPr>
      <w:r>
        <w:rPr>
          <w:rFonts w:hint="eastAsia" w:ascii="仿宋_GB2312" w:hAnsi="仿宋_GB2312" w:eastAsia="仿宋_GB2312" w:cs="仿宋_GB2312"/>
          <w:b/>
          <w:bCs w:val="0"/>
          <w:kern w:val="2"/>
          <w:sz w:val="32"/>
          <w:szCs w:val="32"/>
          <w:highlight w:val="none"/>
          <w:u w:val="none"/>
          <w:lang w:val="en-US" w:eastAsia="zh-CN" w:bidi="ar-SA"/>
        </w:rPr>
        <w:t>科学技术提供新支撑。</w:t>
      </w:r>
      <w:r>
        <w:rPr>
          <w:rFonts w:hint="eastAsia" w:ascii="仿宋_GB2312" w:hAnsi="仿宋_GB2312" w:eastAsia="仿宋_GB2312" w:cstheme="minorBidi"/>
          <w:b w:val="0"/>
          <w:bCs w:val="0"/>
          <w:kern w:val="2"/>
          <w:sz w:val="32"/>
          <w:szCs w:val="24"/>
          <w:highlight w:val="none"/>
          <w:u w:val="none"/>
          <w:lang w:val="en-US" w:eastAsia="zh-CN" w:bidi="ar-SA"/>
        </w:rPr>
        <w:t>随着人工智能、云计算等技术发展及广泛应用，数字技术</w:t>
      </w:r>
      <w:r>
        <w:rPr>
          <w:rFonts w:hint="eastAsia" w:ascii="仿宋_GB2312" w:hAnsi="仿宋_GB2312" w:eastAsia="仿宋_GB2312"/>
          <w:sz w:val="32"/>
          <w:highlight w:val="none"/>
          <w:u w:val="none"/>
        </w:rPr>
        <w:t>与大数据</w:t>
      </w:r>
      <w:r>
        <w:rPr>
          <w:rFonts w:hint="eastAsia" w:ascii="仿宋_GB2312" w:hAnsi="仿宋_GB2312" w:eastAsia="仿宋_GB2312"/>
          <w:sz w:val="32"/>
          <w:highlight w:val="none"/>
          <w:u w:val="none"/>
          <w:lang w:val="en-US" w:eastAsia="zh-CN"/>
        </w:rPr>
        <w:t>等</w:t>
      </w:r>
      <w:r>
        <w:rPr>
          <w:rFonts w:hint="eastAsia" w:ascii="仿宋_GB2312" w:hAnsi="仿宋_GB2312" w:eastAsia="仿宋_GB2312"/>
          <w:sz w:val="32"/>
          <w:highlight w:val="none"/>
          <w:u w:val="none"/>
        </w:rPr>
        <w:t>正全面融入公共服务领域，</w:t>
      </w:r>
      <w:r>
        <w:rPr>
          <w:rFonts w:hint="eastAsia" w:ascii="仿宋_GB2312" w:hAnsi="仿宋_GB2312" w:eastAsia="仿宋_GB2312"/>
          <w:sz w:val="32"/>
          <w:highlight w:val="none"/>
          <w:u w:val="none"/>
          <w:lang w:val="en-US" w:eastAsia="zh-CN"/>
        </w:rPr>
        <w:t>推动公共服务供给不断创新</w:t>
      </w:r>
      <w:r>
        <w:rPr>
          <w:rFonts w:hint="eastAsia" w:ascii="仿宋_GB2312" w:hAnsi="仿宋_GB2312" w:eastAsia="仿宋_GB2312"/>
          <w:sz w:val="32"/>
          <w:highlight w:val="none"/>
          <w:u w:val="none"/>
        </w:rPr>
        <w:t>。</w:t>
      </w:r>
      <w:r>
        <w:rPr>
          <w:rFonts w:hint="eastAsia" w:ascii="仿宋_GB2312" w:hAnsi="仿宋_GB2312" w:eastAsia="仿宋_GB2312"/>
          <w:sz w:val="32"/>
          <w:highlight w:val="none"/>
          <w:u w:val="none"/>
          <w:lang w:val="en-US" w:eastAsia="zh-CN"/>
        </w:rPr>
        <w:t>新</w:t>
      </w:r>
      <w:r>
        <w:rPr>
          <w:rFonts w:hint="eastAsia" w:ascii="仿宋_GB2312" w:hAnsi="仿宋_GB2312" w:eastAsia="仿宋_GB2312"/>
          <w:sz w:val="32"/>
          <w:highlight w:val="none"/>
          <w:u w:val="none"/>
        </w:rPr>
        <w:t>技术</w:t>
      </w:r>
      <w:r>
        <w:rPr>
          <w:rFonts w:hint="eastAsia" w:ascii="仿宋_GB2312" w:hAnsi="仿宋_GB2312" w:eastAsia="仿宋_GB2312"/>
          <w:sz w:val="32"/>
          <w:highlight w:val="none"/>
          <w:u w:val="none"/>
          <w:lang w:val="en-US" w:eastAsia="zh-CN"/>
        </w:rPr>
        <w:t>的深度应用将推动</w:t>
      </w:r>
      <w:r>
        <w:rPr>
          <w:rFonts w:hint="eastAsia" w:ascii="仿宋_GB2312" w:hAnsi="仿宋_GB2312" w:eastAsia="仿宋_GB2312"/>
          <w:sz w:val="32"/>
          <w:highlight w:val="none"/>
          <w:u w:val="none"/>
        </w:rPr>
        <w:t>社保、医疗、教育等服务效率</w:t>
      </w:r>
      <w:r>
        <w:rPr>
          <w:rFonts w:hint="eastAsia" w:ascii="仿宋_GB2312" w:hAnsi="仿宋_GB2312" w:eastAsia="仿宋_GB2312"/>
          <w:sz w:val="32"/>
          <w:highlight w:val="none"/>
          <w:u w:val="none"/>
          <w:lang w:val="en-US" w:eastAsia="zh-CN"/>
        </w:rPr>
        <w:t>提高</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lang w:val="en-US" w:eastAsia="zh-CN"/>
        </w:rPr>
        <w:t>优质公共服务资源将更加下沉共享，更能</w:t>
      </w:r>
      <w:r>
        <w:rPr>
          <w:rFonts w:hint="eastAsia" w:ascii="仿宋_GB2312" w:hAnsi="仿宋_GB2312" w:eastAsia="仿宋_GB2312"/>
          <w:sz w:val="32"/>
          <w:highlight w:val="none"/>
          <w:u w:val="none"/>
        </w:rPr>
        <w:t>精准识别不同群体差异化需求</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lang w:val="en-US" w:eastAsia="zh-CN"/>
        </w:rPr>
        <w:t>公共服务精细化程度将持续提升，向着</w:t>
      </w:r>
      <w:r>
        <w:rPr>
          <w:rFonts w:hint="eastAsia" w:ascii="仿宋_GB2312" w:hAnsi="仿宋_GB2312" w:eastAsia="仿宋_GB2312"/>
          <w:sz w:val="32"/>
          <w:highlight w:val="none"/>
          <w:u w:val="none"/>
        </w:rPr>
        <w:t>智能化、精准化、普惠化新趋势</w:t>
      </w:r>
      <w:r>
        <w:rPr>
          <w:rFonts w:hint="eastAsia" w:ascii="仿宋_GB2312" w:hAnsi="仿宋_GB2312" w:eastAsia="仿宋_GB2312"/>
          <w:sz w:val="32"/>
          <w:highlight w:val="none"/>
          <w:u w:val="none"/>
          <w:lang w:val="en-US" w:eastAsia="zh-CN"/>
        </w:rPr>
        <w:t>迈进</w:t>
      </w:r>
      <w:r>
        <w:rPr>
          <w:rFonts w:hint="eastAsia" w:ascii="仿宋_GB2312" w:hAnsi="仿宋_GB2312" w:eastAsia="仿宋_GB2312"/>
          <w:sz w:val="32"/>
          <w:highlight w:val="none"/>
          <w:u w:val="none"/>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仿宋_GB2312" w:hAnsi="仿宋_GB2312" w:eastAsia="宋体" w:cs="Times New Roman"/>
          <w:b/>
          <w:sz w:val="36"/>
          <w:szCs w:val="36"/>
          <w:highlight w:val="none"/>
          <w:u w:val="none"/>
          <w:lang w:val="en-US" w:eastAsia="zh-CN"/>
        </w:rPr>
      </w:pPr>
      <w:bookmarkStart w:id="66" w:name="_Toc15231"/>
      <w:bookmarkStart w:id="67" w:name="_Toc16014"/>
      <w:r>
        <w:rPr>
          <w:rFonts w:hint="eastAsia" w:ascii="仿宋_GB2312" w:hAnsi="仿宋_GB2312" w:eastAsia="宋体" w:cs="Times New Roman"/>
          <w:b/>
          <w:sz w:val="36"/>
          <w:szCs w:val="36"/>
          <w:highlight w:val="none"/>
          <w:u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0" w:firstLineChars="0"/>
        <w:jc w:val="center"/>
        <w:textAlignment w:val="auto"/>
        <w:outlineLvl w:val="0"/>
        <w:rPr>
          <w:rFonts w:hint="eastAsia" w:ascii="仿宋_GB2312" w:hAnsi="仿宋_GB2312" w:eastAsia="方正小标宋_GBK" w:cs="方正小标宋_GBK"/>
          <w:b w:val="0"/>
          <w:bCs/>
          <w:sz w:val="36"/>
          <w:szCs w:val="36"/>
          <w:highlight w:val="none"/>
          <w:u w:val="none"/>
          <w:lang w:val="en-US" w:eastAsia="zh-CN"/>
        </w:rPr>
      </w:pPr>
      <w:bookmarkStart w:id="68" w:name="_Toc19944"/>
      <w:bookmarkStart w:id="69" w:name="_Toc14000"/>
      <w:bookmarkStart w:id="70" w:name="_Toc16467"/>
      <w:bookmarkStart w:id="71" w:name="_Toc1954"/>
      <w:bookmarkStart w:id="72" w:name="_Toc3970"/>
      <w:bookmarkStart w:id="73" w:name="_Toc30551"/>
      <w:bookmarkStart w:id="74" w:name="_Toc5803"/>
      <w:bookmarkStart w:id="75" w:name="_Toc3967"/>
      <w:bookmarkStart w:id="76" w:name="_Toc5291"/>
      <w:bookmarkStart w:id="77" w:name="_Toc513"/>
      <w:bookmarkStart w:id="78" w:name="_Toc11504"/>
      <w:bookmarkStart w:id="79" w:name="_Toc32263"/>
      <w:bookmarkStart w:id="80" w:name="_Toc31449"/>
      <w:bookmarkStart w:id="81" w:name="_Toc17968"/>
      <w:bookmarkStart w:id="82" w:name="_Toc6944"/>
      <w:r>
        <w:rPr>
          <w:rFonts w:hint="eastAsia" w:ascii="仿宋_GB2312" w:hAnsi="仿宋_GB2312" w:eastAsia="方正小标宋_GBK" w:cs="方正小标宋_GBK"/>
          <w:b w:val="0"/>
          <w:bCs/>
          <w:sz w:val="36"/>
          <w:szCs w:val="36"/>
          <w:highlight w:val="none"/>
          <w:u w:val="none"/>
          <w:lang w:val="en-US" w:eastAsia="zh-CN"/>
        </w:rPr>
        <w:t>第二章 总体</w:t>
      </w:r>
      <w:bookmarkEnd w:id="66"/>
      <w:r>
        <w:rPr>
          <w:rFonts w:hint="eastAsia" w:ascii="仿宋_GB2312" w:hAnsi="仿宋_GB2312" w:eastAsia="方正小标宋_GBK" w:cs="方正小标宋_GBK"/>
          <w:b w:val="0"/>
          <w:bCs/>
          <w:sz w:val="36"/>
          <w:szCs w:val="36"/>
          <w:highlight w:val="none"/>
          <w:u w:val="none"/>
          <w:lang w:val="en-US" w:eastAsia="zh-CN"/>
        </w:rPr>
        <w:t>思路与发展目标</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spacing w:line="560" w:lineRule="exact"/>
        <w:ind w:firstLine="640" w:firstLineChars="200"/>
        <w:outlineLvl w:val="1"/>
        <w:rPr>
          <w:rFonts w:hint="eastAsia" w:ascii="仿宋_GB2312" w:hAnsi="仿宋_GB2312" w:eastAsia="黑体" w:cs="Times New Roman"/>
          <w:sz w:val="32"/>
          <w:szCs w:val="32"/>
          <w:highlight w:val="none"/>
          <w:u w:val="none"/>
          <w:lang w:val="en-US" w:eastAsia="zh-CN"/>
        </w:rPr>
      </w:pPr>
      <w:bookmarkStart w:id="83" w:name="_Toc3434"/>
      <w:bookmarkStart w:id="84" w:name="_Toc8384"/>
      <w:bookmarkStart w:id="85" w:name="_Toc23727"/>
      <w:bookmarkStart w:id="86" w:name="_Toc26631"/>
      <w:bookmarkStart w:id="87" w:name="_Toc25250"/>
      <w:bookmarkStart w:id="88" w:name="_Toc20383"/>
      <w:bookmarkStart w:id="89" w:name="_Toc29788"/>
      <w:bookmarkStart w:id="90" w:name="_Toc14371"/>
      <w:bookmarkStart w:id="91" w:name="_Toc11040"/>
      <w:bookmarkStart w:id="92" w:name="_Toc9139"/>
      <w:bookmarkStart w:id="93" w:name="_Toc12982"/>
      <w:bookmarkStart w:id="94" w:name="_Toc3092"/>
      <w:bookmarkStart w:id="95" w:name="_Toc21099"/>
      <w:bookmarkStart w:id="96" w:name="_Toc1342"/>
      <w:bookmarkStart w:id="97" w:name="_Toc27763"/>
      <w:bookmarkStart w:id="98" w:name="_Toc6754"/>
      <w:bookmarkStart w:id="99" w:name="_Toc27039"/>
      <w:bookmarkStart w:id="100" w:name="_Toc20957"/>
      <w:r>
        <w:rPr>
          <w:rFonts w:hint="eastAsia" w:ascii="仿宋_GB2312" w:hAnsi="仿宋_GB2312" w:eastAsia="黑体" w:cs="Times New Roman"/>
          <w:sz w:val="32"/>
          <w:szCs w:val="32"/>
          <w:highlight w:val="none"/>
          <w:u w:val="none"/>
          <w:lang w:val="en-US" w:eastAsia="zh-CN"/>
        </w:rPr>
        <w:t>一、指导思想</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kern w:val="2"/>
          <w:sz w:val="32"/>
          <w:szCs w:val="24"/>
          <w:highlight w:val="none"/>
          <w:u w:val="none"/>
          <w:lang w:val="en-US" w:eastAsia="zh-CN" w:bidi="ar-SA"/>
        </w:rPr>
      </w:pPr>
      <w:r>
        <w:rPr>
          <w:rFonts w:hint="eastAsia" w:ascii="仿宋_GB2312" w:hAnsi="仿宋_GB2312" w:eastAsia="仿宋_GB2312"/>
          <w:sz w:val="32"/>
          <w:highlight w:val="none"/>
          <w:u w:val="none"/>
          <w:lang w:val="en-US" w:eastAsia="zh-CN"/>
        </w:rPr>
        <w:t>坚持以习近平新时代中国特色社会主义思想为指导，全面贯彻党的二十大和二十届历次全会精神，深入贯彻习近平总书记重要讲话精神和对北京工作的重要指示精神，牢固树立以人民为中心的发展思想，锚定建设国际一流的战略科技融合发展示范区目标，以推动高质量发展为主题，以突破科学城统领“1+3”融合发展为主线，坚持投资于人与投资于物相结合，积极应对人口结构和分布变化，聚焦“精准普惠、全龄友好、科技赋能、国际品质”，尽力而为、量力而行，在发展中保障和改善民生，推动公共服务资源向基层、薄弱地区和群众重点需求方向精准下沉，健全覆盖全人群、全领域、全生命周期的人口服务格局，让科技发展成果更直接惠及全体人民，努力打造与人口发展、城市功能定位、经济发展相适应的公共服务体系，切实解决好人民群众急难愁盼问题，满足人民群众对美好生活的新期待。</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
          <w:bCs/>
          <w:sz w:val="32"/>
          <w:szCs w:val="32"/>
          <w:highlight w:val="none"/>
          <w:u w:val="none"/>
          <w:lang w:eastAsia="zh-CN"/>
        </w:rPr>
      </w:pPr>
      <w:bookmarkStart w:id="101" w:name="_Toc18585"/>
      <w:bookmarkStart w:id="102" w:name="_Toc8774"/>
      <w:bookmarkStart w:id="103" w:name="_Toc24969"/>
      <w:bookmarkStart w:id="104" w:name="_Toc17162"/>
      <w:bookmarkStart w:id="105" w:name="_Toc12823"/>
      <w:bookmarkStart w:id="106" w:name="_Toc7891"/>
      <w:bookmarkStart w:id="107" w:name="_Toc14679"/>
      <w:bookmarkStart w:id="108" w:name="_Toc1732"/>
      <w:bookmarkStart w:id="109" w:name="_Toc10294"/>
      <w:bookmarkStart w:id="110" w:name="_Toc11607"/>
      <w:bookmarkStart w:id="111" w:name="_Toc13547"/>
      <w:bookmarkStart w:id="112" w:name="_Toc29790"/>
      <w:bookmarkStart w:id="113" w:name="_Toc27399"/>
      <w:bookmarkStart w:id="114" w:name="_Toc23329"/>
      <w:bookmarkStart w:id="115" w:name="_Toc2146"/>
      <w:bookmarkStart w:id="116" w:name="_Toc7056"/>
      <w:r>
        <w:rPr>
          <w:rFonts w:hint="eastAsia" w:ascii="仿宋_GB2312" w:hAnsi="仿宋_GB2312" w:eastAsia="黑体" w:cs="Times New Roman"/>
          <w:sz w:val="32"/>
          <w:szCs w:val="32"/>
          <w:highlight w:val="none"/>
          <w:u w:val="none"/>
          <w:lang w:val="en-US" w:eastAsia="zh-CN"/>
        </w:rPr>
        <w:t>二、发展原则</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highlight w:val="none"/>
          <w:u w:val="none"/>
          <w:lang w:val="en-US" w:eastAsia="zh-CN"/>
        </w:rPr>
      </w:pPr>
      <w:r>
        <w:rPr>
          <w:rFonts w:hint="eastAsia" w:ascii="仿宋_GB2312" w:hAnsi="仿宋_GB2312" w:eastAsia="仿宋_GB2312" w:cs="仿宋_GB2312"/>
          <w:b/>
          <w:bCs/>
          <w:sz w:val="32"/>
          <w:szCs w:val="32"/>
          <w:highlight w:val="none"/>
          <w:u w:val="none"/>
          <w:lang w:eastAsia="zh-CN"/>
        </w:rPr>
        <w:t>——</w:t>
      </w:r>
      <w:r>
        <w:rPr>
          <w:rFonts w:hint="eastAsia" w:ascii="仿宋_GB2312" w:hAnsi="仿宋_GB2312" w:eastAsia="仿宋_GB2312" w:cs="仿宋_GB2312"/>
          <w:b/>
          <w:bCs/>
          <w:sz w:val="32"/>
          <w:szCs w:val="32"/>
          <w:highlight w:val="none"/>
          <w:u w:val="none"/>
          <w:lang w:val="en-US" w:eastAsia="zh-CN"/>
        </w:rPr>
        <w:t>坚持</w:t>
      </w:r>
      <w:r>
        <w:rPr>
          <w:rFonts w:hint="eastAsia" w:ascii="仿宋_GB2312" w:hAnsi="仿宋_GB2312" w:eastAsia="仿宋_GB2312" w:cs="仿宋_GB2312"/>
          <w:b/>
          <w:bCs/>
          <w:sz w:val="32"/>
          <w:szCs w:val="32"/>
          <w:highlight w:val="none"/>
          <w:u w:val="none"/>
          <w:lang w:eastAsia="zh-CN"/>
        </w:rPr>
        <w:t>优质均衡</w:t>
      </w:r>
      <w:r>
        <w:rPr>
          <w:rFonts w:hint="eastAsia" w:ascii="仿宋_GB2312" w:hAnsi="仿宋_GB2312" w:eastAsia="仿宋_GB2312" w:cs="仿宋_GB2312"/>
          <w:b/>
          <w:bCs/>
          <w:sz w:val="32"/>
          <w:szCs w:val="32"/>
          <w:highlight w:val="none"/>
          <w:u w:val="none"/>
          <w:lang w:val="en-US" w:eastAsia="zh-CN"/>
        </w:rPr>
        <w:t>，</w:t>
      </w:r>
      <w:r>
        <w:rPr>
          <w:rFonts w:hint="eastAsia" w:ascii="仿宋_GB2312" w:hAnsi="仿宋_GB2312" w:eastAsia="仿宋_GB2312" w:cs="仿宋_GB2312"/>
          <w:b/>
          <w:bCs/>
          <w:sz w:val="32"/>
          <w:szCs w:val="32"/>
          <w:highlight w:val="none"/>
          <w:u w:val="none"/>
        </w:rPr>
        <w:t>彰显</w:t>
      </w:r>
      <w:r>
        <w:rPr>
          <w:rFonts w:hint="eastAsia" w:ascii="仿宋_GB2312" w:hAnsi="仿宋_GB2312" w:eastAsia="仿宋_GB2312" w:cs="仿宋_GB2312"/>
          <w:b/>
          <w:bCs/>
          <w:sz w:val="32"/>
          <w:szCs w:val="32"/>
          <w:highlight w:val="none"/>
          <w:u w:val="none"/>
          <w:lang w:val="en-US" w:eastAsia="zh-CN"/>
        </w:rPr>
        <w:t>社会事业普惠共享</w:t>
      </w:r>
      <w:r>
        <w:rPr>
          <w:rFonts w:hint="eastAsia" w:ascii="仿宋_GB2312" w:hAnsi="仿宋_GB2312" w:eastAsia="仿宋_GB2312" w:cs="仿宋_GB2312"/>
          <w:b/>
          <w:bCs/>
          <w:sz w:val="32"/>
          <w:szCs w:val="32"/>
          <w:highlight w:val="none"/>
          <w:u w:val="none"/>
        </w:rPr>
        <w:t>。</w:t>
      </w:r>
      <w:r>
        <w:rPr>
          <w:rFonts w:hint="eastAsia" w:ascii="仿宋_GB2312" w:hAnsi="仿宋_GB2312" w:eastAsia="仿宋_GB2312" w:cs="仿宋_GB2312"/>
          <w:b w:val="0"/>
          <w:bCs w:val="0"/>
          <w:sz w:val="32"/>
          <w:szCs w:val="32"/>
          <w:highlight w:val="none"/>
          <w:u w:val="none"/>
        </w:rPr>
        <w:t>坚持以人民为中心的发展思想，强化基本民生需求兜底保障，推动社会事业向全区人民全面覆盖，构建更加普惠均衡的社会公共服务体系</w:t>
      </w:r>
      <w:r>
        <w:rPr>
          <w:rFonts w:hint="eastAsia" w:ascii="仿宋_GB2312" w:hAnsi="仿宋_GB2312" w:eastAsia="仿宋_GB2312" w:cs="仿宋_GB2312"/>
          <w:b w:val="0"/>
          <w:bCs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b/>
          <w:bCs/>
          <w:sz w:val="32"/>
          <w:szCs w:val="32"/>
          <w:highlight w:val="none"/>
          <w:u w:val="none"/>
          <w:lang w:eastAsia="zh-CN"/>
        </w:rPr>
        <w:t>——坚持</w:t>
      </w:r>
      <w:r>
        <w:rPr>
          <w:rFonts w:hint="eastAsia" w:ascii="仿宋_GB2312" w:hAnsi="仿宋_GB2312" w:eastAsia="仿宋_GB2312" w:cs="仿宋_GB2312"/>
          <w:b/>
          <w:bCs/>
          <w:sz w:val="32"/>
          <w:szCs w:val="32"/>
          <w:highlight w:val="none"/>
          <w:u w:val="none"/>
          <w:lang w:val="en-US" w:eastAsia="zh-CN"/>
        </w:rPr>
        <w:t>投资于人</w:t>
      </w:r>
      <w:r>
        <w:rPr>
          <w:rFonts w:hint="eastAsia" w:ascii="仿宋_GB2312" w:hAnsi="仿宋_GB2312" w:eastAsia="仿宋_GB2312" w:cs="仿宋_GB2312"/>
          <w:b/>
          <w:bCs/>
          <w:sz w:val="32"/>
          <w:szCs w:val="32"/>
          <w:highlight w:val="none"/>
          <w:u w:val="none"/>
          <w:lang w:eastAsia="zh-CN"/>
        </w:rPr>
        <w:t>，</w:t>
      </w:r>
      <w:r>
        <w:rPr>
          <w:rFonts w:hint="eastAsia" w:ascii="仿宋_GB2312" w:hAnsi="仿宋_GB2312" w:eastAsia="仿宋_GB2312" w:cs="仿宋_GB2312"/>
          <w:b/>
          <w:bCs/>
          <w:sz w:val="32"/>
          <w:szCs w:val="32"/>
          <w:highlight w:val="none"/>
          <w:u w:val="none"/>
          <w:lang w:val="en-US" w:eastAsia="zh-CN"/>
        </w:rPr>
        <w:t>彰显人文关怀温度</w:t>
      </w:r>
      <w:r>
        <w:rPr>
          <w:rFonts w:hint="eastAsia" w:ascii="仿宋_GB2312" w:hAnsi="仿宋_GB2312" w:eastAsia="仿宋_GB2312" w:cs="仿宋_GB2312"/>
          <w:b/>
          <w:bCs/>
          <w:sz w:val="32"/>
          <w:szCs w:val="32"/>
          <w:highlight w:val="none"/>
          <w:u w:val="none"/>
          <w:lang w:eastAsia="zh-CN"/>
        </w:rPr>
        <w:t>。</w:t>
      </w:r>
      <w:r>
        <w:rPr>
          <w:rFonts w:hint="eastAsia" w:ascii="仿宋_GB2312" w:hAnsi="仿宋_GB2312" w:eastAsia="仿宋_GB2312" w:cs="仿宋_GB2312"/>
          <w:sz w:val="32"/>
          <w:szCs w:val="32"/>
          <w:highlight w:val="none"/>
          <w:u w:val="none"/>
        </w:rPr>
        <w:t>将全生命周期服务理念贯穿公共服务全过程，精准</w:t>
      </w:r>
      <w:r>
        <w:rPr>
          <w:rFonts w:hint="eastAsia" w:ascii="仿宋_GB2312" w:hAnsi="仿宋_GB2312" w:eastAsia="仿宋_GB2312" w:cs="仿宋_GB2312"/>
          <w:sz w:val="32"/>
          <w:szCs w:val="32"/>
          <w:highlight w:val="none"/>
          <w:u w:val="none"/>
          <w:lang w:val="en-US" w:eastAsia="zh-CN"/>
        </w:rPr>
        <w:t>满足</w:t>
      </w:r>
      <w:r>
        <w:rPr>
          <w:rFonts w:hint="eastAsia" w:ascii="仿宋_GB2312" w:hAnsi="仿宋_GB2312" w:eastAsia="仿宋_GB2312" w:cs="仿宋_GB2312"/>
          <w:sz w:val="32"/>
          <w:szCs w:val="32"/>
          <w:highlight w:val="none"/>
          <w:u w:val="none"/>
        </w:rPr>
        <w:t>不同群体的差异化需求，在普惠基础上注重品质化、国际化提升。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highlight w:val="none"/>
          <w:u w:val="none"/>
          <w:lang w:eastAsia="zh-CN"/>
        </w:rPr>
      </w:pPr>
      <w:r>
        <w:rPr>
          <w:rFonts w:hint="eastAsia" w:ascii="仿宋_GB2312" w:hAnsi="仿宋_GB2312" w:eastAsia="仿宋_GB2312" w:cs="仿宋_GB2312"/>
          <w:b/>
          <w:bCs/>
          <w:sz w:val="32"/>
          <w:szCs w:val="32"/>
          <w:highlight w:val="none"/>
          <w:u w:val="none"/>
          <w:lang w:eastAsia="zh-CN"/>
        </w:rPr>
        <w:t>——坚持科技赋能，</w:t>
      </w:r>
      <w:r>
        <w:rPr>
          <w:rFonts w:hint="eastAsia" w:ascii="仿宋_GB2312" w:hAnsi="仿宋_GB2312" w:eastAsia="仿宋_GB2312" w:cs="仿宋_GB2312"/>
          <w:b/>
          <w:bCs/>
          <w:sz w:val="32"/>
          <w:szCs w:val="32"/>
          <w:highlight w:val="none"/>
          <w:u w:val="none"/>
          <w:lang w:val="en-US" w:eastAsia="zh-CN"/>
        </w:rPr>
        <w:t>打造融合示范标杆</w:t>
      </w:r>
      <w:r>
        <w:rPr>
          <w:rFonts w:hint="eastAsia" w:ascii="仿宋_GB2312" w:hAnsi="仿宋_GB2312" w:eastAsia="仿宋_GB2312" w:cs="仿宋_GB2312"/>
          <w:b/>
          <w:bCs/>
          <w:sz w:val="32"/>
          <w:szCs w:val="32"/>
          <w:highlight w:val="none"/>
          <w:u w:val="none"/>
          <w:lang w:eastAsia="zh-CN"/>
        </w:rPr>
        <w:t>。</w:t>
      </w:r>
      <w:r>
        <w:rPr>
          <w:rFonts w:hint="eastAsia" w:ascii="仿宋_GB2312" w:hAnsi="仿宋_GB2312" w:eastAsia="仿宋_GB2312" w:cs="仿宋_GB2312"/>
          <w:sz w:val="32"/>
          <w:szCs w:val="32"/>
          <w:highlight w:val="none"/>
          <w:u w:val="none"/>
          <w:lang w:eastAsia="zh-CN"/>
        </w:rPr>
        <w:t>充分发挥怀柔科学城科技资源优势，推动科技成果优先在</w:t>
      </w:r>
      <w:r>
        <w:rPr>
          <w:rFonts w:hint="eastAsia" w:ascii="仿宋_GB2312" w:hAnsi="仿宋_GB2312" w:eastAsia="仿宋_GB2312" w:cs="仿宋_GB2312"/>
          <w:sz w:val="32"/>
          <w:szCs w:val="32"/>
          <w:highlight w:val="none"/>
          <w:u w:val="none"/>
          <w:lang w:val="en-US" w:eastAsia="zh-CN"/>
        </w:rPr>
        <w:t>公共服务</w:t>
      </w:r>
      <w:r>
        <w:rPr>
          <w:rFonts w:hint="eastAsia" w:ascii="仿宋_GB2312" w:hAnsi="仿宋_GB2312" w:eastAsia="仿宋_GB2312" w:cs="仿宋_GB2312"/>
          <w:sz w:val="32"/>
          <w:szCs w:val="32"/>
          <w:highlight w:val="none"/>
          <w:u w:val="none"/>
          <w:lang w:eastAsia="zh-CN"/>
        </w:rPr>
        <w:t>领域应用，</w:t>
      </w:r>
      <w:r>
        <w:rPr>
          <w:rFonts w:hint="eastAsia" w:ascii="仿宋_GB2312" w:hAnsi="仿宋_GB2312" w:eastAsia="仿宋_GB2312" w:cs="仿宋_GB2312"/>
          <w:sz w:val="32"/>
          <w:szCs w:val="32"/>
          <w:highlight w:val="none"/>
          <w:u w:val="none"/>
        </w:rPr>
        <w:t>使</w:t>
      </w:r>
      <w:r>
        <w:rPr>
          <w:rFonts w:hint="eastAsia" w:ascii="仿宋_GB2312" w:hAnsi="仿宋_GB2312" w:eastAsia="仿宋_GB2312" w:cs="仿宋_GB2312"/>
          <w:sz w:val="32"/>
          <w:szCs w:val="32"/>
          <w:highlight w:val="none"/>
          <w:u w:val="none"/>
          <w:lang w:val="en-US" w:eastAsia="zh-CN"/>
        </w:rPr>
        <w:t>怀柔</w:t>
      </w:r>
      <w:r>
        <w:rPr>
          <w:rFonts w:hint="eastAsia" w:ascii="仿宋_GB2312" w:hAnsi="仿宋_GB2312" w:eastAsia="仿宋_GB2312" w:cs="仿宋_GB2312"/>
          <w:sz w:val="32"/>
          <w:szCs w:val="32"/>
          <w:highlight w:val="none"/>
          <w:u w:val="none"/>
        </w:rPr>
        <w:t>科学城科技资源成为怀柔公共服务的重要</w:t>
      </w:r>
      <w:r>
        <w:rPr>
          <w:rFonts w:hint="eastAsia" w:ascii="仿宋_GB2312" w:hAnsi="仿宋_GB2312" w:eastAsia="仿宋_GB2312" w:cs="仿宋_GB2312"/>
          <w:sz w:val="32"/>
          <w:szCs w:val="32"/>
          <w:highlight w:val="none"/>
          <w:u w:val="none"/>
          <w:lang w:val="en-US" w:eastAsia="zh-CN"/>
        </w:rPr>
        <w:t>支撑力量</w:t>
      </w:r>
      <w:r>
        <w:rPr>
          <w:rFonts w:hint="eastAsia" w:ascii="仿宋_GB2312" w:hAnsi="仿宋_GB2312" w:eastAsia="仿宋_GB2312" w:cs="仿宋_GB2312"/>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highlight w:val="none"/>
          <w:u w:val="none"/>
          <w:lang w:eastAsia="zh-CN"/>
        </w:rPr>
      </w:pPr>
      <w:r>
        <w:rPr>
          <w:rFonts w:hint="eastAsia" w:ascii="仿宋_GB2312" w:hAnsi="仿宋_GB2312" w:eastAsia="仿宋_GB2312" w:cs="仿宋_GB2312"/>
          <w:b/>
          <w:bCs/>
          <w:sz w:val="32"/>
          <w:szCs w:val="32"/>
          <w:highlight w:val="none"/>
          <w:u w:val="none"/>
          <w:lang w:eastAsia="zh-CN"/>
        </w:rPr>
        <w:t>——</w:t>
      </w:r>
      <w:r>
        <w:rPr>
          <w:rFonts w:hint="eastAsia" w:ascii="仿宋_GB2312" w:hAnsi="仿宋_GB2312" w:eastAsia="仿宋_GB2312" w:cs="仿宋_GB2312"/>
          <w:b/>
          <w:bCs/>
          <w:sz w:val="32"/>
          <w:szCs w:val="32"/>
          <w:highlight w:val="none"/>
          <w:u w:val="none"/>
          <w:lang w:val="en-US" w:eastAsia="zh-CN"/>
        </w:rPr>
        <w:t>坚持多元参与</w:t>
      </w:r>
      <w:r>
        <w:rPr>
          <w:rFonts w:hint="eastAsia" w:ascii="仿宋_GB2312" w:hAnsi="仿宋_GB2312" w:eastAsia="仿宋_GB2312" w:cs="仿宋_GB2312"/>
          <w:b/>
          <w:bCs/>
          <w:sz w:val="32"/>
          <w:szCs w:val="32"/>
          <w:highlight w:val="none"/>
          <w:u w:val="none"/>
          <w:lang w:eastAsia="zh-CN"/>
        </w:rPr>
        <w:t>，激发创新供给活力。</w:t>
      </w:r>
      <w:r>
        <w:rPr>
          <w:rFonts w:hint="eastAsia" w:ascii="仿宋_GB2312" w:hAnsi="仿宋_GB2312" w:eastAsia="仿宋_GB2312" w:cs="仿宋_GB2312"/>
          <w:b w:val="0"/>
          <w:bCs w:val="0"/>
          <w:sz w:val="32"/>
          <w:szCs w:val="32"/>
          <w:highlight w:val="none"/>
          <w:u w:val="none"/>
          <w:lang w:eastAsia="zh-CN"/>
        </w:rPr>
        <w:t>创新服务供给模式</w:t>
      </w:r>
      <w:r>
        <w:rPr>
          <w:rFonts w:hint="eastAsia" w:ascii="仿宋_GB2312" w:hAnsi="仿宋_GB2312" w:eastAsia="仿宋_GB2312" w:cs="仿宋_GB2312"/>
          <w:b w:val="0"/>
          <w:bCs w:val="0"/>
          <w:sz w:val="32"/>
          <w:szCs w:val="32"/>
          <w:highlight w:val="none"/>
          <w:u w:val="none"/>
          <w:lang w:val="en-US" w:eastAsia="zh-CN"/>
        </w:rPr>
        <w:t>和</w:t>
      </w:r>
      <w:r>
        <w:rPr>
          <w:rFonts w:hint="eastAsia" w:ascii="仿宋_GB2312" w:hAnsi="仿宋_GB2312" w:eastAsia="仿宋_GB2312" w:cs="仿宋_GB2312"/>
          <w:b w:val="0"/>
          <w:bCs w:val="0"/>
          <w:sz w:val="32"/>
          <w:szCs w:val="32"/>
          <w:highlight w:val="none"/>
          <w:u w:val="none"/>
          <w:lang w:eastAsia="zh-CN"/>
        </w:rPr>
        <w:t>资金保障方式，引导社会力量广泛参与，</w:t>
      </w:r>
      <w:r>
        <w:rPr>
          <w:rFonts w:hint="eastAsia" w:ascii="仿宋_GB2312" w:hAnsi="仿宋_GB2312" w:eastAsia="仿宋_GB2312" w:cs="仿宋_GB2312"/>
          <w:b w:val="0"/>
          <w:bCs w:val="0"/>
          <w:sz w:val="32"/>
          <w:szCs w:val="32"/>
          <w:highlight w:val="none"/>
          <w:u w:val="none"/>
          <w:lang w:val="en-US" w:eastAsia="zh-CN"/>
        </w:rPr>
        <w:t>增强公共服务“自我造血”能力，</w:t>
      </w:r>
      <w:r>
        <w:rPr>
          <w:rFonts w:hint="eastAsia" w:ascii="仿宋_GB2312" w:hAnsi="仿宋_GB2312" w:eastAsia="仿宋_GB2312" w:cs="仿宋_GB2312"/>
          <w:b w:val="0"/>
          <w:bCs w:val="0"/>
          <w:sz w:val="32"/>
          <w:szCs w:val="32"/>
          <w:highlight w:val="none"/>
          <w:u w:val="none"/>
          <w:lang w:eastAsia="zh-CN"/>
        </w:rPr>
        <w:t>实现服务质量与效率双提升。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黑体" w:cs="Times New Roman"/>
          <w:sz w:val="32"/>
          <w:szCs w:val="32"/>
          <w:highlight w:val="none"/>
          <w:u w:val="none"/>
          <w:lang w:val="en-US" w:eastAsia="zh-CN"/>
        </w:rPr>
      </w:pPr>
      <w:bookmarkStart w:id="117" w:name="_Toc23984"/>
      <w:bookmarkStart w:id="118" w:name="_Toc25279"/>
      <w:bookmarkStart w:id="119" w:name="_Toc14328"/>
      <w:bookmarkStart w:id="120" w:name="_Toc17059"/>
      <w:bookmarkStart w:id="121" w:name="_Toc16855"/>
      <w:bookmarkStart w:id="122" w:name="_Toc105"/>
      <w:bookmarkStart w:id="123" w:name="_Toc3987"/>
      <w:bookmarkStart w:id="124" w:name="_Toc8052"/>
      <w:bookmarkStart w:id="125" w:name="_Toc29870"/>
      <w:bookmarkStart w:id="126" w:name="_Toc30505"/>
      <w:bookmarkStart w:id="127" w:name="_Toc5364"/>
      <w:bookmarkStart w:id="128" w:name="_Toc10145"/>
      <w:bookmarkStart w:id="129" w:name="_Toc24465"/>
      <w:bookmarkStart w:id="130" w:name="_Toc12051"/>
      <w:bookmarkStart w:id="131" w:name="_Toc4119"/>
      <w:bookmarkStart w:id="132" w:name="_Toc9382"/>
      <w:bookmarkStart w:id="133" w:name="_Toc8311"/>
      <w:bookmarkStart w:id="134" w:name="_Toc6859"/>
      <w:r>
        <w:rPr>
          <w:rFonts w:hint="eastAsia" w:ascii="仿宋_GB2312" w:hAnsi="仿宋_GB2312" w:eastAsia="黑体" w:cs="Times New Roman"/>
          <w:sz w:val="32"/>
          <w:szCs w:val="32"/>
          <w:highlight w:val="none"/>
          <w:u w:val="none"/>
          <w:lang w:val="en-US" w:eastAsia="zh-CN"/>
        </w:rPr>
        <w:t>三、发展目标</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spacing w:line="560" w:lineRule="exact"/>
        <w:ind w:firstLine="640" w:firstLineChars="200"/>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val="0"/>
          <w:bCs w:val="0"/>
          <w:sz w:val="32"/>
          <w:szCs w:val="32"/>
          <w:highlight w:val="none"/>
          <w:u w:val="none"/>
          <w:lang w:val="en-US" w:eastAsia="zh-CN"/>
        </w:rPr>
        <w:t>到2030年，构建与人口结构变化和国际一流战略科技融合发展示范区相适应的公共服务体系，科技赋能公共服务示范场景加快打造，公共服务从“补短板、促提升”迈向“品质化、国际化”新阶段，人民生活品质与幸福感进一步提升。</w:t>
      </w:r>
    </w:p>
    <w:p>
      <w:pPr>
        <w:spacing w:line="560" w:lineRule="exact"/>
        <w:ind w:firstLine="642" w:firstLineChars="200"/>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bCs/>
          <w:sz w:val="32"/>
          <w:szCs w:val="32"/>
          <w:highlight w:val="none"/>
          <w:u w:val="none"/>
          <w:lang w:eastAsia="zh-CN"/>
        </w:rPr>
        <w:t>——基本公共服务更加公平可及。</w:t>
      </w:r>
      <w:r>
        <w:rPr>
          <w:rFonts w:hint="eastAsia" w:ascii="仿宋_GB2312" w:hAnsi="仿宋_GB2312" w:eastAsia="仿宋_GB2312" w:cs="仿宋_GB2312"/>
          <w:b w:val="0"/>
          <w:bCs w:val="0"/>
          <w:sz w:val="32"/>
          <w:szCs w:val="32"/>
          <w:highlight w:val="none"/>
          <w:u w:val="none"/>
          <w:lang w:eastAsia="zh-CN"/>
        </w:rPr>
        <w:t>兜底线、促均衡、保基本机制持续健全，社会保障、就业服务、社会救助、基本养老等底线型服务实现城乡一体、应保尽保，基层和薄弱地区公共服务资源配置更加精准，人民群众获得感、幸福感、安全感显著增强。</w:t>
      </w:r>
    </w:p>
    <w:p>
      <w:pPr>
        <w:spacing w:line="560" w:lineRule="exact"/>
        <w:ind w:firstLine="642" w:firstLineChars="200"/>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bCs/>
          <w:sz w:val="32"/>
          <w:szCs w:val="32"/>
          <w:highlight w:val="none"/>
          <w:u w:val="none"/>
          <w:lang w:eastAsia="zh-CN"/>
        </w:rPr>
        <w:t>——区域空间布局更加优化</w:t>
      </w:r>
      <w:r>
        <w:rPr>
          <w:rFonts w:hint="eastAsia" w:ascii="仿宋_GB2312" w:hAnsi="仿宋_GB2312" w:eastAsia="仿宋_GB2312" w:cs="仿宋_GB2312"/>
          <w:b/>
          <w:bCs/>
          <w:sz w:val="32"/>
          <w:szCs w:val="32"/>
          <w:highlight w:val="none"/>
          <w:u w:val="none"/>
          <w:lang w:val="en-US" w:eastAsia="zh-CN"/>
        </w:rPr>
        <w:t>合理</w:t>
      </w:r>
      <w:r>
        <w:rPr>
          <w:rFonts w:hint="eastAsia" w:ascii="仿宋_GB2312" w:hAnsi="仿宋_GB2312" w:eastAsia="仿宋_GB2312" w:cs="仿宋_GB2312"/>
          <w:b/>
          <w:bCs/>
          <w:sz w:val="32"/>
          <w:szCs w:val="32"/>
          <w:highlight w:val="none"/>
          <w:u w:val="none"/>
          <w:lang w:eastAsia="zh-CN"/>
        </w:rPr>
        <w:t>。</w:t>
      </w:r>
      <w:r>
        <w:rPr>
          <w:rFonts w:hint="eastAsia" w:ascii="仿宋_GB2312" w:hAnsi="仿宋_GB2312" w:eastAsia="仿宋_GB2312" w:cs="仿宋_GB2312"/>
          <w:b w:val="0"/>
          <w:bCs w:val="0"/>
          <w:sz w:val="32"/>
          <w:szCs w:val="32"/>
          <w:highlight w:val="none"/>
          <w:u w:val="none"/>
          <w:lang w:val="en-US" w:eastAsia="zh-CN"/>
        </w:rPr>
        <w:t>公共空间安全水平明显提升，公共服务设施抗灾韧性和平急两用能力显著增强。</w:t>
      </w:r>
      <w:r>
        <w:rPr>
          <w:rFonts w:hint="eastAsia" w:ascii="仿宋_GB2312" w:hAnsi="仿宋_GB2312" w:eastAsia="仿宋_GB2312" w:cs="仿宋_GB2312"/>
          <w:b w:val="0"/>
          <w:bCs w:val="0"/>
          <w:sz w:val="32"/>
          <w:szCs w:val="32"/>
          <w:highlight w:val="none"/>
          <w:u w:val="none"/>
          <w:lang w:eastAsia="zh-CN"/>
        </w:rPr>
        <w:t>北部山区兜底保障能力稳步提升，老城区存量设施品质化更新取得实质进展，</w:t>
      </w:r>
      <w:r>
        <w:rPr>
          <w:rFonts w:hint="eastAsia" w:ascii="仿宋_GB2312" w:hAnsi="仿宋_GB2312" w:eastAsia="仿宋_GB2312" w:cs="仿宋_GB2312"/>
          <w:b w:val="0"/>
          <w:bCs w:val="0"/>
          <w:sz w:val="32"/>
          <w:szCs w:val="32"/>
          <w:highlight w:val="none"/>
          <w:u w:val="none"/>
          <w:lang w:val="en-US" w:eastAsia="zh-CN"/>
        </w:rPr>
        <w:t>怀柔</w:t>
      </w:r>
      <w:r>
        <w:rPr>
          <w:rFonts w:hint="eastAsia" w:ascii="仿宋_GB2312" w:hAnsi="仿宋_GB2312" w:eastAsia="仿宋_GB2312" w:cs="仿宋_GB2312"/>
          <w:b w:val="0"/>
          <w:bCs w:val="0"/>
          <w:sz w:val="32"/>
          <w:szCs w:val="32"/>
          <w:highlight w:val="none"/>
          <w:u w:val="none"/>
          <w:lang w:eastAsia="zh-CN"/>
        </w:rPr>
        <w:t>科学城国际化、高品质公共服务设施集群基本成型，形成“山区保基本、老城提品质、新城树标杆”的功能互补、梯度有序的空间格局。</w:t>
      </w:r>
    </w:p>
    <w:p>
      <w:pPr>
        <w:spacing w:line="560" w:lineRule="exact"/>
        <w:ind w:firstLine="642" w:firstLineChars="200"/>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bCs/>
          <w:sz w:val="32"/>
          <w:szCs w:val="32"/>
          <w:highlight w:val="none"/>
          <w:u w:val="none"/>
          <w:lang w:eastAsia="zh-CN"/>
        </w:rPr>
        <w:t>——国际化品质化水平显著跃升。</w:t>
      </w:r>
      <w:r>
        <w:rPr>
          <w:rFonts w:hint="eastAsia" w:ascii="仿宋_GB2312" w:hAnsi="仿宋_GB2312" w:eastAsia="仿宋_GB2312" w:cs="仿宋_GB2312"/>
          <w:b w:val="0"/>
          <w:bCs w:val="0"/>
          <w:sz w:val="32"/>
          <w:szCs w:val="32"/>
          <w:highlight w:val="none"/>
          <w:u w:val="none"/>
          <w:lang w:eastAsia="zh-CN"/>
        </w:rPr>
        <w:t>国际教育、国际医疗、高品质文化体育等高端服务供给能力大幅增强，</w:t>
      </w:r>
      <w:r>
        <w:rPr>
          <w:rFonts w:hint="eastAsia" w:ascii="仿宋_GB2312" w:hAnsi="仿宋_GB2312" w:eastAsia="仿宋_GB2312" w:cs="仿宋_GB2312"/>
          <w:b w:val="0"/>
          <w:bCs w:val="0"/>
          <w:sz w:val="32"/>
          <w:szCs w:val="32"/>
          <w:highlight w:val="none"/>
          <w:u w:val="none"/>
          <w:lang w:val="en-US" w:eastAsia="zh-CN"/>
        </w:rPr>
        <w:t>努力打造</w:t>
      </w:r>
      <w:r>
        <w:rPr>
          <w:rFonts w:hint="eastAsia" w:ascii="仿宋_GB2312" w:hAnsi="仿宋_GB2312" w:eastAsia="仿宋_GB2312" w:cs="仿宋_GB2312"/>
          <w:b w:val="0"/>
          <w:bCs w:val="0"/>
          <w:sz w:val="32"/>
          <w:szCs w:val="32"/>
          <w:highlight w:val="none"/>
          <w:u w:val="none"/>
          <w:lang w:eastAsia="zh-CN"/>
        </w:rPr>
        <w:t>面向科研人才和国际人才的“国际品质生活圈”，</w:t>
      </w:r>
      <w:r>
        <w:rPr>
          <w:rFonts w:hint="eastAsia" w:ascii="仿宋_GB2312" w:hAnsi="仿宋_GB2312" w:eastAsia="仿宋_GB2312" w:cs="仿宋_GB2312"/>
          <w:b w:val="0"/>
          <w:bCs w:val="0"/>
          <w:sz w:val="32"/>
          <w:szCs w:val="32"/>
          <w:highlight w:val="none"/>
          <w:u w:val="none"/>
          <w:lang w:val="en-US" w:eastAsia="zh-CN"/>
        </w:rPr>
        <w:t>怀柔</w:t>
      </w:r>
      <w:r>
        <w:rPr>
          <w:rFonts w:hint="eastAsia" w:ascii="仿宋_GB2312" w:hAnsi="仿宋_GB2312" w:eastAsia="仿宋_GB2312" w:cs="仿宋_GB2312"/>
          <w:sz w:val="32"/>
          <w:szCs w:val="32"/>
          <w:highlight w:val="none"/>
          <w:u w:val="none"/>
        </w:rPr>
        <w:t>科学城人才吸引力显著增强。</w:t>
      </w:r>
    </w:p>
    <w:p>
      <w:pPr>
        <w:spacing w:line="560" w:lineRule="exact"/>
        <w:ind w:firstLine="642" w:firstLineChars="200"/>
        <w:rPr>
          <w:rFonts w:hint="default"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bCs/>
          <w:sz w:val="32"/>
          <w:szCs w:val="32"/>
          <w:highlight w:val="none"/>
          <w:u w:val="none"/>
          <w:lang w:eastAsia="zh-CN"/>
        </w:rPr>
        <w:t>——科技赋能公共服务走在前列。</w:t>
      </w:r>
      <w:r>
        <w:rPr>
          <w:rFonts w:hint="eastAsia" w:ascii="仿宋_GB2312" w:hAnsi="仿宋_GB2312" w:eastAsia="仿宋_GB2312" w:cs="仿宋_GB2312"/>
          <w:b w:val="0"/>
          <w:bCs w:val="0"/>
          <w:sz w:val="32"/>
          <w:szCs w:val="32"/>
          <w:highlight w:val="none"/>
          <w:u w:val="none"/>
          <w:lang w:val="en-US" w:eastAsia="zh-CN"/>
        </w:rPr>
        <w:t>怀柔科学城</w:t>
      </w:r>
      <w:r>
        <w:rPr>
          <w:rFonts w:hint="eastAsia" w:ascii="仿宋_GB2312" w:hAnsi="仿宋_GB2312" w:eastAsia="仿宋_GB2312" w:cs="仿宋_GB2312"/>
          <w:b w:val="0"/>
          <w:bCs w:val="0"/>
          <w:sz w:val="32"/>
          <w:szCs w:val="32"/>
          <w:highlight w:val="none"/>
          <w:u w:val="none"/>
          <w:lang w:eastAsia="zh-CN"/>
        </w:rPr>
        <w:t>前沿科技在医疗、教育、养老、文体等领域广泛应用，公共服务成为</w:t>
      </w:r>
      <w:r>
        <w:rPr>
          <w:rFonts w:hint="eastAsia" w:ascii="仿宋_GB2312" w:hAnsi="仿宋_GB2312" w:eastAsia="仿宋_GB2312" w:cs="仿宋_GB2312"/>
          <w:b w:val="0"/>
          <w:bCs w:val="0"/>
          <w:sz w:val="32"/>
          <w:szCs w:val="32"/>
          <w:highlight w:val="none"/>
          <w:u w:val="none"/>
          <w:lang w:val="en-US" w:eastAsia="zh-CN"/>
        </w:rPr>
        <w:t>怀柔</w:t>
      </w:r>
      <w:r>
        <w:rPr>
          <w:rFonts w:hint="eastAsia" w:ascii="仿宋_GB2312" w:hAnsi="仿宋_GB2312" w:eastAsia="仿宋_GB2312" w:cs="仿宋_GB2312"/>
          <w:b w:val="0"/>
          <w:bCs w:val="0"/>
          <w:sz w:val="32"/>
          <w:szCs w:val="32"/>
          <w:highlight w:val="none"/>
          <w:u w:val="none"/>
          <w:lang w:eastAsia="zh-CN"/>
        </w:rPr>
        <w:t>科学城创新成果率先验证和示范应用的</w:t>
      </w:r>
      <w:r>
        <w:rPr>
          <w:rFonts w:hint="eastAsia" w:ascii="仿宋_GB2312" w:hAnsi="仿宋_GB2312" w:eastAsia="仿宋_GB2312" w:cs="仿宋_GB2312"/>
          <w:b w:val="0"/>
          <w:bCs w:val="0"/>
          <w:sz w:val="32"/>
          <w:szCs w:val="32"/>
          <w:highlight w:val="none"/>
          <w:u w:val="none"/>
          <w:lang w:val="en-US" w:eastAsia="zh-CN"/>
        </w:rPr>
        <w:t>重要场景</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lang w:val="en-US" w:eastAsia="zh-CN"/>
        </w:rPr>
        <w:t>科技资源成为怀柔公共服务重要优势和吸引资源重要抓手。</w:t>
      </w:r>
    </w:p>
    <w:p>
      <w:pPr>
        <w:spacing w:line="560" w:lineRule="exact"/>
        <w:ind w:firstLine="642" w:firstLineChars="200"/>
        <w:rPr>
          <w:rFonts w:hint="eastAsia" w:ascii="仿宋_GB2312" w:hAnsi="仿宋_GB2312" w:eastAsia="仿宋_GB2312" w:cs="仿宋_GB2312"/>
          <w:b w:val="0"/>
          <w:bCs w:val="0"/>
          <w:sz w:val="32"/>
          <w:szCs w:val="32"/>
          <w:highlight w:val="none"/>
          <w:u w:val="none"/>
          <w:lang w:eastAsia="zh-CN"/>
        </w:rPr>
      </w:pPr>
      <w:r>
        <w:rPr>
          <w:rFonts w:hint="eastAsia" w:ascii="仿宋_GB2312" w:hAnsi="仿宋_GB2312" w:eastAsia="仿宋_GB2312" w:cs="仿宋_GB2312"/>
          <w:b/>
          <w:bCs/>
          <w:sz w:val="32"/>
          <w:szCs w:val="32"/>
          <w:highlight w:val="none"/>
          <w:u w:val="none"/>
          <w:lang w:eastAsia="zh-CN"/>
        </w:rPr>
        <w:t>——生态涵养特色优势充分彰显。</w:t>
      </w:r>
      <w:r>
        <w:rPr>
          <w:rFonts w:hint="eastAsia" w:ascii="仿宋_GB2312" w:hAnsi="仿宋_GB2312" w:eastAsia="仿宋_GB2312" w:cs="仿宋_GB2312"/>
          <w:b w:val="0"/>
          <w:bCs w:val="0"/>
          <w:sz w:val="32"/>
          <w:szCs w:val="32"/>
          <w:highlight w:val="none"/>
          <w:u w:val="none"/>
          <w:lang w:eastAsia="zh-CN"/>
        </w:rPr>
        <w:t>山水人文资源与公共服务深度融合，康养旅居、中医药健康养生等特色服务品牌影响力持续扩大，文化体育赛事活动与生态旅游、乡村振兴有机联动，绿色低碳、健康活力的生活方式成为怀柔公共服务的鲜明标识。</w:t>
      </w:r>
    </w:p>
    <w:p>
      <w:pPr>
        <w:spacing w:line="560" w:lineRule="exact"/>
        <w:ind w:firstLine="562" w:firstLineChars="200"/>
        <w:rPr>
          <w:rFonts w:hint="eastAsia" w:ascii="仿宋_GB2312" w:hAnsi="仿宋_GB2312" w:eastAsia="楷体_GB2312" w:cs="楷体_GB2312"/>
          <w:b/>
          <w:bCs/>
          <w:sz w:val="28"/>
          <w:szCs w:val="28"/>
          <w:highlight w:val="none"/>
          <w:u w:val="none"/>
          <w:lang w:eastAsia="zh-CN"/>
        </w:rPr>
      </w:pPr>
      <w:r>
        <w:rPr>
          <w:rFonts w:hint="eastAsia" w:ascii="仿宋_GB2312" w:hAnsi="仿宋_GB2312" w:eastAsia="楷体_GB2312" w:cs="楷体_GB2312"/>
          <w:b/>
          <w:bCs/>
          <w:sz w:val="28"/>
          <w:szCs w:val="28"/>
          <w:highlight w:val="none"/>
          <w:u w:val="none"/>
          <w:lang w:eastAsia="zh-CN"/>
        </w:rPr>
        <w:br w:type="page"/>
      </w:r>
    </w:p>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楷体_GB2312" w:cs="楷体_GB2312"/>
          <w:b/>
          <w:bCs/>
          <w:sz w:val="28"/>
          <w:szCs w:val="28"/>
          <w:highlight w:val="none"/>
          <w:u w:val="none"/>
          <w:lang w:val="en-US" w:eastAsia="zh-CN"/>
        </w:rPr>
      </w:pPr>
      <w:r>
        <w:rPr>
          <w:rFonts w:hint="eastAsia" w:ascii="仿宋_GB2312" w:hAnsi="仿宋_GB2312" w:eastAsia="楷体_GB2312" w:cs="楷体_GB2312"/>
          <w:b/>
          <w:bCs/>
          <w:sz w:val="28"/>
          <w:szCs w:val="28"/>
          <w:highlight w:val="none"/>
          <w:u w:val="none"/>
          <w:lang w:eastAsia="zh-CN"/>
        </w:rPr>
        <w:t>怀柔区“十</w:t>
      </w:r>
      <w:r>
        <w:rPr>
          <w:rFonts w:hint="eastAsia" w:ascii="仿宋_GB2312" w:hAnsi="仿宋_GB2312" w:eastAsia="楷体_GB2312" w:cs="楷体_GB2312"/>
          <w:b/>
          <w:bCs/>
          <w:sz w:val="28"/>
          <w:szCs w:val="28"/>
          <w:highlight w:val="none"/>
          <w:u w:val="none"/>
          <w:lang w:val="en-US" w:eastAsia="zh-CN"/>
        </w:rPr>
        <w:t>五</w:t>
      </w:r>
      <w:r>
        <w:rPr>
          <w:rFonts w:hint="eastAsia" w:ascii="仿宋_GB2312" w:hAnsi="仿宋_GB2312" w:eastAsia="楷体_GB2312" w:cs="楷体_GB2312"/>
          <w:b/>
          <w:bCs/>
          <w:sz w:val="28"/>
          <w:szCs w:val="28"/>
          <w:highlight w:val="none"/>
          <w:u w:val="none"/>
          <w:lang w:eastAsia="zh-CN"/>
        </w:rPr>
        <w:t>五”时期</w:t>
      </w:r>
      <w:r>
        <w:rPr>
          <w:rFonts w:hint="eastAsia" w:ascii="仿宋_GB2312" w:hAnsi="仿宋_GB2312" w:eastAsia="楷体_GB2312" w:cs="楷体_GB2312"/>
          <w:b/>
          <w:bCs/>
          <w:sz w:val="28"/>
          <w:szCs w:val="28"/>
          <w:highlight w:val="none"/>
          <w:u w:val="none"/>
          <w:lang w:val="en-US" w:eastAsia="zh-CN"/>
        </w:rPr>
        <w:t>公共服务主要</w:t>
      </w:r>
      <w:r>
        <w:rPr>
          <w:rFonts w:hint="eastAsia" w:ascii="仿宋_GB2312" w:hAnsi="仿宋_GB2312" w:eastAsia="楷体_GB2312" w:cs="楷体_GB2312"/>
          <w:b/>
          <w:bCs/>
          <w:sz w:val="28"/>
          <w:szCs w:val="28"/>
          <w:highlight w:val="none"/>
          <w:u w:val="none"/>
          <w:lang w:eastAsia="zh-CN"/>
        </w:rPr>
        <w:t>发展</w:t>
      </w:r>
      <w:r>
        <w:rPr>
          <w:rFonts w:hint="eastAsia" w:ascii="仿宋_GB2312" w:hAnsi="仿宋_GB2312" w:eastAsia="楷体_GB2312" w:cs="楷体_GB2312"/>
          <w:b/>
          <w:bCs/>
          <w:sz w:val="28"/>
          <w:szCs w:val="28"/>
          <w:highlight w:val="none"/>
          <w:u w:val="none"/>
          <w:lang w:val="en-US" w:eastAsia="zh-CN"/>
        </w:rPr>
        <w:t>指标</w:t>
      </w:r>
    </w:p>
    <w:tbl>
      <w:tblPr>
        <w:tblStyle w:val="2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890"/>
        <w:gridCol w:w="2780"/>
        <w:gridCol w:w="1022"/>
        <w:gridCol w:w="1136"/>
        <w:gridCol w:w="1435"/>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b/>
                <w:color w:val="000000"/>
                <w:kern w:val="0"/>
                <w:sz w:val="24"/>
                <w:highlight w:val="none"/>
                <w:u w:val="none"/>
                <w:lang w:bidi="ar"/>
              </w:rPr>
              <w:t>序号</w:t>
            </w:r>
          </w:p>
        </w:tc>
        <w:tc>
          <w:tcPr>
            <w:tcW w:w="491"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b/>
                <w:color w:val="000000"/>
                <w:kern w:val="0"/>
                <w:sz w:val="24"/>
                <w:highlight w:val="none"/>
                <w:u w:val="none"/>
                <w:lang w:bidi="ar"/>
              </w:rPr>
              <w:t>领域</w:t>
            </w: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b/>
                <w:color w:val="000000"/>
                <w:kern w:val="0"/>
                <w:sz w:val="24"/>
                <w:highlight w:val="none"/>
                <w:u w:val="none"/>
                <w:lang w:bidi="ar"/>
              </w:rPr>
              <w:t>规划指标</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b/>
                <w:color w:val="000000"/>
                <w:kern w:val="0"/>
                <w:sz w:val="24"/>
                <w:highlight w:val="none"/>
                <w:u w:val="none"/>
                <w:lang w:bidi="ar"/>
              </w:rPr>
              <w:t>现状值</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b/>
                <w:color w:val="000000"/>
                <w:kern w:val="0"/>
                <w:sz w:val="24"/>
                <w:highlight w:val="none"/>
                <w:u w:val="none"/>
                <w:lang w:bidi="ar"/>
              </w:rPr>
              <w:t>2030年</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b/>
                <w:color w:val="000000"/>
                <w:kern w:val="0"/>
                <w:sz w:val="24"/>
                <w:highlight w:val="none"/>
                <w:u w:val="none"/>
                <w:lang w:bidi="ar"/>
              </w:rPr>
              <w:t>责任单位</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b/>
                <w:color w:val="000000"/>
                <w:kern w:val="0"/>
                <w:sz w:val="24"/>
                <w:highlight w:val="none"/>
                <w:u w:val="none"/>
                <w:lang w:bidi="ar"/>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1</w:t>
            </w:r>
          </w:p>
        </w:tc>
        <w:tc>
          <w:tcPr>
            <w:tcW w:w="491" w:type="pct"/>
            <w:vMerge w:val="restart"/>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教育</w:t>
            </w: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3岁以下婴幼儿入托率（%）</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宋体"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25</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区教委</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2</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中小学生体质健康测试达标优良率（%）</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81.61</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≥83</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区教委</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3</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普通高中录取率（%）</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65.93</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100</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区教委</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4</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开展国际教育的学校（所）</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2</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3</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bidi="ar"/>
              </w:rPr>
            </w:pPr>
            <w:r>
              <w:rPr>
                <w:rFonts w:hint="eastAsia" w:ascii="仿宋_GB2312" w:hAnsi="仿宋_GB2312" w:eastAsia="宋体" w:cs="宋体"/>
                <w:color w:val="000000"/>
                <w:kern w:val="0"/>
                <w:sz w:val="24"/>
                <w:highlight w:val="none"/>
                <w:u w:val="none"/>
                <w:lang w:bidi="ar"/>
              </w:rPr>
              <w:t>区教委</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bidi="ar"/>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5</w:t>
            </w:r>
          </w:p>
        </w:tc>
        <w:tc>
          <w:tcPr>
            <w:tcW w:w="491" w:type="pct"/>
            <w:vMerge w:val="restart"/>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医疗</w:t>
            </w: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急救呼叫满足率（%）</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≥98</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区卫健委</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6</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人均预期寿命（岁）</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82.7</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83.4</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区卫健委</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8"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kern w:val="2"/>
                <w:sz w:val="28"/>
                <w:szCs w:val="28"/>
                <w:highlight w:val="none"/>
                <w:u w:val="none"/>
                <w:vertAlign w:val="baseline"/>
                <w:lang w:val="en-US" w:eastAsia="zh-CN" w:bidi="ar-SA"/>
              </w:rPr>
            </w:pPr>
            <w:r>
              <w:rPr>
                <w:rFonts w:hint="eastAsia" w:ascii="仿宋_GB2312" w:hAnsi="仿宋_GB2312" w:eastAsia="宋体" w:cs="宋体"/>
                <w:color w:val="000000"/>
                <w:kern w:val="0"/>
                <w:sz w:val="24"/>
                <w:highlight w:val="none"/>
                <w:u w:val="none"/>
                <w:lang w:val="en-US" w:eastAsia="zh-CN" w:bidi="ar"/>
              </w:rPr>
              <w:t>7</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bidi="ar"/>
              </w:rPr>
            </w:pPr>
            <w:r>
              <w:rPr>
                <w:rFonts w:hint="eastAsia" w:ascii="仿宋_GB2312" w:hAnsi="仿宋_GB2312" w:eastAsia="宋体" w:cs="宋体"/>
                <w:color w:val="000000"/>
                <w:kern w:val="0"/>
                <w:sz w:val="24"/>
                <w:szCs w:val="24"/>
                <w:highlight w:val="none"/>
                <w:u w:val="none"/>
                <w:lang w:bidi="ar"/>
              </w:rPr>
              <w:t>提供国际医疗服务的医疗机构(所)</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1</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2</w:t>
            </w:r>
          </w:p>
        </w:tc>
        <w:tc>
          <w:tcPr>
            <w:tcW w:w="792"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color w:val="auto"/>
                <w:kern w:val="2"/>
                <w:sz w:val="28"/>
                <w:szCs w:val="28"/>
                <w:highlight w:val="none"/>
                <w:u w:val="none"/>
                <w:lang w:bidi="ar-SA"/>
              </w:rPr>
            </w:pPr>
            <w:r>
              <w:rPr>
                <w:rFonts w:hint="eastAsia" w:ascii="仿宋_GB2312" w:hAnsi="仿宋_GB2312" w:eastAsia="宋体" w:cs="宋体"/>
                <w:color w:val="000000"/>
                <w:kern w:val="0"/>
                <w:sz w:val="24"/>
                <w:highlight w:val="none"/>
                <w:u w:val="none"/>
                <w:lang w:bidi="ar"/>
              </w:rPr>
              <w:t>区卫健委</w:t>
            </w:r>
          </w:p>
        </w:tc>
        <w:tc>
          <w:tcPr>
            <w:tcW w:w="622"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color w:val="auto"/>
                <w:kern w:val="2"/>
                <w:sz w:val="28"/>
                <w:szCs w:val="28"/>
                <w:highlight w:val="none"/>
                <w:u w:val="none"/>
                <w:lang w:bidi="ar-SA"/>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kern w:val="2"/>
                <w:sz w:val="28"/>
                <w:szCs w:val="28"/>
                <w:highlight w:val="none"/>
                <w:u w:val="none"/>
                <w:vertAlign w:val="baseline"/>
                <w:lang w:val="en-US" w:eastAsia="zh-CN" w:bidi="ar-SA"/>
              </w:rPr>
            </w:pPr>
            <w:r>
              <w:rPr>
                <w:rFonts w:hint="eastAsia" w:ascii="仿宋_GB2312" w:hAnsi="仿宋_GB2312" w:eastAsia="宋体" w:cs="宋体"/>
                <w:color w:val="000000"/>
                <w:kern w:val="0"/>
                <w:sz w:val="24"/>
                <w:highlight w:val="none"/>
                <w:u w:val="none"/>
                <w:lang w:bidi="ar"/>
              </w:rPr>
              <w:t>8</w:t>
            </w:r>
          </w:p>
        </w:tc>
        <w:tc>
          <w:tcPr>
            <w:tcW w:w="491" w:type="pct"/>
            <w:vMerge w:val="restart"/>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养老</w:t>
            </w: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b w:val="0"/>
                <w:bCs w:val="0"/>
                <w:color w:val="000000"/>
                <w:kern w:val="0"/>
                <w:sz w:val="24"/>
                <w:szCs w:val="24"/>
                <w:highlight w:val="none"/>
                <w:u w:val="none"/>
                <w:vertAlign w:val="baseline"/>
                <w:lang w:val="en-US" w:eastAsia="zh-CN" w:bidi="ar"/>
              </w:rPr>
            </w:pPr>
            <w:r>
              <w:rPr>
                <w:rFonts w:hint="eastAsia" w:ascii="仿宋_GB2312" w:hAnsi="仿宋_GB2312" w:eastAsia="宋体" w:cs="宋体"/>
                <w:b w:val="0"/>
                <w:bCs w:val="0"/>
                <w:color w:val="000000"/>
                <w:kern w:val="0"/>
                <w:sz w:val="24"/>
                <w:szCs w:val="24"/>
                <w:highlight w:val="none"/>
                <w:u w:val="none"/>
                <w:vertAlign w:val="baseline"/>
                <w:lang w:val="en-US" w:eastAsia="zh-CN" w:bidi="ar"/>
              </w:rPr>
              <w:t>每千名常住人口养老床位数（张）</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b w:val="0"/>
                <w:bCs w:val="0"/>
                <w:color w:val="000000"/>
                <w:kern w:val="0"/>
                <w:sz w:val="24"/>
                <w:szCs w:val="24"/>
                <w:highlight w:val="none"/>
                <w:u w:val="none"/>
                <w:vertAlign w:val="baseline"/>
                <w:lang w:val="en-US" w:eastAsia="zh-CN" w:bidi="ar"/>
              </w:rPr>
            </w:pPr>
            <w:r>
              <w:rPr>
                <w:rFonts w:hint="eastAsia" w:ascii="仿宋_GB2312" w:hAnsi="仿宋_GB2312" w:eastAsia="宋体" w:cs="宋体"/>
                <w:b w:val="0"/>
                <w:bCs w:val="0"/>
                <w:color w:val="000000"/>
                <w:kern w:val="0"/>
                <w:sz w:val="24"/>
                <w:szCs w:val="24"/>
                <w:highlight w:val="none"/>
                <w:u w:val="none"/>
                <w:vertAlign w:val="baseline"/>
                <w:lang w:val="en-US" w:eastAsia="zh-CN" w:bidi="ar"/>
              </w:rPr>
              <w:t>7.38</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b w:val="0"/>
                <w:bCs w:val="0"/>
                <w:color w:val="000000"/>
                <w:kern w:val="0"/>
                <w:sz w:val="24"/>
                <w:szCs w:val="24"/>
                <w:highlight w:val="none"/>
                <w:u w:val="none"/>
                <w:vertAlign w:val="baseline"/>
                <w:lang w:val="en-US" w:eastAsia="zh-CN" w:bidi="ar"/>
              </w:rPr>
            </w:pPr>
            <w:r>
              <w:rPr>
                <w:rFonts w:hint="eastAsia" w:ascii="仿宋_GB2312" w:hAnsi="仿宋_GB2312" w:eastAsia="宋体" w:cs="宋体"/>
                <w:b w:val="0"/>
                <w:bCs w:val="0"/>
                <w:color w:val="000000"/>
                <w:kern w:val="0"/>
                <w:sz w:val="24"/>
                <w:szCs w:val="24"/>
                <w:highlight w:val="none"/>
                <w:u w:val="none"/>
                <w:vertAlign w:val="baseline"/>
                <w:lang w:val="en-US" w:eastAsia="zh-CN" w:bidi="ar"/>
              </w:rPr>
              <w:t>8.2</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b w:val="0"/>
                <w:bCs w:val="0"/>
                <w:color w:val="000000"/>
                <w:kern w:val="0"/>
                <w:sz w:val="24"/>
                <w:szCs w:val="24"/>
                <w:highlight w:val="none"/>
                <w:u w:val="none"/>
                <w:vertAlign w:val="baseline"/>
                <w:lang w:val="en-US" w:eastAsia="zh-CN" w:bidi="ar"/>
              </w:rPr>
            </w:pPr>
            <w:r>
              <w:rPr>
                <w:rFonts w:hint="eastAsia" w:ascii="仿宋_GB2312" w:hAnsi="仿宋_GB2312" w:eastAsia="宋体" w:cs="宋体"/>
                <w:b w:val="0"/>
                <w:bCs w:val="0"/>
                <w:color w:val="000000"/>
                <w:kern w:val="0"/>
                <w:sz w:val="24"/>
                <w:szCs w:val="24"/>
                <w:highlight w:val="none"/>
                <w:u w:val="none"/>
                <w:vertAlign w:val="baseline"/>
                <w:lang w:val="en-US" w:eastAsia="zh-CN" w:bidi="ar"/>
              </w:rPr>
              <w:t>区民政局</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b w:val="0"/>
                <w:bCs w:val="0"/>
                <w:color w:val="000000"/>
                <w:kern w:val="0"/>
                <w:sz w:val="24"/>
                <w:szCs w:val="24"/>
                <w:highlight w:val="none"/>
                <w:u w:val="none"/>
                <w:vertAlign w:val="baseline"/>
                <w:lang w:val="en-US" w:eastAsia="zh-CN" w:bidi="ar"/>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kern w:val="2"/>
                <w:sz w:val="28"/>
                <w:szCs w:val="28"/>
                <w:highlight w:val="none"/>
                <w:u w:val="none"/>
                <w:vertAlign w:val="baseline"/>
                <w:lang w:val="en-US" w:eastAsia="zh-CN" w:bidi="ar-SA"/>
              </w:rPr>
            </w:pPr>
            <w:r>
              <w:rPr>
                <w:rFonts w:hint="eastAsia" w:ascii="仿宋_GB2312" w:hAnsi="仿宋_GB2312" w:eastAsia="宋体" w:cs="宋体"/>
                <w:color w:val="000000"/>
                <w:kern w:val="0"/>
                <w:sz w:val="24"/>
                <w:highlight w:val="none"/>
                <w:u w:val="none"/>
                <w:lang w:bidi="ar"/>
              </w:rPr>
              <w:t>9</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养老机构护理型床位占比（%）</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71</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75</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区民政局</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kern w:val="2"/>
                <w:sz w:val="28"/>
                <w:szCs w:val="28"/>
                <w:highlight w:val="none"/>
                <w:u w:val="none"/>
                <w:vertAlign w:val="baseline"/>
                <w:lang w:val="en-US" w:eastAsia="zh-CN" w:bidi="ar-SA"/>
              </w:rPr>
            </w:pPr>
            <w:r>
              <w:rPr>
                <w:rFonts w:hint="eastAsia" w:ascii="仿宋_GB2312" w:hAnsi="仿宋_GB2312" w:eastAsia="宋体" w:cs="宋体"/>
                <w:color w:val="000000"/>
                <w:kern w:val="0"/>
                <w:sz w:val="24"/>
                <w:highlight w:val="none"/>
                <w:u w:val="none"/>
                <w:lang w:bidi="ar"/>
              </w:rPr>
              <w:t>10</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每万名老年人拥有养老护理员数（人）</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92.5</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95</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区民政局</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8"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kern w:val="2"/>
                <w:sz w:val="28"/>
                <w:szCs w:val="28"/>
                <w:highlight w:val="none"/>
                <w:u w:val="none"/>
                <w:vertAlign w:val="baseline"/>
                <w:lang w:val="en-US" w:eastAsia="zh-CN" w:bidi="ar-SA"/>
              </w:rPr>
            </w:pPr>
            <w:r>
              <w:rPr>
                <w:rFonts w:hint="eastAsia" w:ascii="仿宋_GB2312" w:hAnsi="仿宋_GB2312" w:eastAsia="宋体" w:cs="宋体"/>
                <w:color w:val="000000"/>
                <w:kern w:val="0"/>
                <w:sz w:val="24"/>
                <w:highlight w:val="none"/>
                <w:u w:val="none"/>
                <w:lang w:bidi="ar"/>
              </w:rPr>
              <w:t>11</w:t>
            </w:r>
          </w:p>
        </w:tc>
        <w:tc>
          <w:tcPr>
            <w:tcW w:w="491" w:type="pct"/>
            <w:vMerge w:val="restart"/>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社会保障</w:t>
            </w: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城镇调查失业率（%）</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4</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&lt;5</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区人力社保局</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kern w:val="2"/>
                <w:sz w:val="28"/>
                <w:szCs w:val="28"/>
                <w:highlight w:val="none"/>
                <w:u w:val="none"/>
                <w:vertAlign w:val="baseline"/>
                <w:lang w:val="en-US" w:eastAsia="zh-CN" w:bidi="ar-SA"/>
              </w:rPr>
            </w:pPr>
            <w:r>
              <w:rPr>
                <w:rFonts w:hint="eastAsia" w:ascii="仿宋_GB2312" w:hAnsi="仿宋_GB2312" w:eastAsia="宋体" w:cs="宋体"/>
                <w:color w:val="000000"/>
                <w:kern w:val="0"/>
                <w:sz w:val="24"/>
                <w:highlight w:val="none"/>
                <w:u w:val="none"/>
                <w:lang w:bidi="ar"/>
              </w:rPr>
              <w:t>12</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全区居民人均可支配收入年均增速（%）</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b w:val="0"/>
                <w:bCs w:val="0"/>
                <w:color w:val="000000"/>
                <w:kern w:val="0"/>
                <w:sz w:val="24"/>
                <w:szCs w:val="24"/>
                <w:highlight w:val="none"/>
                <w:u w:val="none"/>
                <w:vertAlign w:val="baseline"/>
                <w:lang w:val="en-US" w:eastAsia="zh-CN" w:bidi="ar"/>
              </w:rPr>
              <w:t>5.65</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b w:val="0"/>
                <w:bCs w:val="0"/>
                <w:color w:val="000000"/>
                <w:kern w:val="0"/>
                <w:sz w:val="24"/>
                <w:szCs w:val="24"/>
                <w:highlight w:val="none"/>
                <w:u w:val="none"/>
                <w:vertAlign w:val="baseline"/>
                <w:lang w:val="en-US" w:eastAsia="zh-CN" w:bidi="ar"/>
              </w:rPr>
              <w:t>与经济增长基本同步</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区人力社保局</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kern w:val="2"/>
                <w:sz w:val="28"/>
                <w:szCs w:val="28"/>
                <w:highlight w:val="none"/>
                <w:u w:val="none"/>
                <w:vertAlign w:val="baseline"/>
                <w:lang w:val="en-US" w:eastAsia="zh-CN" w:bidi="ar-SA"/>
              </w:rPr>
            </w:pPr>
            <w:r>
              <w:rPr>
                <w:rFonts w:hint="eastAsia" w:ascii="仿宋_GB2312" w:hAnsi="仿宋_GB2312" w:eastAsia="宋体" w:cs="宋体"/>
                <w:color w:val="000000"/>
                <w:kern w:val="0"/>
                <w:sz w:val="24"/>
                <w:highlight w:val="none"/>
                <w:u w:val="none"/>
                <w:lang w:bidi="ar"/>
              </w:rPr>
              <w:t>13</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社会救助服务率（%）</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83</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85</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区民政局</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kern w:val="2"/>
                <w:sz w:val="28"/>
                <w:szCs w:val="28"/>
                <w:highlight w:val="none"/>
                <w:u w:val="none"/>
                <w:vertAlign w:val="baseline"/>
                <w:lang w:val="en-US" w:eastAsia="zh-CN" w:bidi="ar-SA"/>
              </w:rPr>
            </w:pPr>
            <w:r>
              <w:rPr>
                <w:rFonts w:hint="eastAsia" w:ascii="仿宋_GB2312" w:hAnsi="仿宋_GB2312" w:eastAsia="宋体" w:cs="宋体"/>
                <w:color w:val="000000"/>
                <w:kern w:val="0"/>
                <w:sz w:val="24"/>
                <w:highlight w:val="none"/>
                <w:u w:val="none"/>
                <w:lang w:bidi="ar"/>
              </w:rPr>
              <w:t>14</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公租房备案家庭总体保障率（%）</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≥85</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区</w:t>
            </w:r>
            <w:r>
              <w:rPr>
                <w:rFonts w:hint="eastAsia" w:ascii="仿宋_GB2312" w:hAnsi="仿宋_GB2312" w:eastAsia="宋体" w:cs="宋体"/>
                <w:color w:val="000000"/>
                <w:kern w:val="0"/>
                <w:sz w:val="24"/>
                <w:highlight w:val="none"/>
                <w:u w:val="none"/>
                <w:lang w:bidi="ar"/>
              </w:rPr>
              <w:t>住建委</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15</w:t>
            </w:r>
          </w:p>
        </w:tc>
        <w:tc>
          <w:tcPr>
            <w:tcW w:w="491" w:type="pct"/>
            <w:vMerge w:val="restart"/>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文体服务</w:t>
            </w: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人均接受文化场馆服务次数（次）</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宋体"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w:t>
            </w:r>
            <w:r>
              <w:rPr>
                <w:rFonts w:hint="eastAsia" w:ascii="仿宋_GB2312" w:hAnsi="仿宋_GB2312" w:eastAsia="宋体" w:cs="宋体"/>
                <w:color w:val="000000"/>
                <w:kern w:val="0"/>
                <w:sz w:val="24"/>
                <w:highlight w:val="none"/>
                <w:u w:val="none"/>
                <w:lang w:val="en-US" w:eastAsia="zh-CN" w:bidi="ar"/>
              </w:rPr>
              <w:t>5.25</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区文旅局</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1</w:t>
            </w:r>
            <w:r>
              <w:rPr>
                <w:rFonts w:hint="eastAsia" w:ascii="仿宋_GB2312" w:hAnsi="仿宋_GB2312" w:eastAsia="宋体" w:cs="宋体"/>
                <w:color w:val="000000"/>
                <w:kern w:val="0"/>
                <w:sz w:val="24"/>
                <w:highlight w:val="none"/>
                <w:u w:val="none"/>
                <w:lang w:val="en-US" w:eastAsia="zh-CN" w:bidi="ar"/>
              </w:rPr>
              <w:t>6</w:t>
            </w:r>
          </w:p>
        </w:tc>
        <w:tc>
          <w:tcPr>
            <w:tcW w:w="491" w:type="pct"/>
            <w:vMerge w:val="continue"/>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_GB2312" w:hAnsi="仿宋_GB2312" w:eastAsia="楷体_GB2312" w:cs="楷体_GB2312"/>
                <w:b/>
                <w:bCs/>
                <w:sz w:val="28"/>
                <w:szCs w:val="28"/>
                <w:highlight w:val="none"/>
                <w:u w:val="none"/>
                <w:vertAlign w:val="baseline"/>
                <w:lang w:val="en-US" w:eastAsia="zh-CN"/>
              </w:rPr>
            </w:pP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经常参加体育锻炼人数占比（%）</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55%</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区体育局</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1</w:t>
            </w:r>
            <w:r>
              <w:rPr>
                <w:rFonts w:hint="eastAsia" w:ascii="仿宋_GB2312" w:hAnsi="仿宋_GB2312" w:eastAsia="宋体" w:cs="宋体"/>
                <w:color w:val="000000"/>
                <w:kern w:val="0"/>
                <w:sz w:val="24"/>
                <w:highlight w:val="none"/>
                <w:u w:val="none"/>
                <w:lang w:val="en-US" w:eastAsia="zh-CN" w:bidi="ar"/>
              </w:rPr>
              <w:t>7</w:t>
            </w:r>
          </w:p>
        </w:tc>
        <w:tc>
          <w:tcPr>
            <w:tcW w:w="491" w:type="pct"/>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val="en-US" w:eastAsia="zh-CN" w:bidi="ar"/>
              </w:rPr>
              <w:t>公共安全</w:t>
            </w: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十万常住人口火灾死亡率（%）</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≤0.25</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区消防救援局</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楷体_GB2312" w:cs="楷体_GB2312"/>
                <w:b/>
                <w:bCs/>
                <w:sz w:val="28"/>
                <w:szCs w:val="28"/>
                <w:highlight w:val="none"/>
                <w:u w:val="none"/>
                <w:vertAlign w:val="baseline"/>
                <w:lang w:val="en-US" w:eastAsia="zh-CN"/>
              </w:rPr>
            </w:pPr>
            <w:r>
              <w:rPr>
                <w:rFonts w:hint="eastAsia" w:ascii="仿宋_GB2312" w:hAnsi="仿宋_GB2312" w:eastAsia="宋体" w:cs="宋体"/>
                <w:color w:val="000000"/>
                <w:kern w:val="0"/>
                <w:sz w:val="24"/>
                <w:highlight w:val="none"/>
                <w:u w:val="none"/>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仿宋_GB2312" w:eastAsia="宋体" w:cs="宋体"/>
                <w:color w:val="000000"/>
                <w:kern w:val="0"/>
                <w:sz w:val="24"/>
                <w:highlight w:val="none"/>
                <w:u w:val="none"/>
                <w:lang w:val="en-US" w:eastAsia="zh-CN" w:bidi="ar"/>
              </w:rPr>
            </w:pPr>
            <w:bookmarkStart w:id="135" w:name="_Toc18536"/>
            <w:bookmarkStart w:id="136" w:name="_Toc7282"/>
            <w:bookmarkStart w:id="137" w:name="_Toc29773"/>
            <w:bookmarkStart w:id="138" w:name="_Toc3447"/>
            <w:bookmarkStart w:id="139" w:name="_Toc28412"/>
            <w:bookmarkStart w:id="140" w:name="_Toc22617"/>
            <w:bookmarkStart w:id="141" w:name="_Toc18976"/>
            <w:r>
              <w:rPr>
                <w:rFonts w:hint="eastAsia" w:ascii="仿宋_GB2312" w:hAnsi="仿宋_GB2312" w:eastAsia="宋体" w:cs="宋体"/>
                <w:color w:val="000000"/>
                <w:kern w:val="0"/>
                <w:sz w:val="24"/>
                <w:highlight w:val="none"/>
                <w:u w:val="none"/>
                <w:lang w:bidi="ar"/>
              </w:rPr>
              <w:t>1</w:t>
            </w:r>
            <w:r>
              <w:rPr>
                <w:rFonts w:hint="eastAsia" w:ascii="仿宋_GB2312" w:hAnsi="仿宋_GB2312" w:eastAsia="宋体" w:cs="宋体"/>
                <w:color w:val="000000"/>
                <w:kern w:val="0"/>
                <w:sz w:val="24"/>
                <w:highlight w:val="none"/>
                <w:u w:val="none"/>
                <w:lang w:val="en-US" w:eastAsia="zh-CN" w:bidi="ar"/>
              </w:rPr>
              <w:t>8</w:t>
            </w:r>
          </w:p>
        </w:tc>
        <w:tc>
          <w:tcPr>
            <w:tcW w:w="491" w:type="pct"/>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国际社区</w:t>
            </w:r>
          </w:p>
        </w:tc>
        <w:tc>
          <w:tcPr>
            <w:tcW w:w="153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bidi="ar"/>
              </w:rPr>
            </w:pPr>
            <w:r>
              <w:rPr>
                <w:rFonts w:hint="eastAsia" w:ascii="仿宋_GB2312" w:hAnsi="仿宋_GB2312" w:eastAsia="宋体" w:cs="宋体"/>
                <w:color w:val="000000"/>
                <w:kern w:val="0"/>
                <w:sz w:val="24"/>
                <w:szCs w:val="24"/>
                <w:highlight w:val="none"/>
                <w:u w:val="none"/>
                <w:lang w:bidi="ar"/>
              </w:rPr>
              <w:t>国际社区数(个)</w:t>
            </w:r>
          </w:p>
        </w:tc>
        <w:tc>
          <w:tcPr>
            <w:tcW w:w="564"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3</w:t>
            </w:r>
          </w:p>
        </w:tc>
        <w:tc>
          <w:tcPr>
            <w:tcW w:w="627"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4</w:t>
            </w:r>
          </w:p>
        </w:tc>
        <w:tc>
          <w:tcPr>
            <w:tcW w:w="79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区住建委</w:t>
            </w:r>
          </w:p>
        </w:tc>
        <w:tc>
          <w:tcPr>
            <w:tcW w:w="622" w:type="pct"/>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宋体" w:cs="宋体"/>
                <w:color w:val="000000"/>
                <w:kern w:val="0"/>
                <w:sz w:val="24"/>
                <w:highlight w:val="none"/>
                <w:u w:val="none"/>
                <w:lang w:val="en-US" w:eastAsia="zh-CN" w:bidi="ar"/>
              </w:rPr>
            </w:pPr>
            <w:r>
              <w:rPr>
                <w:rFonts w:hint="eastAsia" w:ascii="仿宋_GB2312" w:hAnsi="仿宋_GB2312" w:eastAsia="宋体" w:cs="宋体"/>
                <w:color w:val="000000"/>
                <w:kern w:val="0"/>
                <w:sz w:val="24"/>
                <w:highlight w:val="none"/>
                <w:u w:val="none"/>
                <w:lang w:val="en-US" w:eastAsia="zh-CN" w:bidi="ar"/>
              </w:rPr>
              <w:t>预期性</w:t>
            </w:r>
          </w:p>
        </w:tc>
      </w:tr>
    </w:tbl>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jc w:val="left"/>
        <w:textAlignment w:val="auto"/>
        <w:outlineLvl w:val="9"/>
        <w:rPr>
          <w:rFonts w:hint="eastAsia" w:ascii="仿宋_GB2312" w:hAnsi="仿宋_GB2312" w:eastAsia="方正小标宋_GBK" w:cs="方正小标宋_GBK"/>
          <w:b w:val="0"/>
          <w:bCs/>
          <w:sz w:val="36"/>
          <w:szCs w:val="36"/>
          <w:highlight w:val="none"/>
          <w:u w:val="none"/>
          <w:lang w:val="en-US" w:eastAsia="zh-CN"/>
        </w:rPr>
      </w:pPr>
      <w:r>
        <w:rPr>
          <w:rFonts w:hint="eastAsia" w:ascii="仿宋_GB2312" w:hAnsi="仿宋_GB2312" w:eastAsia="方正小标宋_GBK" w:cs="方正小标宋_GBK"/>
          <w:b w:val="0"/>
          <w:bCs/>
          <w:sz w:val="36"/>
          <w:szCs w:val="36"/>
          <w:highlight w:val="none"/>
          <w:u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仿宋_GB2312" w:hAnsi="仿宋_GB2312" w:eastAsia="方正小标宋_GBK" w:cs="方正小标宋_GBK"/>
          <w:b w:val="0"/>
          <w:bCs/>
          <w:sz w:val="36"/>
          <w:szCs w:val="36"/>
          <w:highlight w:val="none"/>
          <w:u w:val="none"/>
          <w:lang w:val="en-US" w:eastAsia="zh-CN"/>
        </w:rPr>
      </w:pPr>
      <w:bookmarkStart w:id="142" w:name="_Toc80"/>
      <w:bookmarkStart w:id="143" w:name="_Toc20939"/>
      <w:bookmarkStart w:id="144" w:name="_Toc13138"/>
      <w:bookmarkStart w:id="145" w:name="_Toc19208"/>
      <w:bookmarkStart w:id="146" w:name="_Toc22753"/>
      <w:bookmarkStart w:id="147" w:name="_Toc17841"/>
      <w:bookmarkStart w:id="148" w:name="_Toc32280"/>
      <w:bookmarkStart w:id="149" w:name="_Toc22757"/>
      <w:bookmarkStart w:id="150" w:name="_Toc12189"/>
      <w:bookmarkStart w:id="151" w:name="_Toc4849"/>
      <w:r>
        <w:rPr>
          <w:rFonts w:hint="eastAsia" w:ascii="仿宋_GB2312" w:hAnsi="仿宋_GB2312" w:eastAsia="方正小标宋_GBK" w:cs="方正小标宋_GBK"/>
          <w:b w:val="0"/>
          <w:bCs/>
          <w:sz w:val="36"/>
          <w:szCs w:val="36"/>
          <w:highlight w:val="none"/>
          <w:u w:val="none"/>
          <w:lang w:val="en-US" w:eastAsia="zh-CN"/>
        </w:rPr>
        <w:t>第三章 建设高质量教育体系</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keepNext w:val="0"/>
        <w:keepLines w:val="0"/>
        <w:pageBreakBefore w:val="0"/>
        <w:widowControl/>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kern w:val="2"/>
          <w:sz w:val="32"/>
          <w:szCs w:val="32"/>
          <w:highlight w:val="none"/>
          <w:u w:val="none"/>
          <w:lang w:val="en-US" w:eastAsia="zh-CN"/>
        </w:rPr>
      </w:pPr>
      <w:r>
        <w:rPr>
          <w:rFonts w:hint="eastAsia" w:ascii="仿宋_GB2312" w:hAnsi="仿宋_GB2312" w:eastAsia="仿宋_GB2312" w:cs="仿宋_GB2312"/>
          <w:b w:val="0"/>
          <w:bCs w:val="0"/>
          <w:kern w:val="2"/>
          <w:sz w:val="32"/>
          <w:szCs w:val="32"/>
          <w:highlight w:val="none"/>
          <w:u w:val="none"/>
          <w:lang w:val="en-US" w:eastAsia="zh-CN"/>
        </w:rPr>
        <w:t>办好人民满意的教育，统筹推进教育科技人才一体化发展。结合人口变化与社会需求，优化教育资源布局，深化一体化、集团化办学，推动基础教育高质量发展，实现学前教育优质普惠发展，提升普通高中办学品质，推动高等教育提质扩容，办好职业教育、特殊教育，培育特色教育品牌，全面建成与区域战略定位契合、与怀柔科学城发展匹配、具有怀柔特色、彰显首善标准的“京北教育新高地”</w:t>
      </w:r>
      <w:r>
        <w:rPr>
          <w:rFonts w:hint="eastAsia" w:ascii="仿宋_GB2312" w:hAnsi="仿宋_GB2312" w:eastAsia="仿宋_GB2312" w:cs="仿宋_GB2312"/>
          <w:kern w:val="2"/>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Times New Roman"/>
          <w:b w:val="0"/>
          <w:kern w:val="2"/>
          <w:sz w:val="32"/>
          <w:szCs w:val="32"/>
          <w:highlight w:val="none"/>
          <w:u w:val="none"/>
          <w:lang w:val="en-US" w:eastAsia="zh-CN" w:bidi="ar-SA"/>
        </w:rPr>
      </w:pPr>
      <w:bookmarkStart w:id="152" w:name="_Toc2746"/>
      <w:bookmarkStart w:id="153" w:name="_Toc21621"/>
      <w:bookmarkStart w:id="154" w:name="_Toc2691"/>
      <w:bookmarkStart w:id="155" w:name="_Toc19310"/>
      <w:bookmarkStart w:id="156" w:name="_Toc8648"/>
      <w:bookmarkStart w:id="157" w:name="_Toc22278"/>
      <w:bookmarkStart w:id="158" w:name="_Toc11338"/>
      <w:bookmarkStart w:id="159" w:name="_Toc18812"/>
      <w:bookmarkStart w:id="160" w:name="_Toc600"/>
      <w:bookmarkStart w:id="161" w:name="_Toc11498"/>
      <w:bookmarkStart w:id="162" w:name="_Toc21525"/>
      <w:bookmarkStart w:id="163" w:name="_Toc28391"/>
      <w:bookmarkStart w:id="164" w:name="_Toc14952"/>
      <w:bookmarkStart w:id="165" w:name="_Toc22227"/>
      <w:bookmarkStart w:id="166" w:name="_Toc22688"/>
      <w:bookmarkStart w:id="167" w:name="_Toc8557"/>
      <w:bookmarkStart w:id="168" w:name="_Toc24387"/>
      <w:bookmarkStart w:id="169" w:name="_Toc22099"/>
      <w:bookmarkStart w:id="170" w:name="_Toc2568"/>
      <w:bookmarkStart w:id="171" w:name="_Toc18511"/>
      <w:r>
        <w:rPr>
          <w:rFonts w:hint="eastAsia" w:ascii="仿宋_GB2312" w:hAnsi="仿宋_GB2312" w:eastAsia="黑体" w:cs="Times New Roman"/>
          <w:b w:val="0"/>
          <w:kern w:val="2"/>
          <w:sz w:val="32"/>
          <w:szCs w:val="32"/>
          <w:highlight w:val="none"/>
          <w:u w:val="none"/>
          <w:lang w:val="en-US" w:eastAsia="zh-CN" w:bidi="ar-SA"/>
        </w:rPr>
        <w:t>一、推动基础</w:t>
      </w:r>
      <w:r>
        <w:rPr>
          <w:rFonts w:hint="eastAsia" w:ascii="仿宋_GB2312" w:hAnsi="仿宋_GB2312" w:eastAsia="黑体" w:cs="Times New Roman"/>
          <w:sz w:val="32"/>
          <w:szCs w:val="32"/>
          <w:highlight w:val="none"/>
          <w:u w:val="none"/>
        </w:rPr>
        <w:t>教育资源布局</w:t>
      </w:r>
      <w:bookmarkEnd w:id="152"/>
      <w:bookmarkEnd w:id="153"/>
      <w:bookmarkEnd w:id="154"/>
      <w:bookmarkEnd w:id="155"/>
      <w:r>
        <w:rPr>
          <w:rFonts w:hint="eastAsia" w:ascii="仿宋_GB2312" w:hAnsi="仿宋_GB2312" w:eastAsia="黑体" w:cs="Times New Roman"/>
          <w:sz w:val="32"/>
          <w:szCs w:val="32"/>
          <w:highlight w:val="none"/>
          <w:u w:val="none"/>
          <w:lang w:eastAsia="zh-CN"/>
        </w:rPr>
        <w:t>调整</w:t>
      </w:r>
      <w:bookmarkEnd w:id="156"/>
      <w:bookmarkEnd w:id="157"/>
      <w:bookmarkEnd w:id="158"/>
      <w:bookmarkEnd w:id="159"/>
      <w:bookmarkEnd w:id="160"/>
      <w:bookmarkEnd w:id="161"/>
      <w:bookmarkEnd w:id="162"/>
      <w:bookmarkEnd w:id="163"/>
      <w:bookmarkEnd w:id="164"/>
      <w:bookmarkEnd w:id="165"/>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sz w:val="32"/>
          <w:szCs w:val="32"/>
          <w:highlight w:val="none"/>
          <w:u w:val="none"/>
        </w:rPr>
        <w:t>优化教育资源布局，</w:t>
      </w:r>
      <w:r>
        <w:rPr>
          <w:rFonts w:hint="eastAsia" w:ascii="仿宋_GB2312" w:hAnsi="仿宋_GB2312" w:eastAsia="仿宋_GB2312" w:cs="仿宋_GB2312"/>
          <w:b w:val="0"/>
          <w:bCs w:val="0"/>
          <w:sz w:val="32"/>
          <w:szCs w:val="32"/>
          <w:highlight w:val="none"/>
          <w:u w:val="none"/>
          <w:lang w:val="en-US" w:eastAsia="zh-CN"/>
        </w:rPr>
        <w:t>建立同人口结构变化相适应的基础教育服务体系，统筹教育资源配置，稳妥推进山区、平原和城区学校布局调整，构建幼有优育、学有优教的高质量基础教育体系。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（一）统筹整合山区教育资源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坚持</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u w:val="none"/>
          <w:lang w:val="en-US" w:eastAsia="zh-CN"/>
        </w:rPr>
        <w:t>按需整合</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u w:val="none"/>
        </w:rPr>
        <w:t>合理保留必要办学点、畅通外出就读渠道、推动优质资源下沉、完善配套服务，保障统筹推进山区教育资源整合与质量提升。</w:t>
      </w:r>
      <w:r>
        <w:rPr>
          <w:rFonts w:hint="eastAsia" w:ascii="仿宋_GB2312" w:hAnsi="仿宋_GB2312" w:eastAsia="仿宋_GB2312" w:cs="仿宋_GB2312"/>
          <w:b w:val="0"/>
          <w:bCs w:val="0"/>
          <w:sz w:val="32"/>
          <w:szCs w:val="32"/>
          <w:highlight w:val="none"/>
          <w:u w:val="none"/>
        </w:rPr>
        <w:t>根据学龄人口变化和城镇化进程，</w:t>
      </w:r>
      <w:r>
        <w:rPr>
          <w:rFonts w:hint="eastAsia" w:ascii="仿宋_GB2312" w:hAnsi="仿宋_GB2312" w:eastAsia="仿宋_GB2312" w:cs="仿宋_GB2312"/>
          <w:sz w:val="32"/>
          <w:szCs w:val="32"/>
          <w:highlight w:val="none"/>
          <w:u w:val="none"/>
        </w:rPr>
        <w:t>动态调整教学点设置，合理保留必要的山区小规模学校和教学点，确保长哨营满族乡中心幼儿园建成投用，适时整合山区小学教育资源。</w:t>
      </w:r>
      <w:r>
        <w:rPr>
          <w:rFonts w:hint="eastAsia" w:ascii="仿宋_GB2312" w:hAnsi="仿宋_GB2312" w:eastAsia="仿宋_GB2312" w:cs="仿宋_GB2312"/>
          <w:b w:val="0"/>
          <w:bCs w:val="0"/>
          <w:sz w:val="32"/>
          <w:szCs w:val="32"/>
          <w:highlight w:val="none"/>
          <w:u w:val="none"/>
        </w:rPr>
        <w:t>稳妥有序推动山区初中学生到平原和城区就读，</w:t>
      </w:r>
      <w:r>
        <w:rPr>
          <w:rFonts w:hint="eastAsia" w:ascii="仿宋_GB2312" w:hAnsi="仿宋_GB2312" w:eastAsia="仿宋_GB2312" w:cs="仿宋_GB2312"/>
          <w:sz w:val="32"/>
          <w:szCs w:val="32"/>
          <w:highlight w:val="none"/>
          <w:u w:val="none"/>
        </w:rPr>
        <w:t>逐步向有需求的山区学生开放平原地区优质学位</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依托网络授课、同步课堂等方式，</w:t>
      </w:r>
      <w:r>
        <w:rPr>
          <w:rFonts w:hint="eastAsia" w:ascii="仿宋_GB2312" w:hAnsi="仿宋_GB2312" w:eastAsia="仿宋_GB2312" w:cs="仿宋_GB2312"/>
          <w:sz w:val="32"/>
          <w:szCs w:val="32"/>
          <w:highlight w:val="none"/>
          <w:u w:val="none"/>
        </w:rPr>
        <w:t>推动山区学校共享城区优质教育资源。</w:t>
      </w:r>
      <w:r>
        <w:rPr>
          <w:rFonts w:hint="eastAsia" w:ascii="仿宋_GB2312" w:hAnsi="仿宋_GB2312" w:eastAsia="仿宋_GB2312" w:cs="仿宋_GB2312"/>
          <w:b w:val="0"/>
          <w:bCs w:val="0"/>
          <w:sz w:val="32"/>
          <w:szCs w:val="32"/>
          <w:highlight w:val="none"/>
          <w:u w:val="none"/>
        </w:rPr>
        <w:t>加快汤河口中学“平急两用”功能改造</w:t>
      </w:r>
      <w:r>
        <w:rPr>
          <w:rFonts w:hint="eastAsia" w:ascii="仿宋_GB2312" w:hAnsi="仿宋_GB2312" w:eastAsia="仿宋_GB2312" w:cs="仿宋_GB2312"/>
          <w:sz w:val="32"/>
          <w:szCs w:val="32"/>
          <w:highlight w:val="none"/>
          <w:u w:val="none"/>
        </w:rPr>
        <w:t>，满足学段调整后的教学及寄宿需求。</w:t>
      </w:r>
      <w:r>
        <w:rPr>
          <w:rFonts w:hint="eastAsia" w:ascii="仿宋_GB2312" w:hAnsi="仿宋_GB2312" w:eastAsia="仿宋_GB2312" w:cs="仿宋_GB2312"/>
          <w:b w:val="0"/>
          <w:bCs w:val="0"/>
          <w:sz w:val="32"/>
          <w:szCs w:val="32"/>
          <w:highlight w:val="none"/>
          <w:u w:val="none"/>
        </w:rPr>
        <w:t>持续完善山区学校配套服务，</w:t>
      </w:r>
      <w:r>
        <w:rPr>
          <w:rFonts w:hint="eastAsia" w:ascii="仿宋_GB2312" w:hAnsi="仿宋_GB2312" w:eastAsia="仿宋_GB2312" w:cs="仿宋_GB2312"/>
          <w:sz w:val="32"/>
          <w:szCs w:val="32"/>
          <w:highlight w:val="none"/>
          <w:u w:val="none"/>
        </w:rPr>
        <w:t>通过改善寄宿条件、优化用餐质量、开通专线通学公交、提供生活补助等措施，切实提升山区学生学习生活品质，保障山区学生享有公平优质的教育。</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left"/>
        <w:textAlignment w:val="auto"/>
        <w:outlineLvl w:val="2"/>
        <w:rPr>
          <w:rFonts w:hint="eastAsia" w:ascii="仿宋_GB2312" w:hAnsi="仿宋_GB2312" w:eastAsia="楷体_GB2312" w:cs="楷体_GB2312"/>
          <w:kern w:val="2"/>
          <w:sz w:val="32"/>
          <w:szCs w:val="32"/>
          <w:highlight w:val="none"/>
          <w:u w:val="none"/>
          <w:lang w:val="en-US" w:eastAsia="zh-CN"/>
        </w:rPr>
      </w:pPr>
      <w:r>
        <w:rPr>
          <w:rFonts w:hint="eastAsia" w:ascii="仿宋_GB2312" w:hAnsi="仿宋_GB2312" w:eastAsia="楷体_GB2312" w:cs="楷体_GB2312"/>
          <w:kern w:val="2"/>
          <w:sz w:val="32"/>
          <w:szCs w:val="32"/>
          <w:highlight w:val="none"/>
          <w:u w:val="none"/>
          <w:lang w:val="en-US" w:eastAsia="zh-CN"/>
        </w:rPr>
        <w:t>（二）提升老城区教育资源承载力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仿宋_GB2312" w:cs="仿宋_GB2312"/>
          <w:kern w:val="2"/>
          <w:sz w:val="32"/>
          <w:szCs w:val="32"/>
          <w:highlight w:val="none"/>
          <w:u w:val="none"/>
          <w:lang w:val="en-US" w:eastAsia="zh-CN"/>
        </w:rPr>
        <w:t>坚持“挖潜提质”，盘活用好老城区存量教育资源，有效缓解老城区入学压力。扩充怀柔三中办学空间，加快怀柔一中、红螺寺中学等改扩建工程建设，适度扩大老城区优质学位供给。建立校际学位统筹调配机制，适时调整部分学校办学建制，均衡校际生源分布，缩小城区校际办学差距。</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left"/>
        <w:textAlignment w:val="auto"/>
        <w:outlineLvl w:val="2"/>
        <w:rPr>
          <w:rFonts w:hint="eastAsia" w:ascii="仿宋_GB2312" w:hAnsi="仿宋_GB2312" w:eastAsia="楷体_GB2312" w:cs="楷体_GB2312"/>
          <w:kern w:val="2"/>
          <w:sz w:val="32"/>
          <w:szCs w:val="32"/>
          <w:highlight w:val="none"/>
          <w:u w:val="none"/>
          <w:lang w:val="en-US" w:eastAsia="zh-CN"/>
        </w:rPr>
      </w:pPr>
      <w:r>
        <w:rPr>
          <w:rFonts w:hint="eastAsia" w:ascii="仿宋_GB2312" w:hAnsi="仿宋_GB2312" w:eastAsia="楷体_GB2312" w:cs="楷体_GB2312"/>
          <w:kern w:val="2"/>
          <w:sz w:val="32"/>
          <w:szCs w:val="32"/>
          <w:highlight w:val="none"/>
          <w:u w:val="none"/>
          <w:lang w:val="en-US" w:eastAsia="zh-CN"/>
        </w:rPr>
        <w:t>（三）高标准配置新城区教育资源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仿宋_GB2312" w:cs="仿宋_GB2312"/>
          <w:kern w:val="2"/>
          <w:sz w:val="32"/>
          <w:szCs w:val="32"/>
          <w:highlight w:val="none"/>
          <w:u w:val="none"/>
          <w:lang w:val="en-US" w:eastAsia="zh-CN"/>
        </w:rPr>
        <w:t>坚持“新建配建扩容”，高标准配套教育设施。全力保障北京第三实验学校、北京一零一中怀柔科学城学校南校区建成投用，快速提升新城区优质学位供给能力。优化学前教育供给，推动新建小区配套幼儿园同步规划、同步建设、同步交付，原则上建成公办园，持续增加公办学前教育学位。落实普惠性民办幼儿园扶持政策，形成以公办园为主体、优质民办园为补充的学前教育供给格局。</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黑体" w:cs="仿宋_GB2312"/>
          <w:b w:val="0"/>
          <w:bCs w:val="0"/>
          <w:sz w:val="32"/>
          <w:szCs w:val="32"/>
          <w:highlight w:val="none"/>
          <w:u w:val="none"/>
          <w:lang w:val="en-US" w:eastAsia="zh-CN"/>
        </w:rPr>
      </w:pPr>
      <w:bookmarkStart w:id="172" w:name="_Toc24451"/>
      <w:bookmarkStart w:id="173" w:name="_Toc21430"/>
      <w:bookmarkStart w:id="174" w:name="_Toc29914"/>
      <w:bookmarkStart w:id="175" w:name="_Toc1577"/>
      <w:bookmarkStart w:id="176" w:name="_Toc1729"/>
      <w:bookmarkStart w:id="177" w:name="_Toc28712"/>
      <w:bookmarkStart w:id="178" w:name="_Toc20292"/>
      <w:bookmarkStart w:id="179" w:name="_Toc25287"/>
      <w:bookmarkStart w:id="180" w:name="_Toc24772"/>
      <w:bookmarkStart w:id="181" w:name="_Toc13103"/>
      <w:r>
        <w:rPr>
          <w:rFonts w:hint="eastAsia" w:ascii="仿宋_GB2312" w:hAnsi="仿宋_GB2312" w:eastAsia="黑体" w:cs="Times New Roman"/>
          <w:b w:val="0"/>
          <w:kern w:val="2"/>
          <w:sz w:val="32"/>
          <w:szCs w:val="32"/>
          <w:highlight w:val="none"/>
          <w:u w:val="none"/>
          <w:lang w:val="en-US" w:eastAsia="zh-CN" w:bidi="ar-SA"/>
        </w:rPr>
        <w:t>二、</w:t>
      </w:r>
      <w:r>
        <w:rPr>
          <w:rFonts w:hint="eastAsia" w:ascii="黑体" w:hAnsi="黑体" w:eastAsia="黑体" w:cs="黑体"/>
          <w:kern w:val="2"/>
          <w:sz w:val="32"/>
          <w:szCs w:val="32"/>
          <w:highlight w:val="none"/>
          <w:u w:val="none"/>
          <w:lang w:val="en-US" w:eastAsia="zh-CN"/>
        </w:rPr>
        <w:t>深化一体化与集团化办学</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bCs/>
          <w:sz w:val="32"/>
          <w:szCs w:val="32"/>
          <w:highlight w:val="none"/>
          <w:u w:val="none"/>
          <w:lang w:val="en-US" w:eastAsia="zh-CN"/>
        </w:rPr>
      </w:pPr>
      <w:r>
        <w:rPr>
          <w:rFonts w:hint="default" w:ascii="仿宋_GB2312" w:hAnsi="仿宋_GB2312" w:eastAsia="仿宋_GB2312" w:cs="仿宋_GB2312"/>
          <w:kern w:val="2"/>
          <w:sz w:val="32"/>
          <w:szCs w:val="32"/>
          <w:highlight w:val="none"/>
          <w:u w:val="none"/>
          <w:lang w:val="en-US" w:eastAsia="zh-CN"/>
        </w:rPr>
        <w:t>深化一体化合作办学与新型集团化办学，统筹城区优质资源引入与区内资源整合，增强教育资源供给能力和配置效率</w:t>
      </w:r>
      <w:r>
        <w:rPr>
          <w:rFonts w:hint="eastAsia" w:ascii="仿宋_GB2312" w:hAnsi="仿宋_GB2312" w:eastAsia="仿宋_GB2312" w:cs="仿宋_GB2312"/>
          <w:kern w:val="2"/>
          <w:sz w:val="32"/>
          <w:szCs w:val="32"/>
          <w:highlight w:val="none"/>
          <w:u w:val="none"/>
          <w:lang w:val="en-US" w:eastAsia="zh-CN"/>
        </w:rPr>
        <w:t>，培育区域特色教育品牌矩阵，</w:t>
      </w:r>
      <w:r>
        <w:rPr>
          <w:rFonts w:hint="default" w:ascii="仿宋_GB2312" w:hAnsi="仿宋_GB2312" w:eastAsia="仿宋_GB2312" w:cs="仿宋_GB2312"/>
          <w:kern w:val="2"/>
          <w:sz w:val="32"/>
          <w:szCs w:val="32"/>
          <w:highlight w:val="none"/>
          <w:u w:val="none"/>
          <w:lang w:val="en-US" w:eastAsia="zh-CN"/>
        </w:rPr>
        <w:t>全面提升怀柔教育发展水平。到2030年</w:t>
      </w:r>
      <w:r>
        <w:rPr>
          <w:rFonts w:hint="eastAsia" w:ascii="仿宋_GB2312" w:hAnsi="仿宋_GB2312" w:eastAsia="仿宋_GB2312" w:cs="仿宋_GB2312"/>
          <w:kern w:val="2"/>
          <w:sz w:val="32"/>
          <w:szCs w:val="32"/>
          <w:highlight w:val="none"/>
          <w:u w:val="none"/>
          <w:lang w:val="en-US" w:eastAsia="zh-CN"/>
        </w:rPr>
        <w:t>，</w:t>
      </w:r>
      <w:r>
        <w:rPr>
          <w:rFonts w:hint="default" w:ascii="仿宋_GB2312" w:hAnsi="仿宋_GB2312" w:eastAsia="仿宋_GB2312" w:cs="仿宋_GB2312"/>
          <w:kern w:val="2"/>
          <w:sz w:val="32"/>
          <w:szCs w:val="32"/>
          <w:highlight w:val="none"/>
          <w:u w:val="none"/>
          <w:lang w:val="en-US" w:eastAsia="zh-CN"/>
        </w:rPr>
        <w:t>实现普通高中录取率100%。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（一）深入对接城区优质教育资源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kern w:val="2"/>
          <w:sz w:val="32"/>
          <w:szCs w:val="32"/>
          <w:highlight w:val="none"/>
          <w:u w:val="none"/>
          <w:lang w:val="en-US" w:eastAsia="zh-CN"/>
        </w:rPr>
      </w:pPr>
      <w:r>
        <w:rPr>
          <w:rFonts w:hint="default" w:ascii="仿宋_GB2312" w:hAnsi="仿宋_GB2312" w:eastAsia="仿宋_GB2312" w:cs="仿宋_GB2312"/>
          <w:kern w:val="2"/>
          <w:sz w:val="32"/>
          <w:szCs w:val="32"/>
          <w:highlight w:val="none"/>
          <w:u w:val="none"/>
          <w:lang w:val="en-US" w:eastAsia="zh-CN"/>
        </w:rPr>
        <w:t>创新长效、开放、高效的合作机制，持续深化与海淀区、西城区的一体化合作办学。深度对接北京十一学校、清华附中教育集团、一零一教育集团、首都师范大学等优质教育资源，推动课程体系、办学理念、师资培训等全方位共享。健全干部跟岗、教师互派、学生游学等常态化交流机制，将怀柔分校纳入总校统一管理，增强一体化办学管理效能。依托海淀教师进修学校等优质资源，常态化开展师资双向交流与联合教研，推动优质教育资源在怀柔落地生根并形成辐射带动效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（二）强化四大教育集团内生互动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sz w:val="32"/>
          <w:szCs w:val="32"/>
          <w:highlight w:val="none"/>
          <w:u w:val="none"/>
        </w:rPr>
        <w:t>深化四大教育集团建设，推动优质教育资源在区域内高效配置、有序流动。</w:t>
      </w:r>
      <w:r>
        <w:rPr>
          <w:rFonts w:hint="eastAsia" w:ascii="仿宋_GB2312" w:hAnsi="仿宋_GB2312" w:eastAsia="仿宋_GB2312" w:cs="仿宋_GB2312"/>
          <w:b w:val="0"/>
          <w:bCs w:val="0"/>
          <w:sz w:val="32"/>
          <w:szCs w:val="32"/>
          <w:highlight w:val="none"/>
          <w:u w:val="none"/>
        </w:rPr>
        <w:t>完善集团化办学运行机制，</w:t>
      </w:r>
      <w:r>
        <w:rPr>
          <w:rFonts w:hint="eastAsia" w:ascii="仿宋_GB2312" w:hAnsi="仿宋_GB2312" w:eastAsia="仿宋_GB2312" w:cs="仿宋_GB2312"/>
          <w:sz w:val="32"/>
          <w:szCs w:val="32"/>
          <w:highlight w:val="none"/>
          <w:u w:val="none"/>
        </w:rPr>
        <w:t>采取“一校一策”方式制定一体化办学三年规划及年度实施方案，明确牵头学校职责权限，</w:t>
      </w:r>
      <w:r>
        <w:rPr>
          <w:rFonts w:hint="eastAsia" w:ascii="仿宋_GB2312" w:hAnsi="仿宋_GB2312" w:eastAsia="仿宋_GB2312" w:cs="仿宋_GB2312"/>
          <w:sz w:val="32"/>
          <w:szCs w:val="32"/>
          <w:highlight w:val="none"/>
          <w:u w:val="none"/>
          <w:lang w:val="en-US" w:eastAsia="zh-CN"/>
        </w:rPr>
        <w:t>强化牵头学校引领作用，</w:t>
      </w:r>
      <w:r>
        <w:rPr>
          <w:rFonts w:hint="eastAsia" w:ascii="仿宋_GB2312" w:hAnsi="仿宋_GB2312" w:eastAsia="仿宋_GB2312" w:cs="仿宋_GB2312"/>
          <w:sz w:val="32"/>
          <w:szCs w:val="32"/>
          <w:highlight w:val="none"/>
          <w:u w:val="none"/>
        </w:rPr>
        <w:t>构建机制协同、资源共享、师生共育的集团化发展格局。统筹教育集团内</w:t>
      </w:r>
      <w:r>
        <w:rPr>
          <w:rFonts w:hint="eastAsia" w:ascii="仿宋_GB2312" w:hAnsi="仿宋_GB2312" w:eastAsia="仿宋_GB2312" w:cs="仿宋_GB2312"/>
          <w:sz w:val="32"/>
          <w:szCs w:val="32"/>
          <w:highlight w:val="none"/>
          <w:u w:val="none"/>
          <w:lang w:val="en-US" w:eastAsia="zh-CN"/>
        </w:rPr>
        <w:t>资源配置，推进教师招聘录用、职称晋升、绩效考核等制度协同，建立跨学段、跨校际教师“双向流动、定岗培养”机制，促进优质教育要素有序流动。深化集团内学生联合培养机制，围绕思想政治教育、科学教育、艺术教育、拔尖创新人才培养等重点领域，</w:t>
      </w:r>
      <w:r>
        <w:rPr>
          <w:rFonts w:hint="eastAsia" w:ascii="仿宋_GB2312" w:hAnsi="仿宋_GB2312" w:eastAsia="仿宋_GB2312" w:cs="仿宋_GB2312"/>
          <w:sz w:val="32"/>
          <w:szCs w:val="32"/>
          <w:highlight w:val="none"/>
          <w:u w:val="none"/>
        </w:rPr>
        <w:t>开展</w:t>
      </w:r>
      <w:r>
        <w:rPr>
          <w:rFonts w:hint="eastAsia" w:ascii="仿宋_GB2312" w:hAnsi="仿宋_GB2312" w:eastAsia="仿宋_GB2312" w:cs="仿宋_GB2312"/>
          <w:sz w:val="32"/>
          <w:szCs w:val="32"/>
          <w:highlight w:val="none"/>
          <w:u w:val="none"/>
          <w:lang w:val="en-US" w:eastAsia="zh-CN"/>
        </w:rPr>
        <w:t>“1+3”</w:t>
      </w:r>
      <w:r>
        <w:rPr>
          <w:rFonts w:hint="eastAsia" w:ascii="仿宋_GB2312" w:hAnsi="仿宋_GB2312" w:eastAsia="仿宋_GB2312" w:cs="仿宋_GB2312"/>
          <w:sz w:val="32"/>
          <w:szCs w:val="32"/>
          <w:highlight w:val="none"/>
          <w:u w:val="none"/>
        </w:rPr>
        <w:t>贯通式培养实践，逐步扩大集团直升培养规模。实施“课创计划”，依托集团资源优势，差异化建设贯穿K</w:t>
      </w:r>
      <w:r>
        <w:rPr>
          <w:rFonts w:hint="eastAsia" w:ascii="仿宋_GB2312" w:hAnsi="仿宋_GB2312" w:eastAsia="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u w:val="none"/>
        </w:rPr>
        <w:t>12阶段的主题课程、研学路线和教学体系，推广项目式、主题式贯通教学模式。</w:t>
      </w:r>
      <w:r>
        <w:rPr>
          <w:rFonts w:hint="eastAsia" w:ascii="仿宋_GB2312" w:hAnsi="仿宋_GB2312" w:eastAsia="仿宋_GB2312" w:cs="仿宋_GB2312"/>
          <w:b w:val="0"/>
          <w:bCs w:val="0"/>
          <w:sz w:val="32"/>
          <w:szCs w:val="32"/>
          <w:highlight w:val="none"/>
          <w:u w:val="none"/>
        </w:rPr>
        <w:t>强化</w:t>
      </w:r>
      <w:r>
        <w:rPr>
          <w:rFonts w:hint="eastAsia" w:ascii="仿宋_GB2312" w:hAnsi="仿宋_GB2312" w:eastAsia="仿宋_GB2312" w:cs="仿宋_GB2312"/>
          <w:b w:val="0"/>
          <w:bCs w:val="0"/>
          <w:sz w:val="32"/>
          <w:szCs w:val="32"/>
          <w:highlight w:val="none"/>
          <w:u w:val="none"/>
          <w:lang w:val="en-US" w:eastAsia="zh-CN"/>
        </w:rPr>
        <w:t>教育</w:t>
      </w:r>
      <w:r>
        <w:rPr>
          <w:rFonts w:hint="eastAsia" w:ascii="仿宋_GB2312" w:hAnsi="仿宋_GB2312" w:eastAsia="仿宋_GB2312" w:cs="仿宋_GB2312"/>
          <w:b w:val="0"/>
          <w:bCs w:val="0"/>
          <w:sz w:val="32"/>
          <w:szCs w:val="32"/>
          <w:highlight w:val="none"/>
          <w:u w:val="none"/>
        </w:rPr>
        <w:t>集团辐射带动作用，</w:t>
      </w:r>
      <w:r>
        <w:rPr>
          <w:rFonts w:hint="eastAsia" w:ascii="仿宋_GB2312" w:hAnsi="仿宋_GB2312" w:eastAsia="仿宋_GB2312" w:cs="仿宋_GB2312"/>
          <w:sz w:val="32"/>
          <w:szCs w:val="32"/>
          <w:highlight w:val="none"/>
          <w:u w:val="none"/>
        </w:rPr>
        <w:t>推动优质教育资源向山区和薄弱学校延伸，加大对山区学校的支持力度，及时将新建学校纳入集团化管理，持续扩大优质教育资源覆盖范围，促进山区、老城和新城教育资源的均衡配置。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eastAsia="zh-CN"/>
        </w:rPr>
        <w:t>（</w:t>
      </w:r>
      <w:r>
        <w:rPr>
          <w:rFonts w:hint="eastAsia" w:ascii="仿宋_GB2312" w:hAnsi="仿宋_GB2312" w:eastAsia="楷体_GB2312" w:cs="楷体_GB2312"/>
          <w:b w:val="0"/>
          <w:bCs w:val="0"/>
          <w:sz w:val="32"/>
          <w:szCs w:val="32"/>
          <w:highlight w:val="none"/>
          <w:u w:val="none"/>
          <w:lang w:val="en-US" w:eastAsia="zh-CN"/>
        </w:rPr>
        <w:t>三</w:t>
      </w:r>
      <w:r>
        <w:rPr>
          <w:rFonts w:hint="eastAsia" w:ascii="仿宋_GB2312" w:hAnsi="仿宋_GB2312" w:eastAsia="楷体_GB2312" w:cs="楷体_GB2312"/>
          <w:b w:val="0"/>
          <w:bCs w:val="0"/>
          <w:sz w:val="32"/>
          <w:szCs w:val="32"/>
          <w:highlight w:val="none"/>
          <w:u w:val="none"/>
          <w:lang w:eastAsia="zh-CN"/>
        </w:rPr>
        <w:t>）</w:t>
      </w:r>
      <w:r>
        <w:rPr>
          <w:rFonts w:hint="eastAsia" w:ascii="仿宋_GB2312" w:hAnsi="仿宋_GB2312" w:eastAsia="楷体_GB2312" w:cs="楷体_GB2312"/>
          <w:b w:val="0"/>
          <w:bCs w:val="0"/>
          <w:sz w:val="32"/>
          <w:szCs w:val="32"/>
          <w:highlight w:val="none"/>
          <w:u w:val="none"/>
        </w:rPr>
        <w:t>打造</w:t>
      </w:r>
      <w:r>
        <w:rPr>
          <w:rFonts w:hint="eastAsia" w:ascii="仿宋_GB2312" w:hAnsi="仿宋_GB2312" w:eastAsia="楷体_GB2312" w:cs="楷体_GB2312"/>
          <w:b w:val="0"/>
          <w:bCs w:val="0"/>
          <w:sz w:val="32"/>
          <w:szCs w:val="32"/>
          <w:highlight w:val="none"/>
          <w:u w:val="none"/>
          <w:lang w:val="en-US" w:eastAsia="zh-CN"/>
        </w:rPr>
        <w:t>怀柔区域</w:t>
      </w:r>
      <w:r>
        <w:rPr>
          <w:rFonts w:hint="eastAsia" w:ascii="仿宋_GB2312" w:hAnsi="仿宋_GB2312" w:eastAsia="楷体_GB2312" w:cs="楷体_GB2312"/>
          <w:b w:val="0"/>
          <w:bCs w:val="0"/>
          <w:sz w:val="32"/>
          <w:szCs w:val="32"/>
          <w:highlight w:val="none"/>
          <w:u w:val="none"/>
        </w:rPr>
        <w:t>特色教育品牌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b w:val="0"/>
          <w:bCs w:val="0"/>
          <w:sz w:val="32"/>
          <w:szCs w:val="32"/>
          <w:highlight w:val="none"/>
          <w:u w:val="none"/>
          <w:lang w:val="en-US" w:eastAsia="zh-CN"/>
        </w:rPr>
        <w:t>深化四大教育集团牵头校办学特色。推动怀柔一中和北京一零一中怀柔科学城学校等巩固科技教育优势，打造区域科技创新教育高地。发挥首师大附属红螺寺中学艺术教育特色，打造具有区域影响力的艺术教育品牌。推动北京第三实验学校深度融入怀柔科学城建设，将怀柔科学城的科研资源转化为育人资源，发挥数学学科优势，建设</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数学科学高端实验基地</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lang w:val="en-US" w:eastAsia="zh-CN"/>
        </w:rPr>
        <w:t>，打造怀柔基础教育新名片。</w:t>
      </w:r>
      <w:r>
        <w:rPr>
          <w:rFonts w:hint="eastAsia" w:ascii="仿宋_GB2312" w:hAnsi="仿宋_GB2312" w:eastAsia="仿宋_GB2312" w:cs="仿宋_GB2312"/>
          <w:sz w:val="32"/>
          <w:szCs w:val="32"/>
          <w:highlight w:val="none"/>
          <w:u w:val="none"/>
        </w:rPr>
        <w:t>加大实施特色课程深化工程，基于学校“三槐”文化、“零点体育”“三通四融”</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科技教育等特色，开发跨学科主题课程，形成“一校一品、百花齐放”格局，打造错位互补的</w:t>
      </w:r>
      <w:r>
        <w:rPr>
          <w:rFonts w:hint="eastAsia" w:ascii="仿宋_GB2312" w:hAnsi="仿宋_GB2312" w:eastAsia="仿宋_GB2312" w:cs="仿宋_GB2312"/>
          <w:sz w:val="32"/>
          <w:szCs w:val="32"/>
          <w:highlight w:val="none"/>
          <w:u w:val="none"/>
          <w:lang w:val="en-US" w:eastAsia="zh-CN"/>
        </w:rPr>
        <w:t>教育</w:t>
      </w:r>
      <w:r>
        <w:rPr>
          <w:rFonts w:hint="eastAsia" w:ascii="仿宋_GB2312" w:hAnsi="仿宋_GB2312" w:eastAsia="仿宋_GB2312" w:cs="仿宋_GB2312"/>
          <w:sz w:val="32"/>
          <w:szCs w:val="32"/>
          <w:highlight w:val="none"/>
          <w:u w:val="none"/>
        </w:rPr>
        <w:t>品牌矩阵。</w:t>
      </w:r>
    </w:p>
    <w:p>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Times New Roman"/>
          <w:b w:val="0"/>
          <w:kern w:val="2"/>
          <w:sz w:val="32"/>
          <w:szCs w:val="32"/>
          <w:highlight w:val="none"/>
          <w:u w:val="none"/>
          <w:lang w:val="en-US" w:eastAsia="zh-CN" w:bidi="ar-SA"/>
        </w:rPr>
      </w:pPr>
      <w:bookmarkStart w:id="182" w:name="_Toc27689"/>
      <w:bookmarkStart w:id="183" w:name="_Toc18999"/>
      <w:bookmarkStart w:id="184" w:name="_Toc28604"/>
      <w:bookmarkStart w:id="185" w:name="_Toc28015"/>
      <w:bookmarkStart w:id="186" w:name="_Toc29963"/>
      <w:bookmarkStart w:id="187" w:name="_Toc7884"/>
      <w:bookmarkStart w:id="188" w:name="_Toc21700"/>
      <w:bookmarkStart w:id="189" w:name="_Toc32059"/>
      <w:bookmarkStart w:id="190" w:name="_Toc10114"/>
      <w:bookmarkStart w:id="191" w:name="_Toc29658"/>
      <w:bookmarkStart w:id="192" w:name="_Toc10188"/>
      <w:bookmarkStart w:id="193" w:name="_Toc15290"/>
      <w:bookmarkStart w:id="194" w:name="_Toc8418"/>
      <w:bookmarkStart w:id="195" w:name="_Toc7793"/>
      <w:bookmarkStart w:id="196" w:name="_Toc25256"/>
      <w:bookmarkStart w:id="197" w:name="_Toc15081"/>
      <w:bookmarkStart w:id="198" w:name="_Toc8657"/>
      <w:bookmarkStart w:id="199" w:name="_Toc3587"/>
      <w:bookmarkStart w:id="200" w:name="_Toc22098"/>
      <w:bookmarkStart w:id="201" w:name="_Toc7054"/>
      <w:bookmarkStart w:id="202" w:name="_Toc29578"/>
      <w:r>
        <w:rPr>
          <w:rFonts w:hint="eastAsia" w:ascii="仿宋_GB2312" w:hAnsi="仿宋_GB2312" w:eastAsia="黑体" w:cs="Times New Roman"/>
          <w:b w:val="0"/>
          <w:kern w:val="2"/>
          <w:sz w:val="32"/>
          <w:szCs w:val="32"/>
          <w:highlight w:val="none"/>
          <w:u w:val="none"/>
          <w:lang w:val="en-US" w:eastAsia="zh-CN" w:bidi="ar-SA"/>
        </w:rPr>
        <w:t>三、促进各类教育多元融合发展</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bCs/>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rPr>
        <w:t>着力补齐教育发展短板</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拓展教育供给空间</w:t>
      </w:r>
      <w:r>
        <w:rPr>
          <w:rFonts w:hint="eastAsia" w:ascii="仿宋_GB2312" w:hAnsi="仿宋_GB2312" w:eastAsia="仿宋_GB2312" w:cs="仿宋_GB2312"/>
          <w:b w:val="0"/>
          <w:bCs w:val="0"/>
          <w:sz w:val="32"/>
          <w:szCs w:val="32"/>
          <w:highlight w:val="none"/>
          <w:u w:val="none"/>
          <w:lang w:eastAsia="zh-CN"/>
        </w:rPr>
        <w:t>，完善</w:t>
      </w:r>
      <w:r>
        <w:rPr>
          <w:rFonts w:hint="eastAsia" w:ascii="仿宋_GB2312" w:hAnsi="仿宋_GB2312" w:eastAsia="仿宋_GB2312" w:cs="仿宋_GB2312"/>
          <w:b w:val="0"/>
          <w:bCs w:val="0"/>
          <w:sz w:val="32"/>
          <w:szCs w:val="32"/>
          <w:highlight w:val="none"/>
          <w:u w:val="none"/>
        </w:rPr>
        <w:t>教育服务功能。通过深化</w:t>
      </w:r>
      <w:r>
        <w:rPr>
          <w:rFonts w:hint="eastAsia" w:ascii="仿宋_GB2312" w:hAnsi="仿宋_GB2312" w:eastAsia="仿宋_GB2312" w:cs="仿宋_GB2312"/>
          <w:b w:val="0"/>
          <w:bCs w:val="0"/>
          <w:sz w:val="32"/>
          <w:szCs w:val="32"/>
          <w:highlight w:val="none"/>
          <w:u w:val="none"/>
          <w:lang w:val="en-US" w:eastAsia="zh-CN"/>
        </w:rPr>
        <w:t>校地</w:t>
      </w:r>
      <w:r>
        <w:rPr>
          <w:rFonts w:hint="eastAsia" w:ascii="仿宋_GB2312" w:hAnsi="仿宋_GB2312" w:eastAsia="仿宋_GB2312" w:cs="仿宋_GB2312"/>
          <w:b w:val="0"/>
          <w:bCs w:val="0"/>
          <w:sz w:val="32"/>
          <w:szCs w:val="32"/>
          <w:highlight w:val="none"/>
          <w:u w:val="none"/>
        </w:rPr>
        <w:t>协同育人</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lang w:val="en-US" w:eastAsia="zh-CN"/>
        </w:rPr>
        <w:t>提升</w:t>
      </w:r>
      <w:r>
        <w:rPr>
          <w:rFonts w:hint="eastAsia" w:ascii="仿宋_GB2312" w:hAnsi="仿宋_GB2312" w:eastAsia="仿宋_GB2312" w:cs="仿宋_GB2312"/>
          <w:b w:val="0"/>
          <w:bCs w:val="0"/>
          <w:sz w:val="32"/>
          <w:szCs w:val="32"/>
          <w:highlight w:val="none"/>
          <w:u w:val="none"/>
        </w:rPr>
        <w:t>职业教育、国际教育</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特殊教育</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rPr>
        <w:t>终身教育</w:t>
      </w:r>
      <w:r>
        <w:rPr>
          <w:rFonts w:hint="eastAsia" w:ascii="仿宋_GB2312" w:hAnsi="仿宋_GB2312" w:eastAsia="仿宋_GB2312" w:cs="仿宋_GB2312"/>
          <w:b w:val="0"/>
          <w:bCs w:val="0"/>
          <w:sz w:val="32"/>
          <w:szCs w:val="32"/>
          <w:highlight w:val="none"/>
          <w:u w:val="none"/>
          <w:lang w:val="en-US" w:eastAsia="zh-CN"/>
        </w:rPr>
        <w:t>水平</w:t>
      </w:r>
      <w:r>
        <w:rPr>
          <w:rFonts w:hint="eastAsia" w:ascii="仿宋_GB2312" w:hAnsi="仿宋_GB2312" w:eastAsia="仿宋_GB2312" w:cs="仿宋_GB2312"/>
          <w:b w:val="0"/>
          <w:bCs w:val="0"/>
          <w:sz w:val="32"/>
          <w:szCs w:val="32"/>
          <w:highlight w:val="none"/>
          <w:u w:val="none"/>
        </w:rPr>
        <w:t>，全面提升怀柔区教育的多样性、包容性和开放性。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default"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（一）打造校地协同育人的发展高地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highlight w:val="none"/>
          <w:u w:val="none"/>
          <w:lang w:eastAsia="zh-CN"/>
        </w:rPr>
      </w:pPr>
      <w:r>
        <w:rPr>
          <w:rFonts w:hint="eastAsia" w:ascii="仿宋_GB2312" w:hAnsi="仿宋_GB2312" w:eastAsia="仿宋_GB2312" w:cs="仿宋_GB2312"/>
          <w:bCs/>
          <w:sz w:val="32"/>
          <w:szCs w:val="32"/>
          <w:highlight w:val="none"/>
          <w:u w:val="none"/>
        </w:rPr>
        <w:t>充分依托驻区优质高等教育资源，强化属地服务保障与配套支持</w:t>
      </w:r>
      <w:r>
        <w:rPr>
          <w:rFonts w:hint="eastAsia" w:ascii="仿宋_GB2312" w:hAnsi="仿宋_GB2312" w:eastAsia="仿宋_GB2312" w:cs="仿宋_GB2312"/>
          <w:bCs/>
          <w:sz w:val="32"/>
          <w:szCs w:val="32"/>
          <w:highlight w:val="none"/>
          <w:u w:val="none"/>
          <w:lang w:eastAsia="zh-CN"/>
        </w:rPr>
        <w:t>，</w:t>
      </w:r>
      <w:r>
        <w:rPr>
          <w:rFonts w:hint="eastAsia" w:ascii="仿宋_GB2312" w:hAnsi="仿宋_GB2312" w:eastAsia="仿宋_GB2312" w:cs="仿宋_GB2312"/>
          <w:bCs/>
          <w:sz w:val="32"/>
          <w:szCs w:val="32"/>
          <w:highlight w:val="none"/>
          <w:u w:val="none"/>
          <w:lang w:val="en-US" w:eastAsia="zh-CN"/>
        </w:rPr>
        <w:t>持续深化校地融合</w:t>
      </w:r>
      <w:r>
        <w:rPr>
          <w:rFonts w:hint="eastAsia" w:ascii="仿宋_GB2312" w:hAnsi="仿宋_GB2312" w:eastAsia="仿宋_GB2312" w:cs="仿宋_GB2312"/>
          <w:bCs/>
          <w:sz w:val="32"/>
          <w:szCs w:val="32"/>
          <w:highlight w:val="none"/>
          <w:u w:val="none"/>
        </w:rPr>
        <w:t>。深化校地协同育人机制，加强与中国科学院大学等高校院所合作，共建高水平科技高中、科学实验班、联合实验室等创新平台，推动优质教育资源开放共享。充分发挥怀柔科学城创新资源集聚优势，用好大科学装置、交叉研究平台等科研资源，支持学校开发科技教育校本课程，引导中小学生走进科研一线，推动科技资源向教育资源转化。</w:t>
      </w:r>
      <w:r>
        <w:rPr>
          <w:rFonts w:hint="eastAsia" w:ascii="仿宋_GB2312" w:hAnsi="仿宋_GB2312" w:eastAsia="仿宋_GB2312" w:cs="仿宋_GB2312"/>
          <w:bCs/>
          <w:sz w:val="32"/>
          <w:szCs w:val="32"/>
          <w:highlight w:val="none"/>
          <w:u w:val="none"/>
          <w:lang w:val="en-US" w:eastAsia="zh-CN"/>
        </w:rPr>
        <w:t>深入</w:t>
      </w:r>
      <w:r>
        <w:rPr>
          <w:rFonts w:hint="eastAsia" w:ascii="仿宋_GB2312" w:hAnsi="仿宋_GB2312" w:eastAsia="仿宋_GB2312" w:cs="仿宋_GB2312"/>
          <w:bCs/>
          <w:sz w:val="32"/>
          <w:szCs w:val="32"/>
          <w:highlight w:val="none"/>
          <w:u w:val="none"/>
        </w:rPr>
        <w:t>实施“国槐计划”，完善科技副校长储备与选聘机制，持续选聘千名硕博研究生及优秀本科生担任中小学科技班主任，强化</w:t>
      </w:r>
      <w:r>
        <w:rPr>
          <w:rFonts w:hint="eastAsia" w:ascii="仿宋_GB2312" w:hAnsi="仿宋_GB2312" w:eastAsia="仿宋_GB2312" w:cs="仿宋_GB2312"/>
          <w:bCs/>
          <w:sz w:val="32"/>
          <w:szCs w:val="32"/>
          <w:highlight w:val="none"/>
          <w:u w:val="none"/>
          <w:lang w:val="en-US" w:eastAsia="zh-CN"/>
        </w:rPr>
        <w:t>怀柔</w:t>
      </w:r>
      <w:r>
        <w:rPr>
          <w:rFonts w:hint="eastAsia" w:ascii="仿宋_GB2312" w:hAnsi="仿宋_GB2312" w:eastAsia="仿宋_GB2312" w:cs="仿宋_GB2312"/>
          <w:bCs/>
          <w:sz w:val="32"/>
          <w:szCs w:val="32"/>
          <w:highlight w:val="none"/>
          <w:u w:val="none"/>
        </w:rPr>
        <w:t>科学城科研资源对青少年科学教育的支撑作用。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（二）构建产教融合的职业教育体系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color w:val="auto"/>
          <w:sz w:val="32"/>
          <w:szCs w:val="32"/>
          <w:highlight w:val="none"/>
          <w:u w:val="none"/>
          <w:lang w:eastAsia="zh-CN"/>
        </w:rPr>
      </w:pPr>
      <w:r>
        <w:rPr>
          <w:rFonts w:hint="eastAsia" w:ascii="仿宋_GB2312" w:hAnsi="仿宋_GB2312" w:eastAsia="仿宋_GB2312" w:cs="Times New Roman"/>
          <w:color w:val="auto"/>
          <w:sz w:val="32"/>
          <w:szCs w:val="32"/>
          <w:highlight w:val="none"/>
          <w:u w:val="none"/>
        </w:rPr>
        <w:t>紧扣“一城两都”建设和“4410”现代化产业体系需求，建设高水平职业学校</w:t>
      </w:r>
      <w:r>
        <w:rPr>
          <w:rFonts w:hint="eastAsia" w:ascii="仿宋_GB2312" w:hAnsi="仿宋_GB2312" w:eastAsia="仿宋_GB2312" w:cs="Times New Roman"/>
          <w:color w:val="auto"/>
          <w:sz w:val="32"/>
          <w:szCs w:val="32"/>
          <w:highlight w:val="none"/>
          <w:u w:val="none"/>
          <w:lang w:eastAsia="zh-CN"/>
        </w:rPr>
        <w:t>，</w:t>
      </w:r>
      <w:r>
        <w:rPr>
          <w:rFonts w:hint="eastAsia" w:ascii="仿宋_GB2312" w:hAnsi="仿宋_GB2312" w:eastAsia="仿宋_GB2312" w:cs="Times New Roman"/>
          <w:color w:val="auto"/>
          <w:sz w:val="32"/>
          <w:szCs w:val="32"/>
          <w:highlight w:val="none"/>
          <w:u w:val="none"/>
        </w:rPr>
        <w:t>推动职业教育与区域产业发展深度融合。</w:t>
      </w:r>
      <w:r>
        <w:rPr>
          <w:rFonts w:hint="eastAsia" w:ascii="仿宋_GB2312" w:hAnsi="仿宋_GB2312" w:eastAsia="仿宋_GB2312" w:cs="Times New Roman"/>
          <w:b w:val="0"/>
          <w:bCs w:val="0"/>
          <w:color w:val="auto"/>
          <w:sz w:val="32"/>
          <w:szCs w:val="32"/>
          <w:highlight w:val="none"/>
          <w:u w:val="none"/>
        </w:rPr>
        <w:t>提升职业学校办学能力，</w:t>
      </w:r>
      <w:r>
        <w:rPr>
          <w:rFonts w:hint="eastAsia" w:ascii="仿宋_GB2312" w:hAnsi="仿宋_GB2312" w:eastAsia="仿宋_GB2312" w:cs="Times New Roman"/>
          <w:color w:val="auto"/>
          <w:sz w:val="32"/>
          <w:szCs w:val="32"/>
          <w:highlight w:val="none"/>
          <w:u w:val="none"/>
        </w:rPr>
        <w:t>围绕</w:t>
      </w:r>
      <w:r>
        <w:rPr>
          <w:rFonts w:hint="eastAsia" w:ascii="仿宋_GB2312" w:hAnsi="仿宋_GB2312" w:eastAsia="仿宋_GB2312" w:cs="Times New Roman"/>
          <w:color w:val="auto"/>
          <w:sz w:val="32"/>
          <w:szCs w:val="32"/>
          <w:highlight w:val="none"/>
          <w:u w:val="none"/>
          <w:lang w:val="en-US" w:eastAsia="zh-CN"/>
        </w:rPr>
        <w:t>怀柔</w:t>
      </w:r>
      <w:r>
        <w:rPr>
          <w:rFonts w:hint="eastAsia" w:ascii="仿宋_GB2312" w:hAnsi="仿宋_GB2312" w:eastAsia="仿宋_GB2312" w:cs="Times New Roman"/>
          <w:color w:val="auto"/>
          <w:sz w:val="32"/>
          <w:szCs w:val="32"/>
          <w:highlight w:val="none"/>
          <w:u w:val="none"/>
        </w:rPr>
        <w:t>科学城科研辅助、技术支撑等重点领域，动态调整专业布局，打造2</w:t>
      </w:r>
      <w:r>
        <w:rPr>
          <w:rFonts w:hint="eastAsia" w:ascii="仿宋_GB2312" w:hAnsi="仿宋_GB2312" w:eastAsia="仿宋_GB2312" w:cs="Times New Roman"/>
          <w:color w:val="auto"/>
          <w:sz w:val="32"/>
          <w:szCs w:val="32"/>
          <w:highlight w:val="none"/>
          <w:u w:val="none"/>
          <w:lang w:eastAsia="zh-CN"/>
        </w:rPr>
        <w:t>-</w:t>
      </w:r>
      <w:r>
        <w:rPr>
          <w:rFonts w:hint="eastAsia" w:ascii="仿宋_GB2312" w:hAnsi="仿宋_GB2312" w:eastAsia="仿宋_GB2312" w:cs="Times New Roman"/>
          <w:color w:val="auto"/>
          <w:sz w:val="32"/>
          <w:szCs w:val="32"/>
          <w:highlight w:val="none"/>
          <w:u w:val="none"/>
        </w:rPr>
        <w:t>3个深度对接区域产业的高水平专业群</w:t>
      </w:r>
      <w:r>
        <w:rPr>
          <w:rFonts w:hint="eastAsia" w:ascii="仿宋_GB2312" w:hAnsi="仿宋_GB2312" w:eastAsia="仿宋_GB2312" w:cs="Times New Roman"/>
          <w:color w:val="auto"/>
          <w:sz w:val="32"/>
          <w:szCs w:val="32"/>
          <w:highlight w:val="none"/>
          <w:u w:val="none"/>
          <w:lang w:eastAsia="zh-CN"/>
        </w:rPr>
        <w:t>。</w:t>
      </w:r>
      <w:r>
        <w:rPr>
          <w:rFonts w:hint="eastAsia" w:ascii="仿宋_GB2312" w:hAnsi="仿宋_GB2312" w:eastAsia="仿宋_GB2312" w:cs="Times New Roman"/>
          <w:color w:val="auto"/>
          <w:sz w:val="32"/>
          <w:szCs w:val="32"/>
          <w:highlight w:val="none"/>
          <w:u w:val="none"/>
        </w:rPr>
        <w:t>探索京北职业学院升本路径</w:t>
      </w:r>
      <w:r>
        <w:rPr>
          <w:rFonts w:hint="eastAsia" w:ascii="仿宋_GB2312" w:hAnsi="仿宋_GB2312" w:eastAsia="仿宋_GB2312" w:cs="Times New Roman"/>
          <w:color w:val="auto"/>
          <w:sz w:val="32"/>
          <w:szCs w:val="32"/>
          <w:highlight w:val="none"/>
          <w:u w:val="none"/>
          <w:lang w:eastAsia="zh-CN"/>
        </w:rPr>
        <w:t>，</w:t>
      </w:r>
      <w:r>
        <w:rPr>
          <w:rFonts w:hint="eastAsia" w:ascii="仿宋_GB2312" w:hAnsi="仿宋_GB2312" w:eastAsia="仿宋_GB2312" w:cs="Times New Roman"/>
          <w:b w:val="0"/>
          <w:bCs w:val="0"/>
          <w:color w:val="auto"/>
          <w:sz w:val="32"/>
          <w:szCs w:val="32"/>
          <w:highlight w:val="none"/>
          <w:u w:val="none"/>
          <w:lang w:val="en-US" w:eastAsia="zh-CN"/>
        </w:rPr>
        <w:t>提升人才培养能力</w:t>
      </w:r>
      <w:r>
        <w:rPr>
          <w:rFonts w:hint="eastAsia" w:ascii="仿宋_GB2312" w:hAnsi="仿宋_GB2312" w:eastAsia="仿宋_GB2312" w:cs="Times New Roman"/>
          <w:color w:val="auto"/>
          <w:sz w:val="32"/>
          <w:szCs w:val="32"/>
          <w:highlight w:val="none"/>
          <w:u w:val="none"/>
        </w:rPr>
        <w:t>。深化职普融通和产教融合，探索中国特色学徒制，支持产业学院、工匠学院、产教融合实践中心、共性技术研发平台建设，推动职业教育资源向怀柔科学城产业链融合。完善技能人才培养体系，注重学生工作经验积累和实践能力培养，推进</w:t>
      </w:r>
      <w:r>
        <w:rPr>
          <w:rFonts w:hint="eastAsia" w:ascii="仿宋_GB2312" w:hAnsi="仿宋_GB2312" w:eastAsia="仿宋_GB2312" w:cs="Times New Roman"/>
          <w:color w:val="auto"/>
          <w:sz w:val="32"/>
          <w:szCs w:val="32"/>
          <w:highlight w:val="none"/>
          <w:u w:val="none"/>
          <w:lang w:eastAsia="zh-CN"/>
        </w:rPr>
        <w:t>“</w:t>
      </w:r>
      <w:r>
        <w:rPr>
          <w:rFonts w:hint="eastAsia" w:ascii="仿宋_GB2312" w:hAnsi="仿宋_GB2312" w:eastAsia="仿宋_GB2312" w:cs="Times New Roman"/>
          <w:color w:val="auto"/>
          <w:sz w:val="32"/>
          <w:szCs w:val="32"/>
          <w:highlight w:val="none"/>
          <w:u w:val="none"/>
        </w:rPr>
        <w:t>职技融通</w:t>
      </w:r>
      <w:r>
        <w:rPr>
          <w:rFonts w:hint="eastAsia" w:ascii="仿宋_GB2312" w:hAnsi="仿宋_GB2312" w:eastAsia="仿宋_GB2312" w:cs="Times New Roman"/>
          <w:color w:val="auto"/>
          <w:sz w:val="32"/>
          <w:szCs w:val="32"/>
          <w:highlight w:val="none"/>
          <w:u w:val="none"/>
          <w:lang w:eastAsia="zh-CN"/>
        </w:rPr>
        <w:t>”</w:t>
      </w:r>
      <w:r>
        <w:rPr>
          <w:rFonts w:hint="eastAsia" w:ascii="仿宋_GB2312" w:hAnsi="仿宋_GB2312" w:eastAsia="仿宋_GB2312" w:cs="Times New Roman"/>
          <w:color w:val="auto"/>
          <w:sz w:val="32"/>
          <w:szCs w:val="32"/>
          <w:highlight w:val="none"/>
          <w:u w:val="none"/>
        </w:rPr>
        <w:t>，将职业学校在校生逐步纳入职业技能等级认定体系，加快构建职普融通、产教融合的职业教育体系，为区域主导产业和科技创新提供技能人才保障</w:t>
      </w:r>
      <w:r>
        <w:rPr>
          <w:rFonts w:hint="eastAsia" w:ascii="仿宋_GB2312" w:hAnsi="仿宋_GB2312" w:eastAsia="仿宋_GB2312" w:cs="Times New Roman"/>
          <w:color w:val="auto"/>
          <w:sz w:val="32"/>
          <w:szCs w:val="32"/>
          <w:highlight w:val="none"/>
          <w:u w:val="none"/>
          <w:lang w:eastAsia="zh-CN"/>
        </w:rPr>
        <w:t>。</w:t>
      </w:r>
      <w:r>
        <w:rPr>
          <w:rFonts w:hint="eastAsia" w:ascii="仿宋_GB2312" w:hAnsi="仿宋_GB2312" w:eastAsia="仿宋_GB2312" w:cs="Times New Roman"/>
          <w:color w:val="auto"/>
          <w:sz w:val="32"/>
          <w:szCs w:val="32"/>
          <w:highlight w:val="none"/>
          <w:u w:val="none"/>
        </w:rPr>
        <w:t>拓展职业教育的社会服务功能，做强怀柔工匠学院、应急救护培训基地，开展</w:t>
      </w:r>
      <w:r>
        <w:rPr>
          <w:rFonts w:hint="eastAsia" w:ascii="仿宋_GB2312" w:hAnsi="仿宋_GB2312" w:eastAsia="仿宋_GB2312" w:cs="Times New Roman"/>
          <w:color w:val="auto"/>
          <w:sz w:val="32"/>
          <w:szCs w:val="32"/>
          <w:highlight w:val="none"/>
          <w:u w:val="none"/>
          <w:lang w:val="en-US" w:eastAsia="zh-CN"/>
        </w:rPr>
        <w:t>多元化</w:t>
      </w:r>
      <w:r>
        <w:rPr>
          <w:rFonts w:hint="eastAsia" w:ascii="仿宋_GB2312" w:hAnsi="仿宋_GB2312" w:eastAsia="仿宋_GB2312" w:cs="Times New Roman"/>
          <w:color w:val="auto"/>
          <w:sz w:val="32"/>
          <w:szCs w:val="32"/>
          <w:highlight w:val="none"/>
          <w:u w:val="none"/>
        </w:rPr>
        <w:t>社会培训</w:t>
      </w:r>
      <w:r>
        <w:rPr>
          <w:rFonts w:hint="eastAsia" w:ascii="仿宋_GB2312" w:hAnsi="仿宋_GB2312" w:eastAsia="仿宋_GB2312" w:cs="Times New Roman"/>
          <w:color w:val="auto"/>
          <w:sz w:val="32"/>
          <w:szCs w:val="32"/>
          <w:highlight w:val="none"/>
          <w:u w:val="none"/>
          <w:lang w:eastAsia="zh-CN"/>
        </w:rPr>
        <w:t>，提升职业教育支撑区域发展的保障能力。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default"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（三）提升高品质国际教育发展水平</w:t>
      </w:r>
    </w:p>
    <w:p>
      <w:pPr>
        <w:numPr>
          <w:ilvl w:val="0"/>
          <w:numId w:val="0"/>
        </w:numPr>
        <w:spacing w:line="560" w:lineRule="exact"/>
        <w:ind w:firstLine="640" w:firstLineChars="200"/>
        <w:outlineLvl w:val="9"/>
        <w:rPr>
          <w:rFonts w:hint="eastAsia" w:ascii="仿宋_GB2312" w:hAnsi="仿宋_GB2312" w:eastAsia="仿宋_GB2312" w:cs="仿宋_GB2312"/>
          <w:b w:val="0"/>
          <w:bCs w:val="0"/>
          <w:sz w:val="32"/>
          <w:szCs w:val="32"/>
          <w:highlight w:val="none"/>
          <w:u w:val="none"/>
          <w:lang w:val="en-US" w:eastAsia="zh-CN"/>
        </w:rPr>
      </w:pPr>
      <w:r>
        <w:rPr>
          <w:rFonts w:hint="default" w:ascii="仿宋_GB2312" w:hAnsi="仿宋_GB2312" w:eastAsia="仿宋_GB2312" w:cs="仿宋_GB2312"/>
          <w:b w:val="0"/>
          <w:bCs w:val="0"/>
          <w:sz w:val="32"/>
          <w:szCs w:val="32"/>
          <w:highlight w:val="none"/>
          <w:u w:val="none"/>
          <w:lang w:val="en-US" w:eastAsia="zh-CN"/>
        </w:rPr>
        <w:t>围绕怀柔科学城建设和高层次人才集聚需求，加快构建</w:t>
      </w:r>
      <w:r>
        <w:rPr>
          <w:rFonts w:hint="eastAsia" w:ascii="仿宋_GB2312" w:hAnsi="仿宋_GB2312" w:eastAsia="仿宋_GB2312" w:cs="仿宋_GB2312"/>
          <w:b w:val="0"/>
          <w:bCs w:val="0"/>
          <w:sz w:val="32"/>
          <w:szCs w:val="32"/>
          <w:highlight w:val="none"/>
          <w:u w:val="none"/>
          <w:lang w:val="en-US" w:eastAsia="zh-CN"/>
        </w:rPr>
        <w:t>高品质</w:t>
      </w:r>
      <w:r>
        <w:rPr>
          <w:rFonts w:hint="default" w:ascii="仿宋_GB2312" w:hAnsi="仿宋_GB2312" w:eastAsia="仿宋_GB2312" w:cs="仿宋_GB2312"/>
          <w:b w:val="0"/>
          <w:bCs w:val="0"/>
          <w:sz w:val="32"/>
          <w:szCs w:val="32"/>
          <w:highlight w:val="none"/>
          <w:u w:val="none"/>
          <w:lang w:val="en-US" w:eastAsia="zh-CN"/>
        </w:rPr>
        <w:t>国际教育。推动科学城第三幼儿园国际部投用，助力北京一零一中怀柔科学城学校国际部发展，</w:t>
      </w:r>
      <w:r>
        <w:rPr>
          <w:rFonts w:hint="eastAsia" w:ascii="仿宋_GB2312" w:hAnsi="仿宋_GB2312" w:eastAsia="仿宋_GB2312" w:cs="仿宋_GB2312"/>
          <w:b w:val="0"/>
          <w:bCs w:val="0"/>
          <w:sz w:val="32"/>
          <w:szCs w:val="32"/>
          <w:highlight w:val="none"/>
          <w:u w:val="none"/>
          <w:lang w:val="en-US" w:eastAsia="zh-CN"/>
        </w:rPr>
        <w:t>支持怀柔二中外国语学校小语种特色办学，</w:t>
      </w:r>
      <w:r>
        <w:rPr>
          <w:rFonts w:hint="eastAsia" w:ascii="仿宋_GB2312" w:hAnsi="仿宋_GB2312" w:eastAsia="仿宋_GB2312" w:cs="仿宋_GB2312"/>
          <w:sz w:val="32"/>
          <w:szCs w:val="32"/>
          <w:highlight w:val="none"/>
          <w:u w:val="none"/>
        </w:rPr>
        <w:t>支持青苗学校深化国际化教育实践</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支持怀柔区具备条件的学校</w:t>
      </w:r>
      <w:r>
        <w:rPr>
          <w:rFonts w:hint="eastAsia" w:ascii="仿宋_GB2312" w:hAnsi="仿宋_GB2312" w:eastAsia="仿宋_GB2312" w:cs="仿宋_GB2312"/>
          <w:sz w:val="32"/>
          <w:szCs w:val="32"/>
          <w:highlight w:val="none"/>
          <w:u w:val="none"/>
          <w:lang w:val="en-US" w:eastAsia="zh-CN"/>
        </w:rPr>
        <w:t>引进外籍教师</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b w:val="0"/>
          <w:bCs w:val="0"/>
          <w:sz w:val="32"/>
          <w:szCs w:val="32"/>
          <w:highlight w:val="none"/>
          <w:u w:val="none"/>
          <w:lang w:val="en-US" w:eastAsia="zh-CN"/>
        </w:rPr>
        <w:t>积极争取一所高水平国际双语学校落地怀柔，逐步形成覆盖幼儿园、中小学等不同学段的多元化国际教育格局。深化国际教育交流合作，推动国际名校来怀办学和开展交流合作。完善双语教学、国际课程认证、外籍教师引进等全链条服务体系。提升国际教育品质与国际认可度，更好满足科研人员子女和国际化人才等群体多样化教育需求，打造与怀柔科学城发展相适应的国际教育服务体系。到2030年，实现开展国际教育的学校达到3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（四）</w:t>
      </w:r>
      <w:r>
        <w:rPr>
          <w:rFonts w:hint="eastAsia" w:ascii="仿宋_GB2312" w:hAnsi="仿宋_GB2312" w:eastAsia="楷体_GB2312" w:cs="楷体_GB2312"/>
          <w:sz w:val="32"/>
          <w:szCs w:val="32"/>
          <w:highlight w:val="none"/>
          <w:u w:val="none"/>
          <w:lang w:val="en-US" w:eastAsia="zh-CN"/>
        </w:rPr>
        <w:t>推进特殊教育普惠包容发展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以个性化教育为手段，以生活化教育为特色，以融入社会为目标，健全特殊教育体系，扩大优质资源供给。</w:t>
      </w:r>
      <w:r>
        <w:rPr>
          <w:rFonts w:hint="eastAsia" w:ascii="仿宋_GB2312" w:hAnsi="仿宋_GB2312" w:eastAsia="仿宋_GB2312" w:cs="仿宋_GB2312"/>
          <w:b w:val="0"/>
          <w:bCs w:val="0"/>
          <w:sz w:val="32"/>
          <w:szCs w:val="32"/>
          <w:highlight w:val="none"/>
          <w:u w:val="none"/>
        </w:rPr>
        <w:t>聚焦提升特殊教育质量，推进普特融合发展。优化办学条件，完成普通学校无障碍标准化改造及资源教室更新。</w:t>
      </w:r>
      <w:r>
        <w:rPr>
          <w:rFonts w:hint="eastAsia" w:ascii="仿宋_GB2312" w:hAnsi="仿宋_GB2312" w:eastAsia="仿宋_GB2312" w:cs="仿宋_GB2312"/>
          <w:b w:val="0"/>
          <w:bCs w:val="0"/>
          <w:sz w:val="32"/>
          <w:szCs w:val="32"/>
          <w:highlight w:val="none"/>
          <w:u w:val="none"/>
          <w:lang w:val="en-US" w:eastAsia="zh-CN"/>
        </w:rPr>
        <w:t>完善特殊学校</w:t>
      </w:r>
      <w:r>
        <w:rPr>
          <w:rFonts w:hint="eastAsia" w:ascii="仿宋_GB2312" w:hAnsi="仿宋_GB2312" w:eastAsia="仿宋_GB2312" w:cs="仿宋_GB2312"/>
          <w:b w:val="0"/>
          <w:bCs w:val="0"/>
          <w:sz w:val="32"/>
          <w:szCs w:val="32"/>
          <w:highlight w:val="none"/>
          <w:u w:val="none"/>
          <w:lang w:eastAsia="zh-CN"/>
        </w:rPr>
        <w:t>康复教室</w:t>
      </w:r>
      <w:r>
        <w:rPr>
          <w:rFonts w:hint="eastAsia" w:ascii="仿宋_GB2312" w:hAnsi="仿宋_GB2312" w:eastAsia="仿宋_GB2312" w:cs="仿宋_GB2312"/>
          <w:b w:val="0"/>
          <w:bCs w:val="0"/>
          <w:sz w:val="32"/>
          <w:szCs w:val="32"/>
          <w:highlight w:val="none"/>
          <w:u w:val="none"/>
          <w:lang w:val="en-US" w:eastAsia="zh-CN"/>
        </w:rPr>
        <w:t>功能</w:t>
      </w:r>
      <w:r>
        <w:rPr>
          <w:rFonts w:hint="eastAsia" w:ascii="仿宋_GB2312" w:hAnsi="仿宋_GB2312" w:eastAsia="仿宋_GB2312" w:cs="仿宋_GB2312"/>
          <w:b w:val="0"/>
          <w:bCs w:val="0"/>
          <w:sz w:val="32"/>
          <w:szCs w:val="32"/>
          <w:highlight w:val="none"/>
          <w:u w:val="none"/>
          <w:lang w:eastAsia="zh-CN"/>
        </w:rPr>
        <w:t>，系统开展康复支持与个性化教育服务，满足特殊儿童康复和学习需求。</w:t>
      </w:r>
      <w:r>
        <w:rPr>
          <w:rFonts w:hint="eastAsia" w:ascii="仿宋_GB2312" w:hAnsi="仿宋_GB2312" w:eastAsia="仿宋_GB2312" w:cs="仿宋_GB2312"/>
          <w:sz w:val="32"/>
          <w:szCs w:val="32"/>
          <w:highlight w:val="none"/>
          <w:u w:val="none"/>
        </w:rPr>
        <w:t>推动特殊教育学校和普通学校结对帮扶共建</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b w:val="0"/>
          <w:bCs w:val="0"/>
          <w:sz w:val="32"/>
          <w:szCs w:val="32"/>
          <w:highlight w:val="none"/>
          <w:u w:val="none"/>
          <w:lang w:val="en-US" w:eastAsia="zh-CN"/>
        </w:rPr>
        <w:t>促进</w:t>
      </w:r>
      <w:r>
        <w:rPr>
          <w:rFonts w:hint="eastAsia" w:ascii="仿宋_GB2312" w:hAnsi="仿宋_GB2312" w:eastAsia="仿宋_GB2312" w:cs="仿宋_GB2312"/>
          <w:b w:val="0"/>
          <w:bCs w:val="0"/>
          <w:sz w:val="32"/>
          <w:szCs w:val="32"/>
          <w:highlight w:val="none"/>
          <w:u w:val="none"/>
        </w:rPr>
        <w:t>特殊教育与普通教育的深度融合</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lang w:val="en-US" w:eastAsia="zh-CN"/>
        </w:rPr>
        <w:t>完善发展性评价体系，构建本土特色校本课程与实践基地，建立社会协同机制，广泛动员各方参与特教服务</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bCs w:val="0"/>
          <w:sz w:val="32"/>
          <w:szCs w:val="32"/>
          <w:highlight w:val="none"/>
          <w:u w:val="none"/>
          <w:lang w:val="en-US" w:eastAsia="zh-CN"/>
        </w:rPr>
        <w:t>营造良好融合氛围。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（五）优化全民终身学习服务质量</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sz w:val="32"/>
          <w:szCs w:val="32"/>
          <w:highlight w:val="none"/>
          <w:u w:val="none"/>
          <w:lang w:val="en-US" w:eastAsia="zh-CN"/>
        </w:rPr>
        <w:t>推进学习型城市建设，提升终身学习公共服务水平。依托</w:t>
      </w:r>
      <w:r>
        <w:rPr>
          <w:rFonts w:hint="eastAsia" w:ascii="仿宋_GB2312" w:hAnsi="仿宋_GB2312" w:eastAsia="仿宋_GB2312" w:cs="仿宋_GB2312"/>
          <w:b w:val="0"/>
          <w:sz w:val="32"/>
          <w:szCs w:val="32"/>
          <w:highlight w:val="none"/>
          <w:u w:val="none"/>
        </w:rPr>
        <w:t>怀柔区社区教育中心</w:t>
      </w: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lang w:val="en-US" w:eastAsia="zh-CN"/>
        </w:rPr>
        <w:t>加强社区教育队伍建设，提升社区教育教科研水平，</w:t>
      </w:r>
      <w:r>
        <w:rPr>
          <w:rFonts w:hint="eastAsia" w:ascii="仿宋_GB2312" w:hAnsi="仿宋_GB2312" w:eastAsia="仿宋_GB2312" w:cs="仿宋_GB2312"/>
          <w:b w:val="0"/>
          <w:sz w:val="32"/>
          <w:szCs w:val="32"/>
          <w:highlight w:val="none"/>
          <w:u w:val="none"/>
          <w:lang w:eastAsia="zh-CN"/>
        </w:rPr>
        <w:t>整合优质资源，因地制宜开发推广系列公益课程，</w:t>
      </w:r>
      <w:r>
        <w:rPr>
          <w:rFonts w:hint="eastAsia" w:ascii="仿宋_GB2312" w:hAnsi="仿宋_GB2312" w:eastAsia="仿宋_GB2312" w:cs="仿宋_GB2312"/>
          <w:b w:val="0"/>
          <w:sz w:val="32"/>
          <w:szCs w:val="32"/>
          <w:highlight w:val="none"/>
          <w:u w:val="none"/>
          <w:lang w:val="en-US" w:eastAsia="zh-CN"/>
        </w:rPr>
        <w:t>持续优化茶艺、书画、家政养老类体验课程，深化民宿民俗、种植养殖、手工编织、家庭教育等课程体系，</w:t>
      </w:r>
      <w:r>
        <w:rPr>
          <w:rFonts w:hint="eastAsia" w:ascii="仿宋_GB2312" w:hAnsi="仿宋_GB2312" w:eastAsia="仿宋_GB2312" w:cs="仿宋_GB2312"/>
          <w:b w:val="0"/>
          <w:sz w:val="32"/>
          <w:szCs w:val="32"/>
          <w:highlight w:val="none"/>
          <w:u w:val="none"/>
        </w:rPr>
        <w:t>着力构建资源共享、特色鲜明的终身教育体系</w:t>
      </w:r>
      <w:r>
        <w:rPr>
          <w:rFonts w:hint="eastAsia" w:ascii="仿宋_GB2312" w:hAnsi="仿宋_GB2312" w:eastAsia="仿宋_GB2312" w:cs="仿宋_GB2312"/>
          <w:b w:val="0"/>
          <w:sz w:val="32"/>
          <w:szCs w:val="32"/>
          <w:highlight w:val="none"/>
          <w:u w:val="none"/>
          <w:lang w:eastAsia="zh-CN"/>
        </w:rPr>
        <w:t>。推动社区教育</w:t>
      </w:r>
      <w:r>
        <w:rPr>
          <w:rFonts w:hint="eastAsia" w:ascii="仿宋_GB2312" w:hAnsi="仿宋_GB2312" w:eastAsia="仿宋_GB2312" w:cs="仿宋_GB2312"/>
          <w:b w:val="0"/>
          <w:sz w:val="32"/>
          <w:szCs w:val="32"/>
          <w:highlight w:val="none"/>
          <w:u w:val="none"/>
          <w:lang w:val="en-US" w:eastAsia="zh-CN"/>
        </w:rPr>
        <w:t>与文化馆、图书馆、博物馆等</w:t>
      </w:r>
      <w:r>
        <w:rPr>
          <w:rFonts w:hint="eastAsia" w:ascii="仿宋_GB2312" w:hAnsi="仿宋_GB2312" w:eastAsia="仿宋_GB2312" w:cs="仿宋_GB2312"/>
          <w:b w:val="0"/>
          <w:sz w:val="32"/>
          <w:szCs w:val="32"/>
          <w:highlight w:val="none"/>
          <w:u w:val="none"/>
          <w:lang w:eastAsia="zh-CN"/>
        </w:rPr>
        <w:t>公共设施资源有机结合，</w:t>
      </w:r>
      <w:r>
        <w:rPr>
          <w:rFonts w:hint="eastAsia" w:ascii="仿宋_GB2312" w:hAnsi="仿宋_GB2312" w:eastAsia="仿宋_GB2312" w:cs="仿宋_GB2312"/>
          <w:b w:val="0"/>
          <w:sz w:val="32"/>
          <w:szCs w:val="32"/>
          <w:highlight w:val="none"/>
          <w:u w:val="none"/>
          <w:lang w:val="en-US" w:eastAsia="zh-CN"/>
        </w:rPr>
        <w:t>打造具有怀柔特色的社区教育品牌</w:t>
      </w:r>
      <w:r>
        <w:rPr>
          <w:rFonts w:hint="eastAsia" w:ascii="仿宋_GB2312" w:hAnsi="仿宋_GB2312" w:eastAsia="仿宋_GB2312" w:cs="仿宋_GB2312"/>
          <w:b w:val="0"/>
          <w:sz w:val="32"/>
          <w:szCs w:val="32"/>
          <w:highlight w:val="none"/>
          <w:u w:val="none"/>
        </w:rPr>
        <w:t>。办好</w:t>
      </w: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rPr>
        <w:t>家门口的老年课堂</w:t>
      </w: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rPr>
        <w:t>为老年人提供公益、普惠的课程</w:t>
      </w:r>
      <w:r>
        <w:rPr>
          <w:rFonts w:hint="eastAsia" w:ascii="仿宋_GB2312" w:hAnsi="仿宋_GB2312" w:eastAsia="仿宋_GB2312" w:cs="仿宋_GB2312"/>
          <w:b w:val="0"/>
          <w:sz w:val="32"/>
          <w:szCs w:val="32"/>
          <w:highlight w:val="none"/>
          <w:u w:val="none"/>
          <w:lang w:eastAsia="zh-CN"/>
        </w:rPr>
        <w:t>。</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default" w:ascii="仿宋_GB2312" w:hAnsi="仿宋_GB2312" w:eastAsia="黑体" w:cs="Times New Roman"/>
          <w:b w:val="0"/>
          <w:kern w:val="2"/>
          <w:sz w:val="32"/>
          <w:szCs w:val="32"/>
          <w:highlight w:val="none"/>
          <w:u w:val="none"/>
          <w:lang w:val="en-US" w:eastAsia="zh-CN" w:bidi="ar-SA"/>
        </w:rPr>
      </w:pPr>
      <w:bookmarkStart w:id="203" w:name="_Toc19020"/>
      <w:bookmarkStart w:id="204" w:name="_Toc25554"/>
      <w:bookmarkStart w:id="205" w:name="_Toc15636"/>
      <w:bookmarkStart w:id="206" w:name="_Toc233"/>
      <w:bookmarkStart w:id="207" w:name="_Toc22515"/>
      <w:bookmarkStart w:id="208" w:name="_Toc27477"/>
      <w:r>
        <w:rPr>
          <w:rFonts w:hint="eastAsia" w:ascii="仿宋_GB2312" w:hAnsi="仿宋_GB2312" w:eastAsia="黑体" w:cs="Times New Roman"/>
          <w:b w:val="0"/>
          <w:kern w:val="2"/>
          <w:sz w:val="32"/>
          <w:szCs w:val="32"/>
          <w:highlight w:val="none"/>
          <w:u w:val="none"/>
          <w:lang w:val="en-US" w:eastAsia="zh-CN" w:bidi="ar-SA"/>
        </w:rPr>
        <w:t>四、</w:t>
      </w:r>
      <w:bookmarkEnd w:id="197"/>
      <w:bookmarkEnd w:id="198"/>
      <w:r>
        <w:rPr>
          <w:rFonts w:hint="eastAsia" w:ascii="仿宋_GB2312" w:hAnsi="仿宋_GB2312" w:eastAsia="黑体" w:cs="Times New Roman"/>
          <w:b w:val="0"/>
          <w:kern w:val="2"/>
          <w:sz w:val="32"/>
          <w:szCs w:val="32"/>
          <w:highlight w:val="none"/>
          <w:u w:val="none"/>
          <w:lang w:val="en-US" w:eastAsia="zh-CN" w:bidi="ar-SA"/>
        </w:rPr>
        <w:t>大力提升</w:t>
      </w:r>
      <w:bookmarkEnd w:id="199"/>
      <w:bookmarkEnd w:id="200"/>
      <w:bookmarkEnd w:id="201"/>
      <w:bookmarkEnd w:id="202"/>
      <w:bookmarkEnd w:id="203"/>
      <w:bookmarkEnd w:id="204"/>
      <w:bookmarkEnd w:id="205"/>
      <w:r>
        <w:rPr>
          <w:rFonts w:hint="eastAsia" w:ascii="仿宋_GB2312" w:hAnsi="仿宋_GB2312" w:eastAsia="黑体" w:cs="Times New Roman"/>
          <w:b w:val="0"/>
          <w:kern w:val="2"/>
          <w:sz w:val="32"/>
          <w:szCs w:val="32"/>
          <w:highlight w:val="none"/>
          <w:u w:val="none"/>
          <w:lang w:val="en-US" w:eastAsia="zh-CN" w:bidi="ar-SA"/>
        </w:rPr>
        <w:t>师生综合素养</w:t>
      </w:r>
      <w:bookmarkEnd w:id="206"/>
      <w:bookmarkEnd w:id="207"/>
      <w:bookmarkEnd w:id="20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b w:val="0"/>
          <w:bCs w:val="0"/>
          <w:kern w:val="2"/>
          <w:sz w:val="32"/>
          <w:szCs w:val="32"/>
          <w:highlight w:val="none"/>
          <w:u w:val="none"/>
          <w:lang w:val="en-US" w:eastAsia="zh-CN" w:bidi="ar-SA"/>
        </w:rPr>
      </w:pPr>
      <w:r>
        <w:rPr>
          <w:rFonts w:hint="eastAsia" w:ascii="仿宋_GB2312" w:hAnsi="仿宋_GB2312" w:eastAsia="仿宋_GB2312" w:cs="仿宋_GB2312"/>
          <w:sz w:val="32"/>
          <w:szCs w:val="32"/>
          <w:highlight w:val="none"/>
          <w:u w:val="none"/>
        </w:rPr>
        <w:t>实施新时代立德树人工程，</w:t>
      </w:r>
      <w:r>
        <w:rPr>
          <w:rFonts w:hint="eastAsia" w:ascii="仿宋_GB2312" w:hAnsi="仿宋_GB2312" w:eastAsia="仿宋_GB2312" w:cs="仿宋_GB2312"/>
          <w:sz w:val="32"/>
          <w:szCs w:val="32"/>
          <w:highlight w:val="none"/>
          <w:u w:val="none"/>
          <w:lang w:eastAsia="zh-CN"/>
        </w:rPr>
        <w:t>深化以实践为特色的“大思政课”和大中小学思想政治教育一体化建设，</w:t>
      </w:r>
      <w:r>
        <w:rPr>
          <w:rFonts w:hint="eastAsia" w:ascii="仿宋_GB2312" w:hAnsi="仿宋_GB2312" w:eastAsia="仿宋_GB2312" w:cs="仿宋_GB2312"/>
          <w:sz w:val="32"/>
          <w:szCs w:val="32"/>
          <w:highlight w:val="none"/>
          <w:u w:val="none"/>
        </w:rPr>
        <w:t>提高教师专业化能力与素养，健全德智体美劳全面培养体系，</w:t>
      </w:r>
      <w:r>
        <w:rPr>
          <w:rFonts w:hint="eastAsia" w:ascii="仿宋_GB2312" w:hAnsi="仿宋_GB2312" w:eastAsia="仿宋_GB2312" w:cs="仿宋_GB2312"/>
          <w:sz w:val="32"/>
          <w:szCs w:val="32"/>
          <w:highlight w:val="none"/>
          <w:u w:val="none"/>
          <w:lang w:eastAsia="zh-CN"/>
        </w:rPr>
        <w:t>促进学生身心健康，</w:t>
      </w:r>
      <w:r>
        <w:rPr>
          <w:rFonts w:hint="eastAsia" w:ascii="仿宋_GB2312" w:hAnsi="仿宋_GB2312" w:eastAsia="仿宋_GB2312" w:cs="仿宋_GB2312"/>
          <w:sz w:val="32"/>
          <w:szCs w:val="32"/>
          <w:highlight w:val="none"/>
          <w:u w:val="none"/>
        </w:rPr>
        <w:t>积极构建</w:t>
      </w:r>
      <w:r>
        <w:rPr>
          <w:rFonts w:hint="eastAsia" w:ascii="仿宋_GB2312" w:hAnsi="仿宋_GB2312" w:eastAsia="仿宋_GB2312" w:cs="仿宋_GB2312"/>
          <w:sz w:val="32"/>
          <w:szCs w:val="32"/>
          <w:highlight w:val="none"/>
          <w:u w:val="none"/>
          <w:lang w:eastAsia="zh-CN"/>
        </w:rPr>
        <w:t>智慧</w:t>
      </w:r>
      <w:r>
        <w:rPr>
          <w:rFonts w:hint="eastAsia" w:ascii="仿宋_GB2312" w:hAnsi="仿宋_GB2312" w:eastAsia="仿宋_GB2312" w:cs="仿宋_GB2312"/>
          <w:sz w:val="32"/>
          <w:szCs w:val="32"/>
          <w:highlight w:val="none"/>
          <w:u w:val="none"/>
        </w:rPr>
        <w:t>教育体系。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kern w:val="2"/>
          <w:sz w:val="32"/>
          <w:szCs w:val="32"/>
          <w:highlight w:val="none"/>
          <w:u w:val="none"/>
          <w:lang w:val="en-US" w:eastAsia="zh-CN" w:bidi="ar-SA"/>
        </w:rPr>
        <w:t>（一）</w:t>
      </w:r>
      <w:r>
        <w:rPr>
          <w:rFonts w:hint="eastAsia" w:ascii="仿宋_GB2312" w:hAnsi="仿宋_GB2312" w:eastAsia="楷体_GB2312" w:cs="楷体_GB2312"/>
          <w:b w:val="0"/>
          <w:bCs w:val="0"/>
          <w:sz w:val="32"/>
          <w:szCs w:val="32"/>
          <w:highlight w:val="none"/>
          <w:u w:val="none"/>
          <w:lang w:val="en-US" w:eastAsia="zh-CN"/>
        </w:rPr>
        <w:t>塑造立德树人新格局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val="0"/>
          <w:color w:val="auto"/>
          <w:kern w:val="2"/>
          <w:sz w:val="32"/>
          <w:szCs w:val="32"/>
          <w:highlight w:val="none"/>
          <w:u w:val="none"/>
          <w:shd w:val="clear" w:color="auto" w:fill="auto"/>
          <w:lang w:val="en-US" w:eastAsia="zh-CN" w:bidi="ar-SA"/>
        </w:rPr>
      </w:pPr>
      <w:r>
        <w:rPr>
          <w:rFonts w:hint="eastAsia" w:ascii="仿宋_GB2312" w:hAnsi="仿宋_GB2312" w:eastAsia="仿宋_GB2312" w:cs="仿宋_GB2312"/>
          <w:sz w:val="32"/>
          <w:szCs w:val="32"/>
          <w:highlight w:val="none"/>
          <w:u w:val="none"/>
        </w:rPr>
        <w:t>健全德智体美劳培养体系</w:t>
      </w:r>
      <w:r>
        <w:rPr>
          <w:rFonts w:hint="eastAsia" w:ascii="仿宋_GB2312" w:hAnsi="仿宋_GB2312" w:eastAsia="仿宋_GB2312" w:cs="仿宋_GB2312"/>
          <w:b w:val="0"/>
          <w:bCs w:val="0"/>
          <w:sz w:val="32"/>
          <w:szCs w:val="32"/>
          <w:highlight w:val="none"/>
          <w:u w:val="none"/>
          <w:lang w:val="en-US" w:eastAsia="zh-CN"/>
        </w:rPr>
        <w:t>，全面提升学生综合素养。</w:t>
      </w:r>
      <w:r>
        <w:rPr>
          <w:rFonts w:hint="eastAsia" w:ascii="仿宋_GB2312" w:hAnsi="仿宋_GB2312" w:eastAsia="仿宋_GB2312" w:cs="仿宋_GB2312"/>
          <w:b w:val="0"/>
          <w:color w:val="auto"/>
          <w:kern w:val="2"/>
          <w:sz w:val="32"/>
          <w:szCs w:val="32"/>
          <w:highlight w:val="none"/>
          <w:u w:val="none"/>
          <w:shd w:val="clear" w:color="auto" w:fill="auto"/>
          <w:lang w:val="en-US" w:eastAsia="zh-CN" w:bidi="ar-SA"/>
        </w:rPr>
        <w:t>加强和改进学校思想政治教育，深化大中小学思想政治教育一体化改革创新试验区建设，</w:t>
      </w:r>
      <w:r>
        <w:rPr>
          <w:rFonts w:hint="eastAsia" w:ascii="仿宋_GB2312" w:hAnsi="仿宋_GB2312" w:eastAsia="仿宋_GB2312" w:cs="仿宋_GB2312"/>
          <w:color w:val="auto"/>
          <w:sz w:val="32"/>
          <w:szCs w:val="32"/>
          <w:highlight w:val="none"/>
          <w:u w:val="none"/>
          <w:shd w:val="clear" w:color="auto" w:fill="auto"/>
        </w:rPr>
        <w:t>构建具有怀柔特色的</w:t>
      </w:r>
      <w:r>
        <w:rPr>
          <w:rFonts w:hint="eastAsia" w:ascii="仿宋_GB2312" w:hAnsi="仿宋_GB2312" w:eastAsia="仿宋_GB2312" w:cs="仿宋_GB2312"/>
          <w:color w:val="auto"/>
          <w:sz w:val="32"/>
          <w:szCs w:val="32"/>
          <w:highlight w:val="none"/>
          <w:u w:val="none"/>
          <w:shd w:val="clear" w:color="auto" w:fill="auto"/>
          <w:lang w:eastAsia="zh-CN"/>
        </w:rPr>
        <w:t>“</w:t>
      </w:r>
      <w:r>
        <w:rPr>
          <w:rFonts w:hint="eastAsia" w:ascii="仿宋_GB2312" w:hAnsi="仿宋_GB2312" w:eastAsia="仿宋_GB2312" w:cs="仿宋_GB2312"/>
          <w:color w:val="auto"/>
          <w:sz w:val="32"/>
          <w:szCs w:val="32"/>
          <w:highlight w:val="none"/>
          <w:u w:val="none"/>
          <w:shd w:val="clear" w:color="auto" w:fill="auto"/>
        </w:rPr>
        <w:t>大思政课</w:t>
      </w:r>
      <w:r>
        <w:rPr>
          <w:rFonts w:hint="eastAsia" w:ascii="仿宋_GB2312" w:hAnsi="仿宋_GB2312" w:eastAsia="仿宋_GB2312" w:cs="仿宋_GB2312"/>
          <w:color w:val="auto"/>
          <w:sz w:val="32"/>
          <w:szCs w:val="32"/>
          <w:highlight w:val="none"/>
          <w:u w:val="none"/>
          <w:shd w:val="clear" w:color="auto" w:fill="auto"/>
          <w:lang w:eastAsia="zh-CN"/>
        </w:rPr>
        <w:t>”</w:t>
      </w:r>
      <w:r>
        <w:rPr>
          <w:rFonts w:hint="eastAsia" w:ascii="仿宋_GB2312" w:hAnsi="仿宋_GB2312" w:eastAsia="仿宋_GB2312" w:cs="仿宋_GB2312"/>
          <w:color w:val="auto"/>
          <w:sz w:val="32"/>
          <w:szCs w:val="32"/>
          <w:highlight w:val="none"/>
          <w:u w:val="none"/>
          <w:shd w:val="clear" w:color="auto" w:fill="auto"/>
        </w:rPr>
        <w:t>体系</w:t>
      </w:r>
      <w:r>
        <w:rPr>
          <w:rFonts w:hint="eastAsia" w:ascii="仿宋_GB2312" w:hAnsi="仿宋_GB2312" w:eastAsia="仿宋_GB2312" w:cs="仿宋_GB2312"/>
          <w:color w:val="auto"/>
          <w:sz w:val="32"/>
          <w:szCs w:val="32"/>
          <w:highlight w:val="none"/>
          <w:u w:val="none"/>
          <w:shd w:val="clear" w:color="auto" w:fill="auto"/>
          <w:lang w:eastAsia="zh-CN"/>
        </w:rPr>
        <w:t>。守护学生身心健康</w:t>
      </w:r>
      <w:r>
        <w:rPr>
          <w:rFonts w:hint="eastAsia" w:ascii="仿宋_GB2312" w:hAnsi="仿宋_GB2312" w:eastAsia="仿宋_GB2312" w:cs="仿宋_GB2312"/>
          <w:b w:val="0"/>
          <w:color w:val="auto"/>
          <w:kern w:val="2"/>
          <w:sz w:val="32"/>
          <w:szCs w:val="32"/>
          <w:highlight w:val="none"/>
          <w:u w:val="none"/>
          <w:shd w:val="clear" w:color="auto" w:fill="auto"/>
          <w:lang w:val="en-US" w:eastAsia="zh-CN" w:bidi="ar-SA"/>
        </w:rPr>
        <w:t>，</w:t>
      </w:r>
      <w:r>
        <w:rPr>
          <w:rFonts w:hint="eastAsia" w:ascii="仿宋_GB2312" w:hAnsi="仿宋_GB2312" w:eastAsia="仿宋_GB2312" w:cs="仿宋_GB2312"/>
          <w:b w:val="0"/>
          <w:bCs w:val="0"/>
          <w:sz w:val="32"/>
          <w:szCs w:val="32"/>
          <w:highlight w:val="none"/>
          <w:u w:val="none"/>
          <w:lang w:val="en-US" w:eastAsia="zh-CN"/>
        </w:rPr>
        <w:t>完善</w:t>
      </w:r>
      <w:r>
        <w:rPr>
          <w:rFonts w:hint="eastAsia" w:ascii="仿宋_GB2312" w:hAnsi="仿宋_GB2312" w:eastAsia="仿宋_GB2312" w:cs="仿宋_GB2312"/>
          <w:b w:val="0"/>
          <w:color w:val="auto"/>
          <w:kern w:val="2"/>
          <w:sz w:val="32"/>
          <w:szCs w:val="32"/>
          <w:highlight w:val="none"/>
          <w:u w:val="none"/>
          <w:shd w:val="clear" w:color="auto" w:fill="auto"/>
          <w:lang w:val="en-US" w:eastAsia="zh-CN" w:bidi="ar-SA"/>
        </w:rPr>
        <w:t>“大健康”教育格局，落实落细“身心健康二十条”“体育八条”，实施好“课间一刻钟”，</w:t>
      </w:r>
      <w:r>
        <w:rPr>
          <w:rFonts w:hint="eastAsia" w:ascii="仿宋_GB2312" w:hAnsi="仿宋_GB2312" w:eastAsia="仿宋_GB2312" w:cs="仿宋_GB2312"/>
          <w:color w:val="auto"/>
          <w:sz w:val="32"/>
          <w:szCs w:val="32"/>
          <w:highlight w:val="none"/>
          <w:u w:val="none"/>
          <w:shd w:val="clear" w:color="auto" w:fill="auto"/>
          <w:lang w:eastAsia="zh-CN"/>
        </w:rPr>
        <w:t>中小学生每天综合体育活动时间不低于</w:t>
      </w:r>
      <w:r>
        <w:rPr>
          <w:rFonts w:hint="eastAsia" w:ascii="仿宋_GB2312" w:hAnsi="仿宋_GB2312" w:eastAsia="仿宋_GB2312" w:cs="仿宋_GB2312"/>
          <w:color w:val="auto"/>
          <w:sz w:val="32"/>
          <w:szCs w:val="32"/>
          <w:highlight w:val="none"/>
          <w:u w:val="none"/>
          <w:shd w:val="clear" w:color="auto" w:fill="auto"/>
          <w:lang w:val="en-US" w:eastAsia="zh-CN"/>
        </w:rPr>
        <w:t>2小时</w:t>
      </w:r>
      <w:r>
        <w:rPr>
          <w:rFonts w:hint="eastAsia" w:ascii="仿宋_GB2312" w:hAnsi="仿宋_GB2312" w:eastAsia="仿宋_GB2312" w:cs="仿宋_GB2312"/>
          <w:color w:val="auto"/>
          <w:sz w:val="32"/>
          <w:szCs w:val="32"/>
          <w:highlight w:val="none"/>
          <w:u w:val="none"/>
          <w:shd w:val="clear" w:color="auto" w:fill="auto"/>
        </w:rPr>
        <w:t>，</w:t>
      </w:r>
      <w:r>
        <w:rPr>
          <w:rFonts w:hint="eastAsia" w:ascii="仿宋_GB2312" w:hAnsi="仿宋_GB2312" w:eastAsia="仿宋_GB2312" w:cs="仿宋_GB2312"/>
          <w:color w:val="auto"/>
          <w:sz w:val="32"/>
          <w:szCs w:val="32"/>
          <w:highlight w:val="none"/>
          <w:u w:val="none"/>
          <w:shd w:val="clear" w:color="auto" w:fill="auto"/>
          <w:lang w:eastAsia="zh-CN"/>
        </w:rPr>
        <w:t>强健学生体魄</w:t>
      </w:r>
      <w:r>
        <w:rPr>
          <w:rFonts w:hint="eastAsia" w:ascii="仿宋_GB2312" w:hAnsi="仿宋_GB2312" w:eastAsia="仿宋_GB2312" w:cs="仿宋_GB2312"/>
          <w:color w:val="auto"/>
          <w:sz w:val="32"/>
          <w:szCs w:val="32"/>
          <w:highlight w:val="none"/>
          <w:u w:val="none"/>
          <w:shd w:val="clear" w:color="auto" w:fill="auto"/>
        </w:rPr>
        <w:t>。</w:t>
      </w:r>
      <w:r>
        <w:rPr>
          <w:rFonts w:hint="eastAsia" w:ascii="仿宋_GB2312" w:hAnsi="仿宋_GB2312" w:eastAsia="仿宋_GB2312" w:cs="仿宋_GB2312"/>
          <w:color w:val="auto"/>
          <w:sz w:val="32"/>
          <w:szCs w:val="32"/>
          <w:highlight w:val="none"/>
          <w:u w:val="none"/>
          <w:shd w:val="clear" w:color="auto" w:fill="auto"/>
          <w:lang w:eastAsia="zh-CN"/>
        </w:rPr>
        <w:t>到2030年，实现中小学生体质健康测试达标优良率不低于8</w:t>
      </w:r>
      <w:r>
        <w:rPr>
          <w:rFonts w:hint="eastAsia" w:ascii="仿宋_GB2312" w:hAnsi="仿宋_GB2312" w:eastAsia="仿宋_GB2312" w:cs="仿宋_GB2312"/>
          <w:color w:val="auto"/>
          <w:sz w:val="32"/>
          <w:szCs w:val="32"/>
          <w:highlight w:val="none"/>
          <w:u w:val="none"/>
          <w:shd w:val="clear" w:color="auto" w:fill="auto"/>
          <w:lang w:val="en-US" w:eastAsia="zh-CN"/>
        </w:rPr>
        <w:t>3</w:t>
      </w:r>
      <w:r>
        <w:rPr>
          <w:rFonts w:hint="eastAsia" w:ascii="仿宋_GB2312" w:hAnsi="仿宋_GB2312" w:eastAsia="仿宋_GB2312" w:cs="仿宋_GB2312"/>
          <w:color w:val="auto"/>
          <w:sz w:val="32"/>
          <w:szCs w:val="32"/>
          <w:highlight w:val="none"/>
          <w:u w:val="none"/>
          <w:shd w:val="clear" w:color="auto" w:fill="auto"/>
          <w:lang w:eastAsia="zh-CN"/>
        </w:rPr>
        <w:t>%</w:t>
      </w:r>
      <w:r>
        <w:rPr>
          <w:rFonts w:hint="eastAsia" w:ascii="仿宋_GB2312" w:hAnsi="仿宋_GB2312" w:eastAsia="仿宋_GB2312" w:cs="仿宋_GB2312"/>
          <w:color w:val="auto"/>
          <w:sz w:val="32"/>
          <w:szCs w:val="32"/>
          <w:highlight w:val="none"/>
          <w:u w:val="none"/>
          <w:shd w:val="clear" w:color="auto" w:fill="auto"/>
          <w:lang w:val="en-US" w:eastAsia="zh-CN"/>
        </w:rPr>
        <w:t>。</w:t>
      </w:r>
      <w:r>
        <w:rPr>
          <w:rFonts w:hint="eastAsia" w:ascii="仿宋_GB2312" w:hAnsi="仿宋_GB2312" w:eastAsia="仿宋_GB2312" w:cs="仿宋_GB2312"/>
          <w:b w:val="0"/>
          <w:color w:val="auto"/>
          <w:kern w:val="2"/>
          <w:sz w:val="32"/>
          <w:szCs w:val="32"/>
          <w:highlight w:val="none"/>
          <w:u w:val="none"/>
          <w:shd w:val="clear" w:color="auto" w:fill="auto"/>
          <w:lang w:val="en-US" w:eastAsia="zh-CN" w:bidi="ar-SA"/>
        </w:rPr>
        <w:t>加强美育和劳动教育，</w:t>
      </w:r>
      <w:r>
        <w:rPr>
          <w:rFonts w:hint="eastAsia" w:ascii="仿宋_GB2312" w:hAnsi="仿宋_GB2312" w:eastAsia="仿宋_GB2312" w:cs="仿宋_GB2312"/>
          <w:color w:val="auto"/>
          <w:sz w:val="32"/>
          <w:szCs w:val="32"/>
          <w:highlight w:val="none"/>
          <w:u w:val="none"/>
          <w:shd w:val="clear" w:color="auto" w:fill="auto"/>
        </w:rPr>
        <w:t>落实北京市美育和劳动教育行动方案，推进学校美育浸润行动</w:t>
      </w:r>
      <w:r>
        <w:rPr>
          <w:rFonts w:hint="eastAsia" w:ascii="仿宋_GB2312" w:hAnsi="仿宋_GB2312" w:eastAsia="仿宋_GB2312" w:cs="仿宋_GB2312"/>
          <w:color w:val="auto"/>
          <w:sz w:val="32"/>
          <w:szCs w:val="32"/>
          <w:highlight w:val="none"/>
          <w:u w:val="none"/>
          <w:shd w:val="clear" w:color="auto" w:fill="auto"/>
          <w:lang w:eastAsia="zh-CN"/>
        </w:rPr>
        <w:t>，</w:t>
      </w:r>
      <w:r>
        <w:rPr>
          <w:rFonts w:hint="eastAsia" w:ascii="仿宋_GB2312" w:hAnsi="仿宋_GB2312" w:eastAsia="仿宋_GB2312" w:cs="仿宋_GB2312"/>
          <w:color w:val="auto"/>
          <w:sz w:val="32"/>
          <w:szCs w:val="32"/>
          <w:highlight w:val="none"/>
          <w:u w:val="none"/>
          <w:shd w:val="clear" w:color="auto" w:fill="auto"/>
        </w:rPr>
        <w:t>推动</w:t>
      </w:r>
      <w:r>
        <w:rPr>
          <w:rFonts w:hint="eastAsia" w:ascii="仿宋_GB2312" w:hAnsi="仿宋_GB2312" w:eastAsia="仿宋_GB2312" w:cs="仿宋_GB2312"/>
          <w:color w:val="auto"/>
          <w:sz w:val="32"/>
          <w:szCs w:val="32"/>
          <w:highlight w:val="none"/>
          <w:u w:val="none"/>
          <w:shd w:val="clear" w:color="auto" w:fill="auto"/>
          <w:lang w:eastAsia="zh-CN"/>
        </w:rPr>
        <w:t>“</w:t>
      </w:r>
      <w:r>
        <w:rPr>
          <w:rFonts w:hint="eastAsia" w:ascii="仿宋_GB2312" w:hAnsi="仿宋_GB2312" w:eastAsia="仿宋_GB2312" w:cs="仿宋_GB2312"/>
          <w:color w:val="auto"/>
          <w:sz w:val="32"/>
          <w:szCs w:val="32"/>
          <w:highlight w:val="none"/>
          <w:u w:val="none"/>
          <w:shd w:val="clear" w:color="auto" w:fill="auto"/>
        </w:rPr>
        <w:t>一校一品</w:t>
      </w:r>
      <w:r>
        <w:rPr>
          <w:rFonts w:hint="eastAsia" w:ascii="仿宋_GB2312" w:hAnsi="仿宋_GB2312" w:eastAsia="仿宋_GB2312" w:cs="仿宋_GB2312"/>
          <w:color w:val="auto"/>
          <w:sz w:val="32"/>
          <w:szCs w:val="32"/>
          <w:highlight w:val="none"/>
          <w:u w:val="none"/>
          <w:shd w:val="clear" w:color="auto" w:fill="auto"/>
          <w:lang w:eastAsia="zh-CN"/>
        </w:rPr>
        <w:t>”</w:t>
      </w:r>
      <w:r>
        <w:rPr>
          <w:rFonts w:hint="eastAsia" w:ascii="仿宋_GB2312" w:hAnsi="仿宋_GB2312" w:eastAsia="仿宋_GB2312" w:cs="仿宋_GB2312"/>
          <w:color w:val="auto"/>
          <w:sz w:val="32"/>
          <w:szCs w:val="32"/>
          <w:highlight w:val="none"/>
          <w:u w:val="none"/>
          <w:shd w:val="clear" w:color="auto" w:fill="auto"/>
        </w:rPr>
        <w:t>美育建设，</w:t>
      </w:r>
      <w:r>
        <w:rPr>
          <w:rFonts w:hint="eastAsia" w:ascii="仿宋_GB2312" w:hAnsi="仿宋_GB2312" w:eastAsia="仿宋_GB2312" w:cs="仿宋_GB2312"/>
          <w:color w:val="auto"/>
          <w:sz w:val="32"/>
          <w:szCs w:val="32"/>
          <w:highlight w:val="none"/>
          <w:u w:val="none"/>
          <w:shd w:val="clear" w:color="auto" w:fill="auto"/>
          <w:lang w:eastAsia="zh-CN"/>
        </w:rPr>
        <w:t>强化</w:t>
      </w:r>
      <w:r>
        <w:rPr>
          <w:rFonts w:hint="eastAsia" w:ascii="仿宋_GB2312" w:hAnsi="仿宋_GB2312" w:eastAsia="仿宋_GB2312" w:cs="仿宋_GB2312"/>
          <w:color w:val="auto"/>
          <w:sz w:val="32"/>
          <w:szCs w:val="32"/>
          <w:highlight w:val="none"/>
          <w:u w:val="none"/>
          <w:shd w:val="clear" w:color="auto" w:fill="auto"/>
        </w:rPr>
        <w:t>劳动教育课程和实践场所，促进学生德智体美劳全面发展。</w:t>
      </w:r>
      <w:r>
        <w:rPr>
          <w:rFonts w:hint="eastAsia" w:ascii="仿宋_GB2312" w:hAnsi="仿宋_GB2312" w:eastAsia="仿宋_GB2312" w:cs="仿宋_GB2312"/>
          <w:sz w:val="32"/>
          <w:szCs w:val="32"/>
          <w:highlight w:val="none"/>
          <w:u w:val="none"/>
        </w:rPr>
        <w:t>强化科技教育和人文教育协同，深化科技、艺术、法治副校长模式</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提升学生的创新精神、审美能力和法治素养，促进全面发展。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楷体_GB2312" w:cs="楷体_GB2312"/>
          <w:bCs w:val="0"/>
          <w:sz w:val="32"/>
          <w:szCs w:val="32"/>
          <w:highlight w:val="none"/>
          <w:u w:val="none"/>
        </w:rPr>
      </w:pPr>
      <w:r>
        <w:rPr>
          <w:rFonts w:hint="eastAsia" w:ascii="仿宋_GB2312" w:hAnsi="仿宋_GB2312" w:eastAsia="楷体_GB2312" w:cs="楷体_GB2312"/>
          <w:b w:val="0"/>
          <w:bCs w:val="0"/>
          <w:kern w:val="2"/>
          <w:sz w:val="32"/>
          <w:szCs w:val="32"/>
          <w:highlight w:val="none"/>
          <w:u w:val="none"/>
          <w:lang w:val="en-US" w:eastAsia="zh-CN" w:bidi="ar-SA"/>
        </w:rPr>
        <w:t>（二）</w:t>
      </w:r>
      <w:r>
        <w:rPr>
          <w:rFonts w:hint="eastAsia" w:ascii="仿宋_GB2312" w:hAnsi="仿宋_GB2312" w:eastAsia="楷体_GB2312" w:cs="楷体_GB2312"/>
          <w:bCs w:val="0"/>
          <w:sz w:val="32"/>
          <w:szCs w:val="32"/>
          <w:highlight w:val="none"/>
          <w:u w:val="none"/>
        </w:rPr>
        <w:t>提高教师专业能力素养</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rPr>
        <w:t>深化教师管理和评价改革，全面提升教师队伍整体素质</w:t>
      </w:r>
      <w:r>
        <w:rPr>
          <w:rFonts w:hint="eastAsia" w:ascii="仿宋_GB2312" w:hAnsi="仿宋_GB2312" w:eastAsia="仿宋_GB2312" w:cs="仿宋_GB2312"/>
          <w:b w:val="0"/>
          <w:bCs w:val="0"/>
          <w:sz w:val="32"/>
          <w:szCs w:val="32"/>
          <w:highlight w:val="none"/>
          <w:u w:val="none"/>
          <w:lang w:eastAsia="zh-CN"/>
        </w:rPr>
        <w:t>。</w:t>
      </w:r>
      <w:r>
        <w:rPr>
          <w:rFonts w:hint="eastAsia" w:ascii="仿宋_GB2312" w:hAnsi="仿宋_GB2312" w:eastAsia="仿宋_GB2312" w:cs="仿宋_GB2312"/>
          <w:b w:val="0"/>
          <w:sz w:val="32"/>
          <w:szCs w:val="32"/>
          <w:highlight w:val="none"/>
          <w:u w:val="none"/>
        </w:rPr>
        <w:t>通过</w:t>
      </w: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rPr>
        <w:t>引育用留</w:t>
      </w: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rPr>
        <w:t>系列措施持续引进优秀人才，提升教师在招聘、户口、住房、子女教育等方面的保障。</w:t>
      </w:r>
      <w:r>
        <w:rPr>
          <w:rFonts w:hint="eastAsia" w:ascii="仿宋_GB2312" w:hAnsi="仿宋_GB2312" w:eastAsia="仿宋_GB2312" w:cs="仿宋_GB2312"/>
          <w:b w:val="0"/>
          <w:sz w:val="32"/>
          <w:szCs w:val="32"/>
          <w:highlight w:val="none"/>
          <w:u w:val="none"/>
          <w:lang w:val="en-US" w:eastAsia="zh-CN"/>
        </w:rPr>
        <w:t>实施“名校长工程”“优秀校长（书记）培养工程”，有效推动区域名师、名校长培养。</w:t>
      </w:r>
      <w:r>
        <w:rPr>
          <w:rFonts w:hint="eastAsia" w:ascii="仿宋_GB2312" w:hAnsi="仿宋_GB2312" w:eastAsia="仿宋_GB2312" w:cs="仿宋_GB2312"/>
          <w:b w:val="0"/>
          <w:sz w:val="32"/>
          <w:szCs w:val="32"/>
          <w:highlight w:val="none"/>
          <w:u w:val="none"/>
        </w:rPr>
        <w:t>采取延退、返聘等灵活的教师聘用机制，充分发挥特级教师、骨干教师的示范引领作用。深化海怀教研一体化，提升教师专业素养能力</w:t>
      </w: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lang w:val="en-US" w:eastAsia="zh-CN"/>
        </w:rPr>
        <w:t>持续推进教师信息化素养培训工作，提升整体教学质量推进数字化赋能</w:t>
      </w:r>
      <w:r>
        <w:rPr>
          <w:rFonts w:hint="eastAsia" w:ascii="仿宋_GB2312" w:hAnsi="仿宋_GB2312" w:eastAsia="仿宋_GB2312" w:cs="仿宋_GB2312"/>
          <w:b w:val="0"/>
          <w:sz w:val="32"/>
          <w:szCs w:val="32"/>
          <w:highlight w:val="none"/>
          <w:u w:val="none"/>
        </w:rPr>
        <w:t>。</w:t>
      </w:r>
      <w:r>
        <w:rPr>
          <w:rFonts w:hint="eastAsia" w:ascii="仿宋_GB2312" w:hAnsi="仿宋_GB2312" w:eastAsia="仿宋_GB2312" w:cs="仿宋_GB2312"/>
          <w:b w:val="0"/>
          <w:sz w:val="32"/>
          <w:szCs w:val="32"/>
          <w:highlight w:val="none"/>
          <w:u w:val="none"/>
          <w:lang w:eastAsia="zh-CN"/>
        </w:rPr>
        <w:t>推进教育家精神铸魂强师行动，将教育家</w:t>
      </w:r>
      <w:r>
        <w:rPr>
          <w:rFonts w:hint="eastAsia" w:ascii="仿宋_GB2312" w:hAnsi="仿宋_GB2312" w:eastAsia="仿宋_GB2312" w:cs="仿宋_GB2312"/>
          <w:b w:val="0"/>
          <w:sz w:val="32"/>
          <w:szCs w:val="32"/>
          <w:highlight w:val="none"/>
          <w:u w:val="none"/>
          <w:lang w:val="en-US" w:eastAsia="zh-CN"/>
        </w:rPr>
        <w:t>精神</w:t>
      </w:r>
      <w:r>
        <w:rPr>
          <w:rFonts w:hint="eastAsia" w:ascii="仿宋_GB2312" w:hAnsi="仿宋_GB2312" w:eastAsia="仿宋_GB2312" w:cs="仿宋_GB2312"/>
          <w:b w:val="0"/>
          <w:sz w:val="32"/>
          <w:szCs w:val="32"/>
          <w:highlight w:val="none"/>
          <w:u w:val="none"/>
          <w:lang w:eastAsia="zh-CN"/>
        </w:rPr>
        <w:t>作为师德养成的核心引领，加强全员、全过程师德培育。</w:t>
      </w:r>
      <w:r>
        <w:rPr>
          <w:rFonts w:hint="eastAsia" w:ascii="仿宋_GB2312" w:hAnsi="仿宋_GB2312" w:eastAsia="仿宋_GB2312" w:cs="仿宋_GB2312"/>
          <w:b w:val="0"/>
          <w:sz w:val="32"/>
          <w:szCs w:val="32"/>
          <w:highlight w:val="none"/>
          <w:u w:val="none"/>
        </w:rPr>
        <w:t>建立政治素质、师德师风与育人能力三位一体的考核机制</w:t>
      </w:r>
      <w:r>
        <w:rPr>
          <w:rFonts w:hint="eastAsia" w:ascii="仿宋_GB2312" w:hAnsi="仿宋_GB2312" w:eastAsia="仿宋_GB2312" w:cs="仿宋_GB2312"/>
          <w:b w:val="0"/>
          <w:sz w:val="32"/>
          <w:szCs w:val="32"/>
          <w:highlight w:val="none"/>
          <w:u w:val="none"/>
          <w:lang w:eastAsia="zh-CN"/>
        </w:rPr>
        <w:t>，</w:t>
      </w:r>
      <w:r>
        <w:rPr>
          <w:rFonts w:hint="eastAsia" w:ascii="仿宋_GB2312" w:hAnsi="仿宋_GB2312" w:eastAsia="仿宋_GB2312" w:cs="仿宋_GB2312"/>
          <w:b w:val="0"/>
          <w:sz w:val="32"/>
          <w:szCs w:val="32"/>
          <w:highlight w:val="none"/>
          <w:u w:val="none"/>
        </w:rPr>
        <w:t>完善基于教学质量的教师考核评价体系</w:t>
      </w:r>
      <w:r>
        <w:rPr>
          <w:rFonts w:hint="eastAsia" w:ascii="仿宋_GB2312" w:hAnsi="仿宋_GB2312" w:eastAsia="仿宋_GB2312" w:cs="仿宋_GB2312"/>
          <w:b w:val="0"/>
          <w:sz w:val="32"/>
          <w:szCs w:val="32"/>
          <w:highlight w:val="none"/>
          <w:u w:val="none"/>
          <w:lang w:val="en-US" w:eastAsia="zh-CN"/>
        </w:rPr>
        <w:t>和激励机制</w:t>
      </w:r>
      <w:r>
        <w:rPr>
          <w:rFonts w:hint="eastAsia" w:ascii="仿宋_GB2312" w:hAnsi="仿宋_GB2312" w:eastAsia="仿宋_GB2312" w:cs="仿宋_GB2312"/>
          <w:b w:val="0"/>
          <w:sz w:val="32"/>
          <w:szCs w:val="32"/>
          <w:highlight w:val="none"/>
          <w:u w:val="none"/>
          <w:lang w:eastAsia="zh-CN"/>
        </w:rPr>
        <w:t>。</w:t>
      </w:r>
    </w:p>
    <w:p>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kern w:val="2"/>
          <w:sz w:val="32"/>
          <w:szCs w:val="32"/>
          <w:highlight w:val="none"/>
          <w:u w:val="none"/>
          <w:lang w:val="en-US" w:eastAsia="zh-CN" w:bidi="ar-SA"/>
        </w:rPr>
        <w:t>（三）</w:t>
      </w:r>
      <w:r>
        <w:rPr>
          <w:rFonts w:hint="eastAsia" w:ascii="仿宋_GB2312" w:hAnsi="仿宋_GB2312" w:eastAsia="楷体_GB2312" w:cs="楷体_GB2312"/>
          <w:b w:val="0"/>
          <w:bCs w:val="0"/>
          <w:sz w:val="32"/>
          <w:szCs w:val="32"/>
          <w:highlight w:val="none"/>
          <w:u w:val="none"/>
          <w:lang w:val="en-US" w:eastAsia="zh-CN"/>
        </w:rPr>
        <w:t>推进智慧教育创新发展</w:t>
      </w:r>
    </w:p>
    <w:p>
      <w:pPr>
        <w:pStyle w:val="9"/>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构建人工智能教育课程体系，落实北京市中小学人工智能教育要求，</w:t>
      </w:r>
      <w:r>
        <w:rPr>
          <w:rFonts w:hint="eastAsia" w:ascii="仿宋_GB2312" w:hAnsi="仿宋_GB2312" w:eastAsia="仿宋_GB2312" w:cs="仿宋_GB2312"/>
          <w:b w:val="0"/>
          <w:sz w:val="32"/>
          <w:szCs w:val="32"/>
          <w:highlight w:val="none"/>
          <w:u w:val="none"/>
        </w:rPr>
        <w:t>全面提升学生的人工智能素养</w:t>
      </w:r>
      <w:r>
        <w:rPr>
          <w:rFonts w:hint="eastAsia" w:ascii="仿宋_GB2312" w:hAnsi="仿宋_GB2312" w:eastAsia="仿宋_GB2312" w:cs="仿宋_GB2312"/>
          <w:b w:val="0"/>
          <w:bCs w:val="0"/>
          <w:sz w:val="32"/>
          <w:szCs w:val="32"/>
          <w:highlight w:val="none"/>
          <w:u w:val="none"/>
          <w:lang w:val="en-US" w:eastAsia="zh-CN"/>
        </w:rPr>
        <w:t>。开展校长、教师信息化专项培训，培育区级智慧教育名师与专家型教师。深化智慧平台建设与应用，规划“怀柔区教育云大数据智慧平台”，推动多平台数据汇聚治理与智能分析，赋能教师教学创新。推动人工智能赋能教育，</w:t>
      </w:r>
      <w:r>
        <w:rPr>
          <w:rFonts w:hint="eastAsia" w:ascii="仿宋_GB2312" w:hAnsi="仿宋_GB2312" w:eastAsia="仿宋_GB2312" w:cs="仿宋_GB2312"/>
          <w:b w:val="0"/>
          <w:sz w:val="32"/>
          <w:szCs w:val="32"/>
          <w:highlight w:val="none"/>
          <w:u w:val="none"/>
        </w:rPr>
        <w:t>开展AI助力备课情景化教学、学习伙伴、导学应用等试点，</w:t>
      </w:r>
      <w:r>
        <w:rPr>
          <w:rFonts w:hint="eastAsia" w:ascii="仿宋_GB2312" w:hAnsi="仿宋_GB2312" w:eastAsia="仿宋_GB2312" w:cs="仿宋_GB2312"/>
          <w:b w:val="0"/>
          <w:bCs w:val="0"/>
          <w:sz w:val="32"/>
          <w:szCs w:val="32"/>
          <w:highlight w:val="none"/>
          <w:u w:val="none"/>
          <w:lang w:val="en-US" w:eastAsia="zh-CN"/>
        </w:rPr>
        <w:t>形成一批</w:t>
      </w:r>
      <w:r>
        <w:rPr>
          <w:rFonts w:hint="eastAsia" w:ascii="仿宋_GB2312" w:hAnsi="仿宋_GB2312" w:eastAsia="仿宋_GB2312" w:cs="仿宋_GB2312"/>
          <w:b w:val="0"/>
          <w:sz w:val="32"/>
          <w:szCs w:val="32"/>
          <w:highlight w:val="none"/>
          <w:u w:val="none"/>
        </w:rPr>
        <w:t>可复制、可推广的</w:t>
      </w:r>
      <w:r>
        <w:rPr>
          <w:rFonts w:hint="eastAsia" w:ascii="仿宋_GB2312" w:hAnsi="仿宋_GB2312" w:eastAsia="仿宋_GB2312" w:cs="仿宋_GB2312"/>
          <w:b w:val="0"/>
          <w:bCs w:val="0"/>
          <w:sz w:val="32"/>
          <w:szCs w:val="32"/>
          <w:highlight w:val="none"/>
          <w:u w:val="none"/>
          <w:lang w:val="en-US" w:eastAsia="zh-CN"/>
        </w:rPr>
        <w:t>典型示范应用</w:t>
      </w:r>
      <w:r>
        <w:rPr>
          <w:rFonts w:hint="eastAsia" w:ascii="仿宋_GB2312" w:hAnsi="仿宋_GB2312" w:eastAsia="仿宋_GB2312" w:cs="仿宋_GB2312"/>
          <w:b w:val="0"/>
          <w:sz w:val="32"/>
          <w:szCs w:val="32"/>
          <w:highlight w:val="none"/>
          <w:u w:val="none"/>
        </w:rPr>
        <w:t>，全面提升怀柔区人工智能教育水平。</w:t>
      </w:r>
      <w:r>
        <w:rPr>
          <w:rFonts w:hint="eastAsia" w:ascii="仿宋_GB2312" w:hAnsi="仿宋_GB2312" w:eastAsia="仿宋_GB2312" w:cs="仿宋_GB2312"/>
          <w:b w:val="0"/>
          <w:bCs w:val="0"/>
          <w:sz w:val="32"/>
          <w:szCs w:val="32"/>
          <w:highlight w:val="none"/>
          <w:u w:val="none"/>
          <w:lang w:val="en-US" w:eastAsia="zh-CN"/>
        </w:rPr>
        <w:t>发挥怀柔科学城科技创新资源优势，联合头部企业、高校、新型研发机构等研发人工智能教育拓展类课程，纳入课后服务和研学实践。推动高校、科研院所的人工智能实验室、展厅成为中小学生“校外人工智能实践基地”，形成全域社会化协同育人格局。</w:t>
      </w:r>
      <w:r>
        <w:rPr>
          <w:rFonts w:hint="eastAsia" w:ascii="仿宋_GB2312" w:hAnsi="仿宋_GB2312" w:eastAsia="仿宋_GB2312" w:cs="仿宋_GB2312"/>
          <w:b w:val="0"/>
          <w:sz w:val="32"/>
          <w:szCs w:val="32"/>
          <w:highlight w:val="none"/>
          <w:u w:val="none"/>
          <w:lang w:val="en-US" w:eastAsia="zh-CN"/>
        </w:rPr>
        <w:t>到2030年，实现智慧校园覆盖率达到100%。</w:t>
      </w:r>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ind w:firstLine="0" w:firstLineChars="0"/>
        <w:jc w:val="left"/>
        <w:textAlignment w:val="auto"/>
        <w:outlineLvl w:val="9"/>
        <w:rPr>
          <w:rFonts w:hint="default" w:ascii="仿宋_GB2312" w:hAnsi="仿宋_GB2312" w:eastAsia="方正小标宋_GBK" w:cs="Times New Roman"/>
          <w:b w:val="0"/>
          <w:bCs/>
          <w:sz w:val="36"/>
          <w:szCs w:val="36"/>
          <w:highlight w:val="none"/>
          <w:u w:val="none"/>
          <w:lang w:val="en-US" w:eastAsia="zh-CN"/>
        </w:rPr>
      </w:pPr>
      <w:bookmarkStart w:id="209" w:name="_Toc2572"/>
      <w:bookmarkStart w:id="210" w:name="_Toc16768"/>
      <w:bookmarkStart w:id="211" w:name="_Toc14525"/>
      <w:bookmarkStart w:id="212" w:name="_Toc16477"/>
      <w:bookmarkStart w:id="213" w:name="_Toc20318"/>
      <w:bookmarkStart w:id="214" w:name="_Toc7983"/>
      <w:bookmarkStart w:id="215" w:name="_Toc28209"/>
      <w:bookmarkStart w:id="216" w:name="_Toc26572"/>
      <w:bookmarkStart w:id="217" w:name="_Toc18838"/>
      <w:r>
        <w:rPr>
          <w:rFonts w:hint="default" w:ascii="仿宋_GB2312" w:hAnsi="仿宋_GB2312" w:eastAsia="方正小标宋_GBK" w:cs="Times New Roman"/>
          <w:b w:val="0"/>
          <w:bCs/>
          <w:sz w:val="36"/>
          <w:szCs w:val="36"/>
          <w:highlight w:val="none"/>
          <w:u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firstLine="0" w:firstLineChars="0"/>
        <w:jc w:val="center"/>
        <w:textAlignment w:val="auto"/>
        <w:outlineLvl w:val="0"/>
        <w:rPr>
          <w:rFonts w:hint="default" w:ascii="仿宋_GB2312" w:hAnsi="仿宋_GB2312" w:eastAsia="方正小标宋_GBK" w:cs="Times New Roman"/>
          <w:b w:val="0"/>
          <w:bCs/>
          <w:sz w:val="36"/>
          <w:szCs w:val="36"/>
          <w:highlight w:val="none"/>
          <w:u w:val="none"/>
          <w:lang w:val="en-US" w:eastAsia="zh-CN"/>
        </w:rPr>
      </w:pPr>
      <w:bookmarkStart w:id="218" w:name="_Toc4744"/>
      <w:bookmarkStart w:id="219" w:name="_Toc9906"/>
      <w:bookmarkStart w:id="220" w:name="_Toc12369"/>
      <w:bookmarkStart w:id="221" w:name="_Toc9278"/>
      <w:bookmarkStart w:id="222" w:name="_Toc21897"/>
      <w:bookmarkStart w:id="223" w:name="_Toc8002"/>
      <w:bookmarkStart w:id="224" w:name="_Toc24238"/>
      <w:r>
        <w:rPr>
          <w:rFonts w:hint="default" w:ascii="仿宋_GB2312" w:hAnsi="仿宋_GB2312" w:eastAsia="方正小标宋_GBK" w:cs="Times New Roman"/>
          <w:b w:val="0"/>
          <w:bCs/>
          <w:sz w:val="36"/>
          <w:szCs w:val="36"/>
          <w:highlight w:val="none"/>
          <w:u w:val="none"/>
          <w:lang w:val="en-US" w:eastAsia="zh-CN"/>
        </w:rPr>
        <w:t xml:space="preserve">第四章 </w:t>
      </w:r>
      <w:r>
        <w:rPr>
          <w:rFonts w:hint="default" w:ascii="仿宋_GB2312" w:hAnsi="仿宋_GB2312" w:eastAsia="方正小标宋_GBK" w:cs="Times New Roman"/>
          <w:bCs/>
          <w:sz w:val="36"/>
          <w:szCs w:val="36"/>
          <w:highlight w:val="none"/>
          <w:u w:val="none"/>
        </w:rPr>
        <w:t>建设</w:t>
      </w:r>
      <w:r>
        <w:rPr>
          <w:rFonts w:hint="default" w:ascii="仿宋_GB2312" w:hAnsi="仿宋_GB2312" w:eastAsia="方正小标宋_GBK" w:cs="Times New Roman"/>
          <w:bCs/>
          <w:sz w:val="36"/>
          <w:szCs w:val="36"/>
          <w:highlight w:val="none"/>
          <w:u w:val="none"/>
          <w:lang w:val="en-US" w:eastAsia="zh-CN"/>
        </w:rPr>
        <w:t>更高</w:t>
      </w:r>
      <w:r>
        <w:rPr>
          <w:rFonts w:hint="eastAsia" w:ascii="仿宋_GB2312" w:hAnsi="仿宋_GB2312" w:eastAsia="方正小标宋_GBK" w:cs="Times New Roman"/>
          <w:bCs/>
          <w:sz w:val="36"/>
          <w:szCs w:val="36"/>
          <w:highlight w:val="none"/>
          <w:u w:val="none"/>
          <w:lang w:val="en-US" w:eastAsia="zh-CN"/>
        </w:rPr>
        <w:t>水平</w:t>
      </w:r>
      <w:r>
        <w:rPr>
          <w:rFonts w:hint="default" w:ascii="仿宋_GB2312" w:hAnsi="仿宋_GB2312" w:eastAsia="方正小标宋_GBK" w:cs="Times New Roman"/>
          <w:bCs/>
          <w:sz w:val="36"/>
          <w:szCs w:val="36"/>
          <w:highlight w:val="none"/>
          <w:u w:val="none"/>
          <w:lang w:val="en-US" w:eastAsia="zh-CN"/>
        </w:rPr>
        <w:t>的</w:t>
      </w:r>
      <w:r>
        <w:rPr>
          <w:rFonts w:hint="eastAsia" w:ascii="仿宋_GB2312" w:hAnsi="仿宋_GB2312" w:eastAsia="方正小标宋_GBK" w:cs="Times New Roman"/>
          <w:b w:val="0"/>
          <w:bCs/>
          <w:sz w:val="36"/>
          <w:szCs w:val="36"/>
          <w:highlight w:val="none"/>
          <w:u w:val="none"/>
          <w:lang w:val="en-US" w:eastAsia="zh-CN"/>
        </w:rPr>
        <w:t>“</w:t>
      </w:r>
      <w:r>
        <w:rPr>
          <w:rFonts w:hint="default" w:ascii="仿宋_GB2312" w:hAnsi="仿宋_GB2312" w:eastAsia="方正小标宋_GBK" w:cs="Times New Roman"/>
          <w:b w:val="0"/>
          <w:bCs/>
          <w:sz w:val="36"/>
          <w:szCs w:val="36"/>
          <w:highlight w:val="none"/>
          <w:u w:val="none"/>
          <w:lang w:val="en-US" w:eastAsia="zh-CN"/>
        </w:rPr>
        <w:t>健康怀柔</w:t>
      </w:r>
      <w:bookmarkEnd w:id="209"/>
      <w:bookmarkEnd w:id="210"/>
      <w:bookmarkEnd w:id="211"/>
      <w:bookmarkEnd w:id="212"/>
      <w:bookmarkEnd w:id="213"/>
      <w:bookmarkEnd w:id="214"/>
      <w:r>
        <w:rPr>
          <w:rFonts w:hint="eastAsia" w:ascii="仿宋_GB2312" w:hAnsi="仿宋_GB2312" w:eastAsia="方正小标宋_GBK" w:cs="Times New Roman"/>
          <w:b w:val="0"/>
          <w:bCs/>
          <w:sz w:val="36"/>
          <w:szCs w:val="36"/>
          <w:highlight w:val="none"/>
          <w:u w:val="none"/>
          <w:lang w:val="en-US" w:eastAsia="zh-CN"/>
        </w:rPr>
        <w:t>”</w:t>
      </w:r>
      <w:bookmarkEnd w:id="215"/>
      <w:bookmarkEnd w:id="216"/>
      <w:bookmarkEnd w:id="217"/>
      <w:bookmarkEnd w:id="218"/>
      <w:bookmarkEnd w:id="219"/>
      <w:bookmarkEnd w:id="220"/>
      <w:bookmarkEnd w:id="221"/>
      <w:bookmarkEnd w:id="222"/>
      <w:bookmarkEnd w:id="223"/>
      <w:bookmarkEnd w:id="224"/>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Times New Roman"/>
          <w:sz w:val="32"/>
          <w:szCs w:val="32"/>
          <w:highlight w:val="none"/>
          <w:u w:val="none"/>
          <w:lang w:val="en-US" w:eastAsia="zh-CN"/>
        </w:rPr>
      </w:pPr>
      <w:r>
        <w:rPr>
          <w:rFonts w:hint="default" w:ascii="仿宋_GB2312" w:hAnsi="仿宋_GB2312" w:eastAsia="仿宋_GB2312" w:cs="Times New Roman"/>
          <w:sz w:val="32"/>
          <w:szCs w:val="32"/>
          <w:highlight w:val="none"/>
          <w:u w:val="none"/>
          <w:lang w:val="en-US" w:eastAsia="zh-CN"/>
        </w:rPr>
        <w:t>坚持人民至上、生命至上，把保障人民健康放在优先发展的战略位置。以满足群众多层次、多样化健康需求为导向，全面提升医疗卫生服务体系整体效能</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着力</w:t>
      </w:r>
      <w:r>
        <w:rPr>
          <w:rFonts w:hint="eastAsia" w:ascii="仿宋_GB2312" w:hAnsi="仿宋_GB2312" w:eastAsia="仿宋_GB2312" w:cs="Times New Roman"/>
          <w:sz w:val="32"/>
          <w:szCs w:val="32"/>
          <w:highlight w:val="none"/>
          <w:u w:val="none"/>
          <w:lang w:val="en-US" w:eastAsia="zh-CN"/>
        </w:rPr>
        <w:t>推动优质医疗资源均衡配置，</w:t>
      </w:r>
      <w:r>
        <w:rPr>
          <w:rFonts w:hint="default" w:ascii="仿宋_GB2312" w:hAnsi="仿宋_GB2312" w:eastAsia="仿宋_GB2312" w:cs="Times New Roman"/>
          <w:sz w:val="32"/>
          <w:szCs w:val="32"/>
          <w:highlight w:val="none"/>
          <w:u w:val="none"/>
          <w:lang w:val="en-US" w:eastAsia="zh-CN"/>
        </w:rPr>
        <w:t>推进区域综合医疗服务提质扩容，</w:t>
      </w:r>
      <w:r>
        <w:rPr>
          <w:rFonts w:hint="eastAsia" w:ascii="仿宋_GB2312" w:hAnsi="仿宋_GB2312" w:eastAsia="仿宋_GB2312" w:cs="Times New Roman"/>
          <w:sz w:val="32"/>
          <w:szCs w:val="32"/>
          <w:highlight w:val="none"/>
          <w:u w:val="none"/>
          <w:lang w:val="en-US" w:eastAsia="zh-CN"/>
        </w:rPr>
        <w:t>加强科技资源利用与国际医疗供给，</w:t>
      </w:r>
      <w:r>
        <w:rPr>
          <w:rFonts w:hint="default" w:ascii="仿宋_GB2312" w:hAnsi="仿宋_GB2312" w:eastAsia="仿宋_GB2312" w:cs="Times New Roman"/>
          <w:sz w:val="32"/>
          <w:szCs w:val="32"/>
          <w:highlight w:val="none"/>
          <w:u w:val="none"/>
          <w:lang w:val="en-US" w:eastAsia="zh-CN"/>
        </w:rPr>
        <w:t>补齐基层服务短板，健全公共卫生防控体系，</w:t>
      </w:r>
      <w:r>
        <w:rPr>
          <w:rFonts w:hint="eastAsia" w:ascii="仿宋_GB2312" w:hAnsi="仿宋_GB2312" w:eastAsia="仿宋_GB2312" w:cs="Times New Roman"/>
          <w:sz w:val="32"/>
          <w:szCs w:val="32"/>
          <w:highlight w:val="none"/>
          <w:u w:val="none"/>
          <w:lang w:val="en-US" w:eastAsia="zh-CN"/>
        </w:rPr>
        <w:t>加强</w:t>
      </w:r>
      <w:r>
        <w:rPr>
          <w:rFonts w:hint="default" w:ascii="仿宋_GB2312" w:hAnsi="仿宋_GB2312" w:eastAsia="仿宋_GB2312" w:cs="Times New Roman"/>
          <w:sz w:val="32"/>
          <w:szCs w:val="32"/>
          <w:highlight w:val="none"/>
          <w:u w:val="none"/>
          <w:lang w:val="en-US" w:eastAsia="zh-CN"/>
        </w:rPr>
        <w:t>全民健康数智化建设，推动形成优质均衡、协同高效、智慧便捷的医疗卫生服务新格局。</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1"/>
        <w:rPr>
          <w:rFonts w:hint="default" w:ascii="仿宋_GB2312" w:hAnsi="仿宋_GB2312" w:eastAsia="黑体" w:cs="Times New Roman"/>
          <w:b w:val="0"/>
          <w:kern w:val="2"/>
          <w:sz w:val="32"/>
          <w:szCs w:val="32"/>
          <w:highlight w:val="none"/>
          <w:u w:val="none"/>
          <w:lang w:val="en-US" w:eastAsia="zh-CN" w:bidi="ar-SA"/>
        </w:rPr>
      </w:pPr>
      <w:bookmarkStart w:id="225" w:name="_Toc375"/>
      <w:bookmarkStart w:id="226" w:name="_Toc1892"/>
      <w:bookmarkStart w:id="227" w:name="_Toc803"/>
      <w:bookmarkStart w:id="228" w:name="_Toc2488"/>
      <w:bookmarkStart w:id="229" w:name="_Toc26548"/>
      <w:bookmarkStart w:id="230" w:name="_Toc9231"/>
      <w:bookmarkStart w:id="231" w:name="_Toc12175"/>
      <w:bookmarkStart w:id="232" w:name="_Toc17299"/>
      <w:bookmarkStart w:id="233" w:name="_Toc22477"/>
      <w:bookmarkStart w:id="234" w:name="_Toc23220"/>
      <w:r>
        <w:rPr>
          <w:rFonts w:hint="eastAsia" w:ascii="仿宋_GB2312" w:hAnsi="仿宋_GB2312" w:eastAsia="黑体" w:cs="Times New Roman"/>
          <w:b w:val="0"/>
          <w:kern w:val="2"/>
          <w:sz w:val="32"/>
          <w:szCs w:val="32"/>
          <w:highlight w:val="none"/>
          <w:u w:val="none"/>
          <w:lang w:val="en-US" w:eastAsia="zh-CN" w:bidi="ar-SA"/>
        </w:rPr>
        <w:t>一、强化区级综合医疗服务能力</w:t>
      </w:r>
      <w:bookmarkEnd w:id="225"/>
      <w:bookmarkEnd w:id="226"/>
      <w:bookmarkEnd w:id="227"/>
      <w:bookmarkEnd w:id="228"/>
      <w:bookmarkEnd w:id="229"/>
      <w:bookmarkEnd w:id="230"/>
      <w:bookmarkEnd w:id="231"/>
      <w:bookmarkEnd w:id="232"/>
      <w:bookmarkEnd w:id="233"/>
      <w:bookmarkEnd w:id="234"/>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rPr>
          <w:rFonts w:ascii="仿宋_GB2312" w:hAnsi="仿宋_GB2312" w:eastAsia="仿宋_GB2312" w:cs="Times New Roman"/>
          <w:i w:val="0"/>
          <w:iCs w:val="0"/>
          <w:caps w:val="0"/>
          <w:color w:val="auto"/>
          <w:spacing w:val="0"/>
          <w:sz w:val="32"/>
          <w:szCs w:val="32"/>
          <w:highlight w:val="none"/>
          <w:u w:val="none"/>
          <w:shd w:val="clear" w:fill="auto"/>
        </w:rPr>
      </w:pPr>
      <w:r>
        <w:rPr>
          <w:rFonts w:ascii="仿宋_GB2312" w:hAnsi="仿宋_GB2312" w:eastAsia="仿宋_GB2312" w:cs="Times New Roman"/>
          <w:i w:val="0"/>
          <w:iCs w:val="0"/>
          <w:caps w:val="0"/>
          <w:color w:val="auto"/>
          <w:spacing w:val="0"/>
          <w:sz w:val="32"/>
          <w:szCs w:val="32"/>
          <w:highlight w:val="none"/>
          <w:u w:val="none"/>
          <w:shd w:val="clear" w:fill="auto"/>
        </w:rPr>
        <w:t>统筹</w:t>
      </w:r>
      <w:r>
        <w:rPr>
          <w:rFonts w:hint="eastAsia" w:ascii="仿宋_GB2312" w:hAnsi="仿宋_GB2312" w:eastAsia="仿宋_GB2312" w:cs="Times New Roman"/>
          <w:i w:val="0"/>
          <w:iCs w:val="0"/>
          <w:caps w:val="0"/>
          <w:color w:val="auto"/>
          <w:spacing w:val="0"/>
          <w:sz w:val="32"/>
          <w:szCs w:val="32"/>
          <w:highlight w:val="none"/>
          <w:u w:val="none"/>
          <w:shd w:val="clear" w:fill="auto"/>
          <w:lang w:val="en-US" w:eastAsia="zh-CN"/>
        </w:rPr>
        <w:t>医疗</w:t>
      </w:r>
      <w:r>
        <w:rPr>
          <w:rFonts w:ascii="仿宋_GB2312" w:hAnsi="仿宋_GB2312" w:eastAsia="仿宋_GB2312" w:cs="Times New Roman"/>
          <w:i w:val="0"/>
          <w:iCs w:val="0"/>
          <w:caps w:val="0"/>
          <w:color w:val="auto"/>
          <w:spacing w:val="0"/>
          <w:sz w:val="32"/>
          <w:szCs w:val="32"/>
          <w:highlight w:val="none"/>
          <w:u w:val="none"/>
          <w:shd w:val="clear" w:fill="auto"/>
        </w:rPr>
        <w:t>资源配置</w:t>
      </w:r>
      <w:r>
        <w:rPr>
          <w:rFonts w:hint="eastAsia" w:ascii="仿宋_GB2312" w:hAnsi="仿宋_GB2312" w:eastAsia="仿宋_GB2312" w:cs="Times New Roman"/>
          <w:i w:val="0"/>
          <w:iCs w:val="0"/>
          <w:caps w:val="0"/>
          <w:color w:val="auto"/>
          <w:spacing w:val="0"/>
          <w:sz w:val="32"/>
          <w:szCs w:val="32"/>
          <w:highlight w:val="none"/>
          <w:u w:val="none"/>
          <w:shd w:val="clear" w:fill="auto"/>
          <w:lang w:eastAsia="zh-CN"/>
        </w:rPr>
        <w:t>，</w:t>
      </w:r>
      <w:r>
        <w:rPr>
          <w:rFonts w:hint="eastAsia" w:ascii="仿宋_GB2312" w:hAnsi="仿宋_GB2312" w:eastAsia="仿宋_GB2312" w:cs="Times New Roman"/>
          <w:i w:val="0"/>
          <w:iCs w:val="0"/>
          <w:caps w:val="0"/>
          <w:color w:val="auto"/>
          <w:spacing w:val="0"/>
          <w:sz w:val="32"/>
          <w:szCs w:val="32"/>
          <w:highlight w:val="none"/>
          <w:u w:val="none"/>
          <w:shd w:val="clear" w:fill="auto"/>
          <w:lang w:val="en-US" w:eastAsia="zh-CN"/>
        </w:rPr>
        <w:t>推动怀柔医院创建三级甲等综合医院，鼓励区妇幼保健院积极承接怀柔科学城创新成果，深化三级甲等中医医院内涵建设，强化</w:t>
      </w:r>
      <w:r>
        <w:rPr>
          <w:rFonts w:ascii="仿宋_GB2312" w:hAnsi="仿宋_GB2312" w:eastAsia="仿宋_GB2312" w:cs="Times New Roman"/>
          <w:i w:val="0"/>
          <w:iCs w:val="0"/>
          <w:caps w:val="0"/>
          <w:color w:val="auto"/>
          <w:spacing w:val="0"/>
          <w:sz w:val="32"/>
          <w:szCs w:val="32"/>
          <w:highlight w:val="none"/>
          <w:u w:val="none"/>
          <w:shd w:val="clear" w:fill="auto"/>
        </w:rPr>
        <w:t>医联体</w:t>
      </w:r>
      <w:r>
        <w:rPr>
          <w:rFonts w:hint="eastAsia" w:ascii="仿宋_GB2312" w:hAnsi="仿宋_GB2312" w:eastAsia="仿宋_GB2312" w:cs="Times New Roman"/>
          <w:i w:val="0"/>
          <w:iCs w:val="0"/>
          <w:caps w:val="0"/>
          <w:color w:val="auto"/>
          <w:spacing w:val="0"/>
          <w:sz w:val="32"/>
          <w:szCs w:val="32"/>
          <w:highlight w:val="none"/>
          <w:u w:val="none"/>
          <w:shd w:val="clear" w:fill="auto"/>
          <w:lang w:val="en-US" w:eastAsia="zh-CN"/>
        </w:rPr>
        <w:t>深度</w:t>
      </w:r>
      <w:r>
        <w:rPr>
          <w:rFonts w:ascii="仿宋_GB2312" w:hAnsi="仿宋_GB2312" w:eastAsia="仿宋_GB2312" w:cs="Times New Roman"/>
          <w:i w:val="0"/>
          <w:iCs w:val="0"/>
          <w:caps w:val="0"/>
          <w:color w:val="auto"/>
          <w:spacing w:val="0"/>
          <w:sz w:val="32"/>
          <w:szCs w:val="32"/>
          <w:highlight w:val="none"/>
          <w:u w:val="none"/>
          <w:shd w:val="clear" w:fill="auto"/>
        </w:rPr>
        <w:t>合作</w:t>
      </w:r>
      <w:r>
        <w:rPr>
          <w:rFonts w:hint="eastAsia" w:ascii="仿宋_GB2312" w:hAnsi="仿宋_GB2312" w:eastAsia="仿宋_GB2312" w:cs="Times New Roman"/>
          <w:i w:val="0"/>
          <w:iCs w:val="0"/>
          <w:caps w:val="0"/>
          <w:color w:val="auto"/>
          <w:spacing w:val="0"/>
          <w:sz w:val="32"/>
          <w:szCs w:val="32"/>
          <w:highlight w:val="none"/>
          <w:u w:val="none"/>
          <w:shd w:val="clear" w:fill="auto"/>
          <w:lang w:eastAsia="zh-CN"/>
        </w:rPr>
        <w:t>，</w:t>
      </w:r>
      <w:r>
        <w:rPr>
          <w:rFonts w:hint="eastAsia" w:ascii="仿宋_GB2312" w:hAnsi="仿宋_GB2312" w:eastAsia="仿宋_GB2312" w:cs="Times New Roman"/>
          <w:i w:val="0"/>
          <w:iCs w:val="0"/>
          <w:caps w:val="0"/>
          <w:color w:val="auto"/>
          <w:spacing w:val="0"/>
          <w:sz w:val="32"/>
          <w:szCs w:val="32"/>
          <w:highlight w:val="none"/>
          <w:u w:val="none"/>
          <w:shd w:val="clear" w:fill="auto"/>
          <w:lang w:val="en-US" w:eastAsia="zh-CN"/>
        </w:rPr>
        <w:t>发展</w:t>
      </w:r>
      <w:r>
        <w:rPr>
          <w:rFonts w:ascii="仿宋_GB2312" w:hAnsi="仿宋_GB2312" w:eastAsia="仿宋_GB2312" w:cs="Times New Roman"/>
          <w:i w:val="0"/>
          <w:iCs w:val="0"/>
          <w:caps w:val="0"/>
          <w:color w:val="auto"/>
          <w:spacing w:val="0"/>
          <w:sz w:val="32"/>
          <w:szCs w:val="32"/>
          <w:highlight w:val="none"/>
          <w:u w:val="none"/>
          <w:shd w:val="clear" w:fill="auto"/>
        </w:rPr>
        <w:t>智慧医疗，全面提升区域医疗服务</w:t>
      </w:r>
      <w:r>
        <w:rPr>
          <w:rFonts w:hint="eastAsia" w:ascii="仿宋_GB2312" w:hAnsi="仿宋_GB2312" w:eastAsia="仿宋_GB2312" w:cs="Times New Roman"/>
          <w:i w:val="0"/>
          <w:iCs w:val="0"/>
          <w:caps w:val="0"/>
          <w:color w:val="auto"/>
          <w:spacing w:val="0"/>
          <w:sz w:val="32"/>
          <w:szCs w:val="32"/>
          <w:highlight w:val="none"/>
          <w:u w:val="none"/>
          <w:shd w:val="clear" w:fill="auto"/>
          <w:lang w:val="en-US" w:eastAsia="zh-CN"/>
        </w:rPr>
        <w:t>水平</w:t>
      </w:r>
      <w:r>
        <w:rPr>
          <w:rFonts w:ascii="仿宋_GB2312" w:hAnsi="仿宋_GB2312" w:eastAsia="仿宋_GB2312" w:cs="Times New Roman"/>
          <w:i w:val="0"/>
          <w:iCs w:val="0"/>
          <w:caps w:val="0"/>
          <w:color w:val="auto"/>
          <w:spacing w:val="0"/>
          <w:sz w:val="32"/>
          <w:szCs w:val="32"/>
          <w:highlight w:val="none"/>
          <w:u w:val="none"/>
          <w:shd w:val="clear" w:fill="auto"/>
        </w:rPr>
        <w:t>。</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（一）强化特色专科及门诊建设</w:t>
      </w:r>
    </w:p>
    <w:p>
      <w:pPr>
        <w:keepNext w:val="0"/>
        <w:keepLines w:val="0"/>
        <w:pageBreakBefore w:val="0"/>
        <w:numPr>
          <w:ilvl w:val="0"/>
          <w:numId w:val="0"/>
        </w:numPr>
        <w:kinsoku/>
        <w:overflowPunct/>
        <w:topLinePunct w:val="0"/>
        <w:autoSpaceDE/>
        <w:autoSpaceDN/>
        <w:bidi w:val="0"/>
        <w:adjustRightInd/>
        <w:snapToGrid/>
        <w:spacing w:beforeLines="-2147483648" w:afterLines="-2147483648" w:line="560" w:lineRule="exact"/>
        <w:ind w:firstLine="640" w:firstLineChars="200"/>
        <w:textAlignment w:val="auto"/>
        <w:outlineLvl w:val="9"/>
        <w:rPr>
          <w:rFonts w:hint="eastAsia" w:ascii="仿宋_GB2312" w:hAnsi="仿宋_GB2312" w:eastAsia="仿宋_GB2312" w:cs="Times New Roman"/>
          <w:sz w:val="32"/>
          <w:szCs w:val="32"/>
          <w:highlight w:val="none"/>
          <w:u w:val="none"/>
          <w:lang w:val="en-US" w:eastAsia="zh-CN"/>
        </w:rPr>
      </w:pPr>
      <w:r>
        <w:rPr>
          <w:rFonts w:hint="default" w:ascii="仿宋_GB2312" w:hAnsi="仿宋_GB2312" w:eastAsia="仿宋_GB2312" w:cs="Times New Roman"/>
          <w:b w:val="0"/>
          <w:bCs w:val="0"/>
          <w:sz w:val="32"/>
          <w:szCs w:val="32"/>
          <w:highlight w:val="none"/>
          <w:u w:val="none"/>
          <w:lang w:val="en-US" w:eastAsia="zh-CN"/>
        </w:rPr>
        <w:t>依托怀柔区</w:t>
      </w:r>
      <w:r>
        <w:rPr>
          <w:rFonts w:hint="eastAsia" w:ascii="仿宋_GB2312" w:hAnsi="仿宋_GB2312" w:eastAsia="仿宋_GB2312" w:cs="Times New Roman"/>
          <w:b w:val="0"/>
          <w:bCs w:val="0"/>
          <w:sz w:val="32"/>
          <w:szCs w:val="32"/>
          <w:highlight w:val="none"/>
          <w:u w:val="none"/>
          <w:lang w:val="en-US" w:eastAsia="zh-CN"/>
        </w:rPr>
        <w:t>三家</w:t>
      </w:r>
      <w:r>
        <w:rPr>
          <w:rFonts w:hint="default" w:ascii="仿宋_GB2312" w:hAnsi="仿宋_GB2312" w:eastAsia="仿宋_GB2312" w:cs="Times New Roman"/>
          <w:b w:val="0"/>
          <w:bCs w:val="0"/>
          <w:sz w:val="32"/>
          <w:szCs w:val="32"/>
          <w:highlight w:val="none"/>
          <w:u w:val="none"/>
          <w:lang w:val="en-US" w:eastAsia="zh-CN"/>
        </w:rPr>
        <w:t>公立医院，持续提升重点专科诊疗水平，强化特色优势学科建设，补齐薄弱科室短板，辐射带动</w:t>
      </w:r>
      <w:r>
        <w:rPr>
          <w:rFonts w:hint="default" w:ascii="仿宋_GB2312" w:hAnsi="仿宋_GB2312" w:eastAsia="仿宋_GB2312" w:cs="Times New Roman"/>
          <w:i w:val="0"/>
          <w:iCs w:val="0"/>
          <w:caps w:val="0"/>
          <w:spacing w:val="0"/>
          <w:sz w:val="32"/>
          <w:szCs w:val="32"/>
          <w:highlight w:val="none"/>
          <w:u w:val="none"/>
          <w:shd w:val="clear"/>
        </w:rPr>
        <w:t>提升区域整体</w:t>
      </w:r>
      <w:r>
        <w:rPr>
          <w:rFonts w:hint="default" w:ascii="仿宋_GB2312" w:hAnsi="仿宋_GB2312" w:eastAsia="仿宋_GB2312" w:cs="Times New Roman"/>
          <w:i w:val="0"/>
          <w:iCs w:val="0"/>
          <w:caps w:val="0"/>
          <w:spacing w:val="0"/>
          <w:sz w:val="32"/>
          <w:szCs w:val="32"/>
          <w:highlight w:val="none"/>
          <w:u w:val="none"/>
          <w:shd w:val="clear"/>
          <w:lang w:val="en-US" w:eastAsia="zh-CN"/>
        </w:rPr>
        <w:t>医疗服务能力</w:t>
      </w:r>
      <w:r>
        <w:rPr>
          <w:rFonts w:hint="default" w:ascii="仿宋_GB2312" w:hAnsi="仿宋_GB2312" w:eastAsia="仿宋_GB2312" w:cs="Times New Roman"/>
          <w:i w:val="0"/>
          <w:iCs w:val="0"/>
          <w:caps w:val="0"/>
          <w:spacing w:val="0"/>
          <w:sz w:val="32"/>
          <w:szCs w:val="32"/>
          <w:highlight w:val="none"/>
          <w:u w:val="none"/>
          <w:shd w:val="clear"/>
        </w:rPr>
        <w:t>。</w:t>
      </w:r>
      <w:r>
        <w:rPr>
          <w:rFonts w:hint="eastAsia" w:ascii="仿宋_GB2312" w:hAnsi="仿宋_GB2312" w:eastAsia="仿宋_GB2312" w:cs="Times New Roman"/>
          <w:i w:val="0"/>
          <w:iCs w:val="0"/>
          <w:caps w:val="0"/>
          <w:spacing w:val="0"/>
          <w:sz w:val="32"/>
          <w:szCs w:val="32"/>
          <w:highlight w:val="none"/>
          <w:u w:val="none"/>
          <w:shd w:val="clear"/>
          <w:lang w:val="en-US" w:eastAsia="zh-CN"/>
        </w:rPr>
        <w:t>推动怀柔医院创建三级甲等综合医院</w:t>
      </w:r>
      <w:r>
        <w:rPr>
          <w:rFonts w:hint="eastAsia" w:ascii="仿宋_GB2312" w:hAnsi="仿宋_GB2312" w:eastAsia="仿宋_GB2312" w:cs="Times New Roman"/>
          <w:sz w:val="32"/>
          <w:szCs w:val="32"/>
          <w:highlight w:val="none"/>
          <w:u w:val="none"/>
          <w:lang w:val="en-US" w:eastAsia="zh-CN"/>
        </w:rPr>
        <w:t>，</w:t>
      </w:r>
      <w:r>
        <w:rPr>
          <w:rFonts w:hint="eastAsia" w:ascii="仿宋_GB2312" w:hAnsi="仿宋_GB2312" w:eastAsia="仿宋_GB2312" w:cs="Times New Roman"/>
          <w:i w:val="0"/>
          <w:iCs w:val="0"/>
          <w:caps w:val="0"/>
          <w:spacing w:val="0"/>
          <w:sz w:val="32"/>
          <w:szCs w:val="32"/>
          <w:highlight w:val="none"/>
          <w:u w:val="none"/>
          <w:shd w:val="clear"/>
          <w:lang w:val="en-US" w:eastAsia="zh-CN"/>
        </w:rPr>
        <w:t>持续推进呼吸、急诊、神经内科、骨科、变态反应等重点学科建设，将呼吸科、皮肤科打造成市级重点专科，强化“一急一慢”</w:t>
      </w:r>
      <w:r>
        <w:rPr>
          <w:rFonts w:hint="eastAsia" w:ascii="仿宋_GB2312" w:hAnsi="仿宋_GB2312" w:eastAsia="仿宋_GB2312" w:cs="Times New Roman"/>
          <w:sz w:val="32"/>
          <w:szCs w:val="32"/>
          <w:highlight w:val="none"/>
          <w:u w:val="none"/>
          <w:lang w:eastAsia="zh-CN"/>
        </w:rPr>
        <w:t>“</w:t>
      </w:r>
      <w:r>
        <w:rPr>
          <w:rFonts w:hint="default" w:ascii="仿宋_GB2312" w:hAnsi="仿宋_GB2312" w:eastAsia="仿宋_GB2312" w:cs="Times New Roman"/>
          <w:sz w:val="32"/>
          <w:szCs w:val="32"/>
          <w:highlight w:val="none"/>
          <w:u w:val="none"/>
        </w:rPr>
        <w:t>五大中心</w:t>
      </w:r>
      <w:r>
        <w:rPr>
          <w:rFonts w:hint="eastAsia" w:ascii="仿宋_GB2312" w:hAnsi="仿宋_GB2312" w:eastAsia="仿宋_GB2312" w:cs="Times New Roman"/>
          <w:sz w:val="32"/>
          <w:szCs w:val="32"/>
          <w:highlight w:val="none"/>
          <w:u w:val="none"/>
          <w:lang w:eastAsia="zh-CN"/>
        </w:rPr>
        <w:t>”</w:t>
      </w:r>
      <w:r>
        <w:rPr>
          <w:rFonts w:hint="default" w:ascii="仿宋_GB2312" w:hAnsi="仿宋_GB2312" w:eastAsia="仿宋_GB2312" w:cs="Times New Roman"/>
          <w:sz w:val="32"/>
          <w:szCs w:val="32"/>
          <w:highlight w:val="none"/>
          <w:u w:val="none"/>
        </w:rPr>
        <w:t>建设，</w:t>
      </w:r>
      <w:r>
        <w:rPr>
          <w:rFonts w:hint="eastAsia" w:ascii="仿宋_GB2312" w:hAnsi="仿宋_GB2312" w:eastAsia="仿宋_GB2312" w:cs="Times New Roman"/>
          <w:sz w:val="32"/>
          <w:szCs w:val="32"/>
          <w:highlight w:val="none"/>
          <w:u w:val="none"/>
          <w:lang w:val="en-US" w:eastAsia="zh-CN"/>
        </w:rPr>
        <w:t>畅通</w:t>
      </w:r>
      <w:r>
        <w:rPr>
          <w:rFonts w:hint="eastAsia" w:ascii="仿宋_GB2312" w:hAnsi="仿宋_GB2312" w:eastAsia="仿宋_GB2312" w:cs="仿宋_GB2312"/>
          <w:color w:val="auto"/>
          <w:sz w:val="32"/>
          <w:szCs w:val="32"/>
          <w:highlight w:val="none"/>
          <w:u w:val="none"/>
          <w:lang w:val="en-US" w:eastAsia="zh-CN"/>
        </w:rPr>
        <w:t>急危重症就诊绿色通道</w:t>
      </w:r>
      <w:r>
        <w:rPr>
          <w:rFonts w:hint="eastAsia" w:ascii="仿宋_GB2312" w:hAnsi="仿宋_GB2312" w:eastAsia="仿宋_GB2312" w:cs="Times New Roman"/>
          <w:i w:val="0"/>
          <w:iCs w:val="0"/>
          <w:caps w:val="0"/>
          <w:spacing w:val="0"/>
          <w:sz w:val="32"/>
          <w:szCs w:val="32"/>
          <w:highlight w:val="none"/>
          <w:u w:val="none"/>
          <w:shd w:val="clear"/>
          <w:lang w:val="en-US" w:eastAsia="zh-CN"/>
        </w:rPr>
        <w:t>。</w:t>
      </w:r>
      <w:r>
        <w:rPr>
          <w:rFonts w:hint="default" w:ascii="仿宋_GB2312" w:hAnsi="仿宋_GB2312" w:eastAsia="仿宋_GB2312" w:cs="Times New Roman"/>
          <w:sz w:val="32"/>
          <w:szCs w:val="32"/>
          <w:highlight w:val="none"/>
          <w:u w:val="none"/>
          <w:lang w:val="en-US" w:eastAsia="zh-CN"/>
        </w:rPr>
        <w:t>推动区妇幼保健院新院区建成投用</w:t>
      </w:r>
      <w:r>
        <w:rPr>
          <w:rFonts w:hint="eastAsia" w:ascii="仿宋_GB2312" w:hAnsi="仿宋_GB2312" w:eastAsia="仿宋_GB2312" w:cs="Times New Roman"/>
          <w:sz w:val="32"/>
          <w:szCs w:val="32"/>
          <w:highlight w:val="none"/>
          <w:u w:val="none"/>
          <w:lang w:val="en-US" w:eastAsia="zh-CN"/>
        </w:rPr>
        <w:t>，围绕妇女儿童和老年健康需求，深化儿科、妇科及产科等重点专科建设。</w:t>
      </w:r>
      <w:r>
        <w:rPr>
          <w:rFonts w:hint="eastAsia" w:ascii="仿宋_GB2312" w:hAnsi="仿宋_GB2312" w:eastAsia="仿宋_GB2312" w:cs="仿宋_GB2312"/>
          <w:b w:val="0"/>
          <w:bCs w:val="0"/>
          <w:color w:val="auto"/>
          <w:sz w:val="32"/>
          <w:szCs w:val="32"/>
          <w:highlight w:val="none"/>
          <w:u w:val="none"/>
          <w:lang w:val="en-US" w:eastAsia="zh-CN"/>
        </w:rPr>
        <w:t>巩固生育友好医院创建成果</w:t>
      </w:r>
      <w:r>
        <w:rPr>
          <w:rFonts w:hint="default" w:ascii="仿宋_GB2312" w:hAnsi="仿宋_GB2312" w:eastAsia="仿宋_GB2312" w:cs="Times New Roman"/>
          <w:sz w:val="32"/>
          <w:szCs w:val="32"/>
          <w:highlight w:val="none"/>
          <w:u w:val="none"/>
          <w:lang w:val="en-US" w:eastAsia="zh-CN"/>
        </w:rPr>
        <w:t>，改善产妇生育体验</w:t>
      </w:r>
      <w:r>
        <w:rPr>
          <w:rFonts w:hint="eastAsia" w:ascii="仿宋_GB2312" w:hAnsi="仿宋_GB2312" w:eastAsia="仿宋_GB2312" w:cs="Times New Roman"/>
          <w:sz w:val="32"/>
          <w:szCs w:val="32"/>
          <w:highlight w:val="none"/>
          <w:u w:val="none"/>
          <w:lang w:val="en-US" w:eastAsia="zh-CN"/>
        </w:rPr>
        <w:t>，提升全生命周期妇幼健康保障能力。推动区妇幼保健院康复中心建设，提供个性化、全周期的康复服务</w:t>
      </w:r>
      <w:r>
        <w:rPr>
          <w:rFonts w:hint="eastAsia" w:ascii="仿宋_GB2312" w:hAnsi="仿宋_GB2312" w:eastAsia="仿宋_GB2312" w:cs="仿宋_GB2312"/>
          <w:b w:val="0"/>
          <w:bCs w:val="0"/>
          <w:color w:val="auto"/>
          <w:kern w:val="0"/>
          <w:sz w:val="32"/>
          <w:szCs w:val="32"/>
          <w:highlight w:val="none"/>
          <w:u w:val="none"/>
          <w:lang w:val="en-US" w:eastAsia="zh-CN"/>
        </w:rPr>
        <w:t>。</w:t>
      </w:r>
      <w:r>
        <w:rPr>
          <w:rFonts w:hint="eastAsia" w:ascii="仿宋_GB2312" w:hAnsi="仿宋_GB2312" w:eastAsia="仿宋_GB2312" w:cs="Times New Roman"/>
          <w:sz w:val="32"/>
          <w:szCs w:val="32"/>
          <w:highlight w:val="none"/>
          <w:u w:val="none"/>
          <w:lang w:val="en-US" w:eastAsia="zh-CN"/>
        </w:rPr>
        <w:t>深化</w:t>
      </w:r>
      <w:r>
        <w:rPr>
          <w:rFonts w:hint="eastAsia" w:ascii="仿宋_GB2312" w:hAnsi="仿宋_GB2312" w:eastAsia="仿宋_GB2312" w:cs="Times New Roman"/>
          <w:b w:val="0"/>
          <w:bCs w:val="0"/>
          <w:color w:val="auto"/>
          <w:sz w:val="32"/>
          <w:szCs w:val="32"/>
          <w:highlight w:val="none"/>
          <w:u w:val="none"/>
          <w:lang w:val="en-US" w:eastAsia="zh-CN"/>
        </w:rPr>
        <w:t>区中医医院国家及市级重点专科建设，强化心血管科、脑病科等国家级临床重点专科建设，深化康复、内分泌、骨伤科等市级重点专科内涵发展。将消化科、呼吸科创建成为市级重点专科，康复科建设成为国家级重点专科</w:t>
      </w:r>
      <w:r>
        <w:rPr>
          <w:rFonts w:hint="eastAsia" w:ascii="仿宋_GB2312" w:hAnsi="仿宋_GB2312" w:eastAsia="仿宋_GB2312" w:cs="Times New Roman"/>
          <w:sz w:val="32"/>
          <w:szCs w:val="32"/>
          <w:highlight w:val="none"/>
          <w:u w:val="none"/>
          <w:lang w:val="en-US" w:eastAsia="zh-CN"/>
        </w:rPr>
        <w:t>。</w:t>
      </w:r>
      <w:r>
        <w:rPr>
          <w:rFonts w:hint="eastAsia" w:ascii="仿宋_GB2312" w:hAnsi="仿宋_GB2312" w:eastAsia="仿宋_GB2312" w:cs="Times New Roman"/>
          <w:b w:val="0"/>
          <w:bCs w:val="0"/>
          <w:color w:val="auto"/>
          <w:sz w:val="32"/>
          <w:szCs w:val="32"/>
          <w:highlight w:val="none"/>
          <w:u w:val="none"/>
          <w:lang w:val="en-US" w:eastAsia="zh-CN"/>
        </w:rPr>
        <w:t>持续深化名老中医工作室建设，壮大中医药传承队伍，增强中医药服务能力</w:t>
      </w:r>
      <w:r>
        <w:rPr>
          <w:rFonts w:hint="eastAsia" w:ascii="仿宋_GB2312" w:hAnsi="仿宋_GB2312" w:eastAsia="仿宋_GB2312" w:cs="Times New Roman"/>
          <w:sz w:val="32"/>
          <w:szCs w:val="32"/>
          <w:highlight w:val="none"/>
          <w:u w:val="none"/>
          <w:lang w:val="en-US" w:eastAsia="zh-CN"/>
        </w:rPr>
        <w:t>。</w:t>
      </w:r>
      <w:r>
        <w:rPr>
          <w:rFonts w:hint="eastAsia" w:ascii="仿宋_GB2312" w:hAnsi="仿宋_GB2312" w:eastAsia="仿宋_GB2312" w:cs="Times New Roman"/>
          <w:b w:val="0"/>
          <w:bCs w:val="0"/>
          <w:color w:val="auto"/>
          <w:sz w:val="32"/>
          <w:szCs w:val="32"/>
          <w:highlight w:val="none"/>
          <w:u w:val="none"/>
          <w:lang w:val="en-US" w:eastAsia="zh-CN"/>
        </w:rPr>
        <w:t>开展“儿科、精神卫生服务年”行动，全面提高儿科、心理健康和精神卫生服务可及性。</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outlineLvl w:val="2"/>
        <w:rPr>
          <w:rFonts w:hint="default"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（二）深化市区医疗协同合作</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Times New Roman"/>
          <w:sz w:val="32"/>
          <w:szCs w:val="32"/>
          <w:highlight w:val="none"/>
          <w:u w:val="none"/>
          <w:lang w:val="en-US" w:eastAsia="zh-CN"/>
        </w:rPr>
      </w:pPr>
      <w:r>
        <w:rPr>
          <w:rFonts w:hint="eastAsia" w:ascii="仿宋_GB2312" w:hAnsi="仿宋_GB2312" w:eastAsia="仿宋_GB2312" w:cs="Times New Roman"/>
          <w:b w:val="0"/>
          <w:bCs w:val="0"/>
          <w:sz w:val="32"/>
          <w:szCs w:val="32"/>
          <w:highlight w:val="none"/>
          <w:u w:val="none"/>
          <w:lang w:val="en-US" w:eastAsia="zh-CN"/>
        </w:rPr>
        <w:t>深化三家公立</w:t>
      </w:r>
      <w:r>
        <w:rPr>
          <w:rFonts w:hint="default" w:ascii="仿宋_GB2312" w:hAnsi="仿宋_GB2312" w:eastAsia="仿宋_GB2312" w:cs="Times New Roman"/>
          <w:b w:val="0"/>
          <w:bCs w:val="0"/>
          <w:sz w:val="32"/>
          <w:szCs w:val="32"/>
          <w:highlight w:val="none"/>
          <w:u w:val="none"/>
          <w:lang w:val="en-US" w:eastAsia="zh-CN"/>
        </w:rPr>
        <w:t>医院与北京朝阳医院</w:t>
      </w:r>
      <w:r>
        <w:rPr>
          <w:rFonts w:hint="eastAsia" w:ascii="仿宋_GB2312" w:hAnsi="仿宋_GB2312" w:eastAsia="仿宋_GB2312" w:cs="Times New Roman"/>
          <w:b w:val="0"/>
          <w:bCs w:val="0"/>
          <w:sz w:val="32"/>
          <w:szCs w:val="32"/>
          <w:highlight w:val="none"/>
          <w:u w:val="none"/>
          <w:lang w:val="en-US" w:eastAsia="zh-CN"/>
        </w:rPr>
        <w:t>、北京中医医院、北京妇产医院等</w:t>
      </w:r>
      <w:r>
        <w:rPr>
          <w:rFonts w:hint="default" w:ascii="仿宋_GB2312" w:hAnsi="仿宋_GB2312" w:eastAsia="仿宋_GB2312" w:cs="Times New Roman"/>
          <w:b w:val="0"/>
          <w:bCs w:val="0"/>
          <w:sz w:val="32"/>
          <w:szCs w:val="32"/>
          <w:highlight w:val="none"/>
          <w:u w:val="none"/>
          <w:lang w:val="en-US" w:eastAsia="zh-CN"/>
        </w:rPr>
        <w:t>市级医院</w:t>
      </w:r>
      <w:r>
        <w:rPr>
          <w:rFonts w:hint="eastAsia" w:ascii="仿宋_GB2312" w:hAnsi="仿宋_GB2312" w:eastAsia="仿宋_GB2312" w:cs="Times New Roman"/>
          <w:b w:val="0"/>
          <w:bCs w:val="0"/>
          <w:sz w:val="32"/>
          <w:szCs w:val="32"/>
          <w:highlight w:val="none"/>
          <w:u w:val="none"/>
          <w:lang w:val="en-US" w:eastAsia="zh-CN"/>
        </w:rPr>
        <w:t>“</w:t>
      </w:r>
      <w:r>
        <w:rPr>
          <w:rFonts w:hint="default" w:ascii="仿宋_GB2312" w:hAnsi="仿宋_GB2312" w:eastAsia="仿宋_GB2312" w:cs="Times New Roman"/>
          <w:b w:val="0"/>
          <w:bCs w:val="0"/>
          <w:sz w:val="32"/>
          <w:szCs w:val="32"/>
          <w:highlight w:val="none"/>
          <w:u w:val="none"/>
          <w:lang w:val="en-US" w:eastAsia="zh-CN"/>
        </w:rPr>
        <w:t>委托管理</w:t>
      </w:r>
      <w:r>
        <w:rPr>
          <w:rFonts w:hint="eastAsia" w:ascii="仿宋_GB2312" w:hAnsi="仿宋_GB2312" w:eastAsia="仿宋_GB2312" w:cs="Times New Roman"/>
          <w:b w:val="0"/>
          <w:bCs w:val="0"/>
          <w:sz w:val="32"/>
          <w:szCs w:val="32"/>
          <w:highlight w:val="none"/>
          <w:u w:val="none"/>
          <w:lang w:val="en-US" w:eastAsia="zh-CN"/>
        </w:rPr>
        <w:t>”合作，加强</w:t>
      </w:r>
      <w:r>
        <w:rPr>
          <w:rFonts w:hint="default" w:ascii="仿宋_GB2312" w:hAnsi="仿宋_GB2312" w:eastAsia="仿宋_GB2312" w:cs="Times New Roman"/>
          <w:sz w:val="32"/>
          <w:szCs w:val="32"/>
          <w:highlight w:val="none"/>
          <w:u w:val="none"/>
        </w:rPr>
        <w:t>深度协同，</w:t>
      </w:r>
      <w:r>
        <w:rPr>
          <w:rFonts w:hint="eastAsia" w:ascii="仿宋_GB2312" w:hAnsi="仿宋_GB2312" w:eastAsia="仿宋_GB2312" w:cs="Times New Roman"/>
          <w:sz w:val="32"/>
          <w:szCs w:val="32"/>
          <w:highlight w:val="none"/>
          <w:u w:val="none"/>
          <w:lang w:val="en-US" w:eastAsia="zh-CN"/>
        </w:rPr>
        <w:t>构建重点学科发展体系，持续开展新技术、新项目临床应用和适宜技术推广，推动区域医疗技术水平实现新突破。加强与北京儿童医院儿科紧密型医联体合作，促进市级优质医疗资源有序下沉，重点推进怀柔医院儿童呼吸专科门诊建设，支持妇幼保健院发展儿童消化内科和儿童心理特色专科，持续打造儿童友好医院，优化就医环境，切实提升儿童专科诊疗服务水平。积极引入三甲医院知名专家下沉三家公立医院，围绕专家出诊、带教培养与绿色转诊等核心工作精准发力，</w:t>
      </w:r>
      <w:r>
        <w:rPr>
          <w:rFonts w:hint="default" w:ascii="仿宋_GB2312" w:hAnsi="仿宋_GB2312" w:eastAsia="仿宋_GB2312" w:cs="Times New Roman"/>
          <w:sz w:val="32"/>
          <w:szCs w:val="32"/>
          <w:highlight w:val="none"/>
          <w:u w:val="none"/>
        </w:rPr>
        <w:t>带动</w:t>
      </w:r>
      <w:r>
        <w:rPr>
          <w:rFonts w:hint="eastAsia" w:ascii="仿宋_GB2312" w:hAnsi="仿宋_GB2312" w:eastAsia="仿宋_GB2312" w:cs="Times New Roman"/>
          <w:sz w:val="32"/>
          <w:szCs w:val="32"/>
          <w:highlight w:val="none"/>
          <w:u w:val="none"/>
          <w:lang w:val="en-US" w:eastAsia="zh-CN"/>
        </w:rPr>
        <w:t>医疗</w:t>
      </w:r>
      <w:r>
        <w:rPr>
          <w:rFonts w:hint="default" w:ascii="仿宋_GB2312" w:hAnsi="仿宋_GB2312" w:eastAsia="仿宋_GB2312" w:cs="Times New Roman"/>
          <w:sz w:val="32"/>
          <w:szCs w:val="32"/>
          <w:highlight w:val="none"/>
          <w:u w:val="none"/>
        </w:rPr>
        <w:t>服务能力提质升级。</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（三）促进医疗服务智慧化升级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Times New Roman"/>
          <w:b w:val="0"/>
          <w:bCs w:val="0"/>
          <w:sz w:val="32"/>
          <w:szCs w:val="32"/>
          <w:highlight w:val="none"/>
          <w:u w:val="none"/>
          <w:lang w:val="en-US" w:eastAsia="zh-CN"/>
        </w:rPr>
      </w:pPr>
      <w:r>
        <w:rPr>
          <w:rFonts w:hint="default" w:ascii="仿宋_GB2312" w:hAnsi="仿宋_GB2312" w:eastAsia="仿宋_GB2312" w:cs="Times New Roman"/>
          <w:sz w:val="32"/>
          <w:szCs w:val="32"/>
          <w:highlight w:val="none"/>
          <w:u w:val="none"/>
        </w:rPr>
        <w:t>推进信息互通、智</w:t>
      </w:r>
      <w:r>
        <w:rPr>
          <w:rFonts w:hint="eastAsia" w:ascii="仿宋_GB2312" w:hAnsi="仿宋_GB2312" w:eastAsia="仿宋_GB2312" w:cs="Times New Roman"/>
          <w:sz w:val="32"/>
          <w:szCs w:val="32"/>
          <w:highlight w:val="none"/>
          <w:u w:val="none"/>
          <w:lang w:eastAsia="zh-CN"/>
        </w:rPr>
        <w:t>慧</w:t>
      </w:r>
      <w:r>
        <w:rPr>
          <w:rFonts w:hint="default" w:ascii="仿宋_GB2312" w:hAnsi="仿宋_GB2312" w:eastAsia="仿宋_GB2312" w:cs="Times New Roman"/>
          <w:sz w:val="32"/>
          <w:szCs w:val="32"/>
          <w:highlight w:val="none"/>
          <w:u w:val="none"/>
        </w:rPr>
        <w:t>赋能和服务创新，构建高效便捷的智慧医疗服务体系。</w:t>
      </w:r>
      <w:r>
        <w:rPr>
          <w:rFonts w:hint="eastAsia" w:ascii="仿宋_GB2312" w:hAnsi="仿宋_GB2312" w:eastAsia="仿宋_GB2312" w:cs="仿宋_GB2312"/>
          <w:b w:val="0"/>
          <w:bCs w:val="0"/>
          <w:color w:val="auto"/>
          <w:sz w:val="32"/>
          <w:szCs w:val="32"/>
          <w:highlight w:val="none"/>
          <w:u w:val="none"/>
          <w:lang w:val="en-US" w:eastAsia="zh-CN"/>
        </w:rPr>
        <w:t>深化电子病历系统应用</w:t>
      </w:r>
      <w:r>
        <w:rPr>
          <w:rFonts w:hint="eastAsia" w:ascii="仿宋_GB2312" w:hAnsi="仿宋_GB2312" w:eastAsia="仿宋_GB2312" w:cs="Times New Roman"/>
          <w:b w:val="0"/>
          <w:bCs w:val="0"/>
          <w:sz w:val="32"/>
          <w:szCs w:val="32"/>
          <w:highlight w:val="none"/>
          <w:u w:val="none"/>
          <w:lang w:val="en-US" w:eastAsia="zh-CN"/>
        </w:rPr>
        <w:t>，创新运用人工智能辅助诊断等医疗服务模式，缩短患者就医等候时间，提高医疗服务效率和精准度。健全“互联网+医疗健康”服务体系，</w:t>
      </w:r>
      <w:r>
        <w:rPr>
          <w:rFonts w:hint="default" w:ascii="仿宋_GB2312" w:hAnsi="仿宋_GB2312" w:eastAsia="仿宋_GB2312" w:cs="Times New Roman"/>
          <w:b w:val="0"/>
          <w:bCs w:val="0"/>
          <w:sz w:val="32"/>
          <w:szCs w:val="32"/>
          <w:highlight w:val="none"/>
          <w:u w:val="none"/>
        </w:rPr>
        <w:t>提供常见病、慢性病复诊、医保结算和送药到家等服务，实现便捷高效的线上线下</w:t>
      </w:r>
      <w:r>
        <w:rPr>
          <w:rFonts w:hint="eastAsia" w:ascii="仿宋_GB2312" w:hAnsi="仿宋_GB2312" w:eastAsia="仿宋_GB2312" w:cs="Times New Roman"/>
          <w:b w:val="0"/>
          <w:bCs w:val="0"/>
          <w:sz w:val="32"/>
          <w:szCs w:val="32"/>
          <w:highlight w:val="none"/>
          <w:u w:val="none"/>
          <w:lang w:val="en-US" w:eastAsia="zh-CN"/>
        </w:rPr>
        <w:t>一体化</w:t>
      </w:r>
      <w:r>
        <w:rPr>
          <w:rFonts w:hint="default" w:ascii="仿宋_GB2312" w:hAnsi="仿宋_GB2312" w:eastAsia="仿宋_GB2312" w:cs="Times New Roman"/>
          <w:b w:val="0"/>
          <w:bCs w:val="0"/>
          <w:sz w:val="32"/>
          <w:szCs w:val="32"/>
          <w:highlight w:val="none"/>
          <w:u w:val="none"/>
        </w:rPr>
        <w:t>医疗</w:t>
      </w:r>
      <w:r>
        <w:rPr>
          <w:rFonts w:hint="eastAsia" w:ascii="仿宋_GB2312" w:hAnsi="仿宋_GB2312" w:eastAsia="仿宋_GB2312" w:cs="Times New Roman"/>
          <w:b w:val="0"/>
          <w:bCs w:val="0"/>
          <w:sz w:val="32"/>
          <w:szCs w:val="32"/>
          <w:highlight w:val="none"/>
          <w:u w:val="none"/>
          <w:lang w:val="en-US" w:eastAsia="zh-CN"/>
        </w:rPr>
        <w:t>卫生服务</w:t>
      </w:r>
      <w:r>
        <w:rPr>
          <w:rFonts w:hint="default" w:ascii="仿宋_GB2312" w:hAnsi="仿宋_GB2312" w:eastAsia="仿宋_GB2312" w:cs="Times New Roman"/>
          <w:b w:val="0"/>
          <w:bCs w:val="0"/>
          <w:sz w:val="32"/>
          <w:szCs w:val="32"/>
          <w:highlight w:val="none"/>
          <w:u w:val="none"/>
        </w:rPr>
        <w:t>模式。</w:t>
      </w:r>
      <w:r>
        <w:rPr>
          <w:rFonts w:hint="eastAsia" w:ascii="仿宋_GB2312" w:hAnsi="仿宋_GB2312" w:eastAsia="仿宋_GB2312" w:cs="Times New Roman"/>
          <w:b w:val="0"/>
          <w:bCs w:val="0"/>
          <w:sz w:val="32"/>
          <w:szCs w:val="32"/>
          <w:highlight w:val="none"/>
          <w:u w:val="none"/>
          <w:lang w:val="en-US" w:eastAsia="zh-CN"/>
        </w:rPr>
        <w:t>深化“医疗+公卫”一体化综合性远程诊疗服务模式，</w:t>
      </w:r>
      <w:r>
        <w:rPr>
          <w:rFonts w:hint="eastAsia" w:ascii="仿宋_GB2312" w:hAnsi="仿宋_GB2312" w:eastAsia="仿宋_GB2312" w:cs="Times New Roman"/>
          <w:sz w:val="32"/>
          <w:szCs w:val="32"/>
          <w:highlight w:val="none"/>
          <w:u w:val="none"/>
          <w:lang w:val="en-US" w:eastAsia="zh-CN"/>
        </w:rPr>
        <w:t>推进基层医疗卫生服务数字化、标准化建设，健全村卫生室与乡镇社区卫生服务中心一体化管理机制，促进数字化医疗服务向基层和山区延伸。推进山区智慧健康e站建设，持续优化雁栖国际社区健康e站服务内容，完善远程问诊、健康监测、处方流转、医保结算等服务功能，为山区居民和科研人员提供更加便捷的医疗健康服务。</w:t>
      </w:r>
      <w:r>
        <w:rPr>
          <w:rFonts w:hint="default" w:ascii="仿宋_GB2312" w:hAnsi="仿宋_GB2312" w:eastAsia="仿宋_GB2312" w:cs="Times New Roman"/>
          <w:b w:val="0"/>
          <w:bCs w:val="0"/>
          <w:sz w:val="32"/>
          <w:szCs w:val="32"/>
          <w:highlight w:val="none"/>
          <w:u w:val="none"/>
          <w:lang w:val="en-US" w:eastAsia="zh-CN"/>
        </w:rPr>
        <w:t>推动医疗机构与科技企业合作，开发基于大数据、人工智能的疾病诊断、健康监测、康复管理等应用产品。</w:t>
      </w:r>
    </w:p>
    <w:p>
      <w:pPr>
        <w:keepNext w:val="0"/>
        <w:keepLines w:val="0"/>
        <w:pageBreakBefore w:val="0"/>
        <w:widowControl/>
        <w:numPr>
          <w:ilvl w:val="0"/>
          <w:numId w:val="0"/>
        </w:numPr>
        <w:kinsoku/>
        <w:overflowPunct/>
        <w:topLinePunct w:val="0"/>
        <w:autoSpaceDE/>
        <w:autoSpaceDN/>
        <w:bidi w:val="0"/>
        <w:adjustRightInd/>
        <w:snapToGrid/>
        <w:spacing w:beforeLines="0" w:afterLines="0" w:line="560" w:lineRule="exact"/>
        <w:ind w:firstLine="640" w:firstLineChars="200"/>
        <w:textAlignment w:val="auto"/>
        <w:outlineLvl w:val="1"/>
        <w:rPr>
          <w:rFonts w:hint="eastAsia" w:ascii="仿宋_GB2312" w:hAnsi="仿宋_GB2312" w:eastAsia="黑体" w:cs="Times New Roman"/>
          <w:sz w:val="32"/>
          <w:szCs w:val="32"/>
          <w:highlight w:val="none"/>
          <w:u w:val="none"/>
          <w:lang w:val="en-US" w:eastAsia="zh-CN"/>
        </w:rPr>
      </w:pPr>
      <w:bookmarkStart w:id="235" w:name="_Toc7155"/>
      <w:bookmarkStart w:id="236" w:name="_Toc27204"/>
      <w:bookmarkStart w:id="237" w:name="_Toc3721"/>
      <w:bookmarkStart w:id="238" w:name="_Toc24205"/>
      <w:bookmarkStart w:id="239" w:name="_Toc11782"/>
      <w:bookmarkStart w:id="240" w:name="_Toc24626"/>
      <w:bookmarkStart w:id="241" w:name="_Toc6732"/>
      <w:bookmarkStart w:id="242" w:name="_Toc1756"/>
      <w:bookmarkStart w:id="243" w:name="_Toc20358"/>
      <w:bookmarkStart w:id="244" w:name="_Toc24286"/>
      <w:r>
        <w:rPr>
          <w:rFonts w:hint="eastAsia" w:ascii="仿宋_GB2312" w:hAnsi="仿宋_GB2312" w:eastAsia="黑体" w:cs="Times New Roman"/>
          <w:sz w:val="32"/>
          <w:szCs w:val="32"/>
          <w:highlight w:val="none"/>
          <w:u w:val="none"/>
          <w:lang w:val="en-US" w:eastAsia="zh-CN"/>
        </w:rPr>
        <w:t>二、</w:t>
      </w:r>
      <w:r>
        <w:rPr>
          <w:rFonts w:hint="eastAsia" w:ascii="仿宋_GB2312" w:hAnsi="仿宋_GB2312" w:eastAsia="黑体" w:cs="Times New Roman"/>
          <w:sz w:val="32"/>
          <w:szCs w:val="32"/>
          <w:highlight w:val="none"/>
          <w:u w:val="none"/>
        </w:rPr>
        <w:t>强化科</w:t>
      </w:r>
      <w:r>
        <w:rPr>
          <w:rFonts w:hint="eastAsia" w:ascii="仿宋_GB2312" w:hAnsi="仿宋_GB2312" w:eastAsia="黑体" w:cs="Times New Roman"/>
          <w:sz w:val="32"/>
          <w:szCs w:val="32"/>
          <w:highlight w:val="none"/>
          <w:u w:val="none"/>
          <w:lang w:val="en-US" w:eastAsia="zh-CN"/>
        </w:rPr>
        <w:t>技</w:t>
      </w:r>
      <w:r>
        <w:rPr>
          <w:rFonts w:hint="eastAsia" w:ascii="仿宋_GB2312" w:hAnsi="仿宋_GB2312" w:eastAsia="黑体" w:cs="Times New Roman"/>
          <w:sz w:val="32"/>
          <w:szCs w:val="32"/>
          <w:highlight w:val="none"/>
          <w:u w:val="none"/>
        </w:rPr>
        <w:t>赋能与国际医疗供给</w:t>
      </w:r>
      <w:bookmarkEnd w:id="235"/>
      <w:bookmarkEnd w:id="236"/>
      <w:bookmarkEnd w:id="237"/>
      <w:bookmarkEnd w:id="238"/>
      <w:bookmarkEnd w:id="239"/>
      <w:bookmarkEnd w:id="240"/>
      <w:bookmarkEnd w:id="241"/>
      <w:bookmarkEnd w:id="242"/>
      <w:bookmarkEnd w:id="243"/>
      <w:bookmarkEnd w:id="244"/>
    </w:p>
    <w:p>
      <w:pPr>
        <w:keepNext w:val="0"/>
        <w:keepLines w:val="0"/>
        <w:pageBreakBefore w:val="0"/>
        <w:numPr>
          <w:ilvl w:val="-1"/>
          <w:numId w:val="0"/>
        </w:numPr>
        <w:kinsoku/>
        <w:overflowPunct/>
        <w:topLinePunct w:val="0"/>
        <w:autoSpaceDE/>
        <w:autoSpaceDN/>
        <w:bidi w:val="0"/>
        <w:adjustRightInd/>
        <w:snapToGrid/>
        <w:spacing w:beforeLines="0" w:afterLines="0" w:line="560" w:lineRule="exact"/>
        <w:ind w:firstLine="640" w:firstLineChars="200"/>
        <w:textAlignment w:val="auto"/>
        <w:outlineLvl w:val="9"/>
        <w:rPr>
          <w:rFonts w:hint="default" w:ascii="仿宋_GB2312" w:hAnsi="仿宋_GB2312" w:eastAsia="仿宋_GB2312" w:cs="Times New Roman"/>
          <w:sz w:val="32"/>
          <w:szCs w:val="32"/>
          <w:highlight w:val="none"/>
          <w:u w:val="none"/>
          <w:lang w:val="en-US" w:eastAsia="zh-CN"/>
        </w:rPr>
      </w:pPr>
      <w:bookmarkStart w:id="245" w:name="_Toc27210"/>
      <w:bookmarkStart w:id="246" w:name="_Toc29744"/>
      <w:bookmarkStart w:id="247" w:name="_Toc5103"/>
      <w:bookmarkStart w:id="248" w:name="_Toc11541"/>
      <w:r>
        <w:rPr>
          <w:rFonts w:hint="default" w:ascii="仿宋_GB2312" w:hAnsi="仿宋_GB2312" w:eastAsia="仿宋_GB2312" w:cs="Times New Roman"/>
          <w:sz w:val="32"/>
          <w:szCs w:val="32"/>
          <w:highlight w:val="none"/>
          <w:u w:val="none"/>
          <w:lang w:val="en-US" w:eastAsia="zh-CN"/>
        </w:rPr>
        <w:t>推动科技创新资源与医疗卫生资源深度融合，依托大科学装置、科研院所和优质医疗机构，强化临床研究、成果转化和国际医疗服务能力，</w:t>
      </w:r>
      <w:r>
        <w:rPr>
          <w:rFonts w:hint="eastAsia" w:ascii="仿宋_GB2312" w:hAnsi="仿宋_GB2312" w:eastAsia="仿宋_GB2312" w:cs="Times New Roman"/>
          <w:sz w:val="32"/>
          <w:szCs w:val="32"/>
          <w:highlight w:val="none"/>
          <w:u w:val="none"/>
          <w:lang w:val="en-US" w:eastAsia="zh-CN"/>
        </w:rPr>
        <w:t>提供更加前沿的</w:t>
      </w:r>
      <w:r>
        <w:rPr>
          <w:rFonts w:hint="default" w:ascii="仿宋_GB2312" w:hAnsi="仿宋_GB2312" w:eastAsia="仿宋_GB2312" w:cs="Times New Roman"/>
          <w:sz w:val="32"/>
          <w:szCs w:val="32"/>
          <w:highlight w:val="none"/>
          <w:u w:val="none"/>
          <w:lang w:val="en-US" w:eastAsia="zh-CN"/>
        </w:rPr>
        <w:t>健康保障。</w:t>
      </w:r>
    </w:p>
    <w:p>
      <w:pPr>
        <w:keepNext w:val="0"/>
        <w:keepLines w:val="0"/>
        <w:pageBreakBefore w:val="0"/>
        <w:numPr>
          <w:ilvl w:val="-1"/>
          <w:numId w:val="0"/>
        </w:numPr>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sz w:val="32"/>
          <w:szCs w:val="32"/>
          <w:highlight w:val="none"/>
          <w:u w:val="none"/>
          <w:lang w:val="en-US" w:eastAsia="zh-CN"/>
        </w:rPr>
      </w:pPr>
      <w:r>
        <w:rPr>
          <w:rFonts w:hint="eastAsia" w:ascii="仿宋_GB2312" w:hAnsi="仿宋_GB2312" w:eastAsia="楷体_GB2312" w:cs="楷体_GB2312"/>
          <w:sz w:val="32"/>
          <w:szCs w:val="32"/>
          <w:highlight w:val="none"/>
          <w:u w:val="none"/>
          <w:lang w:val="en-US" w:eastAsia="zh-CN"/>
        </w:rPr>
        <w:t>（一）</w:t>
      </w:r>
      <w:r>
        <w:rPr>
          <w:rFonts w:hint="eastAsia" w:ascii="仿宋_GB2312" w:hAnsi="仿宋_GB2312" w:eastAsia="楷体_GB2312" w:cs="楷体_GB2312"/>
          <w:sz w:val="32"/>
          <w:szCs w:val="32"/>
          <w:highlight w:val="none"/>
          <w:u w:val="none"/>
        </w:rPr>
        <w:t>推进</w:t>
      </w:r>
      <w:r>
        <w:rPr>
          <w:rFonts w:hint="eastAsia" w:ascii="仿宋_GB2312" w:hAnsi="仿宋_GB2312" w:eastAsia="楷体_GB2312" w:cs="楷体_GB2312"/>
          <w:sz w:val="32"/>
          <w:szCs w:val="32"/>
          <w:highlight w:val="none"/>
          <w:u w:val="none"/>
          <w:lang w:eastAsia="zh-CN"/>
        </w:rPr>
        <w:t>“</w:t>
      </w:r>
      <w:r>
        <w:rPr>
          <w:rFonts w:hint="eastAsia" w:ascii="仿宋_GB2312" w:hAnsi="仿宋_GB2312" w:eastAsia="楷体_GB2312" w:cs="楷体_GB2312"/>
          <w:sz w:val="32"/>
          <w:szCs w:val="32"/>
          <w:highlight w:val="none"/>
          <w:u w:val="none"/>
        </w:rPr>
        <w:t>医</w:t>
      </w:r>
      <w:r>
        <w:rPr>
          <w:rFonts w:hint="eastAsia" w:ascii="仿宋_GB2312" w:hAnsi="仿宋_GB2312" w:eastAsia="楷体_GB2312" w:cs="楷体_GB2312"/>
          <w:sz w:val="32"/>
          <w:szCs w:val="32"/>
          <w:highlight w:val="none"/>
          <w:u w:val="none"/>
          <w:lang w:val="en-US" w:eastAsia="zh-CN"/>
        </w:rPr>
        <w:t>教</w:t>
      </w:r>
      <w:r>
        <w:rPr>
          <w:rFonts w:hint="eastAsia" w:ascii="仿宋_GB2312" w:hAnsi="仿宋_GB2312" w:eastAsia="楷体_GB2312" w:cs="楷体_GB2312"/>
          <w:sz w:val="32"/>
          <w:szCs w:val="32"/>
          <w:highlight w:val="none"/>
          <w:u w:val="none"/>
        </w:rPr>
        <w:t>研产</w:t>
      </w:r>
      <w:r>
        <w:rPr>
          <w:rFonts w:hint="eastAsia" w:ascii="仿宋_GB2312" w:hAnsi="仿宋_GB2312" w:eastAsia="楷体_GB2312" w:cs="楷体_GB2312"/>
          <w:sz w:val="32"/>
          <w:szCs w:val="32"/>
          <w:highlight w:val="none"/>
          <w:u w:val="none"/>
          <w:lang w:eastAsia="zh-CN"/>
        </w:rPr>
        <w:t>”</w:t>
      </w:r>
      <w:r>
        <w:rPr>
          <w:rFonts w:hint="eastAsia" w:ascii="仿宋_GB2312" w:hAnsi="仿宋_GB2312" w:eastAsia="楷体_GB2312" w:cs="楷体_GB2312"/>
          <w:sz w:val="32"/>
          <w:szCs w:val="32"/>
          <w:highlight w:val="none"/>
          <w:u w:val="none"/>
        </w:rPr>
        <w:t>深度融合</w:t>
      </w:r>
    </w:p>
    <w:p>
      <w:pPr>
        <w:keepNext w:val="0"/>
        <w:keepLines w:val="0"/>
        <w:pageBreakBefore w:val="0"/>
        <w:numPr>
          <w:ilvl w:val="0"/>
          <w:numId w:val="0"/>
        </w:numPr>
        <w:kinsoku/>
        <w:overflowPunct/>
        <w:topLinePunct w:val="0"/>
        <w:autoSpaceDE/>
        <w:autoSpaceDN/>
        <w:bidi w:val="0"/>
        <w:adjustRightInd/>
        <w:snapToGrid/>
        <w:spacing w:beforeLines="-2147483648" w:afterLines="-2147483648" w:line="560" w:lineRule="exact"/>
        <w:ind w:firstLine="640" w:firstLineChars="200"/>
        <w:textAlignment w:val="auto"/>
        <w:outlineLvl w:val="9"/>
        <w:rPr>
          <w:rFonts w:hint="default" w:ascii="仿宋_GB2312" w:hAnsi="仿宋_GB2312" w:eastAsia="仿宋_GB2312" w:cs="Times New Roman"/>
          <w:sz w:val="32"/>
          <w:szCs w:val="32"/>
          <w:highlight w:val="none"/>
          <w:u w:val="none"/>
        </w:rPr>
      </w:pPr>
      <w:r>
        <w:rPr>
          <w:rFonts w:hint="default" w:ascii="仿宋_GB2312" w:hAnsi="仿宋_GB2312" w:eastAsia="仿宋_GB2312" w:cs="Times New Roman"/>
          <w:sz w:val="32"/>
          <w:szCs w:val="32"/>
          <w:highlight w:val="none"/>
          <w:u w:val="none"/>
          <w:lang w:val="en-US" w:eastAsia="zh-CN"/>
        </w:rPr>
        <w:t>紧扣怀柔科学城生命健康产业发展布局，</w:t>
      </w:r>
      <w:r>
        <w:rPr>
          <w:rFonts w:hint="default" w:ascii="仿宋_GB2312" w:hAnsi="仿宋_GB2312" w:eastAsia="仿宋_GB2312" w:cs="Times New Roman"/>
          <w:sz w:val="32"/>
          <w:szCs w:val="32"/>
          <w:highlight w:val="none"/>
          <w:u w:val="none"/>
        </w:rPr>
        <w:t>加强医疗机构与科研院所、创新平台协同联动。</w:t>
      </w:r>
      <w:r>
        <w:rPr>
          <w:rFonts w:hint="default" w:ascii="仿宋_GB2312" w:hAnsi="仿宋_GB2312" w:eastAsia="仿宋_GB2312" w:cs="Times New Roman"/>
          <w:b w:val="0"/>
          <w:bCs w:val="0"/>
          <w:sz w:val="32"/>
          <w:szCs w:val="32"/>
          <w:highlight w:val="none"/>
          <w:u w:val="none"/>
        </w:rPr>
        <w:t>加强区域医疗资源统筹谋划，</w:t>
      </w:r>
      <w:r>
        <w:rPr>
          <w:rFonts w:hint="eastAsia" w:ascii="仿宋_GB2312" w:hAnsi="仿宋_GB2312" w:eastAsia="仿宋_GB2312" w:cs="Times New Roman"/>
          <w:b w:val="0"/>
          <w:bCs w:val="0"/>
          <w:sz w:val="32"/>
          <w:szCs w:val="32"/>
          <w:highlight w:val="none"/>
          <w:u w:val="none"/>
          <w:lang w:val="en-US" w:eastAsia="zh-CN"/>
        </w:rPr>
        <w:t>推动</w:t>
      </w:r>
      <w:r>
        <w:rPr>
          <w:rFonts w:hint="default" w:ascii="仿宋_GB2312" w:hAnsi="仿宋_GB2312" w:eastAsia="仿宋_GB2312" w:cs="Times New Roman"/>
          <w:b w:val="0"/>
          <w:bCs w:val="0"/>
          <w:sz w:val="32"/>
          <w:szCs w:val="32"/>
          <w:highlight w:val="none"/>
          <w:u w:val="none"/>
        </w:rPr>
        <w:t>与北京大学怀密医学中心协同合作，</w:t>
      </w:r>
      <w:r>
        <w:rPr>
          <w:rFonts w:hint="eastAsia" w:ascii="仿宋_GB2312" w:hAnsi="仿宋_GB2312" w:eastAsia="仿宋_GB2312" w:cs="Times New Roman"/>
          <w:b w:val="0"/>
          <w:bCs w:val="0"/>
          <w:sz w:val="32"/>
          <w:szCs w:val="32"/>
          <w:highlight w:val="none"/>
          <w:u w:val="none"/>
          <w:lang w:val="en-US" w:eastAsia="zh-CN"/>
        </w:rPr>
        <w:t>探索</w:t>
      </w:r>
      <w:r>
        <w:rPr>
          <w:rFonts w:hint="eastAsia" w:ascii="仿宋_GB2312" w:hAnsi="仿宋_GB2312" w:eastAsia="仿宋_GB2312" w:cs="Times New Roman"/>
          <w:sz w:val="32"/>
          <w:szCs w:val="32"/>
          <w:highlight w:val="none"/>
          <w:u w:val="none"/>
        </w:rPr>
        <w:t>在怀柔科学城共建三甲医院</w:t>
      </w:r>
      <w:r>
        <w:rPr>
          <w:rFonts w:hint="eastAsia" w:ascii="仿宋_GB2312" w:hAnsi="仿宋_GB2312" w:eastAsia="仿宋_GB2312" w:cs="Times New Roman"/>
          <w:sz w:val="32"/>
          <w:szCs w:val="32"/>
          <w:highlight w:val="none"/>
          <w:u w:val="none"/>
          <w:lang w:eastAsia="zh-CN"/>
        </w:rPr>
        <w:t>；</w:t>
      </w:r>
      <w:r>
        <w:rPr>
          <w:rFonts w:hint="eastAsia" w:ascii="仿宋_GB2312" w:hAnsi="仿宋_GB2312" w:eastAsia="仿宋_GB2312" w:cs="Times New Roman"/>
          <w:sz w:val="32"/>
          <w:szCs w:val="32"/>
          <w:highlight w:val="none"/>
          <w:u w:val="none"/>
        </w:rPr>
        <w:t>整合临床研究资源，开展三甲级别妇幼</w:t>
      </w:r>
      <w:r>
        <w:rPr>
          <w:rFonts w:hint="eastAsia" w:ascii="仿宋_GB2312" w:hAnsi="仿宋_GB2312" w:eastAsia="仿宋_GB2312" w:cs="Times New Roman"/>
          <w:sz w:val="32"/>
          <w:szCs w:val="32"/>
          <w:highlight w:val="none"/>
          <w:u w:val="none"/>
          <w:lang w:val="en-US" w:eastAsia="zh-CN"/>
        </w:rPr>
        <w:t>等</w:t>
      </w:r>
      <w:r>
        <w:rPr>
          <w:rFonts w:hint="eastAsia" w:ascii="仿宋_GB2312" w:hAnsi="仿宋_GB2312" w:eastAsia="仿宋_GB2312" w:cs="Times New Roman"/>
          <w:sz w:val="32"/>
          <w:szCs w:val="32"/>
          <w:highlight w:val="none"/>
          <w:u w:val="none"/>
        </w:rPr>
        <w:t>领域特色诊疗服务，</w:t>
      </w:r>
      <w:r>
        <w:rPr>
          <w:rFonts w:hint="default" w:ascii="仿宋_GB2312" w:hAnsi="仿宋_GB2312" w:eastAsia="仿宋_GB2312" w:cs="Times New Roman"/>
          <w:b w:val="0"/>
          <w:bCs w:val="0"/>
          <w:sz w:val="32"/>
          <w:szCs w:val="32"/>
          <w:highlight w:val="none"/>
          <w:u w:val="none"/>
        </w:rPr>
        <w:t>推动怀密医疗资源共建共享</w:t>
      </w:r>
      <w:r>
        <w:rPr>
          <w:rFonts w:hint="eastAsia" w:ascii="仿宋_GB2312" w:hAnsi="仿宋_GB2312" w:eastAsia="仿宋_GB2312" w:cs="Times New Roman"/>
          <w:b w:val="0"/>
          <w:bCs w:val="0"/>
          <w:sz w:val="32"/>
          <w:szCs w:val="32"/>
          <w:highlight w:val="none"/>
          <w:u w:val="none"/>
          <w:lang w:eastAsia="zh-CN"/>
        </w:rPr>
        <w:t>。</w:t>
      </w:r>
      <w:r>
        <w:rPr>
          <w:rFonts w:hint="default" w:ascii="仿宋_GB2312" w:hAnsi="仿宋_GB2312" w:eastAsia="仿宋_GB2312" w:cs="Times New Roman"/>
          <w:b w:val="0"/>
          <w:bCs w:val="0"/>
          <w:sz w:val="32"/>
          <w:szCs w:val="32"/>
          <w:highlight w:val="none"/>
          <w:u w:val="none"/>
        </w:rPr>
        <w:t>提升临床验证能力，</w:t>
      </w:r>
      <w:r>
        <w:rPr>
          <w:rFonts w:hint="default" w:ascii="仿宋_GB2312" w:hAnsi="仿宋_GB2312" w:eastAsia="仿宋_GB2312" w:cs="Times New Roman"/>
          <w:sz w:val="32"/>
          <w:szCs w:val="32"/>
          <w:highlight w:val="none"/>
          <w:u w:val="none"/>
        </w:rPr>
        <w:t>推动多模态跨尺度生物医学成像、人类器官生理病理模拟装置等</w:t>
      </w:r>
      <w:r>
        <w:rPr>
          <w:rFonts w:hint="eastAsia" w:ascii="仿宋_GB2312" w:hAnsi="仿宋_GB2312" w:eastAsia="仿宋_GB2312" w:cs="Times New Roman"/>
          <w:sz w:val="32"/>
          <w:szCs w:val="32"/>
          <w:highlight w:val="none"/>
          <w:u w:val="none"/>
          <w:lang w:val="en-US" w:eastAsia="zh-CN"/>
        </w:rPr>
        <w:t>科技</w:t>
      </w:r>
      <w:r>
        <w:rPr>
          <w:rFonts w:hint="default" w:ascii="仿宋_GB2312" w:hAnsi="仿宋_GB2312" w:eastAsia="仿宋_GB2312" w:cs="Times New Roman"/>
          <w:sz w:val="32"/>
          <w:szCs w:val="32"/>
          <w:highlight w:val="none"/>
          <w:u w:val="none"/>
        </w:rPr>
        <w:t>设施</w:t>
      </w:r>
      <w:r>
        <w:rPr>
          <w:rFonts w:hint="eastAsia" w:ascii="仿宋_GB2312" w:hAnsi="仿宋_GB2312" w:eastAsia="仿宋_GB2312" w:cs="Times New Roman"/>
          <w:sz w:val="32"/>
          <w:szCs w:val="32"/>
          <w:highlight w:val="none"/>
          <w:u w:val="none"/>
          <w:lang w:val="en-US" w:eastAsia="zh-CN"/>
        </w:rPr>
        <w:t>平台</w:t>
      </w:r>
      <w:r>
        <w:rPr>
          <w:rFonts w:hint="default" w:ascii="仿宋_GB2312" w:hAnsi="仿宋_GB2312" w:eastAsia="仿宋_GB2312" w:cs="Times New Roman"/>
          <w:sz w:val="32"/>
          <w:szCs w:val="32"/>
          <w:highlight w:val="none"/>
          <w:u w:val="none"/>
        </w:rPr>
        <w:t>向医疗机构开放，开展临床研究。</w:t>
      </w:r>
      <w:r>
        <w:rPr>
          <w:rFonts w:hint="eastAsia" w:ascii="仿宋_GB2312" w:hAnsi="仿宋_GB2312" w:eastAsia="仿宋_GB2312" w:cs="Times New Roman"/>
          <w:sz w:val="32"/>
          <w:szCs w:val="32"/>
          <w:highlight w:val="none"/>
          <w:u w:val="none"/>
          <w:lang w:val="en-US" w:eastAsia="zh-CN"/>
        </w:rPr>
        <w:t>推进三大医院</w:t>
      </w:r>
      <w:r>
        <w:rPr>
          <w:rFonts w:hint="default" w:ascii="仿宋_GB2312" w:hAnsi="仿宋_GB2312" w:eastAsia="仿宋_GB2312" w:cs="Times New Roman"/>
          <w:sz w:val="32"/>
          <w:szCs w:val="32"/>
          <w:highlight w:val="none"/>
          <w:u w:val="none"/>
        </w:rPr>
        <w:t>GCP临床试验平台</w:t>
      </w:r>
      <w:r>
        <w:rPr>
          <w:rFonts w:hint="eastAsia" w:ascii="仿宋_GB2312" w:hAnsi="仿宋_GB2312" w:eastAsia="仿宋_GB2312" w:cs="Times New Roman"/>
          <w:sz w:val="32"/>
          <w:szCs w:val="32"/>
          <w:highlight w:val="none"/>
          <w:u w:val="none"/>
          <w:lang w:val="en-US" w:eastAsia="zh-CN"/>
        </w:rPr>
        <w:t>建设</w:t>
      </w:r>
      <w:r>
        <w:rPr>
          <w:rFonts w:hint="default" w:ascii="仿宋_GB2312" w:hAnsi="仿宋_GB2312" w:eastAsia="仿宋_GB2312" w:cs="Times New Roman"/>
          <w:sz w:val="32"/>
          <w:szCs w:val="32"/>
          <w:highlight w:val="none"/>
          <w:u w:val="none"/>
        </w:rPr>
        <w:t>，提供临床验证应用场景。</w:t>
      </w:r>
      <w:r>
        <w:rPr>
          <w:rFonts w:hint="default" w:ascii="仿宋_GB2312" w:hAnsi="仿宋_GB2312" w:eastAsia="仿宋_GB2312" w:cs="Times New Roman"/>
          <w:b w:val="0"/>
          <w:bCs w:val="0"/>
          <w:sz w:val="32"/>
          <w:szCs w:val="32"/>
          <w:highlight w:val="none"/>
          <w:u w:val="none"/>
        </w:rPr>
        <w:t>推进研究型医院建设，</w:t>
      </w:r>
      <w:r>
        <w:rPr>
          <w:rFonts w:hint="default" w:ascii="仿宋_GB2312" w:hAnsi="仿宋_GB2312" w:eastAsia="仿宋_GB2312" w:cs="Times New Roman"/>
          <w:sz w:val="32"/>
          <w:szCs w:val="32"/>
          <w:highlight w:val="none"/>
          <w:u w:val="none"/>
        </w:rPr>
        <w:t>深化怀柔医院与怀柔科学城生命科学产业创新研究院合作，共建细胞实验室，打通基础研究、临床研究和成果转化通道</w:t>
      </w:r>
      <w:r>
        <w:rPr>
          <w:rFonts w:hint="eastAsia" w:ascii="仿宋_GB2312" w:hAnsi="仿宋_GB2312" w:eastAsia="仿宋_GB2312" w:cs="Times New Roman"/>
          <w:sz w:val="32"/>
          <w:szCs w:val="32"/>
          <w:highlight w:val="none"/>
          <w:u w:val="none"/>
          <w:lang w:eastAsia="zh-CN"/>
        </w:rPr>
        <w:t>，</w:t>
      </w:r>
      <w:r>
        <w:rPr>
          <w:rFonts w:hint="eastAsia" w:ascii="仿宋_GB2312" w:hAnsi="仿宋_GB2312" w:eastAsia="仿宋_GB2312" w:cs="Times New Roman"/>
          <w:sz w:val="32"/>
          <w:szCs w:val="32"/>
          <w:highlight w:val="none"/>
          <w:u w:val="none"/>
          <w:lang w:val="en-US" w:eastAsia="zh-CN"/>
        </w:rPr>
        <w:t>推动区域医疗水平创新性提升</w:t>
      </w:r>
      <w:r>
        <w:rPr>
          <w:rFonts w:hint="default" w:ascii="仿宋_GB2312" w:hAnsi="仿宋_GB2312" w:eastAsia="仿宋_GB2312" w:cs="Times New Roman"/>
          <w:sz w:val="32"/>
          <w:szCs w:val="32"/>
          <w:highlight w:val="none"/>
          <w:u w:val="none"/>
        </w:rPr>
        <w:t>。推动区妇幼保健院在承担妇幼保健服务功能基础上，建设集教学临床、场景应用、首台（套）应用、成果转化于一体的研究型医院。</w:t>
      </w:r>
    </w:p>
    <w:p>
      <w:pPr>
        <w:keepNext w:val="0"/>
        <w:keepLines w:val="0"/>
        <w:pageBreakBefore w:val="0"/>
        <w:numPr>
          <w:ilvl w:val="-1"/>
          <w:numId w:val="0"/>
        </w:numPr>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sz w:val="32"/>
          <w:szCs w:val="32"/>
          <w:highlight w:val="none"/>
          <w:u w:val="none"/>
          <w:lang w:val="en-US" w:eastAsia="zh-CN"/>
        </w:rPr>
      </w:pPr>
      <w:r>
        <w:rPr>
          <w:rFonts w:hint="eastAsia" w:ascii="仿宋_GB2312" w:hAnsi="仿宋_GB2312" w:eastAsia="楷体_GB2312" w:cs="楷体_GB2312"/>
          <w:sz w:val="32"/>
          <w:szCs w:val="32"/>
          <w:highlight w:val="none"/>
          <w:u w:val="none"/>
          <w:lang w:val="en-US" w:eastAsia="zh-CN"/>
        </w:rPr>
        <w:t>（二）提高国际医疗服务水平</w:t>
      </w:r>
    </w:p>
    <w:p>
      <w:pPr>
        <w:numPr>
          <w:ilvl w:val="0"/>
          <w:numId w:val="0"/>
        </w:numPr>
        <w:spacing w:line="560" w:lineRule="exact"/>
        <w:ind w:firstLine="640" w:firstLineChars="200"/>
        <w:outlineLvl w:val="9"/>
        <w:rPr>
          <w:highlight w:val="none"/>
          <w:u w:val="none"/>
        </w:rPr>
      </w:pPr>
      <w:r>
        <w:rPr>
          <w:rFonts w:hint="eastAsia" w:ascii="仿宋_GB2312" w:hAnsi="仿宋_GB2312" w:eastAsia="仿宋_GB2312" w:cs="Times New Roman"/>
          <w:sz w:val="32"/>
          <w:szCs w:val="32"/>
          <w:highlight w:val="none"/>
          <w:u w:val="none"/>
          <w:lang w:val="en-US" w:eastAsia="zh-CN"/>
        </w:rPr>
        <w:t>完善国际医疗服务体系，优化国际医疗资源布局。</w:t>
      </w:r>
      <w:r>
        <w:rPr>
          <w:rFonts w:hint="eastAsia" w:ascii="仿宋_GB2312" w:hAnsi="仿宋_GB2312" w:eastAsia="仿宋_GB2312" w:cs="Times New Roman"/>
          <w:b w:val="0"/>
          <w:bCs w:val="0"/>
          <w:sz w:val="32"/>
          <w:szCs w:val="32"/>
          <w:highlight w:val="none"/>
          <w:u w:val="none"/>
          <w:lang w:val="en-US" w:eastAsia="zh-CN"/>
        </w:rPr>
        <w:t>提升怀柔医院国际部服务能力，</w:t>
      </w:r>
      <w:r>
        <w:rPr>
          <w:rFonts w:hint="eastAsia" w:ascii="仿宋_GB2312" w:hAnsi="仿宋_GB2312" w:eastAsia="仿宋_GB2312" w:cs="Times New Roman"/>
          <w:sz w:val="32"/>
          <w:szCs w:val="32"/>
          <w:highlight w:val="none"/>
          <w:u w:val="none"/>
          <w:lang w:val="en-US" w:eastAsia="zh-CN"/>
        </w:rPr>
        <w:t>加强国际医疗服务专业人才和设施设备建设，提高医疗服务便利化、舒适化水平。开展怀柔区妇幼保健院国际部建设，优化诊疗服务环境，设置围产新生儿病房、一体化病房、国际部儿童多功能中心等服务设施。推动怀柔中医医院探索国际化中医药服务，提供高水准的中医适宜技术。</w:t>
      </w:r>
      <w:r>
        <w:rPr>
          <w:rFonts w:hint="eastAsia" w:ascii="仿宋_GB2312" w:hAnsi="仿宋_GB2312" w:eastAsia="仿宋_GB2312" w:cs="Times New Roman"/>
          <w:b w:val="0"/>
          <w:bCs w:val="0"/>
          <w:sz w:val="32"/>
          <w:szCs w:val="32"/>
          <w:highlight w:val="none"/>
          <w:u w:val="none"/>
          <w:lang w:val="en-US" w:eastAsia="zh-CN"/>
        </w:rPr>
        <w:t>统筹区级医疗资源配置，</w:t>
      </w:r>
      <w:r>
        <w:rPr>
          <w:rFonts w:hint="eastAsia" w:ascii="仿宋_GB2312" w:hAnsi="仿宋_GB2312" w:eastAsia="仿宋_GB2312" w:cs="Times New Roman"/>
          <w:sz w:val="32"/>
          <w:szCs w:val="32"/>
          <w:highlight w:val="none"/>
          <w:u w:val="none"/>
          <w:lang w:val="en-US" w:eastAsia="zh-CN"/>
        </w:rPr>
        <w:t>提升医疗机构外语服务能力，逐步完善覆盖预约、就诊、检查、住院等全流程国际化医疗服务。</w:t>
      </w:r>
      <w:r>
        <w:rPr>
          <w:rFonts w:hint="eastAsia" w:ascii="仿宋_GB2312" w:hAnsi="仿宋_GB2312" w:eastAsia="仿宋_GB2312" w:cs="Times New Roman"/>
          <w:b w:val="0"/>
          <w:bCs w:val="0"/>
          <w:sz w:val="32"/>
          <w:szCs w:val="32"/>
          <w:highlight w:val="none"/>
          <w:u w:val="none"/>
          <w:lang w:val="en-US" w:eastAsia="zh-CN"/>
        </w:rPr>
        <w:t>积极引进优质国际医疗资源，</w:t>
      </w:r>
      <w:r>
        <w:rPr>
          <w:rFonts w:hint="eastAsia" w:ascii="仿宋_GB2312" w:hAnsi="仿宋_GB2312" w:eastAsia="仿宋_GB2312" w:cs="Times New Roman"/>
          <w:sz w:val="32"/>
          <w:szCs w:val="32"/>
          <w:highlight w:val="none"/>
          <w:u w:val="none"/>
          <w:lang w:val="en-US" w:eastAsia="zh-CN"/>
        </w:rPr>
        <w:t>在符合条件的情况下推动医疗机构与国际商业保险衔接，更好满足外籍人才和国际科研人员多元化医疗服务需求。到2030年，实现提供国际医疗服务的医疗机构达到2所。</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1"/>
        <w:rPr>
          <w:rFonts w:hint="default" w:ascii="仿宋_GB2312" w:hAnsi="仿宋_GB2312" w:eastAsia="黑体" w:cs="Times New Roman"/>
          <w:b w:val="0"/>
          <w:kern w:val="2"/>
          <w:sz w:val="32"/>
          <w:szCs w:val="32"/>
          <w:highlight w:val="none"/>
          <w:u w:val="none"/>
          <w:lang w:val="en-US" w:eastAsia="zh-CN" w:bidi="ar-SA"/>
        </w:rPr>
      </w:pPr>
      <w:bookmarkStart w:id="249" w:name="_Toc14254"/>
      <w:bookmarkStart w:id="250" w:name="_Toc22412"/>
      <w:bookmarkStart w:id="251" w:name="_Toc15591"/>
      <w:bookmarkStart w:id="252" w:name="_Toc7599"/>
      <w:bookmarkStart w:id="253" w:name="_Toc18504"/>
      <w:bookmarkStart w:id="254" w:name="_Toc4287"/>
      <w:bookmarkStart w:id="255" w:name="_Toc31219"/>
      <w:bookmarkStart w:id="256" w:name="_Toc6758"/>
      <w:bookmarkStart w:id="257" w:name="_Toc19797"/>
      <w:bookmarkStart w:id="258" w:name="_Toc10871"/>
      <w:r>
        <w:rPr>
          <w:rFonts w:hint="eastAsia" w:ascii="仿宋_GB2312" w:hAnsi="仿宋_GB2312" w:eastAsia="黑体" w:cs="Times New Roman"/>
          <w:b w:val="0"/>
          <w:kern w:val="2"/>
          <w:sz w:val="32"/>
          <w:szCs w:val="32"/>
          <w:highlight w:val="none"/>
          <w:u w:val="none"/>
          <w:lang w:val="en-US" w:eastAsia="zh-CN" w:bidi="ar-SA"/>
        </w:rPr>
        <w:t>三</w:t>
      </w:r>
      <w:r>
        <w:rPr>
          <w:rFonts w:hint="default" w:ascii="仿宋_GB2312" w:hAnsi="仿宋_GB2312" w:eastAsia="黑体" w:cs="Times New Roman"/>
          <w:b w:val="0"/>
          <w:kern w:val="2"/>
          <w:sz w:val="32"/>
          <w:szCs w:val="32"/>
          <w:highlight w:val="none"/>
          <w:u w:val="none"/>
          <w:lang w:val="en-US" w:eastAsia="zh-CN" w:bidi="ar-SA"/>
        </w:rPr>
        <w:t>、</w:t>
      </w:r>
      <w:r>
        <w:rPr>
          <w:rFonts w:hint="eastAsia" w:ascii="仿宋_GB2312" w:hAnsi="仿宋_GB2312" w:eastAsia="黑体" w:cs="Times New Roman"/>
          <w:b w:val="0"/>
          <w:kern w:val="2"/>
          <w:sz w:val="32"/>
          <w:szCs w:val="32"/>
          <w:highlight w:val="none"/>
          <w:u w:val="none"/>
          <w:lang w:val="en-US" w:eastAsia="zh-CN" w:bidi="ar-SA"/>
        </w:rPr>
        <w:t>提升</w:t>
      </w:r>
      <w:r>
        <w:rPr>
          <w:rFonts w:hint="default" w:ascii="仿宋_GB2312" w:hAnsi="仿宋_GB2312" w:eastAsia="黑体" w:cs="Times New Roman"/>
          <w:b w:val="0"/>
          <w:kern w:val="2"/>
          <w:sz w:val="32"/>
          <w:szCs w:val="32"/>
          <w:highlight w:val="none"/>
          <w:u w:val="none"/>
          <w:lang w:val="en-US" w:eastAsia="zh-CN" w:bidi="ar-SA"/>
        </w:rPr>
        <w:t>基层医疗</w:t>
      </w:r>
      <w:r>
        <w:rPr>
          <w:rFonts w:hint="eastAsia" w:ascii="仿宋_GB2312" w:hAnsi="仿宋_GB2312" w:eastAsia="黑体" w:cs="Times New Roman"/>
          <w:b w:val="0"/>
          <w:kern w:val="2"/>
          <w:sz w:val="32"/>
          <w:szCs w:val="32"/>
          <w:highlight w:val="none"/>
          <w:u w:val="none"/>
          <w:lang w:val="en-US" w:eastAsia="zh-CN" w:bidi="ar-SA"/>
        </w:rPr>
        <w:t>卫生</w:t>
      </w:r>
      <w:r>
        <w:rPr>
          <w:rFonts w:hint="default" w:ascii="仿宋_GB2312" w:hAnsi="仿宋_GB2312" w:eastAsia="黑体" w:cs="Times New Roman"/>
          <w:b w:val="0"/>
          <w:kern w:val="2"/>
          <w:sz w:val="32"/>
          <w:szCs w:val="32"/>
          <w:highlight w:val="none"/>
          <w:u w:val="none"/>
          <w:lang w:val="en-US" w:eastAsia="zh-CN" w:bidi="ar-SA"/>
        </w:rPr>
        <w:t>服务</w:t>
      </w:r>
      <w:bookmarkEnd w:id="245"/>
      <w:bookmarkEnd w:id="246"/>
      <w:bookmarkEnd w:id="247"/>
      <w:bookmarkEnd w:id="248"/>
      <w:r>
        <w:rPr>
          <w:rFonts w:hint="eastAsia" w:ascii="仿宋_GB2312" w:hAnsi="仿宋_GB2312" w:eastAsia="黑体" w:cs="Times New Roman"/>
          <w:b w:val="0"/>
          <w:kern w:val="2"/>
          <w:sz w:val="32"/>
          <w:szCs w:val="32"/>
          <w:highlight w:val="none"/>
          <w:u w:val="none"/>
          <w:lang w:val="en-US" w:eastAsia="zh-CN" w:bidi="ar-SA"/>
        </w:rPr>
        <w:t>水平</w:t>
      </w:r>
      <w:bookmarkEnd w:id="249"/>
      <w:bookmarkEnd w:id="250"/>
      <w:bookmarkEnd w:id="251"/>
      <w:bookmarkEnd w:id="252"/>
      <w:bookmarkEnd w:id="253"/>
      <w:bookmarkEnd w:id="254"/>
      <w:bookmarkEnd w:id="255"/>
      <w:bookmarkEnd w:id="256"/>
      <w:bookmarkEnd w:id="257"/>
      <w:bookmarkEnd w:id="258"/>
    </w:p>
    <w:p>
      <w:pPr>
        <w:pStyle w:val="28"/>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textAlignment w:val="auto"/>
        <w:rPr>
          <w:rFonts w:hint="default" w:ascii="仿宋_GB2312" w:hAnsi="仿宋_GB2312" w:cs="Times New Roman"/>
          <w:b/>
          <w:bCs/>
          <w:szCs w:val="32"/>
          <w:highlight w:val="none"/>
          <w:u w:val="none"/>
          <w:lang w:val="en-US" w:eastAsia="zh-CN"/>
        </w:rPr>
      </w:pPr>
      <w:r>
        <w:rPr>
          <w:rFonts w:hint="eastAsia" w:cs="Times New Roman"/>
          <w:b w:val="0"/>
          <w:bCs w:val="0"/>
          <w:szCs w:val="32"/>
          <w:highlight w:val="none"/>
          <w:u w:val="none"/>
          <w:lang w:val="en-US" w:eastAsia="zh-CN"/>
        </w:rPr>
        <w:t>实施医疗卫生强基工程，</w:t>
      </w:r>
      <w:r>
        <w:rPr>
          <w:rFonts w:hint="default" w:ascii="仿宋_GB2312" w:hAnsi="仿宋_GB2312" w:cs="Times New Roman"/>
          <w:b w:val="0"/>
          <w:bCs w:val="0"/>
          <w:szCs w:val="32"/>
          <w:highlight w:val="none"/>
          <w:u w:val="none"/>
        </w:rPr>
        <w:t>着力补齐</w:t>
      </w:r>
      <w:r>
        <w:rPr>
          <w:rFonts w:hint="eastAsia" w:ascii="仿宋_GB2312" w:hAnsi="仿宋_GB2312" w:cs="Times New Roman"/>
          <w:b w:val="0"/>
          <w:bCs w:val="0"/>
          <w:szCs w:val="32"/>
          <w:highlight w:val="none"/>
          <w:u w:val="none"/>
          <w:lang w:eastAsia="zh-CN"/>
        </w:rPr>
        <w:t>基层医疗</w:t>
      </w:r>
      <w:r>
        <w:rPr>
          <w:rFonts w:hint="default" w:ascii="仿宋_GB2312" w:hAnsi="仿宋_GB2312" w:cs="Times New Roman"/>
          <w:b w:val="0"/>
          <w:bCs w:val="0"/>
          <w:szCs w:val="32"/>
          <w:highlight w:val="none"/>
          <w:u w:val="none"/>
        </w:rPr>
        <w:t>设施短板</w:t>
      </w:r>
      <w:r>
        <w:rPr>
          <w:rFonts w:hint="eastAsia" w:ascii="仿宋_GB2312" w:hAnsi="仿宋_GB2312" w:cs="Times New Roman"/>
          <w:b w:val="0"/>
          <w:bCs w:val="0"/>
          <w:szCs w:val="32"/>
          <w:highlight w:val="none"/>
          <w:u w:val="none"/>
          <w:lang w:eastAsia="zh-CN"/>
        </w:rPr>
        <w:t>，</w:t>
      </w:r>
      <w:r>
        <w:rPr>
          <w:rFonts w:hint="eastAsia" w:cs="Times New Roman"/>
          <w:b w:val="0"/>
          <w:bCs w:val="0"/>
          <w:szCs w:val="32"/>
          <w:highlight w:val="none"/>
          <w:u w:val="none"/>
          <w:lang w:val="en-US" w:eastAsia="zh-CN"/>
        </w:rPr>
        <w:t>加强区域紧密型医联体建设，以基层为重点完善分级诊疗体系，改善基层护理、康复设施条件，</w:t>
      </w:r>
      <w:r>
        <w:rPr>
          <w:rFonts w:hint="default" w:ascii="仿宋_GB2312" w:hAnsi="仿宋_GB2312" w:cs="Times New Roman"/>
          <w:b w:val="0"/>
          <w:bCs w:val="0"/>
          <w:szCs w:val="32"/>
          <w:highlight w:val="none"/>
          <w:u w:val="none"/>
        </w:rPr>
        <w:t>推动基层医疗机构全面提质增效。</w:t>
      </w:r>
    </w:p>
    <w:p>
      <w:pPr>
        <w:pStyle w:val="28"/>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textAlignment w:val="auto"/>
        <w:outlineLvl w:val="2"/>
        <w:rPr>
          <w:rFonts w:hint="default" w:ascii="仿宋_GB2312" w:hAnsi="仿宋_GB2312" w:eastAsia="楷体_GB2312" w:cs="楷体_GB2312"/>
          <w:b w:val="0"/>
          <w:bCs w:val="0"/>
          <w:szCs w:val="32"/>
          <w:highlight w:val="none"/>
          <w:u w:val="none"/>
          <w:lang w:val="en-US" w:eastAsia="zh-CN"/>
        </w:rPr>
      </w:pPr>
      <w:r>
        <w:rPr>
          <w:rFonts w:hint="eastAsia" w:ascii="仿宋_GB2312" w:hAnsi="仿宋_GB2312" w:eastAsia="楷体_GB2312" w:cs="楷体_GB2312"/>
          <w:b w:val="0"/>
          <w:bCs w:val="0"/>
          <w:szCs w:val="32"/>
          <w:highlight w:val="none"/>
          <w:u w:val="none"/>
          <w:lang w:val="en-US" w:eastAsia="zh-CN"/>
        </w:rPr>
        <w:t>（一）深化医联体建设与协作</w:t>
      </w:r>
    </w:p>
    <w:p>
      <w:pPr>
        <w:pStyle w:val="28"/>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textAlignment w:val="auto"/>
        <w:outlineLvl w:val="9"/>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pPr>
      <w:r>
        <w:rPr>
          <w:rFonts w:hint="eastAsia" w:ascii="仿宋_GB2312" w:hAnsi="仿宋_GB2312" w:eastAsia="仿宋_GB2312" w:cs="仿宋_GB2312"/>
          <w:b w:val="0"/>
          <w:bCs w:val="0"/>
          <w:color w:val="auto"/>
          <w:sz w:val="32"/>
          <w:szCs w:val="32"/>
          <w:highlight w:val="none"/>
          <w:u w:val="none"/>
          <w:lang w:val="en-US" w:eastAsia="zh-CN"/>
        </w:rPr>
        <w:t>依托紧密型医联体建设</w:t>
      </w:r>
      <w:r>
        <w:rPr>
          <w:rFonts w:hint="default" w:ascii="仿宋_GB2312" w:hAnsi="仿宋_GB2312" w:eastAsia="仿宋_GB2312" w:cs="Times New Roman"/>
          <w:b w:val="0"/>
          <w:bCs w:val="0"/>
          <w:kern w:val="2"/>
          <w:sz w:val="32"/>
          <w:szCs w:val="32"/>
          <w:highlight w:val="none"/>
          <w:u w:val="none"/>
          <w:lang w:val="en-US" w:eastAsia="zh-CN" w:bidi="ar-SA"/>
          <w14:ligatures w14:val="standardContextual"/>
        </w:rPr>
        <w:t>，</w:t>
      </w:r>
      <w:r>
        <w:rPr>
          <w:rFonts w:hint="eastAsia" w:ascii="仿宋_GB2312" w:hAnsi="仿宋_GB2312" w:eastAsia="仿宋_GB2312" w:cs="仿宋_GB2312"/>
          <w:b w:val="0"/>
          <w:bCs w:val="0"/>
          <w:color w:val="auto"/>
          <w:sz w:val="32"/>
          <w:szCs w:val="32"/>
          <w:highlight w:val="none"/>
          <w:u w:val="none"/>
          <w:lang w:val="en-US" w:eastAsia="zh-CN"/>
        </w:rPr>
        <w:t>推动核心医院人员</w:t>
      </w:r>
      <w:r>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t>、技术等优质医疗资源</w:t>
      </w:r>
      <w:r>
        <w:rPr>
          <w:rFonts w:hint="default" w:ascii="仿宋_GB2312" w:hAnsi="仿宋_GB2312" w:eastAsia="仿宋_GB2312" w:cs="Times New Roman"/>
          <w:b w:val="0"/>
          <w:bCs w:val="0"/>
          <w:kern w:val="2"/>
          <w:sz w:val="32"/>
          <w:szCs w:val="32"/>
          <w:highlight w:val="none"/>
          <w:u w:val="none"/>
          <w:lang w:val="en-US" w:eastAsia="zh-CN" w:bidi="ar-SA"/>
          <w14:ligatures w14:val="standardContextual"/>
        </w:rPr>
        <w:t>向基层</w:t>
      </w:r>
      <w:r>
        <w:rPr>
          <w:rFonts w:hint="eastAsia" w:cs="Times New Roman"/>
          <w:b w:val="0"/>
          <w:bCs w:val="0"/>
          <w:kern w:val="2"/>
          <w:sz w:val="32"/>
          <w:szCs w:val="32"/>
          <w:highlight w:val="none"/>
          <w:u w:val="none"/>
          <w:lang w:val="en-US" w:eastAsia="zh-CN" w:bidi="ar-SA"/>
          <w14:ligatures w14:val="standardContextual"/>
        </w:rPr>
        <w:t>扩容</w:t>
      </w:r>
      <w:r>
        <w:rPr>
          <w:rFonts w:hint="default" w:ascii="仿宋_GB2312" w:hAnsi="仿宋_GB2312" w:eastAsia="仿宋_GB2312" w:cs="Times New Roman"/>
          <w:b w:val="0"/>
          <w:bCs w:val="0"/>
          <w:kern w:val="2"/>
          <w:sz w:val="32"/>
          <w:szCs w:val="32"/>
          <w:highlight w:val="none"/>
          <w:u w:val="none"/>
          <w:lang w:val="en-US" w:eastAsia="zh-CN" w:bidi="ar-SA"/>
          <w14:ligatures w14:val="standardContextual"/>
        </w:rPr>
        <w:t>下沉，逐步形成科学高效的就医秩序。</w:t>
      </w:r>
      <w:r>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t>强化怀柔医院</w:t>
      </w:r>
      <w:r>
        <w:rPr>
          <w:rFonts w:hint="eastAsia" w:cs="Times New Roman"/>
          <w:b w:val="0"/>
          <w:bCs w:val="0"/>
          <w:kern w:val="2"/>
          <w:sz w:val="32"/>
          <w:szCs w:val="32"/>
          <w:highlight w:val="none"/>
          <w:u w:val="none"/>
          <w:lang w:val="en-US" w:eastAsia="zh-CN" w:bidi="ar-SA"/>
          <w14:ligatures w14:val="standardContextual"/>
        </w:rPr>
        <w:t>、</w:t>
      </w:r>
      <w:r>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t>怀柔区中医医院</w:t>
      </w:r>
      <w:r>
        <w:rPr>
          <w:rFonts w:hint="eastAsia" w:cs="Times New Roman"/>
          <w:b w:val="0"/>
          <w:bCs w:val="0"/>
          <w:kern w:val="2"/>
          <w:sz w:val="32"/>
          <w:szCs w:val="32"/>
          <w:highlight w:val="none"/>
          <w:u w:val="none"/>
          <w:lang w:val="en-US" w:eastAsia="zh-CN" w:bidi="ar-SA"/>
          <w14:ligatures w14:val="standardContextual"/>
        </w:rPr>
        <w:t>等紧密医联体核心医院</w:t>
      </w:r>
      <w:r>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t>与</w:t>
      </w:r>
      <w:r>
        <w:rPr>
          <w:rFonts w:hint="eastAsia" w:cs="Times New Roman"/>
          <w:b w:val="0"/>
          <w:bCs w:val="0"/>
          <w:color w:val="auto"/>
          <w:kern w:val="2"/>
          <w:sz w:val="32"/>
          <w:szCs w:val="32"/>
          <w:highlight w:val="none"/>
          <w:u w:val="none"/>
          <w:lang w:val="en-US" w:eastAsia="zh-CN" w:bidi="ar-SA"/>
          <w14:ligatures w14:val="standardContextual"/>
        </w:rPr>
        <w:t>成员单位</w:t>
      </w:r>
      <w:r>
        <w:rPr>
          <w:rFonts w:hint="eastAsia" w:ascii="仿宋_GB2312" w:hAnsi="仿宋_GB2312" w:eastAsia="仿宋_GB2312" w:cs="Times New Roman"/>
          <w:b w:val="0"/>
          <w:bCs w:val="0"/>
          <w:color w:val="auto"/>
          <w:kern w:val="2"/>
          <w:sz w:val="32"/>
          <w:szCs w:val="32"/>
          <w:highlight w:val="none"/>
          <w:u w:val="none"/>
          <w:lang w:val="en-US" w:eastAsia="zh-CN" w:bidi="ar-SA"/>
          <w14:ligatures w14:val="standardContextual"/>
        </w:rPr>
        <w:t>紧密协作，结合基层实际医疗需求，推动更多科室专家下沉基层出诊带教，常态化开展</w:t>
      </w:r>
      <w:r>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t>疑难病例讨论、</w:t>
      </w:r>
      <w:r>
        <w:rPr>
          <w:rFonts w:hint="eastAsia" w:ascii="仿宋_GB2312" w:hAnsi="仿宋_GB2312" w:eastAsia="仿宋_GB2312" w:cs="Times New Roman"/>
          <w:b w:val="0"/>
          <w:bCs w:val="0"/>
          <w:color w:val="auto"/>
          <w:kern w:val="2"/>
          <w:sz w:val="32"/>
          <w:szCs w:val="32"/>
          <w:highlight w:val="none"/>
          <w:u w:val="none"/>
          <w:lang w:val="en-US" w:eastAsia="zh-CN" w:bidi="ar-SA"/>
          <w14:ligatures w14:val="standardContextual"/>
        </w:rPr>
        <w:t>联合查房、学术交流等活动</w:t>
      </w:r>
      <w:r>
        <w:rPr>
          <w:rFonts w:hint="eastAsia" w:cs="Times New Roman"/>
          <w:b w:val="0"/>
          <w:bCs w:val="0"/>
          <w:color w:val="auto"/>
          <w:kern w:val="2"/>
          <w:sz w:val="32"/>
          <w:szCs w:val="32"/>
          <w:highlight w:val="none"/>
          <w:u w:val="none"/>
          <w:lang w:val="en-US" w:eastAsia="zh-CN" w:bidi="ar-SA"/>
          <w14:ligatures w14:val="standardContextual"/>
        </w:rPr>
        <w:t>，</w:t>
      </w:r>
      <w:r>
        <w:rPr>
          <w:rFonts w:hint="eastAsia" w:ascii="仿宋_GB2312" w:hAnsi="仿宋_GB2312" w:eastAsia="仿宋_GB2312" w:cs="Times New Roman"/>
          <w:b w:val="0"/>
          <w:bCs w:val="0"/>
          <w:color w:val="auto"/>
          <w:kern w:val="2"/>
          <w:sz w:val="32"/>
          <w:szCs w:val="32"/>
          <w:highlight w:val="none"/>
          <w:u w:val="none"/>
          <w:lang w:val="en-US" w:eastAsia="zh-CN" w:bidi="ar-SA"/>
          <w14:ligatures w14:val="standardContextual"/>
        </w:rPr>
        <w:t>提升基层</w:t>
      </w:r>
      <w:r>
        <w:rPr>
          <w:rFonts w:hint="eastAsia" w:cs="Times New Roman"/>
          <w:b w:val="0"/>
          <w:bCs w:val="0"/>
          <w:color w:val="auto"/>
          <w:kern w:val="2"/>
          <w:sz w:val="32"/>
          <w:szCs w:val="32"/>
          <w:highlight w:val="none"/>
          <w:u w:val="none"/>
          <w:lang w:val="en-US" w:eastAsia="zh-CN" w:bidi="ar-SA"/>
          <w14:ligatures w14:val="standardContextual"/>
        </w:rPr>
        <w:t>医疗卫生机构诊疗</w:t>
      </w:r>
      <w:r>
        <w:rPr>
          <w:rFonts w:hint="eastAsia" w:ascii="仿宋_GB2312" w:hAnsi="仿宋_GB2312" w:eastAsia="仿宋_GB2312" w:cs="Times New Roman"/>
          <w:b w:val="0"/>
          <w:bCs w:val="0"/>
          <w:color w:val="auto"/>
          <w:kern w:val="2"/>
          <w:sz w:val="32"/>
          <w:szCs w:val="32"/>
          <w:highlight w:val="none"/>
          <w:u w:val="none"/>
          <w:lang w:val="en-US" w:eastAsia="zh-CN" w:bidi="ar-SA"/>
          <w14:ligatures w14:val="standardContextual"/>
        </w:rPr>
        <w:t>服务能力。推动紧密型医联体用药目录统一，扩大基层常见病和慢性病用药种类，保障基层与上级医院之间的用药衔接。依托区级医院及医联体资源，全面推进乡村卫生室“云诊疗”与“云药房”建设，</w:t>
      </w:r>
      <w:r>
        <w:rPr>
          <w:rFonts w:hint="eastAsia" w:cs="Times New Roman"/>
          <w:b w:val="0"/>
          <w:bCs w:val="0"/>
          <w:color w:val="auto"/>
          <w:kern w:val="2"/>
          <w:sz w:val="32"/>
          <w:szCs w:val="32"/>
          <w:highlight w:val="none"/>
          <w:u w:val="none"/>
          <w:lang w:val="en-US" w:eastAsia="zh-CN" w:bidi="ar-SA"/>
          <w14:ligatures w14:val="standardContextual"/>
        </w:rPr>
        <w:t>提供</w:t>
      </w:r>
      <w:r>
        <w:rPr>
          <w:rFonts w:hint="eastAsia" w:ascii="仿宋_GB2312" w:hAnsi="仿宋_GB2312" w:eastAsia="仿宋_GB2312" w:cs="Times New Roman"/>
          <w:b w:val="0"/>
          <w:bCs w:val="0"/>
          <w:color w:val="auto"/>
          <w:kern w:val="2"/>
          <w:sz w:val="32"/>
          <w:szCs w:val="32"/>
          <w:highlight w:val="none"/>
          <w:u w:val="none"/>
          <w:lang w:val="en-US" w:eastAsia="zh-CN" w:bidi="ar-SA"/>
          <w14:ligatures w14:val="standardContextual"/>
        </w:rPr>
        <w:t>远程</w:t>
      </w:r>
      <w:r>
        <w:rPr>
          <w:rFonts w:hint="eastAsia" w:cs="Times New Roman"/>
          <w:b w:val="0"/>
          <w:bCs w:val="0"/>
          <w:color w:val="auto"/>
          <w:kern w:val="2"/>
          <w:sz w:val="32"/>
          <w:szCs w:val="32"/>
          <w:highlight w:val="none"/>
          <w:u w:val="none"/>
          <w:lang w:val="en-US" w:eastAsia="zh-CN" w:bidi="ar-SA"/>
          <w14:ligatures w14:val="standardContextual"/>
        </w:rPr>
        <w:t>诊断</w:t>
      </w:r>
      <w:r>
        <w:rPr>
          <w:rFonts w:hint="eastAsia" w:ascii="仿宋_GB2312" w:hAnsi="仿宋_GB2312" w:eastAsia="仿宋_GB2312" w:cs="Times New Roman"/>
          <w:b w:val="0"/>
          <w:bCs w:val="0"/>
          <w:color w:val="auto"/>
          <w:kern w:val="2"/>
          <w:sz w:val="32"/>
          <w:szCs w:val="32"/>
          <w:highlight w:val="none"/>
          <w:u w:val="none"/>
          <w:lang w:val="en-US" w:eastAsia="zh-CN" w:bidi="ar-SA"/>
          <w14:ligatures w14:val="standardContextual"/>
        </w:rPr>
        <w:t>和药品配送服务，打通健康服务“最后一公里”。</w:t>
      </w:r>
      <w:r>
        <w:rPr>
          <w:rFonts w:hint="eastAsia" w:cs="Times New Roman"/>
          <w:color w:val="auto"/>
          <w:kern w:val="2"/>
          <w:sz w:val="32"/>
          <w:szCs w:val="32"/>
          <w:highlight w:val="none"/>
          <w:u w:val="none"/>
          <w:lang w:val="en-US" w:eastAsia="zh-CN" w:bidi="ar-SA"/>
          <w14:ligatures w14:val="standardContextual"/>
        </w:rPr>
        <w:t>加强</w:t>
      </w:r>
      <w:r>
        <w:rPr>
          <w:rFonts w:hint="eastAsia" w:ascii="仿宋_GB2312" w:hAnsi="仿宋_GB2312" w:eastAsia="仿宋_GB2312" w:cs="Times New Roman"/>
          <w:color w:val="auto"/>
          <w:kern w:val="2"/>
          <w:sz w:val="32"/>
          <w:szCs w:val="32"/>
          <w:highlight w:val="none"/>
          <w:u w:val="none"/>
          <w:lang w:val="en-US" w:eastAsia="zh-CN" w:bidi="ar-SA"/>
          <w14:ligatures w14:val="standardContextual"/>
        </w:rPr>
        <w:t>绿色转诊通道</w:t>
      </w:r>
      <w:r>
        <w:rPr>
          <w:rFonts w:hint="eastAsia" w:cs="Times New Roman"/>
          <w:color w:val="auto"/>
          <w:kern w:val="2"/>
          <w:sz w:val="32"/>
          <w:szCs w:val="32"/>
          <w:highlight w:val="none"/>
          <w:u w:val="none"/>
          <w:lang w:val="en-US" w:eastAsia="zh-CN" w:bidi="ar-SA"/>
          <w14:ligatures w14:val="standardContextual"/>
        </w:rPr>
        <w:t>建设</w:t>
      </w:r>
      <w:r>
        <w:rPr>
          <w:rFonts w:hint="eastAsia" w:ascii="仿宋_GB2312" w:hAnsi="仿宋_GB2312" w:eastAsia="仿宋_GB2312" w:cs="Times New Roman"/>
          <w:color w:val="auto"/>
          <w:kern w:val="2"/>
          <w:sz w:val="32"/>
          <w:szCs w:val="32"/>
          <w:highlight w:val="none"/>
          <w:u w:val="none"/>
          <w:lang w:val="en-US" w:eastAsia="zh-CN" w:bidi="ar-SA"/>
          <w14:ligatures w14:val="standardContextual"/>
        </w:rPr>
        <w:t>，增强基层住院服务能力，</w:t>
      </w:r>
      <w:r>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t>促进双向转诊机制</w:t>
      </w:r>
      <w:r>
        <w:rPr>
          <w:rFonts w:hint="default" w:ascii="仿宋_GB2312" w:hAnsi="仿宋_GB2312" w:eastAsia="仿宋_GB2312" w:cs="Times New Roman"/>
          <w:b w:val="0"/>
          <w:bCs w:val="0"/>
          <w:kern w:val="2"/>
          <w:sz w:val="32"/>
          <w:szCs w:val="32"/>
          <w:highlight w:val="none"/>
          <w:u w:val="none"/>
          <w:lang w:val="en-US" w:eastAsia="zh-CN" w:bidi="ar-SA"/>
          <w14:ligatures w14:val="standardContextual"/>
        </w:rPr>
        <w:t>落地</w:t>
      </w:r>
      <w:r>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t>见效，为患者提供连续性医疗服务。</w:t>
      </w:r>
      <w:r>
        <w:rPr>
          <w:rFonts w:hint="eastAsia" w:cs="Times New Roman"/>
          <w:b w:val="0"/>
          <w:bCs w:val="0"/>
          <w:kern w:val="2"/>
          <w:sz w:val="32"/>
          <w:szCs w:val="32"/>
          <w:highlight w:val="none"/>
          <w:u w:val="none"/>
          <w:lang w:val="en-US" w:eastAsia="zh-CN" w:bidi="ar-SA"/>
          <w14:ligatures w14:val="standardContextual"/>
        </w:rPr>
        <w:t>逐步</w:t>
      </w:r>
      <w:r>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t>推广人工智能辅助诊断、远程心电、远程影像等数智化应用，实现“分布式检查、集中式诊断”的</w:t>
      </w:r>
      <w:r>
        <w:rPr>
          <w:rFonts w:hint="eastAsia" w:cs="Times New Roman"/>
          <w:b w:val="0"/>
          <w:bCs w:val="0"/>
          <w:kern w:val="2"/>
          <w:sz w:val="32"/>
          <w:szCs w:val="32"/>
          <w:highlight w:val="none"/>
          <w:u w:val="none"/>
          <w:lang w:val="en-US" w:eastAsia="zh-CN" w:bidi="ar-SA"/>
          <w14:ligatures w14:val="standardContextual"/>
        </w:rPr>
        <w:t>医疗</w:t>
      </w:r>
      <w:r>
        <w:rPr>
          <w:rFonts w:hint="eastAsia" w:ascii="仿宋_GB2312" w:hAnsi="仿宋_GB2312" w:eastAsia="仿宋_GB2312" w:cs="Times New Roman"/>
          <w:b w:val="0"/>
          <w:bCs w:val="0"/>
          <w:kern w:val="2"/>
          <w:sz w:val="32"/>
          <w:szCs w:val="32"/>
          <w:highlight w:val="none"/>
          <w:u w:val="none"/>
          <w:lang w:val="en-US" w:eastAsia="zh-CN" w:bidi="ar-SA"/>
          <w14:ligatures w14:val="standardContextual"/>
        </w:rPr>
        <w:t>服务模式</w:t>
      </w:r>
      <w:r>
        <w:rPr>
          <w:rFonts w:hint="eastAsia" w:cs="Times New Roman"/>
          <w:b w:val="0"/>
          <w:bCs w:val="0"/>
          <w:kern w:val="2"/>
          <w:sz w:val="32"/>
          <w:szCs w:val="32"/>
          <w:highlight w:val="none"/>
          <w:u w:val="none"/>
          <w:lang w:val="en-US" w:eastAsia="zh-CN" w:bidi="ar-SA"/>
          <w14:ligatures w14:val="standardContextual"/>
        </w:rPr>
        <w:t>。推进检验检查结果互认，</w:t>
      </w:r>
      <w:r>
        <w:rPr>
          <w:rFonts w:hint="default" w:ascii="仿宋_GB2312" w:hAnsi="仿宋_GB2312" w:eastAsia="仿宋_GB2312" w:cs="Times New Roman"/>
          <w:b w:val="0"/>
          <w:bCs w:val="0"/>
          <w:sz w:val="32"/>
          <w:szCs w:val="32"/>
          <w:highlight w:val="none"/>
          <w:u w:val="none"/>
        </w:rPr>
        <w:t>全面提升医疗服务效率与群众就医体验。</w:t>
      </w:r>
    </w:p>
    <w:p>
      <w:pPr>
        <w:pStyle w:val="28"/>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（二）提升基层医疗服务水平</w:t>
      </w:r>
    </w:p>
    <w:p>
      <w:pPr>
        <w:pStyle w:val="28"/>
        <w:keepNext w:val="0"/>
        <w:keepLines w:val="0"/>
        <w:pageBreakBefore w:val="0"/>
        <w:widowControl w:val="0"/>
        <w:kinsoku/>
        <w:wordWrap/>
        <w:overflowPunct/>
        <w:topLinePunct w:val="0"/>
        <w:autoSpaceDE/>
        <w:autoSpaceDN/>
        <w:bidi w:val="0"/>
        <w:adjustRightInd/>
        <w:snapToGrid/>
        <w:spacing w:beforeLines="0" w:after="0" w:afterLines="0" w:line="560" w:lineRule="exact"/>
        <w:ind w:firstLine="640" w:firstLineChars="200"/>
        <w:textAlignment w:val="auto"/>
        <w:rPr>
          <w:rFonts w:hint="default" w:ascii="仿宋_GB2312" w:hAnsi="仿宋_GB2312" w:cs="Times New Roman"/>
          <w:b w:val="0"/>
          <w:bCs w:val="0"/>
          <w:sz w:val="32"/>
          <w:szCs w:val="32"/>
          <w:highlight w:val="none"/>
          <w:u w:val="none"/>
          <w:lang w:val="en-US" w:eastAsia="zh-CN"/>
        </w:rPr>
      </w:pPr>
      <w:r>
        <w:rPr>
          <w:rFonts w:hint="eastAsia" w:cs="Times New Roman"/>
          <w:b w:val="0"/>
          <w:bCs w:val="0"/>
          <w:szCs w:val="32"/>
          <w:highlight w:val="none"/>
          <w:u w:val="none"/>
          <w:lang w:val="en-US" w:eastAsia="zh-CN"/>
        </w:rPr>
        <w:t>深入实施医疗卫生强基工程，科学调整社区卫生资源布局。实施汤河口镇社区卫生服务中心改扩建工程，充分发挥北部山区辐射作用，实现</w:t>
      </w:r>
      <w:r>
        <w:rPr>
          <w:rFonts w:hint="eastAsia" w:ascii="仿宋_GB2312" w:hAnsi="仿宋_GB2312" w:cs="Times New Roman"/>
          <w:b w:val="0"/>
          <w:bCs w:val="0"/>
          <w:color w:val="auto"/>
          <w:sz w:val="32"/>
          <w:szCs w:val="32"/>
          <w:highlight w:val="none"/>
          <w:u w:val="none"/>
          <w:lang w:val="en-US" w:eastAsia="zh-CN"/>
        </w:rPr>
        <w:t>血液</w:t>
      </w:r>
      <w:r>
        <w:rPr>
          <w:rFonts w:hint="eastAsia" w:cs="Times New Roman"/>
          <w:b w:val="0"/>
          <w:bCs w:val="0"/>
          <w:color w:val="auto"/>
          <w:sz w:val="32"/>
          <w:szCs w:val="32"/>
          <w:highlight w:val="none"/>
          <w:u w:val="none"/>
          <w:lang w:val="en-US" w:eastAsia="zh-CN"/>
        </w:rPr>
        <w:t>透析</w:t>
      </w:r>
      <w:r>
        <w:rPr>
          <w:rFonts w:hint="eastAsia" w:ascii="仿宋_GB2312" w:hAnsi="仿宋_GB2312" w:cs="Times New Roman"/>
          <w:b w:val="0"/>
          <w:bCs w:val="0"/>
          <w:color w:val="auto"/>
          <w:sz w:val="32"/>
          <w:szCs w:val="32"/>
          <w:highlight w:val="none"/>
          <w:u w:val="none"/>
          <w:lang w:val="en-US" w:eastAsia="zh-CN"/>
        </w:rPr>
        <w:t>患者“</w:t>
      </w:r>
      <w:r>
        <w:rPr>
          <w:rFonts w:hint="eastAsia" w:ascii="仿宋_GB2312" w:hAnsi="仿宋_GB2312" w:eastAsia="仿宋_GB2312" w:cs="Times New Roman"/>
          <w:b w:val="0"/>
          <w:bCs w:val="0"/>
          <w:color w:val="auto"/>
          <w:sz w:val="32"/>
          <w:szCs w:val="32"/>
          <w:highlight w:val="none"/>
          <w:u w:val="none"/>
          <w:lang w:val="en-US" w:eastAsia="zh-CN"/>
        </w:rPr>
        <w:t>应收尽收</w:t>
      </w:r>
      <w:r>
        <w:rPr>
          <w:rFonts w:hint="eastAsia" w:ascii="仿宋_GB2312" w:hAnsi="仿宋_GB2312" w:cs="Times New Roman"/>
          <w:b w:val="0"/>
          <w:bCs w:val="0"/>
          <w:color w:val="auto"/>
          <w:sz w:val="32"/>
          <w:szCs w:val="32"/>
          <w:highlight w:val="none"/>
          <w:u w:val="none"/>
          <w:lang w:val="en-US" w:eastAsia="zh-CN"/>
        </w:rPr>
        <w:t>”</w:t>
      </w:r>
      <w:r>
        <w:rPr>
          <w:rFonts w:hint="eastAsia" w:cs="Times New Roman"/>
          <w:b w:val="0"/>
          <w:bCs w:val="0"/>
          <w:color w:val="auto"/>
          <w:sz w:val="32"/>
          <w:szCs w:val="32"/>
          <w:highlight w:val="none"/>
          <w:u w:val="none"/>
          <w:lang w:val="en-US" w:eastAsia="zh-CN"/>
        </w:rPr>
        <w:t>。</w:t>
      </w:r>
      <w:r>
        <w:rPr>
          <w:rFonts w:hint="eastAsia" w:cs="Times New Roman"/>
          <w:b w:val="0"/>
          <w:bCs w:val="0"/>
          <w:szCs w:val="32"/>
          <w:highlight w:val="none"/>
          <w:u w:val="none"/>
          <w:lang w:val="en-US" w:eastAsia="zh-CN"/>
        </w:rPr>
        <w:t>推动</w:t>
      </w:r>
      <w:r>
        <w:rPr>
          <w:rFonts w:hint="eastAsia" w:ascii="仿宋_GB2312" w:hAnsi="仿宋_GB2312" w:cs="Times New Roman"/>
          <w:b w:val="0"/>
          <w:bCs w:val="0"/>
          <w:szCs w:val="32"/>
          <w:highlight w:val="none"/>
          <w:u w:val="none"/>
        </w:rPr>
        <w:t>家庭医生健康管理中心</w:t>
      </w:r>
      <w:r>
        <w:rPr>
          <w:rFonts w:hint="eastAsia" w:cs="Times New Roman"/>
          <w:b w:val="0"/>
          <w:bCs w:val="0"/>
          <w:szCs w:val="32"/>
          <w:highlight w:val="none"/>
          <w:u w:val="none"/>
          <w:lang w:val="en-US" w:eastAsia="zh-CN"/>
        </w:rPr>
        <w:t>实现全覆盖</w:t>
      </w:r>
      <w:r>
        <w:rPr>
          <w:rFonts w:hint="eastAsia" w:ascii="仿宋_GB2312" w:hAnsi="仿宋_GB2312" w:cs="Times New Roman"/>
          <w:b w:val="0"/>
          <w:bCs w:val="0"/>
          <w:szCs w:val="32"/>
          <w:highlight w:val="none"/>
          <w:u w:val="none"/>
        </w:rPr>
        <w:t>，深化家庭医生服务</w:t>
      </w:r>
      <w:r>
        <w:rPr>
          <w:rFonts w:hint="eastAsia" w:ascii="仿宋_GB2312" w:hAnsi="仿宋_GB2312" w:cs="Times New Roman"/>
          <w:b w:val="0"/>
          <w:bCs w:val="0"/>
          <w:szCs w:val="32"/>
          <w:highlight w:val="none"/>
          <w:u w:val="none"/>
          <w:lang w:val="en-US" w:eastAsia="zh-CN"/>
        </w:rPr>
        <w:t>内涵</w:t>
      </w:r>
      <w:r>
        <w:rPr>
          <w:rFonts w:hint="eastAsia" w:ascii="仿宋_GB2312" w:hAnsi="仿宋_GB2312" w:cs="Times New Roman"/>
          <w:b w:val="0"/>
          <w:bCs w:val="0"/>
          <w:szCs w:val="32"/>
          <w:highlight w:val="none"/>
          <w:u w:val="none"/>
        </w:rPr>
        <w:t>，促进服务</w:t>
      </w:r>
      <w:r>
        <w:rPr>
          <w:rFonts w:hint="eastAsia" w:ascii="仿宋_GB2312" w:hAnsi="仿宋_GB2312" w:cs="Times New Roman"/>
          <w:b w:val="0"/>
          <w:bCs w:val="0"/>
          <w:szCs w:val="32"/>
          <w:highlight w:val="none"/>
          <w:u w:val="none"/>
          <w:lang w:val="en-US" w:eastAsia="zh-CN"/>
        </w:rPr>
        <w:t>模式</w:t>
      </w:r>
      <w:r>
        <w:rPr>
          <w:rFonts w:hint="eastAsia" w:ascii="仿宋_GB2312" w:hAnsi="仿宋_GB2312" w:cs="Times New Roman"/>
          <w:b w:val="0"/>
          <w:bCs w:val="0"/>
          <w:szCs w:val="32"/>
          <w:highlight w:val="none"/>
          <w:u w:val="none"/>
        </w:rPr>
        <w:t>由以疾病为中心向以健康为中心转变</w:t>
      </w:r>
      <w:r>
        <w:rPr>
          <w:rFonts w:hint="eastAsia" w:ascii="仿宋_GB2312" w:hAnsi="仿宋_GB2312" w:cs="Times New Roman"/>
          <w:b w:val="0"/>
          <w:bCs w:val="0"/>
          <w:szCs w:val="32"/>
          <w:highlight w:val="none"/>
          <w:u w:val="none"/>
          <w:lang w:eastAsia="zh-CN"/>
        </w:rPr>
        <w:t>。</w:t>
      </w:r>
      <w:r>
        <w:rPr>
          <w:rFonts w:hint="eastAsia" w:ascii="仿宋_GB2312" w:hAnsi="仿宋_GB2312" w:cs="Times New Roman"/>
          <w:b w:val="0"/>
          <w:bCs w:val="0"/>
          <w:szCs w:val="32"/>
          <w:highlight w:val="none"/>
          <w:u w:val="none"/>
          <w:lang w:val="en-US" w:eastAsia="zh-CN"/>
        </w:rPr>
        <w:t>全面开展家庭病床服务，有效缓解高龄、失能、慢病等行动不便人群的就医难题。持续深化</w:t>
      </w:r>
      <w:r>
        <w:rPr>
          <w:rFonts w:hint="eastAsia" w:cs="Times New Roman"/>
          <w:b w:val="0"/>
          <w:bCs w:val="0"/>
          <w:szCs w:val="32"/>
          <w:highlight w:val="none"/>
          <w:u w:val="none"/>
          <w:lang w:val="en-US" w:eastAsia="zh-CN"/>
        </w:rPr>
        <w:t>“</w:t>
      </w:r>
      <w:r>
        <w:rPr>
          <w:rFonts w:hint="eastAsia" w:ascii="仿宋_GB2312" w:hAnsi="仿宋_GB2312" w:cs="Times New Roman"/>
          <w:b w:val="0"/>
          <w:bCs w:val="0"/>
          <w:szCs w:val="32"/>
          <w:highlight w:val="none"/>
          <w:u w:val="none"/>
          <w:lang w:val="en-US" w:eastAsia="zh-CN"/>
        </w:rPr>
        <w:t>大全科、小专科</w:t>
      </w:r>
      <w:r>
        <w:rPr>
          <w:rFonts w:hint="eastAsia" w:cs="Times New Roman"/>
          <w:b w:val="0"/>
          <w:bCs w:val="0"/>
          <w:szCs w:val="32"/>
          <w:highlight w:val="none"/>
          <w:u w:val="none"/>
          <w:lang w:val="en-US" w:eastAsia="zh-CN"/>
        </w:rPr>
        <w:t>”</w:t>
      </w:r>
      <w:r>
        <w:rPr>
          <w:rFonts w:hint="eastAsia" w:ascii="仿宋_GB2312" w:hAnsi="仿宋_GB2312" w:cs="Times New Roman"/>
          <w:b w:val="0"/>
          <w:bCs w:val="0"/>
          <w:szCs w:val="32"/>
          <w:highlight w:val="none"/>
          <w:u w:val="none"/>
          <w:lang w:val="en-US" w:eastAsia="zh-CN"/>
        </w:rPr>
        <w:t>的发展模式，积极推进社区卫生服务中心专病特色科室建设，</w:t>
      </w:r>
      <w:r>
        <w:rPr>
          <w:rFonts w:hint="eastAsia" w:ascii="仿宋_GB2312" w:hAnsi="仿宋_GB2312" w:eastAsia="仿宋_GB2312" w:cs="仿宋_GB2312"/>
          <w:b w:val="0"/>
          <w:bCs w:val="0"/>
          <w:color w:val="auto"/>
          <w:sz w:val="32"/>
          <w:szCs w:val="32"/>
          <w:highlight w:val="none"/>
          <w:u w:val="none"/>
          <w:lang w:val="en-US" w:eastAsia="zh-CN"/>
        </w:rPr>
        <w:t>不断满足群众多元化健康需求</w:t>
      </w:r>
      <w:r>
        <w:rPr>
          <w:rFonts w:hint="eastAsia" w:ascii="仿宋_GB2312" w:hAnsi="仿宋_GB2312" w:cs="Times New Roman"/>
          <w:b w:val="0"/>
          <w:bCs w:val="0"/>
          <w:szCs w:val="32"/>
          <w:highlight w:val="none"/>
          <w:u w:val="none"/>
          <w:lang w:val="en-US" w:eastAsia="zh-CN"/>
        </w:rPr>
        <w:t>。</w:t>
      </w:r>
      <w:r>
        <w:rPr>
          <w:rFonts w:hint="eastAsia" w:ascii="仿宋_GB2312" w:hAnsi="仿宋_GB2312" w:cs="Times New Roman"/>
          <w:b w:val="0"/>
          <w:bCs w:val="0"/>
          <w:szCs w:val="32"/>
          <w:highlight w:val="none"/>
          <w:u w:val="none"/>
        </w:rPr>
        <w:t>壮大基层医疗卫生人才队伍，</w:t>
      </w:r>
      <w:r>
        <w:rPr>
          <w:rFonts w:hint="eastAsia" w:ascii="仿宋_GB2312" w:hAnsi="仿宋_GB2312" w:cs="Times New Roman"/>
          <w:b w:val="0"/>
          <w:bCs w:val="0"/>
          <w:sz w:val="32"/>
          <w:szCs w:val="32"/>
          <w:highlight w:val="none"/>
          <w:u w:val="none"/>
          <w:lang w:val="en-US" w:eastAsia="zh-CN"/>
        </w:rPr>
        <w:t>通过常态化开展社区骨干人才培养、岗位练兵等形式，不断提升基层卫生专业技术人员综合服务水平。</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1"/>
        <w:rPr>
          <w:rFonts w:hint="default" w:ascii="仿宋_GB2312" w:hAnsi="仿宋_GB2312" w:eastAsia="黑体" w:cs="Times New Roman"/>
          <w:b w:val="0"/>
          <w:kern w:val="2"/>
          <w:sz w:val="32"/>
          <w:szCs w:val="32"/>
          <w:highlight w:val="none"/>
          <w:u w:val="none"/>
          <w:lang w:val="en-US" w:eastAsia="zh-CN" w:bidi="ar-SA"/>
        </w:rPr>
      </w:pPr>
      <w:bookmarkStart w:id="259" w:name="_Toc6659"/>
      <w:bookmarkStart w:id="260" w:name="_Toc16955"/>
      <w:bookmarkStart w:id="261" w:name="_Toc31877"/>
      <w:bookmarkStart w:id="262" w:name="_Toc15714"/>
      <w:bookmarkStart w:id="263" w:name="_Toc7911"/>
      <w:bookmarkStart w:id="264" w:name="_Toc31561"/>
      <w:bookmarkStart w:id="265" w:name="_Toc29288"/>
      <w:bookmarkStart w:id="266" w:name="_Toc27574"/>
      <w:bookmarkStart w:id="267" w:name="_Toc23441"/>
      <w:bookmarkStart w:id="268" w:name="_Toc14420"/>
      <w:bookmarkStart w:id="269" w:name="_Toc31041"/>
      <w:bookmarkStart w:id="270" w:name="_Toc22238"/>
      <w:bookmarkStart w:id="271" w:name="_Toc22759"/>
      <w:bookmarkStart w:id="272" w:name="_Toc13881"/>
      <w:r>
        <w:rPr>
          <w:rFonts w:hint="eastAsia" w:ascii="仿宋_GB2312" w:hAnsi="仿宋_GB2312" w:eastAsia="黑体" w:cs="Times New Roman"/>
          <w:b w:val="0"/>
          <w:kern w:val="2"/>
          <w:sz w:val="32"/>
          <w:szCs w:val="32"/>
          <w:highlight w:val="none"/>
          <w:u w:val="none"/>
          <w:lang w:val="en-US" w:eastAsia="zh-CN" w:bidi="ar-SA"/>
        </w:rPr>
        <w:t>四</w:t>
      </w:r>
      <w:r>
        <w:rPr>
          <w:rFonts w:hint="default" w:ascii="仿宋_GB2312" w:hAnsi="仿宋_GB2312" w:eastAsia="黑体" w:cs="Times New Roman"/>
          <w:b w:val="0"/>
          <w:kern w:val="2"/>
          <w:sz w:val="32"/>
          <w:szCs w:val="32"/>
          <w:highlight w:val="none"/>
          <w:u w:val="none"/>
          <w:lang w:val="en-US" w:eastAsia="zh-CN" w:bidi="ar-SA"/>
        </w:rPr>
        <w:t>、</w:t>
      </w:r>
      <w:r>
        <w:rPr>
          <w:rFonts w:hint="eastAsia" w:ascii="仿宋_GB2312" w:hAnsi="仿宋_GB2312" w:eastAsia="黑体" w:cs="Times New Roman"/>
          <w:b w:val="0"/>
          <w:kern w:val="2"/>
          <w:sz w:val="32"/>
          <w:szCs w:val="32"/>
          <w:highlight w:val="none"/>
          <w:u w:val="none"/>
          <w:lang w:val="en-US" w:eastAsia="zh-CN" w:bidi="ar-SA"/>
        </w:rPr>
        <w:t>加强</w:t>
      </w:r>
      <w:r>
        <w:rPr>
          <w:rFonts w:hint="default" w:ascii="仿宋_GB2312" w:hAnsi="仿宋_GB2312" w:eastAsia="黑体" w:cs="Times New Roman"/>
          <w:b w:val="0"/>
          <w:kern w:val="2"/>
          <w:sz w:val="32"/>
          <w:szCs w:val="32"/>
          <w:highlight w:val="none"/>
          <w:u w:val="none"/>
          <w:lang w:val="en-US" w:eastAsia="zh-CN" w:bidi="ar-SA"/>
        </w:rPr>
        <w:t>公共卫生防控能力</w:t>
      </w:r>
      <w:bookmarkEnd w:id="259"/>
      <w:bookmarkEnd w:id="260"/>
      <w:bookmarkEnd w:id="261"/>
      <w:bookmarkEnd w:id="262"/>
      <w:r>
        <w:rPr>
          <w:rFonts w:hint="eastAsia" w:ascii="仿宋_GB2312" w:hAnsi="仿宋_GB2312" w:eastAsia="黑体" w:cs="Times New Roman"/>
          <w:b w:val="0"/>
          <w:kern w:val="2"/>
          <w:sz w:val="32"/>
          <w:szCs w:val="32"/>
          <w:highlight w:val="none"/>
          <w:u w:val="none"/>
          <w:lang w:val="en-US" w:eastAsia="zh-CN" w:bidi="ar-SA"/>
        </w:rPr>
        <w:t>建设</w:t>
      </w:r>
      <w:bookmarkEnd w:id="263"/>
      <w:bookmarkEnd w:id="264"/>
      <w:bookmarkEnd w:id="265"/>
      <w:bookmarkEnd w:id="266"/>
      <w:bookmarkEnd w:id="267"/>
      <w:bookmarkEnd w:id="268"/>
      <w:bookmarkEnd w:id="269"/>
      <w:bookmarkEnd w:id="270"/>
      <w:bookmarkEnd w:id="271"/>
      <w:bookmarkEnd w:id="272"/>
    </w:p>
    <w:p>
      <w:pPr>
        <w:numPr>
          <w:ilvl w:val="0"/>
          <w:numId w:val="0"/>
        </w:numPr>
        <w:spacing w:beforeLines="0" w:afterLines="0" w:line="560" w:lineRule="exact"/>
        <w:ind w:firstLine="640" w:firstLineChars="200"/>
        <w:rPr>
          <w:rFonts w:hint="default" w:ascii="仿宋_GB2312" w:hAnsi="仿宋_GB2312" w:eastAsia="仿宋_GB2312" w:cs="Times New Roman"/>
          <w:b w:val="0"/>
          <w:bCs w:val="0"/>
          <w:sz w:val="32"/>
          <w:szCs w:val="32"/>
          <w:highlight w:val="none"/>
          <w:u w:val="none"/>
          <w:lang w:val="en-US" w:eastAsia="zh-CN"/>
        </w:rPr>
      </w:pPr>
      <w:r>
        <w:rPr>
          <w:rFonts w:hint="default" w:ascii="仿宋_GB2312" w:hAnsi="仿宋_GB2312" w:eastAsia="仿宋_GB2312" w:cs="Times New Roman"/>
          <w:b w:val="0"/>
          <w:bCs w:val="0"/>
          <w:sz w:val="32"/>
          <w:szCs w:val="32"/>
          <w:highlight w:val="none"/>
          <w:u w:val="none"/>
        </w:rPr>
        <w:t>健全院前急救体系</w:t>
      </w:r>
      <w:r>
        <w:rPr>
          <w:rFonts w:hint="eastAsia" w:ascii="仿宋_GB2312" w:hAnsi="仿宋_GB2312" w:eastAsia="仿宋_GB2312" w:cs="Times New Roman"/>
          <w:b w:val="0"/>
          <w:bCs w:val="0"/>
          <w:sz w:val="32"/>
          <w:szCs w:val="32"/>
          <w:highlight w:val="none"/>
          <w:u w:val="none"/>
          <w:lang w:eastAsia="zh-CN"/>
        </w:rPr>
        <w:t>，</w:t>
      </w:r>
      <w:r>
        <w:rPr>
          <w:rFonts w:hint="default" w:ascii="仿宋_GB2312" w:hAnsi="仿宋_GB2312" w:eastAsia="仿宋_GB2312" w:cs="Times New Roman"/>
          <w:b w:val="0"/>
          <w:bCs w:val="0"/>
          <w:sz w:val="32"/>
          <w:szCs w:val="32"/>
          <w:highlight w:val="none"/>
          <w:u w:val="none"/>
        </w:rPr>
        <w:t>强化疾控网络建设</w:t>
      </w:r>
      <w:r>
        <w:rPr>
          <w:rFonts w:hint="eastAsia" w:ascii="仿宋_GB2312" w:hAnsi="仿宋_GB2312" w:eastAsia="仿宋_GB2312" w:cs="Times New Roman"/>
          <w:b w:val="0"/>
          <w:bCs w:val="0"/>
          <w:sz w:val="32"/>
          <w:szCs w:val="32"/>
          <w:highlight w:val="none"/>
          <w:u w:val="none"/>
          <w:lang w:eastAsia="zh-CN"/>
        </w:rPr>
        <w:t>，</w:t>
      </w:r>
      <w:r>
        <w:rPr>
          <w:rFonts w:hint="default" w:ascii="仿宋_GB2312" w:hAnsi="仿宋_GB2312" w:eastAsia="仿宋_GB2312" w:cs="Times New Roman"/>
          <w:b w:val="0"/>
          <w:bCs w:val="0"/>
          <w:sz w:val="32"/>
          <w:szCs w:val="32"/>
          <w:highlight w:val="none"/>
          <w:u w:val="none"/>
        </w:rPr>
        <w:t>优化慢病防治机制，不断提高公共卫生服务水平和风险防范能力，加快构建</w:t>
      </w:r>
      <w:r>
        <w:rPr>
          <w:rFonts w:hint="eastAsia" w:ascii="仿宋_GB2312" w:hAnsi="仿宋_GB2312" w:eastAsia="仿宋_GB2312" w:cs="Times New Roman"/>
          <w:b w:val="0"/>
          <w:bCs w:val="0"/>
          <w:sz w:val="32"/>
          <w:szCs w:val="32"/>
          <w:highlight w:val="none"/>
          <w:u w:val="none"/>
          <w:lang w:val="en-US" w:eastAsia="zh-CN"/>
        </w:rPr>
        <w:t>反应迅速、覆盖全面的</w:t>
      </w:r>
      <w:r>
        <w:rPr>
          <w:rFonts w:hint="default" w:ascii="仿宋_GB2312" w:hAnsi="仿宋_GB2312" w:eastAsia="仿宋_GB2312" w:cs="Times New Roman"/>
          <w:b w:val="0"/>
          <w:bCs w:val="0"/>
          <w:sz w:val="32"/>
          <w:szCs w:val="32"/>
          <w:highlight w:val="none"/>
          <w:u w:val="none"/>
        </w:rPr>
        <w:t>公共卫生防控体系。</w:t>
      </w:r>
    </w:p>
    <w:p>
      <w:pPr>
        <w:numPr>
          <w:ilvl w:val="0"/>
          <w:numId w:val="0"/>
        </w:numPr>
        <w:spacing w:beforeLines="0" w:afterLines="0" w:line="560" w:lineRule="exact"/>
        <w:ind w:firstLine="640" w:firstLineChars="200"/>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（一）提高院前急救效率</w:t>
      </w:r>
    </w:p>
    <w:p>
      <w:pPr>
        <w:numPr>
          <w:ilvl w:val="0"/>
          <w:numId w:val="0"/>
        </w:numPr>
        <w:spacing w:beforeLines="0" w:afterLines="0" w:line="560" w:lineRule="exact"/>
        <w:ind w:firstLine="640" w:firstLineChars="200"/>
        <w:rPr>
          <w:rFonts w:hint="default" w:ascii="仿宋_GB2312" w:hAnsi="仿宋_GB2312" w:eastAsia="仿宋_GB2312" w:cs="Times New Roman"/>
          <w:sz w:val="32"/>
          <w:highlight w:val="none"/>
          <w:u w:val="none"/>
          <w:lang w:val="en-US" w:eastAsia="zh-CN"/>
        </w:rPr>
      </w:pPr>
      <w:r>
        <w:rPr>
          <w:rFonts w:hint="default" w:ascii="仿宋_GB2312" w:hAnsi="仿宋_GB2312" w:eastAsia="仿宋_GB2312" w:cs="Times New Roman"/>
          <w:b w:val="0"/>
          <w:bCs w:val="0"/>
          <w:sz w:val="32"/>
          <w:szCs w:val="32"/>
          <w:highlight w:val="none"/>
          <w:u w:val="none"/>
        </w:rPr>
        <w:t>提升院前医疗急救能力，构建衔接顺畅的急救服务体系。健全急诊分诊和高效收治机制，持续缩短院前急救响应时间。优化院前急救网络与院内急诊无缝衔接，</w:t>
      </w:r>
      <w:r>
        <w:rPr>
          <w:rFonts w:hint="eastAsia" w:ascii="仿宋_GB2312" w:hAnsi="仿宋_GB2312" w:eastAsia="仿宋_GB2312" w:cs="Times New Roman"/>
          <w:b w:val="0"/>
          <w:bCs w:val="0"/>
          <w:sz w:val="32"/>
          <w:szCs w:val="32"/>
          <w:highlight w:val="none"/>
          <w:u w:val="none"/>
          <w:lang w:val="en-US" w:eastAsia="zh-CN"/>
        </w:rPr>
        <w:t>实现</w:t>
      </w:r>
      <w:r>
        <w:rPr>
          <w:rFonts w:hint="eastAsia" w:ascii="仿宋_GB2312" w:hAnsi="仿宋_GB2312" w:eastAsia="仿宋_GB2312" w:cs="Times New Roman"/>
          <w:b w:val="0"/>
          <w:bCs w:val="0"/>
          <w:sz w:val="32"/>
          <w:szCs w:val="32"/>
          <w:highlight w:val="none"/>
          <w:u w:val="none"/>
          <w:lang w:eastAsia="zh-CN"/>
        </w:rPr>
        <w:t>“</w:t>
      </w:r>
      <w:r>
        <w:rPr>
          <w:rFonts w:hint="default" w:ascii="仿宋_GB2312" w:hAnsi="仿宋_GB2312" w:eastAsia="仿宋_GB2312" w:cs="Times New Roman"/>
          <w:b w:val="0"/>
          <w:bCs w:val="0"/>
          <w:sz w:val="32"/>
          <w:szCs w:val="32"/>
          <w:highlight w:val="none"/>
          <w:u w:val="none"/>
        </w:rPr>
        <w:t>上车即入院</w:t>
      </w:r>
      <w:r>
        <w:rPr>
          <w:rFonts w:hint="eastAsia" w:ascii="仿宋_GB2312" w:hAnsi="仿宋_GB2312" w:eastAsia="仿宋_GB2312" w:cs="Times New Roman"/>
          <w:b w:val="0"/>
          <w:bCs w:val="0"/>
          <w:sz w:val="32"/>
          <w:szCs w:val="32"/>
          <w:highlight w:val="none"/>
          <w:u w:val="none"/>
          <w:lang w:eastAsia="zh-CN"/>
        </w:rPr>
        <w:t>”</w:t>
      </w:r>
      <w:r>
        <w:rPr>
          <w:rFonts w:hint="default" w:ascii="仿宋_GB2312" w:hAnsi="仿宋_GB2312" w:eastAsia="仿宋_GB2312" w:cs="Times New Roman"/>
          <w:b w:val="0"/>
          <w:bCs w:val="0"/>
          <w:sz w:val="32"/>
          <w:szCs w:val="32"/>
          <w:highlight w:val="none"/>
          <w:u w:val="none"/>
        </w:rPr>
        <w:t>。完善</w:t>
      </w:r>
      <w:r>
        <w:rPr>
          <w:rFonts w:hint="eastAsia" w:ascii="仿宋_GB2312" w:hAnsi="仿宋_GB2312" w:eastAsia="仿宋_GB2312" w:cs="Times New Roman"/>
          <w:b w:val="0"/>
          <w:bCs w:val="0"/>
          <w:sz w:val="32"/>
          <w:szCs w:val="32"/>
          <w:highlight w:val="none"/>
          <w:u w:val="none"/>
          <w:lang w:val="en-US" w:eastAsia="zh-CN"/>
        </w:rPr>
        <w:t>怀柔医院</w:t>
      </w:r>
      <w:r>
        <w:rPr>
          <w:rFonts w:hint="default" w:ascii="仿宋_GB2312" w:hAnsi="仿宋_GB2312" w:eastAsia="仿宋_GB2312" w:cs="Times New Roman"/>
          <w:b w:val="0"/>
          <w:bCs w:val="0"/>
          <w:sz w:val="32"/>
          <w:szCs w:val="32"/>
          <w:highlight w:val="none"/>
          <w:u w:val="none"/>
        </w:rPr>
        <w:t>胸痛、卒中</w:t>
      </w:r>
      <w:r>
        <w:rPr>
          <w:rFonts w:hint="eastAsia" w:ascii="仿宋_GB2312" w:hAnsi="仿宋_GB2312" w:eastAsia="仿宋_GB2312" w:cs="Times New Roman"/>
          <w:b w:val="0"/>
          <w:bCs w:val="0"/>
          <w:sz w:val="32"/>
          <w:szCs w:val="32"/>
          <w:highlight w:val="none"/>
          <w:u w:val="none"/>
          <w:lang w:eastAsia="zh-CN"/>
        </w:rPr>
        <w:t>、</w:t>
      </w:r>
      <w:r>
        <w:rPr>
          <w:rFonts w:hint="default" w:ascii="仿宋_GB2312" w:hAnsi="仿宋_GB2312" w:eastAsia="仿宋_GB2312" w:cs="Times New Roman"/>
          <w:b w:val="0"/>
          <w:bCs w:val="0"/>
          <w:sz w:val="32"/>
          <w:szCs w:val="32"/>
          <w:highlight w:val="none"/>
          <w:u w:val="none"/>
        </w:rPr>
        <w:t>创伤</w:t>
      </w:r>
      <w:r>
        <w:rPr>
          <w:rFonts w:hint="eastAsia" w:ascii="仿宋_GB2312" w:hAnsi="仿宋_GB2312" w:eastAsia="仿宋_GB2312" w:cs="Times New Roman"/>
          <w:b w:val="0"/>
          <w:bCs w:val="0"/>
          <w:sz w:val="32"/>
          <w:szCs w:val="32"/>
          <w:highlight w:val="none"/>
          <w:u w:val="none"/>
          <w:lang w:eastAsia="zh-CN"/>
        </w:rPr>
        <w:t>、</w:t>
      </w:r>
      <w:r>
        <w:rPr>
          <w:rFonts w:hint="default" w:ascii="仿宋_GB2312" w:hAnsi="仿宋_GB2312" w:eastAsia="仿宋_GB2312" w:cs="Times New Roman"/>
          <w:b w:val="0"/>
          <w:bCs w:val="0"/>
          <w:sz w:val="32"/>
          <w:szCs w:val="32"/>
          <w:highlight w:val="none"/>
          <w:u w:val="none"/>
        </w:rPr>
        <w:t>危重孕产妇、危重新生儿救治中心建设，健全多学科会诊机制，提高复杂疑难重症救治水平。</w:t>
      </w:r>
      <w:r>
        <w:rPr>
          <w:rFonts w:hint="eastAsia" w:ascii="仿宋_GB2312" w:hAnsi="仿宋_GB2312" w:eastAsia="仿宋_GB2312" w:cs="Times New Roman"/>
          <w:b w:val="0"/>
          <w:bCs w:val="0"/>
          <w:sz w:val="32"/>
          <w:szCs w:val="32"/>
          <w:highlight w:val="none"/>
          <w:u w:val="none"/>
          <w:lang w:val="en-US" w:eastAsia="zh-CN"/>
        </w:rPr>
        <w:t>优化</w:t>
      </w:r>
      <w:r>
        <w:rPr>
          <w:rFonts w:hint="default" w:ascii="仿宋_GB2312" w:hAnsi="仿宋_GB2312" w:eastAsia="仿宋_GB2312" w:cs="Times New Roman"/>
          <w:b w:val="0"/>
          <w:bCs w:val="0"/>
          <w:sz w:val="32"/>
          <w:szCs w:val="32"/>
          <w:highlight w:val="none"/>
          <w:u w:val="none"/>
        </w:rPr>
        <w:t>急救站点和负压救护车配置，提升应急救治装备水平。强化急救专业人才培养和队伍建设，全面提升区域急救能力。</w:t>
      </w:r>
      <w:r>
        <w:rPr>
          <w:rFonts w:hint="default" w:ascii="仿宋_GB2312" w:hAnsi="仿宋_GB2312" w:eastAsia="仿宋_GB2312" w:cs="Times New Roman"/>
          <w:sz w:val="32"/>
          <w:szCs w:val="32"/>
          <w:highlight w:val="none"/>
          <w:u w:val="none"/>
          <w:lang w:val="en-US" w:eastAsia="zh-CN"/>
        </w:rPr>
        <w:t>到2030年，</w:t>
      </w:r>
      <w:r>
        <w:rPr>
          <w:rFonts w:hint="eastAsia" w:ascii="仿宋_GB2312" w:hAnsi="仿宋_GB2312" w:eastAsia="仿宋_GB2312" w:cs="Times New Roman"/>
          <w:sz w:val="32"/>
          <w:szCs w:val="32"/>
          <w:highlight w:val="none"/>
          <w:u w:val="none"/>
          <w:lang w:val="en-US" w:eastAsia="zh-CN"/>
        </w:rPr>
        <w:t>实现</w:t>
      </w:r>
      <w:r>
        <w:rPr>
          <w:rFonts w:hint="default" w:ascii="仿宋_GB2312" w:hAnsi="仿宋_GB2312" w:eastAsia="仿宋_GB2312" w:cs="Times New Roman"/>
          <w:sz w:val="32"/>
          <w:szCs w:val="32"/>
          <w:highlight w:val="none"/>
          <w:u w:val="none"/>
          <w:lang w:val="en-US" w:eastAsia="zh-CN"/>
        </w:rPr>
        <w:t>急救</w:t>
      </w:r>
      <w:r>
        <w:rPr>
          <w:rFonts w:hint="eastAsia" w:ascii="仿宋_GB2312" w:hAnsi="仿宋_GB2312" w:eastAsia="仿宋_GB2312" w:cs="Times New Roman"/>
          <w:sz w:val="32"/>
          <w:szCs w:val="32"/>
          <w:highlight w:val="none"/>
          <w:u w:val="none"/>
          <w:lang w:val="en-US" w:eastAsia="zh-CN"/>
        </w:rPr>
        <w:t>呼叫满足率不低于98%</w:t>
      </w:r>
      <w:r>
        <w:rPr>
          <w:rFonts w:hint="default" w:ascii="仿宋_GB2312" w:hAnsi="仿宋_GB2312" w:eastAsia="仿宋_GB2312" w:cs="Times New Roman"/>
          <w:sz w:val="32"/>
          <w:szCs w:val="32"/>
          <w:highlight w:val="none"/>
          <w:u w:val="none"/>
          <w:lang w:val="en-US" w:eastAsia="zh-CN"/>
        </w:rPr>
        <w:t>。</w:t>
      </w:r>
    </w:p>
    <w:p>
      <w:pPr>
        <w:keepNext w:val="0"/>
        <w:keepLines w:val="0"/>
        <w:pageBreakBefore w:val="0"/>
        <w:numPr>
          <w:ilvl w:val="0"/>
          <w:numId w:val="0"/>
        </w:numPr>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b w:val="0"/>
          <w:bCs w:val="0"/>
          <w:sz w:val="32"/>
          <w:szCs w:val="32"/>
          <w:highlight w:val="none"/>
          <w:u w:val="none"/>
          <w:lang w:val="en-US" w:eastAsia="zh-CN"/>
        </w:rPr>
      </w:pPr>
      <w:r>
        <w:rPr>
          <w:rFonts w:hint="eastAsia" w:ascii="仿宋_GB2312" w:hAnsi="仿宋_GB2312" w:eastAsia="楷体_GB2312" w:cs="楷体_GB2312"/>
          <w:b w:val="0"/>
          <w:bCs w:val="0"/>
          <w:sz w:val="32"/>
          <w:szCs w:val="32"/>
          <w:highlight w:val="none"/>
          <w:u w:val="none"/>
          <w:lang w:val="en-US" w:eastAsia="zh-CN"/>
        </w:rPr>
        <w:t>（二）增强传染病防控能力</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Times New Roman"/>
          <w:sz w:val="32"/>
          <w:szCs w:val="32"/>
          <w:highlight w:val="none"/>
          <w:u w:val="none"/>
          <w:lang w:val="en-US" w:eastAsia="zh-CN"/>
        </w:rPr>
      </w:pPr>
      <w:r>
        <w:rPr>
          <w:rFonts w:hint="default" w:ascii="仿宋_GB2312" w:hAnsi="仿宋_GB2312" w:eastAsia="仿宋_GB2312" w:cs="Times New Roman"/>
          <w:sz w:val="32"/>
          <w:szCs w:val="32"/>
          <w:highlight w:val="none"/>
          <w:u w:val="none"/>
          <w:lang w:val="en-US" w:eastAsia="zh-CN"/>
        </w:rPr>
        <w:t>全面加强新发突发及重点传染病防控应对能力建设，压实固化“四方责任”、应急指挥系统平急转换、区域医疗资源统筹、</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三公（工）</w:t>
      </w:r>
      <w:r>
        <w:rPr>
          <w:rFonts w:hint="eastAsia" w:ascii="仿宋_GB2312" w:hAnsi="仿宋_GB2312" w:eastAsia="仿宋_GB2312" w:cs="Times New Roman"/>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none"/>
          <w:lang w:val="en-US" w:eastAsia="zh-CN"/>
        </w:rPr>
        <w:t>协同流行病学调查</w:t>
      </w:r>
      <w:r>
        <w:rPr>
          <w:rFonts w:hint="default" w:ascii="仿宋_GB2312" w:hAnsi="仿宋_GB2312" w:eastAsia="仿宋_GB2312" w:cs="Times New Roman"/>
          <w:sz w:val="32"/>
          <w:szCs w:val="32"/>
          <w:highlight w:val="none"/>
          <w:u w:val="none"/>
          <w:lang w:val="en-US" w:eastAsia="zh-CN"/>
        </w:rPr>
        <w:t>、村（居）公共卫生委员会等工作机制，持续加强监测预警、检验检测、流行病学调查、应急处置、综合救治、医疗能力应急扩容等核心能力建设。强化疫苗预防接种，按照市级统筹扩大免疫规划疫苗范围</w:t>
      </w:r>
      <w:r>
        <w:rPr>
          <w:rFonts w:hint="eastAsia" w:ascii="仿宋_GB2312" w:hAnsi="仿宋_GB2312" w:eastAsia="仿宋_GB2312" w:cs="Times New Roman"/>
          <w:sz w:val="32"/>
          <w:szCs w:val="32"/>
          <w:highlight w:val="none"/>
          <w:u w:val="none"/>
          <w:lang w:val="en-US" w:eastAsia="zh-CN"/>
        </w:rPr>
        <w:t>，进一步筑牢免疫屏障。</w:t>
      </w:r>
    </w:p>
    <w:p>
      <w:pPr>
        <w:keepNext w:val="0"/>
        <w:keepLines w:val="0"/>
        <w:pageBreakBefore w:val="0"/>
        <w:numPr>
          <w:ilvl w:val="0"/>
          <w:numId w:val="0"/>
        </w:numPr>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b w:val="0"/>
          <w:bCs w:val="0"/>
          <w:kern w:val="2"/>
          <w:sz w:val="32"/>
          <w:szCs w:val="32"/>
          <w:highlight w:val="none"/>
          <w:u w:val="none"/>
          <w:lang w:val="en-US" w:eastAsia="zh-CN"/>
          <w14:ligatures w14:val="none"/>
        </w:rPr>
      </w:pPr>
      <w:r>
        <w:rPr>
          <w:rFonts w:hint="eastAsia" w:ascii="仿宋_GB2312" w:hAnsi="仿宋_GB2312" w:eastAsia="楷体_GB2312" w:cs="楷体_GB2312"/>
          <w:b w:val="0"/>
          <w:bCs w:val="0"/>
          <w:kern w:val="2"/>
          <w:sz w:val="32"/>
          <w:szCs w:val="32"/>
          <w:highlight w:val="none"/>
          <w:u w:val="none"/>
          <w:lang w:val="en-US" w:eastAsia="zh-CN"/>
          <w14:ligatures w14:val="none"/>
        </w:rPr>
        <w:t>（三）提升慢性病防控管理水平</w:t>
      </w:r>
    </w:p>
    <w:p>
      <w:pPr>
        <w:spacing w:line="560" w:lineRule="exact"/>
        <w:ind w:firstLine="640" w:firstLineChars="200"/>
        <w:rPr>
          <w:rFonts w:hint="default"/>
          <w:highlight w:val="none"/>
          <w:u w:val="none"/>
          <w:lang w:val="en-US" w:eastAsia="zh-CN"/>
        </w:rPr>
      </w:pPr>
      <w:r>
        <w:rPr>
          <w:rFonts w:hint="default" w:ascii="仿宋_GB2312" w:hAnsi="仿宋_GB2312" w:eastAsia="仿宋_GB2312" w:cs="Times New Roman"/>
          <w:sz w:val="32"/>
          <w:szCs w:val="32"/>
          <w:highlight w:val="none"/>
          <w:u w:val="none"/>
          <w:lang w:val="en-US" w:eastAsia="zh-CN"/>
        </w:rPr>
        <w:t>巩固完善国家慢性病综合防控示范区长效机制，全面推进“体重管理年”及癌症、慢性呼吸系统疾病和糖尿病等重点慢性病防治专项行动，推动重大慢性病防治关口前移。强化基层医疗机构慢性病多病共防共管能力，加强“两横一纵”的慢性病紧密型医联体服务体系建设，充分发挥怀柔医院慢性病防治管理中心核心作用，不断健全完善慢性病三级</w:t>
      </w:r>
      <w:r>
        <w:rPr>
          <w:rFonts w:hint="eastAsia" w:ascii="仿宋_GB2312" w:hAnsi="仿宋_GB2312" w:eastAsia="仿宋_GB2312" w:cs="Times New Roman"/>
          <w:sz w:val="32"/>
          <w:szCs w:val="32"/>
          <w:highlight w:val="none"/>
          <w:u w:val="none"/>
          <w:lang w:val="en-US" w:eastAsia="zh-CN"/>
        </w:rPr>
        <w:t>防治</w:t>
      </w:r>
      <w:r>
        <w:rPr>
          <w:rFonts w:hint="default" w:ascii="仿宋_GB2312" w:hAnsi="仿宋_GB2312" w:eastAsia="仿宋_GB2312" w:cs="Times New Roman"/>
          <w:sz w:val="32"/>
          <w:szCs w:val="32"/>
          <w:highlight w:val="none"/>
          <w:u w:val="none"/>
          <w:lang w:val="en-US" w:eastAsia="zh-CN"/>
        </w:rPr>
        <w:t>网络，深化“</w:t>
      </w:r>
      <w:r>
        <w:rPr>
          <w:rFonts w:hint="eastAsia" w:ascii="仿宋_GB2312" w:hAnsi="仿宋_GB2312" w:eastAsia="仿宋_GB2312" w:cs="仿宋_GB2312"/>
          <w:b w:val="0"/>
          <w:bCs w:val="0"/>
          <w:color w:val="auto"/>
          <w:sz w:val="32"/>
          <w:szCs w:val="32"/>
          <w:highlight w:val="none"/>
          <w:u w:val="none"/>
          <w:lang w:val="en-US" w:eastAsia="zh-CN"/>
        </w:rPr>
        <w:t>防、筛、管、救、治、康</w:t>
      </w:r>
      <w:r>
        <w:rPr>
          <w:rFonts w:hint="default" w:ascii="仿宋_GB2312" w:hAnsi="仿宋_GB2312" w:eastAsia="仿宋_GB2312" w:cs="Times New Roman"/>
          <w:sz w:val="32"/>
          <w:szCs w:val="32"/>
          <w:highlight w:val="none"/>
          <w:u w:val="none"/>
          <w:lang w:val="en-US" w:eastAsia="zh-CN"/>
        </w:rPr>
        <w:t>”一体化的服务模式，打造具有区域特色的慢病管理</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怀柔模式</w:t>
      </w:r>
      <w:r>
        <w:rPr>
          <w:rFonts w:hint="eastAsia" w:ascii="仿宋_GB2312" w:hAnsi="仿宋_GB2312" w:eastAsia="仿宋_GB2312" w:cs="Times New Roman"/>
          <w:sz w:val="32"/>
          <w:szCs w:val="32"/>
          <w:highlight w:val="none"/>
          <w:u w:val="none"/>
          <w:lang w:val="en-US" w:eastAsia="zh-CN"/>
        </w:rPr>
        <w:t>”。</w:t>
      </w:r>
    </w:p>
    <w:p>
      <w:pPr>
        <w:keepNext w:val="0"/>
        <w:keepLines w:val="0"/>
        <w:pageBreakBefore w:val="0"/>
        <w:widowControl/>
        <w:numPr>
          <w:ilvl w:val="0"/>
          <w:numId w:val="0"/>
        </w:numPr>
        <w:kinsoku/>
        <w:overflowPunct/>
        <w:topLinePunct w:val="0"/>
        <w:autoSpaceDE/>
        <w:autoSpaceDN/>
        <w:bidi w:val="0"/>
        <w:adjustRightInd/>
        <w:snapToGrid/>
        <w:spacing w:beforeLines="0" w:afterLines="0" w:line="560" w:lineRule="exact"/>
        <w:ind w:firstLine="640" w:firstLineChars="200"/>
        <w:textAlignment w:val="auto"/>
        <w:outlineLvl w:val="1"/>
        <w:rPr>
          <w:rFonts w:hint="default" w:ascii="仿宋_GB2312" w:hAnsi="仿宋_GB2312" w:eastAsia="黑体" w:cs="Times New Roman"/>
          <w:sz w:val="32"/>
          <w:szCs w:val="32"/>
          <w:highlight w:val="none"/>
          <w:u w:val="none"/>
          <w:lang w:val="en-US" w:eastAsia="zh-CN"/>
        </w:rPr>
      </w:pPr>
      <w:bookmarkStart w:id="273" w:name="_Toc23799"/>
      <w:bookmarkStart w:id="274" w:name="_Toc11543"/>
      <w:bookmarkStart w:id="275" w:name="_Toc20700"/>
      <w:bookmarkStart w:id="276" w:name="_Toc17935"/>
      <w:bookmarkStart w:id="277" w:name="_Toc2584"/>
      <w:bookmarkStart w:id="278" w:name="_Toc32614"/>
      <w:bookmarkStart w:id="279" w:name="_Toc12513"/>
      <w:bookmarkStart w:id="280" w:name="_Toc7080"/>
      <w:bookmarkStart w:id="281" w:name="_Toc26857"/>
      <w:bookmarkStart w:id="282" w:name="_Toc26518"/>
      <w:bookmarkStart w:id="283" w:name="_Toc31779"/>
      <w:r>
        <w:rPr>
          <w:rFonts w:hint="eastAsia" w:ascii="仿宋_GB2312" w:hAnsi="仿宋_GB2312" w:eastAsia="黑体" w:cs="Times New Roman"/>
          <w:kern w:val="2"/>
          <w:sz w:val="32"/>
          <w:szCs w:val="32"/>
          <w:highlight w:val="none"/>
          <w:u w:val="none"/>
          <w:lang w:val="en-US" w:eastAsia="zh-CN" w:bidi="ar-SA"/>
        </w:rPr>
        <w:t>五、</w:t>
      </w:r>
      <w:r>
        <w:rPr>
          <w:rFonts w:hint="default" w:ascii="仿宋_GB2312" w:hAnsi="仿宋_GB2312" w:eastAsia="黑体" w:cs="Times New Roman"/>
          <w:sz w:val="32"/>
          <w:szCs w:val="32"/>
          <w:highlight w:val="none"/>
          <w:u w:val="none"/>
          <w:lang w:val="en-US" w:eastAsia="zh-CN"/>
        </w:rPr>
        <w:t>促进各类办医主体</w:t>
      </w:r>
      <w:r>
        <w:rPr>
          <w:rFonts w:hint="eastAsia" w:ascii="仿宋_GB2312" w:hAnsi="仿宋_GB2312" w:eastAsia="黑体" w:cs="Times New Roman"/>
          <w:sz w:val="32"/>
          <w:szCs w:val="32"/>
          <w:highlight w:val="none"/>
          <w:u w:val="none"/>
          <w:lang w:val="en-US" w:eastAsia="zh-CN"/>
        </w:rPr>
        <w:t>协同</w:t>
      </w:r>
      <w:r>
        <w:rPr>
          <w:rFonts w:hint="default" w:ascii="仿宋_GB2312" w:hAnsi="仿宋_GB2312" w:eastAsia="黑体" w:cs="Times New Roman"/>
          <w:sz w:val="32"/>
          <w:szCs w:val="32"/>
          <w:highlight w:val="none"/>
          <w:u w:val="none"/>
          <w:lang w:val="en-US" w:eastAsia="zh-CN"/>
        </w:rPr>
        <w:t>发展</w:t>
      </w:r>
      <w:bookmarkEnd w:id="273"/>
      <w:bookmarkEnd w:id="274"/>
      <w:bookmarkEnd w:id="275"/>
      <w:bookmarkEnd w:id="276"/>
      <w:bookmarkEnd w:id="277"/>
      <w:bookmarkEnd w:id="278"/>
      <w:bookmarkEnd w:id="279"/>
      <w:bookmarkEnd w:id="280"/>
      <w:bookmarkEnd w:id="281"/>
      <w:bookmarkEnd w:id="282"/>
      <w:bookmarkEnd w:id="283"/>
    </w:p>
    <w:p>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sz w:val="32"/>
          <w:szCs w:val="32"/>
          <w:highlight w:val="none"/>
          <w:u w:val="none"/>
          <w:lang w:val="en-US" w:eastAsia="zh-CN"/>
        </w:rPr>
      </w:pPr>
      <w:r>
        <w:rPr>
          <w:rFonts w:hint="eastAsia" w:ascii="仿宋_GB2312" w:hAnsi="仿宋_GB2312" w:eastAsia="仿宋_GB2312" w:cs="Times New Roman"/>
          <w:b w:val="0"/>
          <w:i w:val="0"/>
          <w:iCs w:val="0"/>
          <w:caps w:val="0"/>
          <w:spacing w:val="0"/>
          <w:kern w:val="2"/>
          <w:sz w:val="32"/>
          <w:szCs w:val="32"/>
          <w:highlight w:val="none"/>
          <w:u w:val="none"/>
          <w:shd w:val="clear"/>
          <w:lang w:val="en-US" w:eastAsia="zh-CN" w:bidi="ar-SA"/>
        </w:rPr>
        <w:t>优化完善</w:t>
      </w:r>
      <w:r>
        <w:rPr>
          <w:rFonts w:hint="default" w:ascii="仿宋_GB2312" w:hAnsi="仿宋_GB2312" w:eastAsia="仿宋_GB2312" w:cs="Times New Roman"/>
          <w:b w:val="0"/>
          <w:i w:val="0"/>
          <w:iCs w:val="0"/>
          <w:caps w:val="0"/>
          <w:spacing w:val="0"/>
          <w:kern w:val="2"/>
          <w:sz w:val="32"/>
          <w:szCs w:val="32"/>
          <w:highlight w:val="none"/>
          <w:u w:val="none"/>
          <w:shd w:val="clear"/>
          <w:lang w:val="en-US" w:eastAsia="zh-CN" w:bidi="ar-SA"/>
        </w:rPr>
        <w:t>以公立医院为</w:t>
      </w:r>
      <w:r>
        <w:rPr>
          <w:rFonts w:hint="eastAsia" w:ascii="仿宋_GB2312" w:hAnsi="仿宋_GB2312" w:eastAsia="仿宋_GB2312" w:cs="Times New Roman"/>
          <w:b w:val="0"/>
          <w:i w:val="0"/>
          <w:iCs w:val="0"/>
          <w:caps w:val="0"/>
          <w:spacing w:val="0"/>
          <w:kern w:val="2"/>
          <w:sz w:val="32"/>
          <w:szCs w:val="32"/>
          <w:highlight w:val="none"/>
          <w:u w:val="none"/>
          <w:shd w:val="clear"/>
          <w:lang w:val="en-US" w:eastAsia="zh-CN" w:bidi="ar-SA"/>
        </w:rPr>
        <w:t>主体</w:t>
      </w:r>
      <w:r>
        <w:rPr>
          <w:rFonts w:hint="default" w:ascii="仿宋_GB2312" w:hAnsi="仿宋_GB2312" w:eastAsia="仿宋_GB2312" w:cs="Times New Roman"/>
          <w:b w:val="0"/>
          <w:i w:val="0"/>
          <w:iCs w:val="0"/>
          <w:caps w:val="0"/>
          <w:spacing w:val="0"/>
          <w:kern w:val="2"/>
          <w:sz w:val="32"/>
          <w:szCs w:val="32"/>
          <w:highlight w:val="none"/>
          <w:u w:val="none"/>
          <w:shd w:val="clear"/>
          <w:lang w:val="en-US" w:eastAsia="zh-CN" w:bidi="ar-SA"/>
        </w:rPr>
        <w:t>，</w:t>
      </w:r>
      <w:r>
        <w:rPr>
          <w:rFonts w:hint="eastAsia" w:ascii="仿宋_GB2312" w:hAnsi="仿宋_GB2312" w:eastAsia="仿宋_GB2312" w:cs="Times New Roman"/>
          <w:b w:val="0"/>
          <w:i w:val="0"/>
          <w:iCs w:val="0"/>
          <w:caps w:val="0"/>
          <w:spacing w:val="0"/>
          <w:kern w:val="2"/>
          <w:sz w:val="32"/>
          <w:szCs w:val="32"/>
          <w:highlight w:val="none"/>
          <w:u w:val="none"/>
          <w:shd w:val="clear"/>
          <w:lang w:val="en-US" w:eastAsia="zh-CN" w:bidi="ar-SA"/>
        </w:rPr>
        <w:t>以</w:t>
      </w:r>
      <w:r>
        <w:rPr>
          <w:rFonts w:hint="default" w:ascii="仿宋_GB2312" w:hAnsi="仿宋_GB2312" w:eastAsia="仿宋_GB2312" w:cs="Times New Roman"/>
          <w:b w:val="0"/>
          <w:i w:val="0"/>
          <w:iCs w:val="0"/>
          <w:caps w:val="0"/>
          <w:spacing w:val="0"/>
          <w:kern w:val="2"/>
          <w:sz w:val="32"/>
          <w:szCs w:val="32"/>
          <w:highlight w:val="none"/>
          <w:u w:val="none"/>
          <w:shd w:val="clear"/>
          <w:lang w:val="en-US" w:eastAsia="zh-CN" w:bidi="ar-SA"/>
        </w:rPr>
        <w:t>专科特色民营医院为补充的多层次医疗服务格局。</w:t>
      </w:r>
      <w:r>
        <w:rPr>
          <w:rFonts w:hint="eastAsia" w:ascii="仿宋_GB2312" w:hAnsi="仿宋_GB2312" w:eastAsia="仿宋_GB2312" w:cs="Times New Roman"/>
          <w:sz w:val="32"/>
          <w:szCs w:val="32"/>
          <w:highlight w:val="none"/>
          <w:u w:val="none"/>
          <w:lang w:val="en-US" w:eastAsia="zh-CN"/>
        </w:rPr>
        <w:t>强化</w:t>
      </w:r>
      <w:r>
        <w:rPr>
          <w:rFonts w:hint="default" w:ascii="仿宋_GB2312" w:hAnsi="仿宋_GB2312" w:eastAsia="仿宋_GB2312" w:cs="Times New Roman"/>
          <w:sz w:val="32"/>
          <w:szCs w:val="32"/>
          <w:highlight w:val="none"/>
          <w:u w:val="none"/>
          <w:lang w:val="en-US" w:eastAsia="zh-CN"/>
        </w:rPr>
        <w:t>公立医院</w:t>
      </w:r>
      <w:r>
        <w:rPr>
          <w:rFonts w:hint="eastAsia" w:ascii="仿宋_GB2312" w:hAnsi="仿宋_GB2312" w:eastAsia="仿宋_GB2312" w:cs="Times New Roman"/>
          <w:sz w:val="32"/>
          <w:szCs w:val="32"/>
          <w:highlight w:val="none"/>
          <w:u w:val="none"/>
          <w:lang w:val="en-US" w:eastAsia="zh-CN"/>
        </w:rPr>
        <w:t>与</w:t>
      </w:r>
      <w:r>
        <w:rPr>
          <w:rFonts w:hint="default" w:ascii="仿宋_GB2312" w:hAnsi="仿宋_GB2312" w:eastAsia="仿宋_GB2312" w:cs="Times New Roman"/>
          <w:sz w:val="32"/>
          <w:szCs w:val="32"/>
          <w:highlight w:val="none"/>
          <w:u w:val="none"/>
          <w:lang w:val="en-US" w:eastAsia="zh-CN"/>
        </w:rPr>
        <w:t>社会办</w:t>
      </w:r>
      <w:r>
        <w:rPr>
          <w:rFonts w:hint="eastAsia" w:ascii="仿宋_GB2312" w:hAnsi="仿宋_GB2312" w:eastAsia="仿宋_GB2312" w:cs="Times New Roman"/>
          <w:sz w:val="32"/>
          <w:szCs w:val="32"/>
          <w:highlight w:val="none"/>
          <w:u w:val="none"/>
          <w:lang w:val="en-US" w:eastAsia="zh-CN"/>
        </w:rPr>
        <w:t>医疗机构在</w:t>
      </w:r>
      <w:r>
        <w:rPr>
          <w:rFonts w:hint="default" w:ascii="仿宋_GB2312" w:hAnsi="仿宋_GB2312" w:eastAsia="仿宋_GB2312" w:cs="Times New Roman"/>
          <w:sz w:val="32"/>
          <w:szCs w:val="32"/>
          <w:highlight w:val="none"/>
          <w:u w:val="none"/>
          <w:lang w:val="en-US" w:eastAsia="zh-CN"/>
        </w:rPr>
        <w:t>医疗业务、学科建设、人才培养等</w:t>
      </w:r>
      <w:r>
        <w:rPr>
          <w:rFonts w:hint="eastAsia" w:ascii="仿宋_GB2312" w:hAnsi="仿宋_GB2312" w:eastAsia="仿宋_GB2312" w:cs="Times New Roman"/>
          <w:sz w:val="32"/>
          <w:szCs w:val="32"/>
          <w:highlight w:val="none"/>
          <w:u w:val="none"/>
          <w:lang w:val="en-US" w:eastAsia="zh-CN"/>
        </w:rPr>
        <w:t>方面协作，</w:t>
      </w:r>
      <w:r>
        <w:rPr>
          <w:rFonts w:hint="default" w:ascii="仿宋_GB2312" w:hAnsi="仿宋_GB2312" w:eastAsia="仿宋_GB2312" w:cs="Times New Roman"/>
          <w:b w:val="0"/>
          <w:i w:val="0"/>
          <w:iCs w:val="0"/>
          <w:caps w:val="0"/>
          <w:spacing w:val="0"/>
          <w:kern w:val="2"/>
          <w:sz w:val="32"/>
          <w:szCs w:val="32"/>
          <w:highlight w:val="none"/>
          <w:u w:val="none"/>
          <w:shd w:val="clear"/>
          <w:lang w:val="en-US" w:eastAsia="zh-CN" w:bidi="ar-SA"/>
        </w:rPr>
        <w:t>推动北京康益德中西医结合肺科医院、北京京北健永口腔医院等民营医疗机构</w:t>
      </w:r>
      <w:r>
        <w:rPr>
          <w:rFonts w:hint="eastAsia" w:ascii="仿宋_GB2312" w:hAnsi="仿宋_GB2312" w:eastAsia="仿宋_GB2312" w:cs="Times New Roman"/>
          <w:b w:val="0"/>
          <w:i w:val="0"/>
          <w:iCs w:val="0"/>
          <w:caps w:val="0"/>
          <w:spacing w:val="0"/>
          <w:kern w:val="2"/>
          <w:sz w:val="32"/>
          <w:szCs w:val="32"/>
          <w:highlight w:val="none"/>
          <w:u w:val="none"/>
          <w:shd w:val="clear"/>
          <w:lang w:val="en-US" w:eastAsia="zh-CN" w:bidi="ar-SA"/>
        </w:rPr>
        <w:t>协同</w:t>
      </w:r>
      <w:r>
        <w:rPr>
          <w:rFonts w:hint="default" w:ascii="仿宋_GB2312" w:hAnsi="仿宋_GB2312" w:eastAsia="仿宋_GB2312" w:cs="Times New Roman"/>
          <w:b w:val="0"/>
          <w:i w:val="0"/>
          <w:iCs w:val="0"/>
          <w:caps w:val="0"/>
          <w:spacing w:val="0"/>
          <w:kern w:val="2"/>
          <w:sz w:val="32"/>
          <w:szCs w:val="32"/>
          <w:highlight w:val="none"/>
          <w:u w:val="none"/>
          <w:shd w:val="clear"/>
          <w:lang w:val="en-US" w:eastAsia="zh-CN" w:bidi="ar-SA"/>
        </w:rPr>
        <w:t>发展</w:t>
      </w:r>
      <w:r>
        <w:rPr>
          <w:rFonts w:hint="default" w:ascii="仿宋_GB2312" w:hAnsi="仿宋_GB2312" w:eastAsia="仿宋_GB2312" w:cs="Times New Roman"/>
          <w:sz w:val="32"/>
          <w:szCs w:val="32"/>
          <w:highlight w:val="none"/>
          <w:u w:val="none"/>
          <w:lang w:val="en-US" w:eastAsia="zh-CN"/>
        </w:rPr>
        <w:t>。</w:t>
      </w:r>
      <w:r>
        <w:rPr>
          <w:rFonts w:hint="eastAsia" w:ascii="仿宋_GB2312" w:hAnsi="仿宋_GB2312" w:eastAsia="仿宋_GB2312" w:cs="Times New Roman"/>
          <w:sz w:val="32"/>
          <w:szCs w:val="32"/>
          <w:highlight w:val="none"/>
          <w:u w:val="none"/>
          <w:lang w:val="en-US" w:eastAsia="zh-CN"/>
        </w:rPr>
        <w:t>探索落实</w:t>
      </w:r>
      <w:r>
        <w:rPr>
          <w:rFonts w:hint="eastAsia" w:ascii="Times New Roman" w:hAnsi="Times New Roman" w:eastAsia="仿宋_GB2312" w:cs="Times New Roman"/>
          <w:b w:val="0"/>
          <w:i w:val="0"/>
          <w:iCs w:val="0"/>
          <w:caps w:val="0"/>
          <w:color w:val="auto"/>
          <w:spacing w:val="0"/>
          <w:kern w:val="2"/>
          <w:sz w:val="32"/>
          <w:szCs w:val="32"/>
          <w:highlight w:val="none"/>
          <w:u w:val="none"/>
          <w:shd w:val="clear"/>
          <w:lang w:val="en-US" w:eastAsia="zh-CN" w:bidi="ar-SA"/>
        </w:rPr>
        <w:t>医疗领域扩大开放试点政策，力争吸引多元化医疗资源落地怀柔，</w:t>
      </w:r>
      <w:r>
        <w:rPr>
          <w:rFonts w:hint="eastAsia" w:ascii="仿宋_GB2312" w:hAnsi="仿宋_GB2312" w:eastAsia="仿宋_GB2312" w:cs="Times New Roman"/>
          <w:b w:val="0"/>
          <w:i w:val="0"/>
          <w:iCs w:val="0"/>
          <w:caps w:val="0"/>
          <w:spacing w:val="0"/>
          <w:kern w:val="2"/>
          <w:sz w:val="32"/>
          <w:szCs w:val="32"/>
          <w:highlight w:val="none"/>
          <w:u w:val="none"/>
          <w:shd w:val="clear"/>
          <w:lang w:val="en-US" w:eastAsia="zh-CN" w:bidi="ar-SA"/>
        </w:rPr>
        <w:t>更好</w:t>
      </w:r>
      <w:r>
        <w:rPr>
          <w:rFonts w:hint="default" w:ascii="仿宋_GB2312" w:hAnsi="仿宋_GB2312" w:eastAsia="仿宋_GB2312" w:cs="Times New Roman"/>
          <w:sz w:val="32"/>
          <w:szCs w:val="32"/>
          <w:highlight w:val="none"/>
          <w:u w:val="none"/>
          <w:lang w:val="en-US" w:eastAsia="zh-CN"/>
        </w:rPr>
        <w:t>满足</w:t>
      </w:r>
      <w:r>
        <w:rPr>
          <w:rFonts w:hint="eastAsia" w:ascii="仿宋_GB2312" w:hAnsi="仿宋_GB2312" w:eastAsia="仿宋_GB2312" w:cs="Times New Roman"/>
          <w:sz w:val="32"/>
          <w:szCs w:val="32"/>
          <w:highlight w:val="none"/>
          <w:u w:val="none"/>
          <w:lang w:val="en-US" w:eastAsia="zh-CN"/>
        </w:rPr>
        <w:t>人民</w:t>
      </w:r>
      <w:r>
        <w:rPr>
          <w:rFonts w:hint="default" w:ascii="仿宋_GB2312" w:hAnsi="仿宋_GB2312" w:eastAsia="仿宋_GB2312" w:cs="Times New Roman"/>
          <w:sz w:val="32"/>
          <w:szCs w:val="32"/>
          <w:highlight w:val="none"/>
          <w:u w:val="none"/>
          <w:lang w:val="en-US" w:eastAsia="zh-CN"/>
        </w:rPr>
        <w:t>群众</w:t>
      </w:r>
      <w:r>
        <w:rPr>
          <w:rFonts w:hint="eastAsia" w:ascii="仿宋_GB2312" w:hAnsi="仿宋_GB2312" w:eastAsia="仿宋_GB2312" w:cs="Times New Roman"/>
          <w:sz w:val="32"/>
          <w:szCs w:val="32"/>
          <w:highlight w:val="none"/>
          <w:u w:val="none"/>
          <w:lang w:val="en-US" w:eastAsia="zh-CN"/>
        </w:rPr>
        <w:t>和在怀外籍人员</w:t>
      </w:r>
      <w:r>
        <w:rPr>
          <w:rFonts w:hint="default" w:ascii="仿宋_GB2312" w:hAnsi="仿宋_GB2312" w:eastAsia="仿宋_GB2312" w:cs="Times New Roman"/>
          <w:sz w:val="32"/>
          <w:szCs w:val="32"/>
          <w:highlight w:val="none"/>
          <w:u w:val="none"/>
          <w:lang w:val="en-US" w:eastAsia="zh-CN"/>
        </w:rPr>
        <w:t>的健康服务需求。</w:t>
      </w:r>
      <w:r>
        <w:rPr>
          <w:rFonts w:hint="eastAsia" w:ascii="仿宋_GB2312" w:hAnsi="仿宋_GB2312" w:eastAsia="黑体"/>
          <w:sz w:val="32"/>
          <w:szCs w:val="32"/>
          <w:highlight w:val="none"/>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ascii="仿宋_GB2312" w:hAnsi="仿宋_GB2312" w:eastAsia="方正小标宋_GBK" w:cs="Times New Roman"/>
          <w:b w:val="0"/>
          <w:bCs/>
          <w:sz w:val="36"/>
          <w:szCs w:val="36"/>
          <w:highlight w:val="none"/>
          <w:u w:val="none"/>
          <w:lang w:val="en-US" w:eastAsia="zh-CN"/>
        </w:rPr>
      </w:pPr>
      <w:bookmarkStart w:id="284" w:name="_Toc13090"/>
      <w:bookmarkStart w:id="285" w:name="_Toc12196"/>
      <w:bookmarkStart w:id="286" w:name="_Toc19840"/>
      <w:bookmarkStart w:id="287" w:name="_Toc7381"/>
      <w:bookmarkStart w:id="288" w:name="_Toc2468"/>
      <w:bookmarkStart w:id="289" w:name="_Toc9510"/>
      <w:bookmarkStart w:id="290" w:name="_Toc29369"/>
      <w:bookmarkStart w:id="291" w:name="_Toc4745"/>
      <w:bookmarkStart w:id="292" w:name="_Toc28801"/>
      <w:r>
        <w:rPr>
          <w:rFonts w:hint="eastAsia" w:ascii="仿宋_GB2312" w:hAnsi="仿宋_GB2312" w:eastAsia="方正小标宋_GBK" w:cs="Times New Roman"/>
          <w:b w:val="0"/>
          <w:bCs/>
          <w:kern w:val="2"/>
          <w:sz w:val="36"/>
          <w:szCs w:val="36"/>
          <w:highlight w:val="none"/>
          <w:u w:val="none"/>
          <w:lang w:val="en-US" w:eastAsia="zh-CN" w:bidi="ar-SA"/>
        </w:rPr>
        <w:t>第五章 建设高质量充分就业体系</w:t>
      </w:r>
      <w:bookmarkEnd w:id="284"/>
      <w:bookmarkEnd w:id="285"/>
      <w:bookmarkEnd w:id="286"/>
      <w:bookmarkEnd w:id="287"/>
      <w:bookmarkEnd w:id="288"/>
      <w:bookmarkEnd w:id="289"/>
      <w:bookmarkEnd w:id="290"/>
      <w:bookmarkEnd w:id="291"/>
      <w:bookmarkEnd w:id="292"/>
    </w:p>
    <w:p>
      <w:pPr>
        <w:keepNext w:val="0"/>
        <w:keepLines w:val="0"/>
        <w:pageBreakBefore w:val="0"/>
        <w:kinsoku/>
        <w:overflowPunct/>
        <w:topLinePunct w:val="0"/>
        <w:autoSpaceDE/>
        <w:autoSpaceDN/>
        <w:bidi w:val="0"/>
        <w:adjustRightInd/>
        <w:snapToGrid/>
        <w:spacing w:beforeLines="0" w:afterLines="0" w:line="560" w:lineRule="exact"/>
        <w:ind w:left="0" w:leftChars="0" w:firstLine="640" w:firstLineChars="200"/>
        <w:textAlignment w:val="auto"/>
        <w:rPr>
          <w:rFonts w:hint="eastAsia" w:ascii="仿宋_GB2312" w:hAnsi="仿宋_GB2312" w:eastAsia="仿宋_GB2312" w:cs="Times New Roman"/>
          <w:sz w:val="32"/>
          <w:szCs w:val="32"/>
          <w:highlight w:val="none"/>
          <w:u w:val="none"/>
          <w:lang w:val="en-US" w:eastAsia="zh-CN"/>
        </w:rPr>
      </w:pPr>
      <w:r>
        <w:rPr>
          <w:rFonts w:hint="eastAsia" w:ascii="仿宋_GB2312" w:hAnsi="仿宋_GB2312" w:eastAsia="仿宋_GB2312" w:cs="Times New Roman"/>
          <w:sz w:val="32"/>
          <w:szCs w:val="32"/>
          <w:highlight w:val="none"/>
          <w:u w:val="none"/>
        </w:rPr>
        <w:t>深入实施就业优先战略，推进就业友好型城市建设。围绕区域高质量发展需求和怀柔科学城建设，</w:t>
      </w:r>
      <w:r>
        <w:rPr>
          <w:rFonts w:hint="eastAsia" w:ascii="仿宋_GB2312" w:hAnsi="仿宋_GB2312" w:eastAsia="仿宋_GB2312" w:cs="Times New Roman"/>
          <w:sz w:val="32"/>
          <w:szCs w:val="32"/>
          <w:highlight w:val="none"/>
          <w:u w:val="none"/>
          <w:lang w:val="en-US" w:eastAsia="zh-CN"/>
        </w:rPr>
        <w:t>强化就业政策支撑，完善就业服务网络</w:t>
      </w:r>
      <w:r>
        <w:rPr>
          <w:rFonts w:hint="eastAsia" w:ascii="仿宋_GB2312" w:hAnsi="仿宋_GB2312" w:eastAsia="仿宋_GB2312" w:cs="Times New Roman"/>
          <w:sz w:val="32"/>
          <w:szCs w:val="32"/>
          <w:highlight w:val="none"/>
          <w:u w:val="none"/>
        </w:rPr>
        <w:t>，优化技能人才培养，推动人才、岗位与产业深度融合，不断提升就业质量和服务效能。</w:t>
      </w:r>
    </w:p>
    <w:p>
      <w:pPr>
        <w:keepNext w:val="0"/>
        <w:keepLines w:val="0"/>
        <w:pageBreakBefore w:val="0"/>
        <w:widowControl/>
        <w:numPr>
          <w:ilvl w:val="0"/>
          <w:numId w:val="0"/>
        </w:numPr>
        <w:kinsoku/>
        <w:wordWrap/>
        <w:overflowPunct/>
        <w:topLinePunct w:val="0"/>
        <w:autoSpaceDE/>
        <w:autoSpaceDN/>
        <w:bidi w:val="0"/>
        <w:adjustRightInd/>
        <w:snapToGrid/>
        <w:spacing w:before="0" w:beforeLines="-2147483648" w:after="0" w:afterLines="-2147483648" w:line="560" w:lineRule="exact"/>
        <w:ind w:firstLine="640" w:firstLineChars="200"/>
        <w:jc w:val="left"/>
        <w:textAlignment w:val="auto"/>
        <w:outlineLvl w:val="1"/>
        <w:rPr>
          <w:rFonts w:hint="eastAsia" w:ascii="仿宋_GB2312" w:hAnsi="仿宋_GB2312" w:eastAsia="黑体" w:cs="Times New Roman"/>
          <w:sz w:val="32"/>
          <w:szCs w:val="32"/>
          <w:highlight w:val="none"/>
          <w:u w:val="none"/>
          <w:lang w:val="en-US" w:eastAsia="zh-CN"/>
        </w:rPr>
      </w:pPr>
      <w:bookmarkStart w:id="293" w:name="_Toc30960"/>
      <w:bookmarkStart w:id="294" w:name="_Toc31586"/>
      <w:bookmarkStart w:id="295" w:name="_Toc11019"/>
      <w:bookmarkStart w:id="296" w:name="_Toc19606"/>
      <w:bookmarkStart w:id="297" w:name="_Toc9892"/>
      <w:bookmarkStart w:id="298" w:name="_Toc12725"/>
      <w:bookmarkStart w:id="299" w:name="_Toc23821"/>
      <w:bookmarkStart w:id="300" w:name="_Toc24213"/>
      <w:bookmarkStart w:id="301" w:name="_Toc1767"/>
      <w:r>
        <w:rPr>
          <w:rFonts w:hint="eastAsia" w:ascii="仿宋_GB2312" w:hAnsi="仿宋_GB2312" w:eastAsia="黑体" w:cs="Times New Roman"/>
          <w:sz w:val="32"/>
          <w:szCs w:val="32"/>
          <w:highlight w:val="none"/>
          <w:u w:val="none"/>
          <w:lang w:val="en-US" w:eastAsia="zh-CN"/>
        </w:rPr>
        <w:t>一、强化就业优先战略导向</w:t>
      </w:r>
      <w:bookmarkEnd w:id="293"/>
      <w:bookmarkEnd w:id="294"/>
      <w:bookmarkEnd w:id="295"/>
      <w:bookmarkEnd w:id="296"/>
      <w:bookmarkEnd w:id="297"/>
    </w:p>
    <w:p>
      <w:pPr>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560" w:lineRule="exact"/>
        <w:ind w:firstLine="640" w:firstLineChars="200"/>
        <w:jc w:val="both"/>
        <w:textAlignment w:val="auto"/>
        <w:outlineLvl w:val="9"/>
        <w:rPr>
          <w:rFonts w:hint="eastAsia" w:ascii="仿宋_GB2312" w:hAnsi="仿宋_GB2312" w:eastAsia="仿宋_GB2312" w:cs="Times New Roman"/>
          <w:sz w:val="32"/>
          <w:szCs w:val="32"/>
          <w:highlight w:val="none"/>
          <w:u w:val="none"/>
          <w:lang w:val="en-US" w:eastAsia="zh-CN"/>
        </w:rPr>
      </w:pPr>
      <w:r>
        <w:rPr>
          <w:rFonts w:hint="eastAsia" w:ascii="仿宋_GB2312" w:hAnsi="仿宋_GB2312" w:eastAsia="仿宋_GB2312" w:cs="Times New Roman"/>
          <w:sz w:val="32"/>
          <w:szCs w:val="32"/>
          <w:highlight w:val="none"/>
          <w:u w:val="none"/>
        </w:rPr>
        <w:t>坚持就业优先，将高质量充分就业作为全区经济社会发展优先目标，实现更加充分、更高质量的就业。</w:t>
      </w:r>
      <w:r>
        <w:rPr>
          <w:rFonts w:hint="eastAsia" w:ascii="仿宋_GB2312" w:hAnsi="仿宋_GB2312" w:eastAsia="仿宋_GB2312" w:cs="Times New Roman"/>
          <w:b w:val="0"/>
          <w:bCs w:val="0"/>
          <w:sz w:val="32"/>
          <w:szCs w:val="32"/>
          <w:highlight w:val="none"/>
          <w:u w:val="none"/>
        </w:rPr>
        <w:t>完善就业优先政策体系，深化落实《怀柔区促进高质量充分就业支持办法》，</w:t>
      </w:r>
      <w:r>
        <w:rPr>
          <w:rFonts w:hint="eastAsia" w:ascii="仿宋_GB2312" w:hAnsi="仿宋_GB2312" w:eastAsia="仿宋_GB2312" w:cs="Times New Roman"/>
          <w:sz w:val="32"/>
          <w:szCs w:val="32"/>
          <w:highlight w:val="none"/>
          <w:u w:val="none"/>
        </w:rPr>
        <w:t>吸引</w:t>
      </w:r>
      <w:r>
        <w:rPr>
          <w:rFonts w:hint="eastAsia" w:ascii="仿宋_GB2312" w:hAnsi="仿宋_GB2312" w:eastAsia="仿宋_GB2312" w:cs="Times New Roman"/>
          <w:sz w:val="32"/>
          <w:szCs w:val="32"/>
          <w:highlight w:val="none"/>
          <w:u w:val="none"/>
          <w:lang w:val="en-US" w:eastAsia="zh-CN"/>
        </w:rPr>
        <w:t>各类</w:t>
      </w:r>
      <w:r>
        <w:rPr>
          <w:rFonts w:hint="eastAsia" w:ascii="仿宋_GB2312" w:hAnsi="仿宋_GB2312" w:eastAsia="仿宋_GB2312" w:cs="Times New Roman"/>
          <w:sz w:val="32"/>
          <w:szCs w:val="32"/>
          <w:highlight w:val="none"/>
          <w:u w:val="none"/>
        </w:rPr>
        <w:t>人才在怀柔就业</w:t>
      </w:r>
      <w:r>
        <w:rPr>
          <w:rFonts w:hint="eastAsia" w:ascii="仿宋_GB2312" w:hAnsi="仿宋_GB2312" w:eastAsia="仿宋_GB2312" w:cs="Times New Roman"/>
          <w:b w:val="0"/>
          <w:bCs w:val="0"/>
          <w:sz w:val="32"/>
          <w:szCs w:val="32"/>
          <w:highlight w:val="none"/>
          <w:u w:val="none"/>
        </w:rPr>
        <w:t>。强化区级稳岗扩岗投入力度，对稳岗扩岗企业、招用本地劳动力企业给予稳岗补贴支持。联动科技创新、产业发展政策，引导资金投向科创、文旅、绿色能源等领域，激活夜间经济、首发经济就业潜力。健全就业工作协同机制，聚焦怀柔科学城五大科学方向与战略先导产业需求，定期分析人力资源与产业发展匹配度，充实政策工具箱。持续深化“管行业必须管就业”的“大就业”工作格局，发挥区就业促进和劳动保护工作联席会议制度作用，开展重大政策、产业、项目就业影响评估，确保就业扩容提质与区域发展良性互动。</w:t>
      </w:r>
      <w:r>
        <w:rPr>
          <w:rFonts w:hint="eastAsia" w:ascii="仿宋_GB2312" w:hAnsi="仿宋_GB2312" w:eastAsia="仿宋_GB2312" w:cs="Times New Roman"/>
          <w:b w:val="0"/>
          <w:bCs w:val="0"/>
          <w:sz w:val="32"/>
          <w:szCs w:val="32"/>
          <w:highlight w:val="none"/>
          <w:u w:val="none"/>
          <w:lang w:val="en-US" w:eastAsia="zh-CN"/>
        </w:rPr>
        <w:t>建设就业友好型城市，</w:t>
      </w:r>
      <w:r>
        <w:rPr>
          <w:rFonts w:hint="eastAsia" w:ascii="仿宋_GB2312" w:hAnsi="仿宋_GB2312" w:eastAsia="仿宋_GB2312" w:cs="Times New Roman"/>
          <w:b w:val="0"/>
          <w:bCs w:val="0"/>
          <w:sz w:val="32"/>
          <w:szCs w:val="32"/>
          <w:highlight w:val="none"/>
          <w:u w:val="none"/>
        </w:rPr>
        <w:t>推动制定《怀柔区关于促进高质量充分就业、建设就业友好型城市的实施意见》，提升就业承载力与人才吸引力</w:t>
      </w:r>
      <w:r>
        <w:rPr>
          <w:rFonts w:hint="eastAsia" w:ascii="仿宋_GB2312" w:hAnsi="仿宋_GB2312" w:eastAsia="仿宋_GB2312" w:cs="Times New Roman"/>
          <w:b w:val="0"/>
          <w:bCs w:val="0"/>
          <w:sz w:val="32"/>
          <w:szCs w:val="32"/>
          <w:highlight w:val="none"/>
          <w:u w:val="none"/>
          <w:lang w:eastAsia="zh-CN"/>
        </w:rPr>
        <w:t>。</w:t>
      </w:r>
      <w:r>
        <w:rPr>
          <w:rFonts w:hint="eastAsia" w:ascii="仿宋_GB2312" w:hAnsi="仿宋_GB2312" w:eastAsia="仿宋_GB2312" w:cs="Times New Roman"/>
          <w:sz w:val="32"/>
          <w:szCs w:val="32"/>
          <w:highlight w:val="none"/>
          <w:u w:val="none"/>
        </w:rPr>
        <w:t>优化就业友好环境生态，落实支持平台经济吸纳就业指导意见，支持和规范平台经济、共享经济等新业态健康发展。</w:t>
      </w:r>
      <w:r>
        <w:rPr>
          <w:rFonts w:hint="eastAsia" w:ascii="仿宋_GB2312" w:hAnsi="仿宋_GB2312" w:eastAsia="仿宋_GB2312" w:cs="Times New Roman"/>
          <w:sz w:val="32"/>
          <w:szCs w:val="32"/>
          <w:highlight w:val="none"/>
          <w:u w:val="none"/>
          <w:lang w:val="en-US" w:eastAsia="zh-CN"/>
        </w:rPr>
        <w:t>强化就业困难群体精准帮扶，促进失业人员再就业，做好受灾群众就业帮扶，保持零就业家庭动态清零，不断提升就业服务普惠性和包容性。</w:t>
      </w:r>
    </w:p>
    <w:p>
      <w:pPr>
        <w:keepNext w:val="0"/>
        <w:keepLines w:val="0"/>
        <w:pageBreakBefore w:val="0"/>
        <w:widowControl/>
        <w:numPr>
          <w:ilvl w:val="0"/>
          <w:numId w:val="0"/>
        </w:numPr>
        <w:kinsoku/>
        <w:wordWrap/>
        <w:overflowPunct/>
        <w:topLinePunct w:val="0"/>
        <w:autoSpaceDE/>
        <w:autoSpaceDN/>
        <w:bidi w:val="0"/>
        <w:adjustRightInd/>
        <w:snapToGrid/>
        <w:spacing w:before="0" w:beforeLines="-2147483648" w:after="0" w:afterLines="-2147483648" w:line="560" w:lineRule="exact"/>
        <w:ind w:firstLine="640" w:firstLineChars="200"/>
        <w:jc w:val="left"/>
        <w:textAlignment w:val="auto"/>
        <w:outlineLvl w:val="1"/>
        <w:rPr>
          <w:rFonts w:hint="default" w:ascii="仿宋_GB2312" w:hAnsi="仿宋_GB2312" w:eastAsia="黑体" w:cs="Times New Roman"/>
          <w:sz w:val="32"/>
          <w:szCs w:val="32"/>
          <w:highlight w:val="none"/>
          <w:u w:val="none"/>
          <w:lang w:val="en-US" w:eastAsia="zh-CN"/>
        </w:rPr>
      </w:pPr>
      <w:bookmarkStart w:id="302" w:name="_Toc29631"/>
      <w:bookmarkStart w:id="303" w:name="_Toc9269"/>
      <w:bookmarkStart w:id="304" w:name="_Toc2792"/>
      <w:bookmarkStart w:id="305" w:name="_Toc32199"/>
      <w:bookmarkStart w:id="306" w:name="_Toc25020"/>
      <w:r>
        <w:rPr>
          <w:rFonts w:hint="eastAsia" w:ascii="仿宋_GB2312" w:hAnsi="仿宋_GB2312" w:eastAsia="黑体" w:cs="Times New Roman"/>
          <w:sz w:val="32"/>
          <w:szCs w:val="32"/>
          <w:highlight w:val="none"/>
          <w:u w:val="none"/>
          <w:lang w:val="en-US" w:eastAsia="zh-CN"/>
        </w:rPr>
        <w:t>二、</w:t>
      </w:r>
      <w:r>
        <w:rPr>
          <w:rFonts w:hint="eastAsia" w:ascii="仿宋_GB2312" w:hAnsi="仿宋_GB2312" w:eastAsia="黑体" w:cs="Times New Roman"/>
          <w:sz w:val="32"/>
          <w:szCs w:val="32"/>
          <w:highlight w:val="none"/>
          <w:u w:val="none"/>
        </w:rPr>
        <w:t>织密</w:t>
      </w:r>
      <w:r>
        <w:rPr>
          <w:rFonts w:hint="eastAsia" w:ascii="仿宋_GB2312" w:hAnsi="仿宋_GB2312" w:eastAsia="黑体" w:cs="Times New Roman"/>
          <w:sz w:val="32"/>
          <w:szCs w:val="32"/>
          <w:highlight w:val="none"/>
          <w:u w:val="none"/>
          <w:lang w:val="en-US" w:eastAsia="zh-CN"/>
        </w:rPr>
        <w:t>全域</w:t>
      </w:r>
      <w:r>
        <w:rPr>
          <w:rFonts w:hint="eastAsia" w:ascii="仿宋_GB2312" w:hAnsi="仿宋_GB2312" w:eastAsia="黑体" w:cs="Times New Roman"/>
          <w:sz w:val="32"/>
          <w:szCs w:val="32"/>
          <w:highlight w:val="none"/>
          <w:u w:val="none"/>
        </w:rPr>
        <w:t>就业服务网络</w:t>
      </w:r>
      <w:bookmarkEnd w:id="298"/>
      <w:bookmarkEnd w:id="299"/>
      <w:bookmarkEnd w:id="302"/>
      <w:bookmarkEnd w:id="303"/>
      <w:bookmarkEnd w:id="304"/>
      <w:bookmarkEnd w:id="305"/>
      <w:bookmarkEnd w:id="306"/>
    </w:p>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560" w:lineRule="exact"/>
        <w:ind w:firstLine="640" w:firstLineChars="200"/>
        <w:jc w:val="both"/>
        <w:textAlignment w:val="auto"/>
        <w:outlineLvl w:val="9"/>
        <w:rPr>
          <w:rFonts w:hint="eastAsia" w:ascii="仿宋_GB2312" w:hAnsi="仿宋_GB2312" w:eastAsia="仿宋_GB2312" w:cs="Times New Roman"/>
          <w:sz w:val="32"/>
          <w:szCs w:val="32"/>
          <w:highlight w:val="none"/>
          <w:u w:val="none"/>
          <w:lang w:val="en-US" w:eastAsia="zh-CN"/>
        </w:rPr>
      </w:pPr>
      <w:r>
        <w:rPr>
          <w:rFonts w:hint="eastAsia" w:ascii="仿宋_GB2312" w:hAnsi="仿宋_GB2312" w:eastAsia="仿宋_GB2312" w:cs="Times New Roman"/>
          <w:sz w:val="32"/>
          <w:szCs w:val="32"/>
          <w:highlight w:val="none"/>
          <w:u w:val="none"/>
          <w:lang w:val="en-US" w:eastAsia="zh-CN"/>
        </w:rPr>
        <w:t>构建覆盖城乡、便捷高效、供需匹配的就业服务体系，强化就业服务能力，提高科学城就业支撑度，促进就业服务资源高效配置，更好满足群众就业需求。</w:t>
      </w:r>
    </w:p>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560" w:lineRule="exact"/>
        <w:ind w:firstLine="640" w:firstLineChars="200"/>
        <w:jc w:val="both"/>
        <w:textAlignment w:val="auto"/>
        <w:outlineLvl w:val="2"/>
        <w:rPr>
          <w:rFonts w:hint="eastAsia" w:ascii="楷体_GB2312" w:hAnsi="楷体_GB2312" w:eastAsia="楷体_GB2312" w:cs="楷体_GB2312"/>
          <w:sz w:val="32"/>
          <w:szCs w:val="32"/>
          <w:highlight w:val="none"/>
          <w:u w:val="none"/>
          <w:lang w:val="en-US" w:eastAsia="zh-CN"/>
        </w:rPr>
      </w:pPr>
      <w:r>
        <w:rPr>
          <w:rFonts w:hint="eastAsia" w:ascii="楷体_GB2312" w:hAnsi="楷体_GB2312" w:eastAsia="楷体_GB2312" w:cs="楷体_GB2312"/>
          <w:sz w:val="32"/>
          <w:szCs w:val="32"/>
          <w:highlight w:val="none"/>
          <w:u w:val="none"/>
          <w:lang w:val="en-US" w:eastAsia="zh-CN"/>
        </w:rPr>
        <w:t>（一）完善就业服务体系</w:t>
      </w:r>
    </w:p>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560" w:lineRule="exact"/>
        <w:ind w:firstLine="640" w:firstLineChars="200"/>
        <w:jc w:val="both"/>
        <w:textAlignment w:val="auto"/>
        <w:outlineLvl w:val="9"/>
        <w:rPr>
          <w:rFonts w:hint="eastAsia" w:ascii="仿宋_GB2312" w:hAnsi="仿宋_GB2312" w:eastAsia="仿宋_GB2312" w:cs="Times New Roman"/>
          <w:sz w:val="32"/>
          <w:szCs w:val="32"/>
          <w:highlight w:val="none"/>
          <w:u w:val="none"/>
          <w:lang w:val="en-US" w:eastAsia="zh-CN"/>
        </w:rPr>
      </w:pPr>
      <w:r>
        <w:rPr>
          <w:rFonts w:hint="eastAsia" w:ascii="仿宋_GB2312" w:hAnsi="仿宋_GB2312" w:eastAsia="仿宋_GB2312" w:cs="Times New Roman"/>
          <w:sz w:val="32"/>
          <w:szCs w:val="32"/>
          <w:highlight w:val="none"/>
          <w:u w:val="none"/>
          <w:lang w:val="en-US" w:eastAsia="zh-CN"/>
        </w:rPr>
        <w:t>坚持普惠、高效、精准的发展方向，完善就业服务体系，提升就业服务供给能力和资源配置效率。</w:t>
      </w:r>
      <w:r>
        <w:rPr>
          <w:rFonts w:hint="eastAsia" w:ascii="仿宋_GB2312" w:hAnsi="仿宋_GB2312" w:eastAsia="仿宋_GB2312" w:cs="Times New Roman"/>
          <w:b w:val="0"/>
          <w:bCs w:val="0"/>
          <w:sz w:val="32"/>
          <w:szCs w:val="32"/>
          <w:highlight w:val="none"/>
          <w:u w:val="none"/>
          <w:lang w:val="en-US" w:eastAsia="zh-CN"/>
        </w:rPr>
        <w:t>精准织密基层就业服务网络，</w:t>
      </w:r>
      <w:r>
        <w:rPr>
          <w:rFonts w:hint="eastAsia" w:ascii="仿宋_GB2312" w:hAnsi="仿宋_GB2312" w:eastAsia="仿宋_GB2312" w:cs="Times New Roman"/>
          <w:sz w:val="32"/>
          <w:szCs w:val="32"/>
          <w:highlight w:val="none"/>
          <w:u w:val="none"/>
          <w:lang w:val="en-US" w:eastAsia="zh-CN"/>
        </w:rPr>
        <w:t>统筹布局基层就业服务站点，充实基层就业服务力量，依托“大数据+入户走访”模式，精准对接企业用工与群众求职需求。推广“怀柔人力资源”“怀柔人力社保”等智慧就业服务平台，推动线上线下功能互通、数据共享，实现“15分钟就业服务圈”与人口密集区、重点功能区“多圈”融合。</w:t>
      </w:r>
      <w:r>
        <w:rPr>
          <w:rFonts w:hint="eastAsia" w:ascii="仿宋_GB2312" w:hAnsi="仿宋_GB2312" w:eastAsia="仿宋_GB2312" w:cs="Times New Roman"/>
          <w:b w:val="0"/>
          <w:bCs w:val="0"/>
          <w:sz w:val="32"/>
          <w:szCs w:val="32"/>
          <w:highlight w:val="none"/>
          <w:u w:val="none"/>
          <w:lang w:val="en-US" w:eastAsia="zh-CN"/>
        </w:rPr>
        <w:t>健全政府购买公共就业服务机制，</w:t>
      </w:r>
      <w:r>
        <w:rPr>
          <w:rFonts w:hint="eastAsia" w:ascii="仿宋_GB2312" w:hAnsi="仿宋_GB2312" w:eastAsia="仿宋_GB2312" w:cs="Times New Roman"/>
          <w:sz w:val="32"/>
          <w:szCs w:val="32"/>
          <w:highlight w:val="none"/>
          <w:u w:val="none"/>
          <w:lang w:val="en-US" w:eastAsia="zh-CN"/>
        </w:rPr>
        <w:t>完善“政府+市场”联动机制，充分发挥人力资源服务行业协会桥梁纽带作用，引进储备市场化人力资源服务机构，促进公共就业服务与市场化服务互补互促。稳定机关事业单位招聘规模，强化政府投资项目、国有企业就业带动作用，在基层治理、生态保护等领域储备托底性就业岗位。</w:t>
      </w:r>
      <w:r>
        <w:rPr>
          <w:rFonts w:hint="eastAsia" w:ascii="仿宋_GB2312" w:hAnsi="仿宋_GB2312" w:eastAsia="仿宋_GB2312" w:cs="Times New Roman"/>
          <w:b w:val="0"/>
          <w:bCs w:val="0"/>
          <w:sz w:val="32"/>
          <w:szCs w:val="32"/>
          <w:highlight w:val="none"/>
          <w:u w:val="none"/>
          <w:lang w:val="en-US" w:eastAsia="zh-CN"/>
        </w:rPr>
        <w:t>规范零工市场布局和运营管理，</w:t>
      </w:r>
      <w:r>
        <w:rPr>
          <w:rFonts w:hint="eastAsia" w:ascii="仿宋_GB2312" w:hAnsi="仿宋_GB2312" w:eastAsia="仿宋_GB2312" w:cs="Times New Roman"/>
          <w:sz w:val="32"/>
          <w:szCs w:val="32"/>
          <w:highlight w:val="none"/>
          <w:u w:val="none"/>
          <w:lang w:val="en-US" w:eastAsia="zh-CN"/>
        </w:rPr>
        <w:t>深化“宝山大姐”等零工就业品牌服务，推广智能就业管家，实现就业服务智能化、定制化和精准化。</w:t>
      </w:r>
      <w:r>
        <w:rPr>
          <w:rFonts w:hint="eastAsia" w:ascii="仿宋_GB2312" w:hAnsi="仿宋_GB2312" w:eastAsia="仿宋_GB2312" w:cs="Times New Roman"/>
          <w:b w:val="0"/>
          <w:bCs w:val="0"/>
          <w:sz w:val="32"/>
          <w:szCs w:val="32"/>
          <w:highlight w:val="none"/>
          <w:u w:val="none"/>
          <w:lang w:val="en-US" w:eastAsia="zh-CN"/>
        </w:rPr>
        <w:t>完善乡村就业服务体系，</w:t>
      </w:r>
      <w:r>
        <w:rPr>
          <w:rFonts w:hint="eastAsia" w:ascii="仿宋_GB2312" w:hAnsi="仿宋_GB2312" w:eastAsia="仿宋_GB2312" w:cs="Times New Roman"/>
          <w:sz w:val="32"/>
          <w:szCs w:val="32"/>
          <w:highlight w:val="none"/>
          <w:u w:val="none"/>
          <w:lang w:val="en-US" w:eastAsia="zh-CN"/>
        </w:rPr>
        <w:t>实施绘“就”乡村行动，推动就业服务下沉，促进城乡就业公共服务均衡覆盖。</w:t>
      </w:r>
      <w:bookmarkEnd w:id="300"/>
      <w:bookmarkEnd w:id="301"/>
    </w:p>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560" w:lineRule="exact"/>
        <w:ind w:firstLine="640" w:firstLineChars="200"/>
        <w:jc w:val="both"/>
        <w:textAlignment w:val="auto"/>
        <w:outlineLvl w:val="2"/>
        <w:rPr>
          <w:rFonts w:hint="eastAsia" w:ascii="楷体_GB2312" w:hAnsi="楷体_GB2312" w:eastAsia="楷体_GB2312" w:cs="楷体_GB2312"/>
          <w:sz w:val="32"/>
          <w:szCs w:val="32"/>
          <w:highlight w:val="none"/>
          <w:u w:val="none"/>
        </w:rPr>
      </w:pPr>
      <w:bookmarkStart w:id="307" w:name="_Toc22421"/>
      <w:bookmarkStart w:id="308" w:name="_Toc6826"/>
      <w:r>
        <w:rPr>
          <w:rFonts w:hint="eastAsia" w:ascii="楷体_GB2312" w:hAnsi="楷体_GB2312" w:eastAsia="楷体_GB2312" w:cs="楷体_GB2312"/>
          <w:sz w:val="32"/>
          <w:szCs w:val="32"/>
          <w:highlight w:val="none"/>
          <w:u w:val="none"/>
          <w:lang w:eastAsia="zh-CN"/>
        </w:rPr>
        <w:t>（</w:t>
      </w:r>
      <w:r>
        <w:rPr>
          <w:rFonts w:hint="eastAsia" w:ascii="楷体_GB2312" w:hAnsi="楷体_GB2312" w:eastAsia="楷体_GB2312" w:cs="楷体_GB2312"/>
          <w:sz w:val="32"/>
          <w:szCs w:val="32"/>
          <w:highlight w:val="none"/>
          <w:u w:val="none"/>
          <w:lang w:val="en-US" w:eastAsia="zh-CN"/>
        </w:rPr>
        <w:t>二</w:t>
      </w:r>
      <w:r>
        <w:rPr>
          <w:rFonts w:hint="eastAsia" w:ascii="楷体_GB2312" w:hAnsi="楷体_GB2312" w:eastAsia="楷体_GB2312" w:cs="楷体_GB2312"/>
          <w:sz w:val="32"/>
          <w:szCs w:val="32"/>
          <w:highlight w:val="none"/>
          <w:u w:val="none"/>
          <w:lang w:eastAsia="zh-CN"/>
        </w:rPr>
        <w:t>）</w:t>
      </w:r>
      <w:r>
        <w:rPr>
          <w:rFonts w:hint="eastAsia" w:ascii="楷体_GB2312" w:hAnsi="楷体_GB2312" w:eastAsia="楷体_GB2312" w:cs="楷体_GB2312"/>
          <w:sz w:val="32"/>
          <w:szCs w:val="32"/>
          <w:highlight w:val="none"/>
          <w:u w:val="none"/>
          <w:lang w:val="en-US" w:eastAsia="zh-CN"/>
        </w:rPr>
        <w:t>强化科学城就业支撑能力</w:t>
      </w:r>
      <w:bookmarkEnd w:id="307"/>
      <w:bookmarkEnd w:id="308"/>
    </w:p>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560" w:lineRule="exact"/>
        <w:ind w:firstLine="640" w:firstLineChars="200"/>
        <w:jc w:val="both"/>
        <w:textAlignment w:val="auto"/>
        <w:outlineLvl w:val="9"/>
        <w:rPr>
          <w:rFonts w:hint="eastAsia" w:ascii="仿宋_GB2312" w:hAnsi="仿宋_GB2312" w:eastAsia="仿宋_GB2312" w:cs="Times New Roman"/>
          <w:sz w:val="32"/>
          <w:szCs w:val="32"/>
          <w:highlight w:val="none"/>
          <w:u w:val="none"/>
        </w:rPr>
      </w:pPr>
      <w:r>
        <w:rPr>
          <w:rFonts w:hint="eastAsia" w:ascii="仿宋_GB2312" w:hAnsi="仿宋_GB2312" w:eastAsia="仿宋_GB2312" w:cs="Times New Roman"/>
          <w:sz w:val="32"/>
          <w:szCs w:val="32"/>
          <w:highlight w:val="none"/>
          <w:u w:val="none"/>
        </w:rPr>
        <w:t>围绕怀柔科学城建设，推动产业与就业协同发展。</w:t>
      </w:r>
      <w:r>
        <w:rPr>
          <w:rFonts w:hint="eastAsia" w:ascii="仿宋_GB2312" w:hAnsi="仿宋_GB2312" w:eastAsia="仿宋_GB2312" w:cs="Times New Roman"/>
          <w:b w:val="0"/>
          <w:bCs w:val="0"/>
          <w:sz w:val="32"/>
          <w:szCs w:val="32"/>
          <w:highlight w:val="none"/>
          <w:u w:val="none"/>
        </w:rPr>
        <w:t>推动人工智能赋能传统岗位转型升级</w:t>
      </w:r>
      <w:r>
        <w:rPr>
          <w:rFonts w:hint="eastAsia" w:ascii="仿宋_GB2312" w:hAnsi="仿宋_GB2312" w:eastAsia="仿宋_GB2312" w:cs="Times New Roman"/>
          <w:b w:val="0"/>
          <w:bCs w:val="0"/>
          <w:sz w:val="32"/>
          <w:szCs w:val="32"/>
          <w:highlight w:val="none"/>
          <w:u w:val="none"/>
          <w:lang w:eastAsia="zh-CN"/>
        </w:rPr>
        <w:t>，</w:t>
      </w:r>
      <w:r>
        <w:rPr>
          <w:rFonts w:hint="eastAsia" w:ascii="仿宋_GB2312" w:hAnsi="仿宋_GB2312" w:eastAsia="仿宋_GB2312" w:cs="Times New Roman"/>
          <w:sz w:val="32"/>
          <w:szCs w:val="32"/>
          <w:highlight w:val="none"/>
          <w:u w:val="none"/>
        </w:rPr>
        <w:t>挖掘传统领域数智化就业机会，推动人工智能优先在劳动力紧缺、环境高危等岗位推广应用。</w:t>
      </w:r>
      <w:r>
        <w:rPr>
          <w:rFonts w:hint="eastAsia" w:ascii="仿宋_GB2312" w:hAnsi="仿宋_GB2312" w:eastAsia="仿宋_GB2312" w:cs="Times New Roman"/>
          <w:b w:val="0"/>
          <w:bCs w:val="0"/>
          <w:sz w:val="32"/>
          <w:szCs w:val="32"/>
          <w:highlight w:val="none"/>
          <w:u w:val="none"/>
        </w:rPr>
        <w:t>拓宽新兴领域人工智能就业新空间，积极培育新职业新岗位。促进人工智能赋能创业</w:t>
      </w:r>
      <w:r>
        <w:rPr>
          <w:rFonts w:hint="eastAsia" w:ascii="仿宋_GB2312" w:hAnsi="仿宋_GB2312" w:eastAsia="仿宋_GB2312" w:cs="Times New Roman"/>
          <w:b w:val="0"/>
          <w:bCs w:val="0"/>
          <w:sz w:val="32"/>
          <w:szCs w:val="32"/>
          <w:highlight w:val="none"/>
          <w:u w:val="none"/>
          <w:lang w:val="en-US" w:eastAsia="zh-CN"/>
        </w:rPr>
        <w:t>就业，</w:t>
      </w:r>
      <w:r>
        <w:rPr>
          <w:rFonts w:hint="eastAsia" w:ascii="仿宋_GB2312" w:hAnsi="仿宋_GB2312" w:eastAsia="仿宋_GB2312" w:cs="Times New Roman"/>
          <w:sz w:val="32"/>
          <w:szCs w:val="32"/>
          <w:highlight w:val="none"/>
          <w:u w:val="none"/>
        </w:rPr>
        <w:t>推动形成更多人工智能应用场景创新、技术成果转化等创业项目，探索人机协同的新型工作形态，强化人工智能就业创造效应。</w:t>
      </w:r>
      <w:r>
        <w:rPr>
          <w:rFonts w:hint="eastAsia" w:ascii="仿宋_GB2312" w:hAnsi="仿宋_GB2312" w:eastAsia="仿宋_GB2312" w:cs="Times New Roman"/>
          <w:b w:val="0"/>
          <w:bCs w:val="0"/>
          <w:sz w:val="32"/>
          <w:szCs w:val="32"/>
          <w:highlight w:val="none"/>
          <w:u w:val="none"/>
        </w:rPr>
        <w:t>强化科学城就业服务保障</w:t>
      </w:r>
      <w:r>
        <w:rPr>
          <w:rFonts w:hint="eastAsia" w:ascii="仿宋_GB2312" w:hAnsi="仿宋_GB2312" w:eastAsia="仿宋_GB2312" w:cs="Times New Roman"/>
          <w:b w:val="0"/>
          <w:bCs w:val="0"/>
          <w:sz w:val="32"/>
          <w:szCs w:val="32"/>
          <w:highlight w:val="none"/>
          <w:u w:val="none"/>
          <w:lang w:eastAsia="zh-CN"/>
        </w:rPr>
        <w:t>，</w:t>
      </w:r>
      <w:r>
        <w:rPr>
          <w:rFonts w:hint="eastAsia" w:ascii="仿宋_GB2312" w:hAnsi="仿宋_GB2312" w:eastAsia="仿宋_GB2312" w:cs="Times New Roman"/>
          <w:sz w:val="32"/>
          <w:szCs w:val="32"/>
          <w:highlight w:val="none"/>
          <w:u w:val="none"/>
        </w:rPr>
        <w:t>完善</w:t>
      </w:r>
      <w:r>
        <w:rPr>
          <w:rFonts w:hint="eastAsia" w:ascii="仿宋_GB2312" w:hAnsi="仿宋_GB2312" w:eastAsia="仿宋_GB2312" w:cs="Times New Roman"/>
          <w:sz w:val="32"/>
          <w:szCs w:val="32"/>
          <w:highlight w:val="none"/>
          <w:u w:val="none"/>
          <w:lang w:val="en-US" w:eastAsia="zh-CN"/>
        </w:rPr>
        <w:t>怀柔</w:t>
      </w:r>
      <w:r>
        <w:rPr>
          <w:rFonts w:hint="eastAsia" w:ascii="仿宋_GB2312" w:hAnsi="仿宋_GB2312" w:eastAsia="仿宋_GB2312" w:cs="Times New Roman"/>
          <w:sz w:val="32"/>
          <w:szCs w:val="32"/>
          <w:highlight w:val="none"/>
          <w:u w:val="none"/>
        </w:rPr>
        <w:t>科学城人才服务驿站和公共就业服务站，健全外籍人才集聚区“一站式”服务平台。建立科研人员家属就业服务台账，强化岗位精准推送和“一对一”服务，促进科研人员安心科研、家庭稳定在怀。</w:t>
      </w:r>
      <w:r>
        <w:rPr>
          <w:rFonts w:hint="default" w:ascii="仿宋_GB2312" w:hAnsi="仿宋_GB2312" w:eastAsia="仿宋_GB2312" w:cs="Times New Roman"/>
          <w:sz w:val="32"/>
          <w:szCs w:val="32"/>
          <w:highlight w:val="none"/>
          <w:u w:val="none"/>
        </w:rPr>
        <w:t>推动怀柔区工匠学院建设，实施“优匠计划”，</w:t>
      </w:r>
      <w:r>
        <w:rPr>
          <w:rFonts w:hint="default" w:ascii="仿宋_GB2312" w:hAnsi="仿宋_GB2312" w:eastAsia="仿宋_GB2312" w:cs="Times New Roman"/>
          <w:sz w:val="32"/>
          <w:szCs w:val="32"/>
          <w:highlight w:val="none"/>
          <w:u w:val="none"/>
          <w:lang w:val="en-US" w:eastAsia="zh-CN"/>
        </w:rPr>
        <w:t>建设“优匠库”，</w:t>
      </w:r>
      <w:r>
        <w:rPr>
          <w:rFonts w:hint="default" w:ascii="仿宋_GB2312" w:hAnsi="仿宋_GB2312" w:eastAsia="仿宋_GB2312" w:cs="Times New Roman"/>
          <w:sz w:val="32"/>
          <w:szCs w:val="32"/>
          <w:highlight w:val="none"/>
          <w:u w:val="none"/>
        </w:rPr>
        <w:t>高标准培育</w:t>
      </w:r>
      <w:r>
        <w:rPr>
          <w:rFonts w:hint="eastAsia" w:ascii="仿宋_GB2312" w:hAnsi="仿宋_GB2312" w:eastAsia="仿宋_GB2312" w:cs="Times New Roman"/>
          <w:sz w:val="32"/>
          <w:szCs w:val="32"/>
          <w:highlight w:val="none"/>
          <w:u w:val="none"/>
          <w:lang w:val="en-US" w:eastAsia="zh-CN"/>
        </w:rPr>
        <w:t>怀柔</w:t>
      </w:r>
      <w:r>
        <w:rPr>
          <w:rFonts w:hint="default" w:ascii="仿宋_GB2312" w:hAnsi="仿宋_GB2312" w:eastAsia="仿宋_GB2312" w:cs="Times New Roman"/>
          <w:sz w:val="32"/>
          <w:szCs w:val="32"/>
          <w:highlight w:val="none"/>
          <w:u w:val="none"/>
        </w:rPr>
        <w:t>科学城产业配套人才，壮大高技能人才队伍。</w:t>
      </w:r>
      <w:r>
        <w:rPr>
          <w:rFonts w:hint="eastAsia" w:ascii="仿宋_GB2312" w:hAnsi="仿宋_GB2312" w:eastAsia="仿宋_GB2312" w:cs="Times New Roman"/>
          <w:sz w:val="32"/>
          <w:szCs w:val="32"/>
          <w:highlight w:val="none"/>
          <w:u w:val="none"/>
        </w:rPr>
        <w:t>推动政校企协同、产教评融合，加大创业支持力度，</w:t>
      </w:r>
      <w:r>
        <w:rPr>
          <w:rFonts w:hint="eastAsia" w:ascii="仿宋_GB2312" w:hAnsi="仿宋_GB2312" w:eastAsia="仿宋_GB2312" w:cs="Times New Roman"/>
          <w:sz w:val="32"/>
          <w:szCs w:val="32"/>
          <w:highlight w:val="none"/>
          <w:u w:val="none"/>
          <w:lang w:val="en-US" w:eastAsia="zh-CN"/>
        </w:rPr>
        <w:t>加强</w:t>
      </w:r>
      <w:r>
        <w:rPr>
          <w:rFonts w:hint="eastAsia" w:ascii="仿宋_GB2312" w:hAnsi="仿宋_GB2312" w:eastAsia="仿宋_GB2312" w:cs="Times New Roman"/>
          <w:sz w:val="32"/>
          <w:szCs w:val="32"/>
          <w:highlight w:val="none"/>
          <w:u w:val="none"/>
        </w:rPr>
        <w:t>“北京怀柔·雁栖高校创新创业联盟”</w:t>
      </w:r>
      <w:r>
        <w:rPr>
          <w:rFonts w:hint="eastAsia" w:ascii="仿宋_GB2312" w:hAnsi="仿宋_GB2312" w:eastAsia="仿宋_GB2312" w:cs="Times New Roman"/>
          <w:sz w:val="32"/>
          <w:szCs w:val="32"/>
          <w:highlight w:val="none"/>
          <w:u w:val="none"/>
          <w:lang w:val="en-US" w:eastAsia="zh-CN"/>
        </w:rPr>
        <w:t>建设</w:t>
      </w:r>
      <w:r>
        <w:rPr>
          <w:rFonts w:hint="eastAsia" w:ascii="仿宋_GB2312" w:hAnsi="仿宋_GB2312" w:eastAsia="仿宋_GB2312" w:cs="Times New Roman"/>
          <w:sz w:val="32"/>
          <w:szCs w:val="32"/>
          <w:highlight w:val="none"/>
          <w:u w:val="none"/>
        </w:rPr>
        <w:t>，促进创新资源、创业项目和就业岗位有效衔接。</w:t>
      </w:r>
    </w:p>
    <w:p>
      <w:pPr>
        <w:keepNext w:val="0"/>
        <w:keepLines w:val="0"/>
        <w:pageBreakBefore w:val="0"/>
        <w:widowControl/>
        <w:numPr>
          <w:ilvl w:val="0"/>
          <w:numId w:val="0"/>
        </w:numPr>
        <w:kinsoku/>
        <w:wordWrap/>
        <w:overflowPunct/>
        <w:topLinePunct w:val="0"/>
        <w:autoSpaceDE/>
        <w:autoSpaceDN/>
        <w:bidi w:val="0"/>
        <w:adjustRightInd/>
        <w:snapToGrid/>
        <w:spacing w:before="0" w:beforeLines="-2147483648" w:after="0" w:afterLines="-2147483648" w:afterAutospacing="0" w:line="560" w:lineRule="exact"/>
        <w:ind w:firstLine="640" w:firstLineChars="200"/>
        <w:jc w:val="left"/>
        <w:textAlignment w:val="auto"/>
        <w:outlineLvl w:val="1"/>
        <w:rPr>
          <w:rFonts w:hint="eastAsia" w:ascii="仿宋_GB2312" w:hAnsi="仿宋_GB2312" w:eastAsia="黑体" w:cs="Times New Roman"/>
          <w:sz w:val="32"/>
          <w:szCs w:val="32"/>
          <w:highlight w:val="none"/>
          <w:u w:val="none"/>
          <w:lang w:val="en-US" w:eastAsia="zh-CN"/>
        </w:rPr>
      </w:pPr>
      <w:bookmarkStart w:id="309" w:name="_Toc18674"/>
      <w:bookmarkStart w:id="310" w:name="_Toc23562"/>
      <w:bookmarkStart w:id="311" w:name="_Toc28664"/>
      <w:bookmarkStart w:id="312" w:name="_Toc16265"/>
      <w:bookmarkStart w:id="313" w:name="_Toc17816"/>
      <w:bookmarkStart w:id="314" w:name="_Toc5036"/>
      <w:bookmarkStart w:id="315" w:name="_Toc31497"/>
      <w:r>
        <w:rPr>
          <w:rFonts w:hint="eastAsia" w:ascii="仿宋_GB2312" w:hAnsi="仿宋_GB2312" w:eastAsia="黑体" w:cs="Times New Roman"/>
          <w:sz w:val="32"/>
          <w:szCs w:val="32"/>
          <w:highlight w:val="none"/>
          <w:u w:val="none"/>
          <w:lang w:val="en-US" w:eastAsia="zh-CN"/>
        </w:rPr>
        <w:t>三、</w:t>
      </w:r>
      <w:r>
        <w:rPr>
          <w:rFonts w:hint="eastAsia" w:ascii="仿宋_GB2312" w:hAnsi="仿宋_GB2312" w:eastAsia="黑体" w:cs="Times New Roman"/>
          <w:sz w:val="32"/>
          <w:szCs w:val="32"/>
          <w:highlight w:val="none"/>
          <w:u w:val="none"/>
        </w:rPr>
        <w:t>强化职业技能人才培养</w:t>
      </w:r>
      <w:bookmarkEnd w:id="309"/>
      <w:bookmarkEnd w:id="310"/>
      <w:bookmarkEnd w:id="311"/>
      <w:bookmarkEnd w:id="312"/>
      <w:bookmarkEnd w:id="313"/>
      <w:bookmarkEnd w:id="314"/>
      <w:bookmarkEnd w:id="315"/>
    </w:p>
    <w:p>
      <w:pPr>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560" w:lineRule="exact"/>
        <w:ind w:firstLine="640" w:firstLineChars="200"/>
        <w:jc w:val="both"/>
        <w:textAlignment w:val="auto"/>
        <w:outlineLvl w:val="9"/>
        <w:rPr>
          <w:rFonts w:hint="eastAsia" w:ascii="仿宋_GB2312" w:hAnsi="仿宋_GB2312" w:eastAsia="方正小标宋_GBK" w:cs="Times New Roman"/>
          <w:b w:val="0"/>
          <w:bCs/>
          <w:kern w:val="2"/>
          <w:sz w:val="36"/>
          <w:szCs w:val="36"/>
          <w:highlight w:val="none"/>
          <w:u w:val="none"/>
          <w:lang w:val="en-US" w:eastAsia="zh-CN" w:bidi="ar-SA"/>
        </w:rPr>
      </w:pPr>
      <w:r>
        <w:rPr>
          <w:rFonts w:hint="default" w:ascii="仿宋_GB2312" w:hAnsi="仿宋_GB2312" w:eastAsia="仿宋_GB2312" w:cs="Times New Roman"/>
          <w:sz w:val="32"/>
          <w:szCs w:val="32"/>
          <w:highlight w:val="none"/>
          <w:u w:val="none"/>
        </w:rPr>
        <w:t>健全终身职业技能培训制度，</w:t>
      </w:r>
      <w:r>
        <w:rPr>
          <w:rFonts w:hint="default" w:ascii="仿宋_GB2312" w:hAnsi="仿宋_GB2312" w:eastAsia="仿宋_GB2312" w:cs="Times New Roman"/>
          <w:sz w:val="32"/>
          <w:szCs w:val="32"/>
          <w:highlight w:val="none"/>
          <w:u w:val="none"/>
          <w:lang w:val="en-US" w:eastAsia="zh-CN"/>
        </w:rPr>
        <w:t>扩大职业技能培训覆盖面</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搭建产教融合对接平台，推行“岗位需求+技能培训+技能评价+就业服务”一体化工作模式，构建全闭环人才培育就业服务体系。</w:t>
      </w:r>
      <w:r>
        <w:rPr>
          <w:rFonts w:hint="default" w:ascii="仿宋_GB2312" w:hAnsi="仿宋_GB2312" w:eastAsia="仿宋_GB2312" w:cs="Times New Roman"/>
          <w:sz w:val="32"/>
          <w:szCs w:val="32"/>
          <w:highlight w:val="none"/>
          <w:u w:val="none"/>
        </w:rPr>
        <w:t>加强校企联合培养，将人工智能通识与技术技能纳入教育培训体系，强化人工智能职业技能培训和紧缺人才培养。</w:t>
      </w:r>
      <w:r>
        <w:rPr>
          <w:rFonts w:hint="default" w:ascii="仿宋_GB2312" w:hAnsi="仿宋_GB2312" w:eastAsia="仿宋_GB2312" w:cs="Times New Roman"/>
          <w:sz w:val="32"/>
          <w:szCs w:val="32"/>
          <w:highlight w:val="none"/>
          <w:u w:val="none"/>
          <w:lang w:val="en-US" w:eastAsia="zh-CN"/>
        </w:rPr>
        <w:t>深挖本土产业就业潜力，开发影视服务、会务保障、同城配送等适配性灵活岗位，推行短周期技能培训，引导新就业形态健康发展。</w:t>
      </w:r>
      <w:r>
        <w:rPr>
          <w:rFonts w:hint="default" w:ascii="仿宋_GB2312" w:hAnsi="仿宋_GB2312" w:eastAsia="仿宋_GB2312" w:cs="Times New Roman"/>
          <w:sz w:val="32"/>
          <w:szCs w:val="32"/>
          <w:highlight w:val="none"/>
          <w:u w:val="none"/>
        </w:rPr>
        <w:t>结合新质生产力培育、“一老一小”服务等需求，重点围绕高校毕业生等青年、农民工、失业人员就业创业需要，组织实施大规模职业技能培训。</w:t>
      </w:r>
      <w:r>
        <w:rPr>
          <w:rFonts w:hint="default" w:ascii="仿宋_GB2312" w:hAnsi="仿宋_GB2312" w:eastAsia="仿宋_GB2312" w:cs="Times New Roman"/>
          <w:sz w:val="32"/>
          <w:szCs w:val="32"/>
          <w:highlight w:val="none"/>
          <w:u w:val="none"/>
          <w:lang w:val="en-US" w:eastAsia="zh-CN"/>
        </w:rPr>
        <w:t>支持青年</w:t>
      </w:r>
      <w:r>
        <w:rPr>
          <w:rFonts w:hint="eastAsia" w:ascii="仿宋_GB2312" w:hAnsi="仿宋_GB2312" w:eastAsia="仿宋_GB2312" w:cs="Times New Roman"/>
          <w:sz w:val="32"/>
          <w:szCs w:val="32"/>
          <w:highlight w:val="none"/>
          <w:u w:val="none"/>
          <w:lang w:val="en-US" w:eastAsia="zh-CN"/>
        </w:rPr>
        <w:t>人才</w:t>
      </w:r>
      <w:r>
        <w:rPr>
          <w:rFonts w:hint="default" w:ascii="仿宋_GB2312" w:hAnsi="仿宋_GB2312" w:eastAsia="仿宋_GB2312" w:cs="Times New Roman"/>
          <w:sz w:val="32"/>
          <w:szCs w:val="32"/>
          <w:highlight w:val="none"/>
          <w:u w:val="none"/>
          <w:lang w:val="en-US" w:eastAsia="zh-CN"/>
        </w:rPr>
        <w:t>就业，</w:t>
      </w:r>
      <w:r>
        <w:rPr>
          <w:rFonts w:hint="eastAsia" w:ascii="仿宋_GB2312" w:hAnsi="仿宋_GB2312" w:eastAsia="仿宋_GB2312" w:cs="Times New Roman"/>
          <w:sz w:val="32"/>
          <w:szCs w:val="32"/>
          <w:highlight w:val="none"/>
          <w:u w:val="none"/>
          <w:lang w:val="en-US" w:eastAsia="zh-CN"/>
        </w:rPr>
        <w:t>全面</w:t>
      </w:r>
      <w:r>
        <w:rPr>
          <w:rFonts w:hint="default" w:ascii="仿宋_GB2312" w:hAnsi="仿宋_GB2312" w:eastAsia="仿宋_GB2312" w:cs="Times New Roman"/>
          <w:sz w:val="32"/>
          <w:szCs w:val="32"/>
          <w:highlight w:val="none"/>
          <w:u w:val="none"/>
          <w:lang w:val="en-US" w:eastAsia="zh-CN"/>
        </w:rPr>
        <w:t>开展青年求职训练营</w:t>
      </w:r>
      <w:r>
        <w:rPr>
          <w:rFonts w:hint="eastAsia" w:ascii="仿宋_GB2312" w:hAnsi="仿宋_GB2312" w:eastAsia="仿宋_GB2312" w:cs="Times New Roman"/>
          <w:sz w:val="32"/>
          <w:szCs w:val="32"/>
          <w:highlight w:val="none"/>
          <w:u w:val="none"/>
          <w:lang w:val="en-US" w:eastAsia="zh-CN"/>
        </w:rPr>
        <w:t>，持续推进</w:t>
      </w:r>
      <w:r>
        <w:rPr>
          <w:rFonts w:hint="default" w:ascii="仿宋_GB2312" w:hAnsi="仿宋_GB2312" w:eastAsia="仿宋_GB2312" w:cs="Times New Roman"/>
          <w:sz w:val="32"/>
          <w:szCs w:val="32"/>
          <w:highlight w:val="none"/>
          <w:u w:val="none"/>
          <w:lang w:val="en-US" w:eastAsia="zh-CN"/>
        </w:rPr>
        <w:t>“技能照亮前程”行动</w:t>
      </w:r>
      <w:r>
        <w:rPr>
          <w:rFonts w:hint="eastAsia" w:ascii="仿宋_GB2312" w:hAnsi="仿宋_GB2312" w:eastAsia="仿宋_GB2312" w:cs="Times New Roman"/>
          <w:sz w:val="32"/>
          <w:szCs w:val="32"/>
          <w:highlight w:val="none"/>
          <w:u w:val="none"/>
          <w:lang w:val="en-US" w:eastAsia="zh-CN"/>
        </w:rPr>
        <w:t>。强化高技能领军人才培育，全面推行“新八级工”制度，加大特级技师、首席技师评聘力度，畅通技能人才纵横发展通道。</w:t>
      </w:r>
      <w:r>
        <w:rPr>
          <w:rFonts w:hint="default" w:ascii="仿宋_GB2312" w:hAnsi="仿宋_GB2312" w:eastAsia="仿宋_GB2312" w:cs="Times New Roman"/>
          <w:sz w:val="32"/>
          <w:szCs w:val="32"/>
          <w:highlight w:val="none"/>
          <w:u w:val="none"/>
          <w:lang w:val="en-US" w:eastAsia="zh-CN"/>
        </w:rPr>
        <w:t>鼓励举办职业技能竞赛，发挥技能大赛示范引领作用，</w:t>
      </w:r>
      <w:r>
        <w:rPr>
          <w:rFonts w:hint="eastAsia" w:ascii="仿宋_GB2312" w:hAnsi="仿宋_GB2312" w:eastAsia="仿宋_GB2312" w:cs="Times New Roman"/>
          <w:sz w:val="32"/>
          <w:szCs w:val="32"/>
          <w:highlight w:val="none"/>
          <w:u w:val="none"/>
          <w:lang w:val="en-US" w:eastAsia="zh-CN"/>
        </w:rPr>
        <w:t>支持</w:t>
      </w:r>
      <w:r>
        <w:rPr>
          <w:rFonts w:hint="default" w:ascii="仿宋_GB2312" w:hAnsi="仿宋_GB2312" w:eastAsia="仿宋_GB2312" w:cs="Times New Roman"/>
          <w:sz w:val="32"/>
          <w:szCs w:val="32"/>
          <w:highlight w:val="none"/>
          <w:u w:val="none"/>
        </w:rPr>
        <w:t>打造“怀柔技艺”技能人才品牌，</w:t>
      </w:r>
      <w:r>
        <w:rPr>
          <w:rFonts w:hint="default" w:ascii="仿宋_GB2312" w:hAnsi="仿宋_GB2312" w:eastAsia="仿宋_GB2312" w:cs="Times New Roman"/>
          <w:sz w:val="32"/>
          <w:szCs w:val="32"/>
          <w:highlight w:val="none"/>
          <w:u w:val="none"/>
          <w:lang w:val="en-US" w:eastAsia="zh-CN"/>
        </w:rPr>
        <w:t>推动传统技艺与产业融合，带动就业增收。</w:t>
      </w:r>
      <w:r>
        <w:rPr>
          <w:rFonts w:hint="default" w:ascii="仿宋_GB2312" w:hAnsi="仿宋_GB2312" w:eastAsia="仿宋_GB2312" w:cs="Times New Roman"/>
          <w:sz w:val="32"/>
          <w:szCs w:val="32"/>
          <w:highlight w:val="none"/>
          <w:u w:val="none"/>
        </w:rPr>
        <w:t>持续开展“送技下乡”活动，重点发展养老护理、康复护理、民俗旅游等特色技能培训</w:t>
      </w:r>
      <w:r>
        <w:rPr>
          <w:rFonts w:hint="eastAsia" w:ascii="仿宋_GB2312" w:hAnsi="仿宋_GB2312" w:eastAsia="仿宋_GB2312" w:cs="Times New Roman"/>
          <w:sz w:val="32"/>
          <w:szCs w:val="32"/>
          <w:highlight w:val="none"/>
          <w:u w:val="none"/>
          <w:lang w:eastAsia="zh-CN"/>
        </w:rPr>
        <w:t>，</w:t>
      </w:r>
      <w:r>
        <w:rPr>
          <w:rFonts w:hint="default" w:ascii="仿宋_GB2312" w:hAnsi="仿宋_GB2312" w:eastAsia="仿宋_GB2312" w:cs="Times New Roman"/>
          <w:sz w:val="32"/>
          <w:szCs w:val="32"/>
          <w:highlight w:val="none"/>
          <w:u w:val="none"/>
          <w:lang w:val="en-US" w:eastAsia="zh-CN"/>
        </w:rPr>
        <w:t>为农村劳动力拓宽就业渠道和职业发展路径</w:t>
      </w:r>
      <w:r>
        <w:rPr>
          <w:rFonts w:hint="default" w:ascii="仿宋_GB2312" w:hAnsi="仿宋_GB2312" w:eastAsia="仿宋_GB2312" w:cs="Times New Roman"/>
          <w:sz w:val="32"/>
          <w:szCs w:val="32"/>
          <w:highlight w:val="none"/>
          <w:u w:val="none"/>
        </w:rPr>
        <w:t>。</w:t>
      </w:r>
      <w:r>
        <w:rPr>
          <w:rFonts w:hint="eastAsia" w:ascii="仿宋_GB2312" w:hAnsi="仿宋_GB2312" w:eastAsia="仿宋_GB2312" w:cs="Times New Roman"/>
          <w:sz w:val="32"/>
          <w:szCs w:val="32"/>
          <w:highlight w:val="none"/>
          <w:u w:val="none"/>
          <w:lang w:val="en-US" w:eastAsia="zh-CN"/>
        </w:rPr>
        <w:t>聚</w:t>
      </w:r>
      <w:r>
        <w:rPr>
          <w:rFonts w:hint="default" w:ascii="仿宋_GB2312" w:hAnsi="仿宋_GB2312" w:eastAsia="仿宋_GB2312" w:cs="Times New Roman"/>
          <w:sz w:val="32"/>
          <w:szCs w:val="32"/>
          <w:highlight w:val="none"/>
          <w:u w:val="none"/>
          <w:lang w:val="en-US" w:eastAsia="zh-CN"/>
        </w:rPr>
        <w:t>焦青年技能提升、家政服务等重点方向，常态化开展特色工种专项培训，</w:t>
      </w:r>
      <w:r>
        <w:rPr>
          <w:rFonts w:hint="default" w:ascii="仿宋_GB2312" w:hAnsi="仿宋_GB2312" w:eastAsia="仿宋_GB2312" w:cs="Times New Roman"/>
          <w:sz w:val="32"/>
          <w:szCs w:val="32"/>
          <w:highlight w:val="none"/>
          <w:u w:val="none"/>
        </w:rPr>
        <w:t>以特色技能人才支撑产业升级。</w:t>
      </w:r>
      <w:r>
        <w:rPr>
          <w:rFonts w:hint="default" w:ascii="仿宋_GB2312" w:hAnsi="仿宋_GB2312" w:eastAsia="仿宋_GB2312" w:cs="Times New Roman"/>
          <w:sz w:val="32"/>
          <w:szCs w:val="32"/>
          <w:highlight w:val="none"/>
          <w:u w:val="none"/>
          <w:lang w:val="en-US" w:eastAsia="zh-CN"/>
        </w:rPr>
        <w:t>面向企业职工、新就业群体、城乡普通市民开展普惠性公益技能培训，丰富全民技能储备。到2030年，实现城镇调查失业率低于</w:t>
      </w:r>
      <w:r>
        <w:rPr>
          <w:rFonts w:hint="eastAsia" w:ascii="仿宋_GB2312" w:hAnsi="仿宋_GB2312" w:eastAsia="仿宋_GB2312" w:cs="Times New Roman"/>
          <w:sz w:val="32"/>
          <w:szCs w:val="32"/>
          <w:highlight w:val="none"/>
          <w:u w:val="none"/>
          <w:lang w:val="en-US" w:eastAsia="zh-CN"/>
        </w:rPr>
        <w:t>5</w:t>
      </w:r>
      <w:r>
        <w:rPr>
          <w:rFonts w:hint="default" w:ascii="仿宋_GB2312" w:hAnsi="仿宋_GB2312" w:eastAsia="仿宋_GB2312" w:cs="Times New Roman"/>
          <w:sz w:val="32"/>
          <w:szCs w:val="32"/>
          <w:highlight w:val="none"/>
          <w:u w:val="none"/>
          <w:lang w:val="en-US" w:eastAsia="zh-CN"/>
        </w:rPr>
        <w:t>%。</w:t>
      </w:r>
      <w:r>
        <w:rPr>
          <w:rFonts w:hint="eastAsia" w:ascii="仿宋_GB2312" w:hAnsi="仿宋_GB2312" w:eastAsia="方正小标宋_GBK" w:cs="Times New Roman"/>
          <w:b w:val="0"/>
          <w:bCs/>
          <w:kern w:val="2"/>
          <w:sz w:val="36"/>
          <w:szCs w:val="36"/>
          <w:highlight w:val="none"/>
          <w:u w:val="none"/>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ascii="仿宋_GB2312" w:hAnsi="仿宋_GB2312" w:eastAsia="方正小标宋_GBK" w:cs="Times New Roman"/>
          <w:b w:val="0"/>
          <w:bCs/>
          <w:sz w:val="36"/>
          <w:szCs w:val="36"/>
          <w:highlight w:val="none"/>
          <w:u w:val="none"/>
          <w:lang w:val="en-US" w:eastAsia="zh-CN"/>
        </w:rPr>
      </w:pPr>
      <w:bookmarkStart w:id="316" w:name="_Toc1497"/>
      <w:bookmarkStart w:id="317" w:name="_Toc17837"/>
      <w:bookmarkStart w:id="318" w:name="_Toc5529"/>
      <w:bookmarkStart w:id="319" w:name="_Toc17250"/>
      <w:bookmarkStart w:id="320" w:name="_Toc22176"/>
      <w:bookmarkStart w:id="321" w:name="_Toc22727"/>
      <w:bookmarkStart w:id="322" w:name="_Toc10036"/>
      <w:bookmarkStart w:id="323" w:name="_Toc14527"/>
      <w:bookmarkStart w:id="324" w:name="_Toc4653"/>
      <w:bookmarkStart w:id="325" w:name="_Toc4386"/>
      <w:bookmarkStart w:id="326" w:name="_Toc15916"/>
      <w:bookmarkStart w:id="327" w:name="_Toc19084"/>
      <w:bookmarkStart w:id="328" w:name="_Toc16812"/>
      <w:bookmarkStart w:id="329" w:name="_Toc22434"/>
      <w:bookmarkStart w:id="330" w:name="_Toc22598"/>
      <w:bookmarkStart w:id="331" w:name="_Toc23208"/>
      <w:r>
        <w:rPr>
          <w:rFonts w:hint="eastAsia" w:ascii="仿宋_GB2312" w:hAnsi="仿宋_GB2312" w:eastAsia="方正小标宋_GBK" w:cs="Times New Roman"/>
          <w:b w:val="0"/>
          <w:bCs/>
          <w:kern w:val="2"/>
          <w:sz w:val="36"/>
          <w:szCs w:val="36"/>
          <w:highlight w:val="none"/>
          <w:u w:val="none"/>
          <w:lang w:val="en-US" w:eastAsia="zh-CN" w:bidi="ar-SA"/>
        </w:rPr>
        <w:t xml:space="preserve">第六章 </w:t>
      </w:r>
      <w:r>
        <w:rPr>
          <w:rFonts w:hint="default" w:ascii="仿宋_GB2312" w:hAnsi="仿宋_GB2312" w:eastAsia="方正小标宋_GBK" w:cs="Times New Roman"/>
          <w:b w:val="0"/>
          <w:bCs/>
          <w:sz w:val="36"/>
          <w:szCs w:val="36"/>
          <w:highlight w:val="none"/>
          <w:u w:val="none"/>
          <w:lang w:val="en-US" w:eastAsia="zh-CN"/>
        </w:rPr>
        <w:t>提高公共文化体育</w:t>
      </w:r>
      <w:r>
        <w:rPr>
          <w:rFonts w:hint="eastAsia" w:ascii="仿宋_GB2312" w:hAnsi="仿宋_GB2312" w:eastAsia="方正小标宋_GBK" w:cs="Times New Roman"/>
          <w:b w:val="0"/>
          <w:bCs/>
          <w:sz w:val="36"/>
          <w:szCs w:val="36"/>
          <w:highlight w:val="none"/>
          <w:u w:val="none"/>
          <w:lang w:val="en-US" w:eastAsia="zh-CN"/>
        </w:rPr>
        <w:t>服务质效</w:t>
      </w:r>
      <w:bookmarkEnd w:id="316"/>
      <w:bookmarkEnd w:id="317"/>
      <w:bookmarkEnd w:id="318"/>
      <w:bookmarkEnd w:id="319"/>
      <w:bookmarkEnd w:id="320"/>
      <w:bookmarkEnd w:id="321"/>
      <w:bookmarkEnd w:id="322"/>
      <w:bookmarkEnd w:id="323"/>
      <w:bookmarkEnd w:id="324"/>
      <w:bookmarkEnd w:id="325"/>
      <w:bookmarkEnd w:id="326"/>
      <w:bookmarkEnd w:id="327"/>
    </w:p>
    <w:p>
      <w:pPr>
        <w:keepNext w:val="0"/>
        <w:keepLines w:val="0"/>
        <w:pageBreakBefore w:val="0"/>
        <w:kinsoku/>
        <w:overflowPunct/>
        <w:topLinePunct w:val="0"/>
        <w:autoSpaceDE/>
        <w:autoSpaceDN/>
        <w:bidi w:val="0"/>
        <w:adjustRightInd/>
        <w:snapToGrid/>
        <w:spacing w:beforeLines="0" w:afterLines="0" w:line="560" w:lineRule="exact"/>
        <w:ind w:left="0" w:leftChars="0" w:firstLine="640" w:firstLineChars="200"/>
        <w:textAlignment w:val="auto"/>
        <w:rPr>
          <w:rFonts w:hint="default" w:ascii="仿宋_GB2312" w:hAnsi="仿宋_GB2312" w:eastAsia="仿宋_GB2312" w:cs="Times New Roman"/>
          <w:sz w:val="32"/>
          <w:highlight w:val="none"/>
          <w:u w:val="none"/>
        </w:rPr>
      </w:pPr>
      <w:r>
        <w:rPr>
          <w:rFonts w:hint="eastAsia" w:ascii="仿宋_GB2312" w:hAnsi="仿宋_GB2312" w:eastAsia="仿宋_GB2312" w:cs="Times New Roman"/>
          <w:sz w:val="32"/>
          <w:szCs w:val="32"/>
          <w:highlight w:val="none"/>
          <w:u w:val="none"/>
          <w:lang w:eastAsia="zh-CN"/>
        </w:rPr>
        <w:t>加快</w:t>
      </w:r>
      <w:r>
        <w:rPr>
          <w:rFonts w:hint="default" w:ascii="仿宋_GB2312" w:hAnsi="仿宋_GB2312" w:eastAsia="仿宋_GB2312" w:cs="Times New Roman"/>
          <w:sz w:val="32"/>
          <w:szCs w:val="32"/>
          <w:highlight w:val="none"/>
          <w:u w:val="none"/>
        </w:rPr>
        <w:t>公共文</w:t>
      </w:r>
      <w:r>
        <w:rPr>
          <w:rFonts w:hint="eastAsia" w:ascii="仿宋_GB2312" w:hAnsi="仿宋_GB2312" w:eastAsia="仿宋_GB2312" w:cs="Times New Roman"/>
          <w:sz w:val="32"/>
          <w:szCs w:val="32"/>
          <w:highlight w:val="none"/>
          <w:u w:val="none"/>
          <w:lang w:val="en-US" w:eastAsia="zh-CN"/>
        </w:rPr>
        <w:t>体</w:t>
      </w:r>
      <w:r>
        <w:rPr>
          <w:rFonts w:hint="default" w:ascii="仿宋_GB2312" w:hAnsi="仿宋_GB2312" w:eastAsia="仿宋_GB2312" w:cs="Times New Roman"/>
          <w:sz w:val="32"/>
          <w:szCs w:val="32"/>
          <w:highlight w:val="none"/>
          <w:u w:val="none"/>
        </w:rPr>
        <w:t>设施</w:t>
      </w:r>
      <w:r>
        <w:rPr>
          <w:rFonts w:hint="eastAsia" w:ascii="仿宋_GB2312" w:hAnsi="仿宋_GB2312" w:eastAsia="仿宋_GB2312" w:cs="Times New Roman"/>
          <w:sz w:val="32"/>
          <w:szCs w:val="32"/>
          <w:highlight w:val="none"/>
          <w:u w:val="none"/>
          <w:lang w:eastAsia="zh-CN"/>
        </w:rPr>
        <w:t>建设</w:t>
      </w:r>
      <w:r>
        <w:rPr>
          <w:rFonts w:hint="default" w:ascii="仿宋_GB2312" w:hAnsi="仿宋_GB2312" w:eastAsia="仿宋_GB2312" w:cs="Times New Roman"/>
          <w:sz w:val="32"/>
          <w:szCs w:val="32"/>
          <w:highlight w:val="none"/>
          <w:u w:val="none"/>
        </w:rPr>
        <w:t>，</w:t>
      </w:r>
      <w:r>
        <w:rPr>
          <w:rFonts w:hint="default" w:ascii="仿宋_GB2312" w:hAnsi="仿宋_GB2312" w:eastAsia="仿宋_GB2312" w:cs="Times New Roman"/>
          <w:sz w:val="32"/>
          <w:szCs w:val="32"/>
          <w:highlight w:val="none"/>
          <w:u w:val="none"/>
          <w:lang w:val="en-US" w:eastAsia="zh-CN"/>
        </w:rPr>
        <w:t>提高设施运营效能</w:t>
      </w:r>
      <w:r>
        <w:rPr>
          <w:rFonts w:hint="default" w:ascii="仿宋_GB2312" w:hAnsi="仿宋_GB2312" w:eastAsia="仿宋_GB2312" w:cs="Times New Roman"/>
          <w:sz w:val="32"/>
          <w:szCs w:val="32"/>
          <w:highlight w:val="none"/>
          <w:u w:val="none"/>
        </w:rPr>
        <w:t>，丰富群众性文体活动供给，拓展</w:t>
      </w:r>
      <w:r>
        <w:rPr>
          <w:rFonts w:hint="eastAsia" w:ascii="仿宋_GB2312" w:hAnsi="仿宋_GB2312" w:eastAsia="仿宋_GB2312" w:cs="Times New Roman"/>
          <w:sz w:val="32"/>
          <w:szCs w:val="32"/>
          <w:highlight w:val="none"/>
          <w:u w:val="none"/>
          <w:lang w:val="en-US" w:eastAsia="zh-CN"/>
        </w:rPr>
        <w:t>文体活动</w:t>
      </w:r>
      <w:r>
        <w:rPr>
          <w:rFonts w:hint="default" w:ascii="仿宋_GB2312" w:hAnsi="仿宋_GB2312" w:eastAsia="仿宋_GB2312" w:cs="Times New Roman"/>
          <w:sz w:val="32"/>
          <w:szCs w:val="32"/>
          <w:highlight w:val="none"/>
          <w:u w:val="none"/>
        </w:rPr>
        <w:t>场景，创新赛事活动，构建全龄友好、普惠均衡的</w:t>
      </w:r>
      <w:r>
        <w:rPr>
          <w:rFonts w:hint="eastAsia" w:ascii="仿宋_GB2312" w:hAnsi="仿宋_GB2312" w:eastAsia="仿宋_GB2312" w:cs="Times New Roman"/>
          <w:sz w:val="32"/>
          <w:szCs w:val="32"/>
          <w:highlight w:val="none"/>
          <w:u w:val="none"/>
          <w:lang w:val="en-US" w:eastAsia="zh-CN"/>
        </w:rPr>
        <w:t>公共文体</w:t>
      </w:r>
      <w:r>
        <w:rPr>
          <w:rFonts w:hint="default" w:ascii="仿宋_GB2312" w:hAnsi="仿宋_GB2312" w:eastAsia="仿宋_GB2312" w:cs="Times New Roman"/>
          <w:sz w:val="32"/>
          <w:szCs w:val="32"/>
          <w:highlight w:val="none"/>
          <w:u w:val="none"/>
        </w:rPr>
        <w:t>空间体系。通过文化滋养与体育赋能相互促进、融合发展，统筹推进文化与体育公共服务高质量发展</w:t>
      </w:r>
      <w:r>
        <w:rPr>
          <w:rFonts w:hint="eastAsia" w:ascii="仿宋_GB2312" w:hAnsi="仿宋_GB2312" w:eastAsia="仿宋_GB2312" w:cs="Times New Roman"/>
          <w:sz w:val="32"/>
          <w:szCs w:val="32"/>
          <w:highlight w:val="none"/>
          <w:u w:val="none"/>
          <w:lang w:eastAsia="zh-CN"/>
        </w:rPr>
        <w:t>，</w:t>
      </w:r>
      <w:r>
        <w:rPr>
          <w:rFonts w:hint="default" w:ascii="仿宋_GB2312" w:hAnsi="仿宋_GB2312" w:eastAsia="仿宋_GB2312" w:cs="Times New Roman"/>
          <w:sz w:val="32"/>
          <w:szCs w:val="32"/>
          <w:highlight w:val="none"/>
          <w:u w:val="none"/>
        </w:rPr>
        <w:t>点亮怀柔高品质生活新图景。</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黑体" w:cs="Times New Roman"/>
          <w:b w:val="0"/>
          <w:kern w:val="2"/>
          <w:sz w:val="32"/>
          <w:szCs w:val="32"/>
          <w:highlight w:val="none"/>
          <w:u w:val="none"/>
          <w:lang w:val="en-US" w:eastAsia="zh-CN" w:bidi="ar-SA"/>
        </w:rPr>
      </w:pPr>
      <w:bookmarkStart w:id="332" w:name="_Toc19046"/>
      <w:bookmarkStart w:id="333" w:name="_Toc25186"/>
      <w:bookmarkStart w:id="334" w:name="_Toc19550"/>
      <w:bookmarkStart w:id="335" w:name="_Toc18864"/>
      <w:bookmarkStart w:id="336" w:name="_Toc25748"/>
      <w:bookmarkStart w:id="337" w:name="_Toc11238"/>
      <w:bookmarkStart w:id="338" w:name="_Toc25033"/>
      <w:bookmarkStart w:id="339" w:name="_Toc7922"/>
      <w:bookmarkStart w:id="340" w:name="_Toc29925"/>
      <w:bookmarkStart w:id="341" w:name="_Toc17475"/>
      <w:bookmarkStart w:id="342" w:name="_Toc22610"/>
      <w:bookmarkStart w:id="343" w:name="_Toc13018"/>
      <w:r>
        <w:rPr>
          <w:rFonts w:hint="default" w:ascii="仿宋_GB2312" w:hAnsi="仿宋_GB2312" w:eastAsia="黑体" w:cs="Times New Roman"/>
          <w:b w:val="0"/>
          <w:kern w:val="2"/>
          <w:sz w:val="32"/>
          <w:szCs w:val="32"/>
          <w:highlight w:val="none"/>
          <w:u w:val="none"/>
          <w:lang w:val="en-US" w:eastAsia="zh-CN" w:bidi="ar-SA"/>
        </w:rPr>
        <w:t>一、增强公共文化服务供给能力</w:t>
      </w:r>
      <w:bookmarkEnd w:id="332"/>
      <w:bookmarkEnd w:id="333"/>
      <w:bookmarkEnd w:id="334"/>
      <w:bookmarkEnd w:id="335"/>
      <w:bookmarkEnd w:id="336"/>
      <w:bookmarkEnd w:id="337"/>
      <w:bookmarkEnd w:id="338"/>
      <w:bookmarkEnd w:id="339"/>
      <w:bookmarkEnd w:id="340"/>
      <w:bookmarkEnd w:id="341"/>
      <w:bookmarkEnd w:id="342"/>
      <w:bookmarkEnd w:id="343"/>
    </w:p>
    <w:p>
      <w:pPr>
        <w:spacing w:beforeLines="0" w:afterLines="0" w:line="560" w:lineRule="exact"/>
        <w:ind w:firstLine="640" w:firstLineChars="200"/>
        <w:rPr>
          <w:rFonts w:hint="eastAsia" w:ascii="仿宋_GB2312" w:hAnsi="仿宋_GB2312" w:eastAsia="仿宋_GB2312" w:cs="Times New Roman"/>
          <w:sz w:val="32"/>
          <w:szCs w:val="32"/>
          <w:highlight w:val="none"/>
          <w:u w:val="none"/>
          <w:lang w:val="en-US" w:eastAsia="zh-CN"/>
        </w:rPr>
      </w:pPr>
      <w:r>
        <w:rPr>
          <w:rFonts w:hint="default" w:ascii="仿宋_GB2312" w:hAnsi="仿宋_GB2312" w:eastAsia="仿宋_GB2312" w:cs="Times New Roman"/>
          <w:sz w:val="32"/>
          <w:szCs w:val="32"/>
          <w:highlight w:val="none"/>
          <w:u w:val="none"/>
        </w:rPr>
        <w:t>通过完善设施</w:t>
      </w:r>
      <w:r>
        <w:rPr>
          <w:rFonts w:hint="eastAsia" w:ascii="仿宋_GB2312" w:hAnsi="仿宋_GB2312" w:eastAsia="仿宋_GB2312" w:cs="Times New Roman"/>
          <w:sz w:val="32"/>
          <w:szCs w:val="32"/>
          <w:highlight w:val="none"/>
          <w:u w:val="none"/>
          <w:lang w:eastAsia="zh-CN"/>
        </w:rPr>
        <w:t>建设</w:t>
      </w:r>
      <w:r>
        <w:rPr>
          <w:rFonts w:hint="default" w:ascii="仿宋_GB2312" w:hAnsi="仿宋_GB2312" w:eastAsia="仿宋_GB2312" w:cs="Times New Roman"/>
          <w:sz w:val="32"/>
          <w:szCs w:val="32"/>
          <w:highlight w:val="none"/>
          <w:u w:val="none"/>
        </w:rPr>
        <w:t>、提升服务效能、丰富群众性活动，全面</w:t>
      </w:r>
      <w:r>
        <w:rPr>
          <w:rFonts w:hint="eastAsia" w:ascii="仿宋_GB2312" w:hAnsi="仿宋_GB2312" w:eastAsia="仿宋_GB2312" w:cs="Times New Roman"/>
          <w:sz w:val="32"/>
          <w:szCs w:val="32"/>
          <w:highlight w:val="none"/>
          <w:u w:val="none"/>
          <w:lang w:eastAsia="zh-CN"/>
        </w:rPr>
        <w:t>提升</w:t>
      </w:r>
      <w:r>
        <w:rPr>
          <w:rFonts w:hint="default" w:ascii="仿宋_GB2312" w:hAnsi="仿宋_GB2312" w:eastAsia="仿宋_GB2312" w:cs="Times New Roman"/>
          <w:sz w:val="32"/>
          <w:szCs w:val="32"/>
          <w:highlight w:val="none"/>
          <w:u w:val="none"/>
        </w:rPr>
        <w:t>公共文化服务体系</w:t>
      </w:r>
      <w:r>
        <w:rPr>
          <w:rFonts w:hint="eastAsia" w:ascii="仿宋_GB2312" w:hAnsi="仿宋_GB2312" w:eastAsia="仿宋_GB2312" w:cs="Times New Roman"/>
          <w:sz w:val="32"/>
          <w:szCs w:val="32"/>
          <w:highlight w:val="none"/>
          <w:u w:val="none"/>
          <w:lang w:eastAsia="zh-CN"/>
        </w:rPr>
        <w:t>，</w:t>
      </w:r>
      <w:r>
        <w:rPr>
          <w:rFonts w:hint="default" w:ascii="仿宋_GB2312" w:hAnsi="仿宋_GB2312" w:eastAsia="仿宋_GB2312" w:cs="Times New Roman"/>
          <w:sz w:val="32"/>
          <w:szCs w:val="32"/>
          <w:highlight w:val="none"/>
          <w:u w:val="none"/>
        </w:rPr>
        <w:t>推动优质文化资源广泛普及和深入共享</w:t>
      </w:r>
      <w:r>
        <w:rPr>
          <w:rFonts w:hint="eastAsia" w:ascii="仿宋_GB2312" w:hAnsi="仿宋_GB2312" w:eastAsia="仿宋_GB2312" w:cs="Times New Roman"/>
          <w:sz w:val="32"/>
          <w:szCs w:val="32"/>
          <w:highlight w:val="none"/>
          <w:u w:val="none"/>
          <w:lang w:eastAsia="zh-CN"/>
        </w:rPr>
        <w:t>，推进以文化人、以文惠民、以文润城、以文兴业。</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outlineLvl w:val="2"/>
        <w:rPr>
          <w:rFonts w:hint="default" w:ascii="仿宋_GB2312" w:hAnsi="仿宋_GB2312" w:eastAsia="楷体_GB2312" w:cs="楷体_GB2312"/>
          <w:b w:val="0"/>
          <w:bCs w:val="0"/>
          <w:sz w:val="32"/>
          <w:highlight w:val="none"/>
          <w:u w:val="none"/>
          <w:lang w:val="en-US" w:eastAsia="zh-CN"/>
        </w:rPr>
      </w:pPr>
      <w:r>
        <w:rPr>
          <w:rFonts w:hint="eastAsia" w:ascii="仿宋_GB2312" w:hAnsi="仿宋_GB2312" w:eastAsia="楷体_GB2312" w:cs="楷体_GB2312"/>
          <w:b w:val="0"/>
          <w:bCs w:val="0"/>
          <w:sz w:val="32"/>
          <w:highlight w:val="none"/>
          <w:u w:val="none"/>
          <w:lang w:val="en-US" w:eastAsia="zh-CN"/>
        </w:rPr>
        <w:t>（一）完善公共文化设施布局</w:t>
      </w:r>
    </w:p>
    <w:p>
      <w:pPr>
        <w:keepNext w:val="0"/>
        <w:keepLines w:val="0"/>
        <w:pageBreakBefore w:val="0"/>
        <w:widowControl/>
        <w:numPr>
          <w:ilvl w:val="0"/>
          <w:numId w:val="0"/>
        </w:numPr>
        <w:kinsoku/>
        <w:overflowPunct/>
        <w:topLinePunct w:val="0"/>
        <w:autoSpaceDE/>
        <w:autoSpaceDN/>
        <w:bidi w:val="0"/>
        <w:adjustRightInd/>
        <w:snapToGrid/>
        <w:spacing w:beforeLines="-2147483648" w:afterLines="-2147483648" w:line="560" w:lineRule="exact"/>
        <w:ind w:firstLine="640" w:firstLineChars="200"/>
        <w:textAlignment w:val="auto"/>
        <w:outlineLvl w:val="9"/>
        <w:rPr>
          <w:rFonts w:hint="default" w:ascii="仿宋_GB2312" w:hAnsi="仿宋_GB2312" w:eastAsia="仿宋_GB2312" w:cs="Times New Roman"/>
          <w:sz w:val="32"/>
          <w:highlight w:val="none"/>
          <w:u w:val="none"/>
          <w:lang w:val="en-US" w:eastAsia="zh-CN"/>
        </w:rPr>
      </w:pPr>
      <w:r>
        <w:rPr>
          <w:rFonts w:hint="eastAsia" w:ascii="仿宋_GB2312" w:hAnsi="仿宋_GB2312" w:eastAsia="仿宋_GB2312" w:cs="Times New Roman"/>
          <w:sz w:val="32"/>
          <w:szCs w:val="32"/>
          <w:highlight w:val="none"/>
          <w:u w:val="none"/>
          <w:lang w:val="en-US" w:eastAsia="zh-CN"/>
        </w:rPr>
        <w:t>完善</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区级文化中心</w:t>
      </w:r>
      <w:r>
        <w:rPr>
          <w:rFonts w:hint="eastAsia" w:ascii="仿宋_GB2312" w:hAnsi="仿宋_GB2312" w:eastAsia="仿宋_GB2312" w:cs="Times New Roman"/>
          <w:sz w:val="32"/>
          <w:highlight w:val="none"/>
          <w:u w:val="none"/>
          <w:lang w:val="en-US" w:eastAsia="zh-CN"/>
        </w:rPr>
        <w:t>-综合</w:t>
      </w:r>
      <w:r>
        <w:rPr>
          <w:rFonts w:hint="default" w:ascii="仿宋_GB2312" w:hAnsi="仿宋_GB2312" w:eastAsia="仿宋_GB2312" w:cs="Times New Roman"/>
          <w:sz w:val="32"/>
          <w:highlight w:val="none"/>
          <w:u w:val="none"/>
          <w:lang w:val="en-US" w:eastAsia="zh-CN"/>
        </w:rPr>
        <w:t>文化中心</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村（社区）文化室</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文化微空间</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lang w:val="en-US" w:eastAsia="zh-CN"/>
        </w:rPr>
        <w:t>四级网络体系，提升公共文化服务的覆盖度与可</w:t>
      </w:r>
      <w:r>
        <w:rPr>
          <w:rFonts w:hint="eastAsia" w:ascii="仿宋_GB2312" w:hAnsi="仿宋_GB2312" w:eastAsia="仿宋_GB2312" w:cs="Times New Roman"/>
          <w:sz w:val="32"/>
          <w:highlight w:val="none"/>
          <w:u w:val="none"/>
          <w:lang w:val="en-US" w:eastAsia="zh-CN"/>
        </w:rPr>
        <w:t>及</w:t>
      </w:r>
      <w:r>
        <w:rPr>
          <w:rFonts w:hint="default" w:ascii="仿宋_GB2312" w:hAnsi="仿宋_GB2312" w:eastAsia="仿宋_GB2312" w:cs="Times New Roman"/>
          <w:sz w:val="32"/>
          <w:highlight w:val="none"/>
          <w:u w:val="none"/>
          <w:lang w:val="en-US" w:eastAsia="zh-CN"/>
        </w:rPr>
        <w:t>性。加快</w:t>
      </w:r>
      <w:r>
        <w:rPr>
          <w:rFonts w:hint="eastAsia" w:ascii="仿宋_GB2312" w:hAnsi="仿宋_GB2312" w:eastAsia="仿宋_GB2312" w:cs="Times New Roman"/>
          <w:sz w:val="32"/>
          <w:highlight w:val="none"/>
          <w:u w:val="none"/>
          <w:lang w:val="en-US" w:eastAsia="zh-CN"/>
        </w:rPr>
        <w:t>推进灾后镇级综合文化中心、村级文化室恢复重建。加快</w:t>
      </w:r>
      <w:r>
        <w:rPr>
          <w:rFonts w:hint="default" w:ascii="仿宋_GB2312" w:hAnsi="仿宋_GB2312" w:eastAsia="仿宋_GB2312" w:cs="Times New Roman"/>
          <w:sz w:val="32"/>
          <w:highlight w:val="none"/>
          <w:u w:val="none"/>
          <w:lang w:val="en-US" w:eastAsia="zh-CN"/>
        </w:rPr>
        <w:t>国家文化遗产科技创新中心建设</w:t>
      </w:r>
      <w:r>
        <w:rPr>
          <w:rFonts w:hint="eastAsia" w:ascii="仿宋_GB2312" w:hAnsi="仿宋_GB2312" w:eastAsia="仿宋_GB2312" w:cs="Times New Roman"/>
          <w:sz w:val="32"/>
          <w:highlight w:val="none"/>
          <w:u w:val="none"/>
          <w:lang w:val="en-US" w:eastAsia="zh-CN"/>
        </w:rPr>
        <w:t>，打造综合性国际交流展示培训平台，大力开展文物科学研究、公共文化建设和国际交流合作，推动文化遗产资源保护和转化利用。</w:t>
      </w:r>
      <w:r>
        <w:rPr>
          <w:rFonts w:hint="default" w:ascii="仿宋_GB2312" w:hAnsi="仿宋_GB2312" w:eastAsia="仿宋_GB2312" w:cs="Times New Roman"/>
          <w:sz w:val="32"/>
          <w:highlight w:val="none"/>
          <w:u w:val="none"/>
          <w:lang w:val="en-US" w:eastAsia="zh-CN"/>
        </w:rPr>
        <w:t>结合怀柔区城乡发展特点，在公园、广场、商业综合体等人流密集区布局城市书房、文化驿站、群众</w:t>
      </w:r>
      <w:r>
        <w:rPr>
          <w:rFonts w:hint="eastAsia" w:ascii="仿宋_GB2312" w:hAnsi="仿宋_GB2312" w:eastAsia="仿宋_GB2312" w:cs="Times New Roman"/>
          <w:sz w:val="32"/>
          <w:highlight w:val="none"/>
          <w:u w:val="none"/>
          <w:lang w:val="en-US" w:eastAsia="zh-CN"/>
        </w:rPr>
        <w:t>文化</w:t>
      </w:r>
      <w:r>
        <w:rPr>
          <w:rFonts w:hint="default" w:ascii="仿宋_GB2312" w:hAnsi="仿宋_GB2312" w:eastAsia="仿宋_GB2312" w:cs="Times New Roman"/>
          <w:sz w:val="32"/>
          <w:highlight w:val="none"/>
          <w:u w:val="none"/>
          <w:lang w:val="en-US" w:eastAsia="zh-CN"/>
        </w:rPr>
        <w:t>活动室等文化微空间。</w:t>
      </w:r>
      <w:r>
        <w:rPr>
          <w:rFonts w:hint="eastAsia" w:ascii="仿宋_GB2312" w:hAnsi="仿宋_GB2312" w:eastAsia="仿宋_GB2312" w:cs="Times New Roman"/>
          <w:sz w:val="32"/>
          <w:highlight w:val="none"/>
          <w:u w:val="none"/>
          <w:lang w:val="en-US" w:eastAsia="zh-CN"/>
        </w:rPr>
        <w:t>支持实体书店运营，开展全民阅读活动，建设“书香怀柔”。鼓励高校、社会力量参与公共文化服务，打造一批高颜值、设计感强的新型公共文化空间。</w:t>
      </w:r>
      <w:r>
        <w:rPr>
          <w:rFonts w:hint="default" w:ascii="仿宋_GB2312" w:hAnsi="仿宋_GB2312" w:eastAsia="仿宋_GB2312" w:cs="Times New Roman"/>
          <w:sz w:val="32"/>
          <w:highlight w:val="none"/>
          <w:u w:val="none"/>
          <w:lang w:val="en-US" w:eastAsia="zh-CN"/>
        </w:rPr>
        <w:t>深化博物馆资源挖掘，鼓励社会力量参与兴办类博物馆，推动建设社区博物馆、乡村博物馆和民间收藏馆，打造多元开放的公共文化平台</w:t>
      </w:r>
      <w:r>
        <w:rPr>
          <w:rFonts w:hint="eastAsia" w:ascii="仿宋_GB2312" w:hAnsi="仿宋_GB2312" w:eastAsia="仿宋_GB2312" w:cs="Times New Roman"/>
          <w:sz w:val="32"/>
          <w:highlight w:val="none"/>
          <w:u w:val="none"/>
          <w:lang w:val="en-US" w:eastAsia="zh-CN"/>
        </w:rPr>
        <w:t>，助力“博物馆之城”建设</w:t>
      </w:r>
      <w:r>
        <w:rPr>
          <w:rFonts w:hint="default" w:ascii="仿宋_GB2312" w:hAnsi="仿宋_GB2312" w:eastAsia="仿宋_GB2312" w:cs="Times New Roman"/>
          <w:sz w:val="32"/>
          <w:highlight w:val="none"/>
          <w:u w:val="none"/>
          <w:lang w:val="en-US" w:eastAsia="zh-CN"/>
        </w:rPr>
        <w:t>。</w:t>
      </w:r>
      <w:r>
        <w:rPr>
          <w:rFonts w:hint="eastAsia" w:ascii="仿宋_GB2312" w:hAnsi="仿宋_GB2312" w:eastAsia="仿宋_GB2312" w:cs="Times New Roman"/>
          <w:sz w:val="32"/>
          <w:highlight w:val="none"/>
          <w:u w:val="none"/>
          <w:lang w:val="en-US" w:eastAsia="zh-CN"/>
        </w:rPr>
        <w:t>加强长城文化带建设，有序推进</w:t>
      </w:r>
      <w:r>
        <w:rPr>
          <w:rFonts w:hint="default" w:ascii="仿宋_GB2312" w:hAnsi="仿宋_GB2312" w:eastAsia="仿宋_GB2312" w:cs="Times New Roman"/>
          <w:sz w:val="32"/>
          <w:highlight w:val="none"/>
          <w:u w:val="none"/>
        </w:rPr>
        <w:t>箭扣长城</w:t>
      </w:r>
      <w:r>
        <w:rPr>
          <w:rFonts w:hint="eastAsia" w:ascii="仿宋_GB2312" w:hAnsi="仿宋_GB2312" w:eastAsia="仿宋_GB2312" w:cs="Times New Roman"/>
          <w:sz w:val="32"/>
          <w:highlight w:val="none"/>
          <w:u w:val="none"/>
          <w:lang w:val="en-US" w:eastAsia="zh-CN"/>
        </w:rPr>
        <w:t>五期保护修缮</w:t>
      </w:r>
      <w:r>
        <w:rPr>
          <w:rFonts w:hint="eastAsia" w:ascii="仿宋_GB2312" w:hAnsi="仿宋_GB2312" w:eastAsia="仿宋_GB2312" w:cs="Times New Roman"/>
          <w:sz w:val="32"/>
          <w:highlight w:val="none"/>
          <w:u w:val="none"/>
          <w:lang w:eastAsia="zh-CN"/>
        </w:rPr>
        <w:t>、</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慕田峪长城三期</w:t>
      </w:r>
      <w:r>
        <w:rPr>
          <w:rFonts w:hint="default" w:ascii="仿宋_GB2312" w:hAnsi="仿宋_GB2312" w:eastAsia="仿宋_GB2312" w:cs="Times New Roman"/>
          <w:sz w:val="32"/>
          <w:highlight w:val="none"/>
          <w:u w:val="none"/>
        </w:rPr>
        <w:t>修缮</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项目</w:t>
      </w:r>
      <w:r>
        <w:rPr>
          <w:rFonts w:hint="eastAsia" w:ascii="仿宋_GB2312" w:hAnsi="仿宋_GB2312" w:eastAsia="仿宋_GB2312" w:cs="Times New Roman"/>
          <w:sz w:val="32"/>
          <w:highlight w:val="none"/>
          <w:u w:val="none"/>
          <w:lang w:eastAsia="zh-CN"/>
        </w:rPr>
        <w:t>，</w:t>
      </w:r>
      <w:r>
        <w:rPr>
          <w:rFonts w:hint="eastAsia" w:ascii="仿宋_GB2312" w:hAnsi="仿宋_GB2312" w:eastAsia="仿宋_GB2312" w:cs="Times New Roman"/>
          <w:sz w:val="32"/>
          <w:highlight w:val="none"/>
          <w:u w:val="none"/>
          <w:lang w:val="en-US" w:eastAsia="zh-CN"/>
        </w:rPr>
        <w:t>完善沿线旅游公共服务设施，推动箭扣长城有序开放</w:t>
      </w:r>
      <w:r>
        <w:rPr>
          <w:rFonts w:hint="eastAsia" w:ascii="仿宋_GB2312" w:hAnsi="仿宋_GB2312" w:eastAsia="仿宋_GB2312" w:cs="Times New Roman"/>
          <w:sz w:val="32"/>
          <w:highlight w:val="none"/>
          <w:u w:val="none"/>
          <w:lang w:eastAsia="zh-CN"/>
        </w:rPr>
        <w:t>。</w:t>
      </w:r>
      <w:r>
        <w:rPr>
          <w:rFonts w:hint="eastAsia" w:ascii="仿宋_GB2312" w:hAnsi="仿宋_GB2312" w:eastAsia="仿宋_GB2312" w:cs="Times New Roman"/>
          <w:sz w:val="32"/>
          <w:highlight w:val="none"/>
          <w:u w:val="none"/>
          <w:lang w:val="en-US" w:eastAsia="zh-CN"/>
        </w:rPr>
        <w:t>推进演艺中心等公共文化设施规划建设，推动优质影视文化资源向公共文化服务资源有效转化，满足影视文化人才及群众的公共文化服务需求。</w:t>
      </w:r>
    </w:p>
    <w:p>
      <w:pPr>
        <w:spacing w:beforeLines="0" w:afterLines="0" w:line="560" w:lineRule="exact"/>
        <w:ind w:firstLine="640" w:firstLineChars="200"/>
        <w:outlineLvl w:val="2"/>
        <w:rPr>
          <w:rFonts w:hint="eastAsia" w:ascii="仿宋_GB2312" w:hAnsi="仿宋_GB2312" w:eastAsia="楷体_GB2312" w:cs="楷体_GB2312"/>
          <w:b w:val="0"/>
          <w:bCs w:val="0"/>
          <w:sz w:val="32"/>
          <w:highlight w:val="none"/>
          <w:u w:val="none"/>
          <w:lang w:val="en-US" w:eastAsia="zh-CN"/>
        </w:rPr>
      </w:pPr>
      <w:r>
        <w:rPr>
          <w:rFonts w:hint="eastAsia" w:ascii="仿宋_GB2312" w:hAnsi="仿宋_GB2312" w:eastAsia="楷体_GB2312" w:cs="楷体_GB2312"/>
          <w:b w:val="0"/>
          <w:bCs w:val="0"/>
          <w:sz w:val="32"/>
          <w:highlight w:val="none"/>
          <w:u w:val="none"/>
          <w:lang w:val="en-US" w:eastAsia="zh-CN"/>
        </w:rPr>
        <w:t>（二）提高公共文化服务效能</w:t>
      </w:r>
    </w:p>
    <w:p>
      <w:pPr>
        <w:spacing w:beforeLines="0" w:afterLines="0" w:line="560" w:lineRule="exact"/>
        <w:ind w:firstLine="640" w:firstLineChars="200"/>
        <w:rPr>
          <w:rFonts w:hint="default" w:ascii="仿宋_GB2312" w:hAnsi="仿宋_GB2312" w:eastAsia="仿宋_GB2312" w:cs="Times New Roman"/>
          <w:sz w:val="32"/>
          <w:highlight w:val="none"/>
          <w:u w:val="none"/>
          <w:lang w:val="en-US" w:eastAsia="zh-CN"/>
        </w:rPr>
      </w:pPr>
      <w:r>
        <w:rPr>
          <w:rFonts w:hint="default" w:ascii="仿宋_GB2312" w:hAnsi="仿宋_GB2312" w:eastAsia="仿宋_GB2312" w:cs="Times New Roman"/>
          <w:sz w:val="32"/>
          <w:highlight w:val="none"/>
          <w:u w:val="none"/>
          <w:lang w:val="en-US" w:eastAsia="zh-CN"/>
        </w:rPr>
        <w:t>坚持多元协同、数字赋能、精准供给相结合，不断增强公共文化服务覆盖面与实效性。推动在怀高校、企事业单位文化设施有序向社会开放，拓展公共文化服务供给渠道。</w:t>
      </w:r>
      <w:r>
        <w:rPr>
          <w:rFonts w:ascii="仿宋_GB2312" w:hAnsi="仿宋_GB2312" w:eastAsia="仿宋_GB2312" w:cs="Times New Roman"/>
          <w:spacing w:val="0"/>
          <w:sz w:val="32"/>
          <w:szCs w:val="24"/>
          <w:highlight w:val="none"/>
          <w:u w:val="none"/>
        </w:rPr>
        <w:t>稳步推进公共文化设施所有权和使用权分置改革</w:t>
      </w:r>
      <w:r>
        <w:rPr>
          <w:rFonts w:hint="default" w:ascii="仿宋_GB2312" w:hAnsi="仿宋_GB2312" w:eastAsia="仿宋_GB2312" w:cs="Times New Roman"/>
          <w:spacing w:val="0"/>
          <w:sz w:val="32"/>
          <w:szCs w:val="24"/>
          <w:highlight w:val="none"/>
          <w:u w:val="none"/>
          <w:lang w:eastAsia="zh-CN"/>
        </w:rPr>
        <w:t>，</w:t>
      </w:r>
      <w:r>
        <w:rPr>
          <w:rFonts w:ascii="仿宋_GB2312" w:hAnsi="仿宋_GB2312" w:eastAsia="仿宋_GB2312" w:cs="Times New Roman"/>
          <w:spacing w:val="0"/>
          <w:sz w:val="32"/>
          <w:szCs w:val="24"/>
          <w:highlight w:val="none"/>
          <w:u w:val="none"/>
        </w:rPr>
        <w:t>探索支持社会力量通过委托管理</w:t>
      </w:r>
      <w:r>
        <w:rPr>
          <w:rFonts w:hint="default" w:ascii="仿宋_GB2312" w:hAnsi="仿宋_GB2312" w:eastAsia="仿宋_GB2312" w:cs="Times New Roman"/>
          <w:spacing w:val="0"/>
          <w:sz w:val="32"/>
          <w:szCs w:val="24"/>
          <w:highlight w:val="none"/>
          <w:u w:val="none"/>
          <w:lang w:eastAsia="zh-CN"/>
        </w:rPr>
        <w:t>、</w:t>
      </w:r>
      <w:r>
        <w:rPr>
          <w:rFonts w:ascii="仿宋_GB2312" w:hAnsi="仿宋_GB2312" w:eastAsia="仿宋_GB2312" w:cs="Times New Roman"/>
          <w:spacing w:val="0"/>
          <w:sz w:val="32"/>
          <w:szCs w:val="24"/>
          <w:highlight w:val="none"/>
          <w:u w:val="none"/>
        </w:rPr>
        <w:t>项目合作等方式参与公共文化设施运营管理</w:t>
      </w:r>
      <w:r>
        <w:rPr>
          <w:rFonts w:hint="default" w:ascii="仿宋_GB2312" w:hAnsi="仿宋_GB2312" w:eastAsia="仿宋_GB2312" w:cs="Times New Roman"/>
          <w:spacing w:val="0"/>
          <w:sz w:val="32"/>
          <w:szCs w:val="24"/>
          <w:highlight w:val="none"/>
          <w:u w:val="none"/>
          <w:lang w:eastAsia="zh-CN"/>
        </w:rPr>
        <w:t>。</w:t>
      </w:r>
      <w:r>
        <w:rPr>
          <w:rFonts w:hint="default" w:ascii="仿宋_GB2312" w:hAnsi="仿宋_GB2312" w:eastAsia="仿宋_GB2312" w:cs="Times New Roman"/>
          <w:sz w:val="32"/>
          <w:highlight w:val="none"/>
          <w:u w:val="none"/>
          <w:lang w:val="en-US" w:eastAsia="zh-CN"/>
        </w:rPr>
        <w:t>引导社会力量和社会资本参与基层综合文化中心运营，完善多元共建共享的文化供给机制。加快公共文化服务数字化建设，推动优质文化资源广覆盖、快传播。健全群众文化需求调研和反馈机制，实现供需精准对接。鼓励有条件的公共文化场馆延长开放时间或夜间开放，全面提升设施利用效率和服务品质。到2030年，实现</w:t>
      </w:r>
      <w:r>
        <w:rPr>
          <w:rFonts w:hint="eastAsia" w:ascii="仿宋_GB2312" w:hAnsi="仿宋_GB2312" w:eastAsia="仿宋_GB2312" w:cs="Times New Roman"/>
          <w:sz w:val="32"/>
          <w:highlight w:val="none"/>
          <w:u w:val="none"/>
          <w:lang w:val="en-US" w:eastAsia="zh-CN"/>
        </w:rPr>
        <w:t>年</w:t>
      </w:r>
      <w:r>
        <w:rPr>
          <w:rFonts w:hint="default" w:ascii="仿宋_GB2312" w:hAnsi="仿宋_GB2312" w:eastAsia="仿宋_GB2312" w:cs="Times New Roman"/>
          <w:sz w:val="32"/>
          <w:highlight w:val="none"/>
          <w:u w:val="none"/>
          <w:lang w:val="en-US" w:eastAsia="zh-CN"/>
        </w:rPr>
        <w:t>均</w:t>
      </w:r>
      <w:r>
        <w:rPr>
          <w:rFonts w:hint="eastAsia" w:ascii="仿宋_GB2312" w:hAnsi="仿宋_GB2312" w:eastAsia="仿宋_GB2312" w:cs="Times New Roman"/>
          <w:sz w:val="32"/>
          <w:highlight w:val="none"/>
          <w:u w:val="none"/>
          <w:lang w:val="en-US" w:eastAsia="zh-CN"/>
        </w:rPr>
        <w:t>举办</w:t>
      </w:r>
      <w:r>
        <w:rPr>
          <w:rFonts w:hint="default" w:ascii="仿宋_GB2312" w:hAnsi="仿宋_GB2312" w:eastAsia="仿宋_GB2312" w:cs="Times New Roman"/>
          <w:sz w:val="32"/>
          <w:highlight w:val="none"/>
          <w:u w:val="none"/>
          <w:lang w:val="en-US" w:eastAsia="zh-CN"/>
        </w:rPr>
        <w:t>各类文化活动</w:t>
      </w:r>
      <w:r>
        <w:rPr>
          <w:rFonts w:hint="eastAsia" w:ascii="仿宋_GB2312" w:hAnsi="仿宋_GB2312" w:eastAsia="仿宋_GB2312" w:cs="Times New Roman"/>
          <w:sz w:val="32"/>
          <w:highlight w:val="none"/>
          <w:u w:val="none"/>
          <w:lang w:val="en-US" w:eastAsia="zh-CN"/>
        </w:rPr>
        <w:t>2500场次，人均接受文化场馆服务次数不低于</w:t>
      </w:r>
      <w:r>
        <w:rPr>
          <w:rFonts w:hint="eastAsia" w:ascii="仿宋_GB2312" w:hAnsi="仿宋_GB2312" w:eastAsia="仿宋_GB2312" w:cs="仿宋_GB2312"/>
          <w:sz w:val="32"/>
          <w:szCs w:val="32"/>
          <w:highlight w:val="none"/>
          <w:u w:val="none"/>
          <w:lang w:val="en-US" w:eastAsia="zh-CN"/>
        </w:rPr>
        <w:t>5.25</w:t>
      </w:r>
      <w:r>
        <w:rPr>
          <w:rFonts w:hint="eastAsia" w:ascii="仿宋_GB2312" w:hAnsi="仿宋_GB2312" w:eastAsia="仿宋_GB2312" w:cs="Times New Roman"/>
          <w:sz w:val="32"/>
          <w:highlight w:val="none"/>
          <w:u w:val="none"/>
          <w:lang w:val="en-US" w:eastAsia="zh-CN"/>
        </w:rPr>
        <w:t>次</w:t>
      </w:r>
      <w:r>
        <w:rPr>
          <w:rFonts w:hint="default" w:ascii="仿宋_GB2312" w:hAnsi="仿宋_GB2312" w:eastAsia="仿宋_GB2312" w:cs="Times New Roman"/>
          <w:sz w:val="32"/>
          <w:highlight w:val="none"/>
          <w:u w:val="none"/>
          <w:lang w:val="en-US" w:eastAsia="zh-CN"/>
        </w:rPr>
        <w:t>。</w:t>
      </w:r>
    </w:p>
    <w:p>
      <w:pPr>
        <w:keepNext w:val="0"/>
        <w:keepLines w:val="0"/>
        <w:pageBreakBefore w:val="0"/>
        <w:widowControl/>
        <w:numPr>
          <w:ilvl w:val="-1"/>
          <w:numId w:val="0"/>
        </w:numPr>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b w:val="0"/>
          <w:bCs w:val="0"/>
          <w:sz w:val="32"/>
          <w:highlight w:val="none"/>
          <w:u w:val="none"/>
          <w:lang w:val="en-US" w:eastAsia="zh-CN"/>
        </w:rPr>
      </w:pPr>
      <w:r>
        <w:rPr>
          <w:rFonts w:hint="eastAsia" w:ascii="仿宋_GB2312" w:hAnsi="仿宋_GB2312" w:eastAsia="楷体_GB2312" w:cs="楷体_GB2312"/>
          <w:b w:val="0"/>
          <w:bCs w:val="0"/>
          <w:sz w:val="32"/>
          <w:highlight w:val="none"/>
          <w:u w:val="none"/>
          <w:lang w:val="en-US" w:eastAsia="zh-CN"/>
        </w:rPr>
        <w:t>（三）丰富群众性文化活动</w:t>
      </w:r>
    </w:p>
    <w:p>
      <w:pPr>
        <w:keepNext w:val="0"/>
        <w:keepLines w:val="0"/>
        <w:pageBreakBefore w:val="0"/>
        <w:widowControl/>
        <w:numPr>
          <w:ilvl w:val="0"/>
          <w:numId w:val="0"/>
        </w:numPr>
        <w:kinsoku/>
        <w:overflowPunct/>
        <w:topLinePunct w:val="0"/>
        <w:autoSpaceDE/>
        <w:autoSpaceDN/>
        <w:bidi w:val="0"/>
        <w:adjustRightInd/>
        <w:snapToGrid/>
        <w:spacing w:beforeLines="-2147483648" w:afterLines="-2147483648" w:line="560" w:lineRule="exact"/>
        <w:ind w:firstLine="640" w:firstLineChars="200"/>
        <w:textAlignment w:val="auto"/>
        <w:outlineLvl w:val="9"/>
        <w:rPr>
          <w:rFonts w:hint="default" w:ascii="仿宋_GB2312" w:hAnsi="仿宋_GB2312" w:eastAsia="仿宋_GB2312" w:cs="Times New Roman"/>
          <w:sz w:val="32"/>
          <w:highlight w:val="none"/>
          <w:u w:val="none"/>
          <w:lang w:val="en-US" w:eastAsia="zh-CN"/>
        </w:rPr>
      </w:pPr>
      <w:r>
        <w:rPr>
          <w:rFonts w:hint="default" w:ascii="仿宋_GB2312" w:hAnsi="仿宋_GB2312" w:eastAsia="仿宋_GB2312" w:cs="Times New Roman"/>
          <w:sz w:val="32"/>
          <w:highlight w:val="none"/>
          <w:u w:val="none"/>
        </w:rPr>
        <w:t>依托怀柔独特的文化资源禀赋，</w:t>
      </w:r>
      <w:r>
        <w:rPr>
          <w:rFonts w:hint="default" w:ascii="仿宋_GB2312" w:hAnsi="仿宋_GB2312" w:eastAsia="仿宋_GB2312" w:cs="Times New Roman"/>
          <w:b w:val="0"/>
          <w:bCs w:val="0"/>
          <w:sz w:val="32"/>
          <w:highlight w:val="none"/>
          <w:u w:val="none"/>
          <w:lang w:val="en-US" w:eastAsia="zh-CN"/>
        </w:rPr>
        <w:t>举办具有怀柔特色的品牌文化活动</w:t>
      </w:r>
      <w:r>
        <w:rPr>
          <w:rFonts w:hint="eastAsia" w:ascii="仿宋_GB2312" w:hAnsi="仿宋_GB2312" w:eastAsia="仿宋_GB2312" w:cs="Times New Roman"/>
          <w:b w:val="0"/>
          <w:bCs w:val="0"/>
          <w:sz w:val="32"/>
          <w:highlight w:val="none"/>
          <w:u w:val="none"/>
          <w:lang w:val="en-US" w:eastAsia="zh-CN"/>
        </w:rPr>
        <w:t>和</w:t>
      </w:r>
      <w:r>
        <w:rPr>
          <w:rFonts w:hint="default" w:ascii="仿宋_GB2312" w:hAnsi="仿宋_GB2312" w:eastAsia="仿宋_GB2312" w:cs="Times New Roman"/>
          <w:b w:val="0"/>
          <w:bCs w:val="0"/>
          <w:sz w:val="32"/>
          <w:highlight w:val="none"/>
          <w:u w:val="none"/>
          <w:lang w:val="en-US" w:eastAsia="zh-CN"/>
        </w:rPr>
        <w:t>基层惠民活动，</w:t>
      </w:r>
      <w:r>
        <w:rPr>
          <w:rFonts w:hint="default" w:ascii="仿宋_GB2312" w:hAnsi="仿宋_GB2312" w:eastAsia="仿宋_GB2312" w:cs="Times New Roman"/>
          <w:sz w:val="32"/>
          <w:highlight w:val="none"/>
          <w:u w:val="none"/>
        </w:rPr>
        <w:t>全面提升群众精神文化生活品质。依托</w:t>
      </w:r>
      <w:r>
        <w:rPr>
          <w:rFonts w:hint="default" w:ascii="仿宋_GB2312" w:hAnsi="仿宋_GB2312" w:eastAsia="仿宋_GB2312" w:cs="Times New Roman"/>
          <w:b w:val="0"/>
          <w:bCs w:val="0"/>
          <w:sz w:val="32"/>
          <w:highlight w:val="none"/>
          <w:u w:val="none"/>
          <w:lang w:val="en-US" w:eastAsia="zh-CN"/>
        </w:rPr>
        <w:t>中影（北京）电影制片厂</w:t>
      </w:r>
      <w:r>
        <w:rPr>
          <w:rFonts w:hint="default" w:ascii="仿宋_GB2312" w:hAnsi="仿宋_GB2312" w:eastAsia="仿宋_GB2312" w:cs="Times New Roman"/>
          <w:sz w:val="32"/>
          <w:highlight w:val="none"/>
          <w:u w:val="none"/>
        </w:rPr>
        <w:t>、北京电影学院等影视资源，</w:t>
      </w:r>
      <w:r>
        <w:rPr>
          <w:rFonts w:hint="eastAsia" w:ascii="仿宋_GB2312" w:hAnsi="仿宋_GB2312" w:eastAsia="仿宋_GB2312" w:cs="Times New Roman"/>
          <w:sz w:val="32"/>
          <w:highlight w:val="none"/>
          <w:u w:val="none"/>
          <w:lang w:val="en-US" w:eastAsia="zh-CN"/>
        </w:rPr>
        <w:t>常态化</w:t>
      </w:r>
      <w:r>
        <w:rPr>
          <w:rFonts w:hint="default" w:ascii="仿宋_GB2312" w:hAnsi="仿宋_GB2312" w:eastAsia="仿宋_GB2312" w:cs="Times New Roman"/>
          <w:sz w:val="32"/>
          <w:highlight w:val="none"/>
          <w:u w:val="none"/>
        </w:rPr>
        <w:t>承办北京国际电影节</w:t>
      </w:r>
      <w:r>
        <w:rPr>
          <w:rFonts w:hint="eastAsia" w:ascii="仿宋_GB2312" w:hAnsi="仿宋_GB2312" w:eastAsia="仿宋_GB2312" w:cs="Times New Roman"/>
          <w:sz w:val="32"/>
          <w:highlight w:val="none"/>
          <w:u w:val="none"/>
          <w:lang w:eastAsia="zh-CN"/>
        </w:rPr>
        <w:t>、</w:t>
      </w:r>
      <w:r>
        <w:rPr>
          <w:rFonts w:hint="eastAsia" w:ascii="仿宋_GB2312" w:hAnsi="仿宋_GB2312" w:eastAsia="仿宋_GB2312" w:cs="Times New Roman"/>
          <w:sz w:val="32"/>
          <w:highlight w:val="none"/>
          <w:u w:val="none"/>
          <w:lang w:val="en-US" w:eastAsia="zh-CN"/>
        </w:rPr>
        <w:t>中国影都发展论坛、电影嘉年华、服贸会怀柔展区等高端国际影视活动</w:t>
      </w:r>
      <w:r>
        <w:rPr>
          <w:rFonts w:hint="default" w:ascii="仿宋_GB2312" w:hAnsi="仿宋_GB2312" w:eastAsia="仿宋_GB2312" w:cs="Times New Roman"/>
          <w:sz w:val="32"/>
          <w:highlight w:val="none"/>
          <w:u w:val="none"/>
        </w:rPr>
        <w:t>，</w:t>
      </w:r>
      <w:r>
        <w:rPr>
          <w:rFonts w:hint="eastAsia" w:ascii="仿宋_GB2312" w:hAnsi="仿宋_GB2312" w:eastAsia="仿宋_GB2312" w:cs="Times New Roman"/>
          <w:sz w:val="32"/>
          <w:highlight w:val="none"/>
          <w:u w:val="none"/>
          <w:lang w:val="en-US" w:eastAsia="zh-CN"/>
        </w:rPr>
        <w:t>持续举办CMG中国电视剧年度盛典、中国网络视听盛典等国家级影视文化活动，做强怀柔影视文创大赛等活动，构建“国际-国家-市、区”多级影视活动矩阵，持续</w:t>
      </w:r>
      <w:r>
        <w:rPr>
          <w:rFonts w:hint="default" w:ascii="仿宋_GB2312" w:hAnsi="仿宋_GB2312" w:eastAsia="仿宋_GB2312" w:cs="Times New Roman"/>
          <w:sz w:val="32"/>
          <w:highlight w:val="none"/>
          <w:u w:val="none"/>
        </w:rPr>
        <w:t>放大</w:t>
      </w:r>
      <w:r>
        <w:rPr>
          <w:rFonts w:hint="eastAsia" w:ascii="仿宋_GB2312" w:hAnsi="仿宋_GB2312" w:eastAsia="仿宋_GB2312" w:cs="Times New Roman"/>
          <w:sz w:val="32"/>
          <w:highlight w:val="none"/>
          <w:u w:val="none"/>
          <w:lang w:eastAsia="zh-CN"/>
        </w:rPr>
        <w:t>“</w:t>
      </w:r>
      <w:r>
        <w:rPr>
          <w:rFonts w:hint="eastAsia" w:ascii="仿宋_GB2312" w:hAnsi="仿宋_GB2312" w:eastAsia="仿宋_GB2312" w:cs="Times New Roman"/>
          <w:sz w:val="32"/>
          <w:highlight w:val="none"/>
          <w:u w:val="none"/>
          <w:lang w:val="en-US" w:eastAsia="zh-CN"/>
        </w:rPr>
        <w:t>中国影都</w:t>
      </w:r>
      <w:r>
        <w:rPr>
          <w:rFonts w:hint="eastAsia" w:ascii="仿宋_GB2312" w:hAnsi="仿宋_GB2312" w:eastAsia="仿宋_GB2312" w:cs="Times New Roman"/>
          <w:sz w:val="32"/>
          <w:highlight w:val="none"/>
          <w:u w:val="none"/>
          <w:lang w:eastAsia="zh-CN"/>
        </w:rPr>
        <w:t>”</w:t>
      </w:r>
      <w:r>
        <w:rPr>
          <w:rFonts w:hint="eastAsia" w:ascii="仿宋_GB2312" w:hAnsi="仿宋_GB2312" w:eastAsia="仿宋_GB2312" w:cs="Times New Roman"/>
          <w:sz w:val="32"/>
          <w:highlight w:val="none"/>
          <w:u w:val="none"/>
          <w:lang w:val="en-US" w:eastAsia="zh-CN"/>
        </w:rPr>
        <w:t>品牌</w:t>
      </w:r>
      <w:r>
        <w:rPr>
          <w:rFonts w:hint="default" w:ascii="仿宋_GB2312" w:hAnsi="仿宋_GB2312" w:eastAsia="仿宋_GB2312" w:cs="Times New Roman"/>
          <w:sz w:val="32"/>
          <w:highlight w:val="none"/>
          <w:u w:val="none"/>
        </w:rPr>
        <w:t>影响力。深入挖掘满族</w:t>
      </w:r>
      <w:r>
        <w:rPr>
          <w:rFonts w:hint="eastAsia" w:ascii="仿宋_GB2312" w:hAnsi="仿宋_GB2312" w:eastAsia="仿宋_GB2312" w:cs="Times New Roman"/>
          <w:sz w:val="32"/>
          <w:highlight w:val="none"/>
          <w:u w:val="none"/>
          <w:lang w:val="en-US" w:eastAsia="zh-CN"/>
        </w:rPr>
        <w:t>等</w:t>
      </w:r>
      <w:r>
        <w:rPr>
          <w:rFonts w:hint="default" w:ascii="仿宋_GB2312" w:hAnsi="仿宋_GB2312" w:eastAsia="仿宋_GB2312" w:cs="Times New Roman"/>
          <w:sz w:val="32"/>
          <w:highlight w:val="none"/>
          <w:u w:val="none"/>
        </w:rPr>
        <w:t>文化元素，持续举办</w:t>
      </w:r>
      <w:r>
        <w:rPr>
          <w:rFonts w:hint="eastAsia" w:ascii="仿宋_GB2312" w:hAnsi="仿宋_GB2312" w:eastAsia="仿宋_GB2312" w:cs="仿宋_GB2312"/>
          <w:sz w:val="32"/>
          <w:highlight w:val="none"/>
          <w:u w:val="none"/>
          <w:lang w:eastAsia="zh-CN"/>
        </w:rPr>
        <w:t>“</w:t>
      </w:r>
      <w:r>
        <w:rPr>
          <w:rFonts w:hint="default" w:ascii="仿宋_GB2312" w:hAnsi="仿宋_GB2312" w:eastAsia="仿宋_GB2312" w:cs="仿宋_GB2312"/>
          <w:sz w:val="32"/>
          <w:highlight w:val="none"/>
          <w:u w:val="none"/>
        </w:rPr>
        <w:t>京韵满乡文化旅游节</w:t>
      </w:r>
      <w:r>
        <w:rPr>
          <w:rFonts w:hint="eastAsia" w:ascii="仿宋_GB2312" w:hAnsi="仿宋_GB2312" w:eastAsia="仿宋_GB2312" w:cs="仿宋_GB2312"/>
          <w:sz w:val="32"/>
          <w:highlight w:val="none"/>
          <w:u w:val="none"/>
          <w:lang w:eastAsia="zh-CN"/>
        </w:rPr>
        <w:t>”</w:t>
      </w:r>
      <w:r>
        <w:rPr>
          <w:rFonts w:hint="default" w:ascii="仿宋_GB2312" w:hAnsi="仿宋_GB2312" w:eastAsia="仿宋_GB2312" w:cs="仿宋_GB2312"/>
          <w:sz w:val="32"/>
          <w:highlight w:val="none"/>
          <w:u w:val="none"/>
        </w:rPr>
        <w:t>，推广</w:t>
      </w:r>
      <w:r>
        <w:rPr>
          <w:rFonts w:hint="eastAsia" w:ascii="仿宋_GB2312" w:hAnsi="仿宋_GB2312" w:eastAsia="仿宋_GB2312" w:cs="仿宋_GB2312"/>
          <w:sz w:val="32"/>
          <w:highlight w:val="none"/>
          <w:u w:val="none"/>
          <w:lang w:eastAsia="zh-CN"/>
        </w:rPr>
        <w:t>“</w:t>
      </w:r>
      <w:r>
        <w:rPr>
          <w:rFonts w:hint="default" w:ascii="仿宋_GB2312" w:hAnsi="仿宋_GB2312" w:eastAsia="仿宋_GB2312" w:cs="仿宋_GB2312"/>
          <w:sz w:val="32"/>
          <w:highlight w:val="none"/>
          <w:u w:val="none"/>
        </w:rPr>
        <w:t>八旗龙舟</w:t>
      </w:r>
      <w:r>
        <w:rPr>
          <w:rFonts w:hint="eastAsia" w:ascii="仿宋_GB2312" w:hAnsi="仿宋_GB2312" w:eastAsia="仿宋_GB2312" w:cs="仿宋_GB2312"/>
          <w:sz w:val="32"/>
          <w:highlight w:val="none"/>
          <w:u w:val="none"/>
          <w:lang w:eastAsia="zh-CN"/>
        </w:rPr>
        <w:t>”</w:t>
      </w:r>
      <w:r>
        <w:rPr>
          <w:rFonts w:hint="default" w:ascii="仿宋_GB2312" w:hAnsi="仿宋_GB2312" w:eastAsia="仿宋_GB2312" w:cs="仿宋_GB2312"/>
          <w:sz w:val="32"/>
          <w:highlight w:val="none"/>
          <w:u w:val="none"/>
          <w:lang w:val="en-US" w:eastAsia="zh-CN"/>
        </w:rPr>
        <w:t>大赛</w:t>
      </w:r>
      <w:r>
        <w:rPr>
          <w:rFonts w:hint="default" w:ascii="仿宋_GB2312" w:hAnsi="仿宋_GB2312" w:eastAsia="仿宋_GB2312" w:cs="仿宋_GB2312"/>
          <w:sz w:val="32"/>
          <w:highlight w:val="none"/>
          <w:u w:val="none"/>
        </w:rPr>
        <w:t>、满族服饰、骑射等传</w:t>
      </w:r>
      <w:r>
        <w:rPr>
          <w:rFonts w:hint="default" w:ascii="仿宋_GB2312" w:hAnsi="仿宋_GB2312" w:eastAsia="仿宋_GB2312" w:cs="Times New Roman"/>
          <w:sz w:val="32"/>
          <w:highlight w:val="none"/>
          <w:u w:val="none"/>
        </w:rPr>
        <w:t>统项目，彰显民族文化独特魅力。充分利用全区</w:t>
      </w:r>
      <w:r>
        <w:rPr>
          <w:rFonts w:hint="eastAsia" w:ascii="仿宋_GB2312" w:hAnsi="仿宋_GB2312" w:eastAsia="仿宋_GB2312" w:cs="Times New Roman"/>
          <w:sz w:val="32"/>
          <w:highlight w:val="none"/>
          <w:u w:val="none"/>
          <w:lang w:val="en-US" w:eastAsia="zh-CN"/>
        </w:rPr>
        <w:t>55</w:t>
      </w:r>
      <w:r>
        <w:rPr>
          <w:rFonts w:hint="default" w:ascii="仿宋_GB2312" w:hAnsi="仿宋_GB2312" w:eastAsia="仿宋_GB2312" w:cs="Times New Roman"/>
          <w:sz w:val="32"/>
          <w:highlight w:val="none"/>
          <w:u w:val="none"/>
        </w:rPr>
        <w:t>项非遗资源，常态化开展</w:t>
      </w:r>
      <w:r>
        <w:rPr>
          <w:rFonts w:hint="eastAsia" w:ascii="仿宋_GB2312" w:hAnsi="仿宋_GB2312" w:eastAsia="仿宋_GB2312" w:cs="仿宋_GB2312"/>
          <w:sz w:val="32"/>
          <w:highlight w:val="none"/>
          <w:u w:val="none"/>
          <w:lang w:eastAsia="zh-CN"/>
        </w:rPr>
        <w:t>“</w:t>
      </w:r>
      <w:r>
        <w:rPr>
          <w:rFonts w:hint="eastAsia" w:ascii="仿宋_GB2312" w:hAnsi="仿宋_GB2312" w:eastAsia="仿宋_GB2312" w:cs="仿宋_GB2312"/>
          <w:sz w:val="32"/>
          <w:highlight w:val="none"/>
          <w:u w:val="none"/>
        </w:rPr>
        <w:t>非遗进校园</w:t>
      </w:r>
      <w:r>
        <w:rPr>
          <w:rFonts w:hint="eastAsia" w:ascii="仿宋_GB2312" w:hAnsi="仿宋_GB2312" w:eastAsia="仿宋_GB2312" w:cs="仿宋_GB2312"/>
          <w:sz w:val="32"/>
          <w:highlight w:val="none"/>
          <w:u w:val="none"/>
          <w:lang w:eastAsia="zh-CN"/>
        </w:rPr>
        <w:t>”</w:t>
      </w:r>
      <w:r>
        <w:rPr>
          <w:rFonts w:hint="eastAsia" w:ascii="仿宋_GB2312" w:hAnsi="仿宋_GB2312" w:eastAsia="仿宋_GB2312" w:cs="仿宋_GB2312"/>
          <w:sz w:val="32"/>
          <w:highlight w:val="none"/>
          <w:u w:val="none"/>
          <w:lang w:val="en-US" w:eastAsia="zh-CN"/>
        </w:rPr>
        <w:t>“非遗进民宿”</w:t>
      </w:r>
      <w:r>
        <w:rPr>
          <w:rFonts w:hint="default" w:ascii="仿宋_GB2312" w:hAnsi="仿宋_GB2312" w:eastAsia="仿宋_GB2312" w:cs="Times New Roman"/>
          <w:sz w:val="32"/>
          <w:highlight w:val="none"/>
          <w:u w:val="none"/>
        </w:rPr>
        <w:t>等系列活动，推动传统文化创造性转化、创新性发展。</w:t>
      </w:r>
      <w:r>
        <w:rPr>
          <w:rFonts w:hint="default" w:ascii="仿宋_GB2312" w:hAnsi="仿宋_GB2312" w:eastAsia="仿宋_GB2312" w:cs="Times New Roman"/>
          <w:sz w:val="32"/>
          <w:highlight w:val="none"/>
          <w:u w:val="none"/>
          <w:lang w:val="en-US" w:eastAsia="zh-CN"/>
        </w:rPr>
        <w:t>持续办好“我们的节日”、群众艺术节等主题文化活动，</w:t>
      </w:r>
      <w:r>
        <w:rPr>
          <w:rFonts w:hint="default" w:ascii="仿宋_GB2312" w:hAnsi="仿宋_GB2312" w:eastAsia="仿宋_GB2312" w:cs="Times New Roman"/>
          <w:sz w:val="32"/>
          <w:highlight w:val="none"/>
          <w:u w:val="none"/>
        </w:rPr>
        <w:t>高标准举办</w:t>
      </w:r>
      <w:r>
        <w:rPr>
          <w:rFonts w:hint="eastAsia" w:ascii="仿宋_GB2312" w:hAnsi="仿宋_GB2312" w:eastAsia="仿宋_GB2312" w:cs="Times New Roman"/>
          <w:sz w:val="32"/>
          <w:highlight w:val="none"/>
          <w:u w:val="none"/>
          <w:lang w:eastAsia="zh-CN"/>
        </w:rPr>
        <w:t>“</w:t>
      </w:r>
      <w:r>
        <w:rPr>
          <w:rFonts w:hint="default" w:ascii="仿宋_GB2312" w:hAnsi="仿宋_GB2312" w:eastAsia="仿宋_GB2312" w:cs="Times New Roman"/>
          <w:sz w:val="32"/>
          <w:highlight w:val="none"/>
          <w:u w:val="none"/>
          <w:lang w:val="en-US" w:eastAsia="zh-CN"/>
        </w:rPr>
        <w:t>永不落幕的音乐节</w:t>
      </w:r>
      <w:r>
        <w:rPr>
          <w:rFonts w:hint="eastAsia" w:ascii="仿宋_GB2312" w:hAnsi="仿宋_GB2312" w:eastAsia="仿宋_GB2312" w:cs="Times New Roman"/>
          <w:sz w:val="32"/>
          <w:highlight w:val="none"/>
          <w:u w:val="none"/>
          <w:lang w:val="en-US" w:eastAsia="zh-CN"/>
        </w:rPr>
        <w:t>”</w:t>
      </w:r>
      <w:r>
        <w:rPr>
          <w:rFonts w:hint="eastAsia" w:ascii="仿宋_GB2312" w:hAnsi="仿宋_GB2312" w:eastAsia="仿宋_GB2312" w:cs="仿宋_GB2312"/>
          <w:sz w:val="32"/>
          <w:highlight w:val="none"/>
          <w:u w:val="none"/>
          <w:lang w:eastAsia="zh-CN"/>
        </w:rPr>
        <w:t>“</w:t>
      </w:r>
      <w:r>
        <w:rPr>
          <w:rFonts w:hint="eastAsia" w:ascii="仿宋_GB2312" w:hAnsi="仿宋_GB2312" w:eastAsia="仿宋_GB2312" w:cs="仿宋_GB2312"/>
          <w:sz w:val="32"/>
          <w:szCs w:val="32"/>
          <w:highlight w:val="none"/>
          <w:u w:val="none"/>
          <w:lang w:val="en-US" w:eastAsia="zh-CN"/>
        </w:rPr>
        <w:t>怀柔国潮文化季</w:t>
      </w:r>
      <w:r>
        <w:rPr>
          <w:rFonts w:hint="eastAsia" w:ascii="仿宋_GB2312" w:hAnsi="仿宋_GB2312" w:eastAsia="仿宋_GB2312" w:cs="仿宋_GB2312"/>
          <w:sz w:val="32"/>
          <w:highlight w:val="none"/>
          <w:u w:val="none"/>
          <w:lang w:eastAsia="zh-CN"/>
        </w:rPr>
        <w:t>”“</w:t>
      </w:r>
      <w:r>
        <w:rPr>
          <w:rFonts w:hint="default" w:ascii="仿宋_GB2312" w:hAnsi="仿宋_GB2312" w:eastAsia="仿宋_GB2312" w:cs="仿宋_GB2312"/>
          <w:sz w:val="32"/>
          <w:highlight w:val="none"/>
          <w:u w:val="none"/>
        </w:rPr>
        <w:t>书香怀柔</w:t>
      </w:r>
      <w:r>
        <w:rPr>
          <w:rFonts w:hint="eastAsia" w:ascii="仿宋_GB2312" w:hAnsi="仿宋_GB2312" w:eastAsia="仿宋_GB2312" w:cs="仿宋_GB2312"/>
          <w:sz w:val="32"/>
          <w:highlight w:val="none"/>
          <w:u w:val="none"/>
          <w:lang w:eastAsia="zh-CN"/>
        </w:rPr>
        <w:t>”</w:t>
      </w:r>
      <w:r>
        <w:rPr>
          <w:rFonts w:hint="default" w:ascii="仿宋_GB2312" w:hAnsi="仿宋_GB2312" w:eastAsia="仿宋_GB2312" w:cs="Times New Roman"/>
          <w:sz w:val="32"/>
          <w:highlight w:val="none"/>
          <w:u w:val="none"/>
        </w:rPr>
        <w:t>等特色品牌活动，塑造区域文化IP。</w:t>
      </w:r>
      <w:r>
        <w:rPr>
          <w:rFonts w:hint="default" w:ascii="仿宋_GB2312" w:hAnsi="仿宋_GB2312" w:eastAsia="仿宋_GB2312" w:cs="Times New Roman"/>
          <w:sz w:val="32"/>
          <w:highlight w:val="none"/>
          <w:u w:val="none"/>
          <w:lang w:val="en-US" w:eastAsia="zh-CN"/>
        </w:rPr>
        <w:t>支持办好燕城新春庙会、琉璃庙“敛巧饭”民俗活动、宝山“晒年节”等镇村文化活动</w:t>
      </w:r>
      <w:r>
        <w:rPr>
          <w:rFonts w:hint="eastAsia" w:ascii="仿宋_GB2312" w:hAnsi="仿宋_GB2312" w:eastAsia="仿宋_GB2312" w:cs="Times New Roman"/>
          <w:sz w:val="32"/>
          <w:highlight w:val="none"/>
          <w:u w:val="none"/>
          <w:lang w:val="en-US" w:eastAsia="zh-CN"/>
        </w:rPr>
        <w:t>。</w:t>
      </w:r>
      <w:r>
        <w:rPr>
          <w:rFonts w:hint="default" w:ascii="仿宋_GB2312" w:hAnsi="仿宋_GB2312" w:eastAsia="仿宋_GB2312" w:cs="Times New Roman"/>
          <w:sz w:val="32"/>
          <w:highlight w:val="none"/>
          <w:u w:val="none"/>
        </w:rPr>
        <w:t>常态化推进基层惠民文化活动，</w:t>
      </w:r>
      <w:r>
        <w:rPr>
          <w:rFonts w:hint="eastAsia" w:ascii="仿宋_GB2312" w:hAnsi="仿宋_GB2312" w:eastAsia="仿宋_GB2312" w:cs="Times New Roman"/>
          <w:sz w:val="32"/>
          <w:highlight w:val="none"/>
          <w:u w:val="none"/>
          <w:lang w:val="en-US" w:eastAsia="zh-CN"/>
        </w:rPr>
        <w:t>高标准</w:t>
      </w:r>
      <w:r>
        <w:rPr>
          <w:rFonts w:hint="default" w:ascii="仿宋_GB2312" w:hAnsi="仿宋_GB2312" w:eastAsia="仿宋_GB2312" w:cs="Times New Roman"/>
          <w:sz w:val="32"/>
          <w:highlight w:val="none"/>
          <w:u w:val="none"/>
        </w:rPr>
        <w:t>实施</w:t>
      </w:r>
      <w:r>
        <w:rPr>
          <w:rFonts w:hint="eastAsia" w:ascii="仿宋_GB2312" w:hAnsi="仿宋_GB2312" w:eastAsia="仿宋_GB2312" w:cs="Times New Roman"/>
          <w:sz w:val="32"/>
          <w:highlight w:val="none"/>
          <w:u w:val="none"/>
          <w:lang w:eastAsia="zh-CN"/>
        </w:rPr>
        <w:t>“</w:t>
      </w:r>
      <w:r>
        <w:rPr>
          <w:rFonts w:hint="eastAsia" w:ascii="仿宋_GB2312" w:hAnsi="仿宋_GB2312" w:eastAsia="仿宋_GB2312" w:cs="Times New Roman"/>
          <w:sz w:val="32"/>
          <w:highlight w:val="none"/>
          <w:u w:val="none"/>
          <w:lang w:val="en-US" w:eastAsia="zh-CN"/>
        </w:rPr>
        <w:t>公益电影放映工程</w:t>
      </w:r>
      <w:r>
        <w:rPr>
          <w:rFonts w:hint="eastAsia" w:ascii="仿宋_GB2312" w:hAnsi="仿宋_GB2312" w:eastAsia="仿宋_GB2312" w:cs="Times New Roman"/>
          <w:sz w:val="32"/>
          <w:highlight w:val="none"/>
          <w:u w:val="none"/>
          <w:lang w:eastAsia="zh-CN"/>
        </w:rPr>
        <w:t>”</w:t>
      </w:r>
      <w:r>
        <w:rPr>
          <w:rFonts w:hint="eastAsia" w:ascii="仿宋_GB2312" w:hAnsi="仿宋_GB2312" w:eastAsia="仿宋_GB2312" w:cs="仿宋_GB2312"/>
          <w:sz w:val="32"/>
          <w:highlight w:val="none"/>
          <w:u w:val="none"/>
          <w:lang w:eastAsia="zh-CN"/>
        </w:rPr>
        <w:t>“</w:t>
      </w:r>
      <w:r>
        <w:rPr>
          <w:rFonts w:hint="default" w:ascii="仿宋_GB2312" w:hAnsi="仿宋_GB2312" w:eastAsia="仿宋_GB2312" w:cs="仿宋_GB2312"/>
          <w:sz w:val="32"/>
          <w:highlight w:val="none"/>
          <w:u w:val="none"/>
        </w:rPr>
        <w:t>周末场演出计划</w:t>
      </w:r>
      <w:r>
        <w:rPr>
          <w:rFonts w:hint="eastAsia" w:ascii="仿宋_GB2312" w:hAnsi="仿宋_GB2312" w:eastAsia="仿宋_GB2312" w:cs="仿宋_GB2312"/>
          <w:sz w:val="32"/>
          <w:highlight w:val="none"/>
          <w:u w:val="none"/>
          <w:lang w:eastAsia="zh-CN"/>
        </w:rPr>
        <w:t>”“</w:t>
      </w:r>
      <w:r>
        <w:rPr>
          <w:rFonts w:hint="default" w:ascii="仿宋_GB2312" w:hAnsi="仿宋_GB2312" w:eastAsia="仿宋_GB2312" w:cs="仿宋_GB2312"/>
          <w:sz w:val="32"/>
          <w:highlight w:val="none"/>
          <w:u w:val="none"/>
        </w:rPr>
        <w:t>百姓周末大舞台</w:t>
      </w:r>
      <w:r>
        <w:rPr>
          <w:rFonts w:hint="eastAsia" w:ascii="仿宋_GB2312" w:hAnsi="仿宋_GB2312" w:eastAsia="仿宋_GB2312" w:cs="仿宋_GB2312"/>
          <w:sz w:val="32"/>
          <w:highlight w:val="none"/>
          <w:u w:val="none"/>
          <w:lang w:eastAsia="zh-CN"/>
        </w:rPr>
        <w:t>”</w:t>
      </w:r>
      <w:r>
        <w:rPr>
          <w:rFonts w:hint="default" w:ascii="仿宋_GB2312" w:hAnsi="仿宋_GB2312" w:eastAsia="仿宋_GB2312" w:cs="Times New Roman"/>
          <w:sz w:val="32"/>
          <w:highlight w:val="none"/>
          <w:u w:val="none"/>
        </w:rPr>
        <w:t>等项目，推动优质文化资源下沉基层</w:t>
      </w:r>
      <w:r>
        <w:rPr>
          <w:rFonts w:hint="eastAsia" w:ascii="仿宋_GB2312" w:hAnsi="仿宋_GB2312" w:eastAsia="仿宋_GB2312" w:cs="Times New Roman"/>
          <w:sz w:val="32"/>
          <w:highlight w:val="none"/>
          <w:u w:val="none"/>
          <w:lang w:eastAsia="zh-CN"/>
        </w:rPr>
        <w:t>，</w:t>
      </w:r>
      <w:r>
        <w:rPr>
          <w:rFonts w:hint="eastAsia" w:ascii="仿宋_GB2312" w:hAnsi="仿宋_GB2312" w:eastAsia="仿宋_GB2312" w:cs="Times New Roman"/>
          <w:sz w:val="32"/>
          <w:highlight w:val="none"/>
          <w:u w:val="none"/>
          <w:lang w:val="en-US" w:eastAsia="zh-CN"/>
        </w:rPr>
        <w:t>提高群众文化生活品质</w:t>
      </w:r>
      <w:r>
        <w:rPr>
          <w:rFonts w:hint="default" w:ascii="仿宋_GB2312" w:hAnsi="仿宋_GB2312" w:eastAsia="仿宋_GB2312" w:cs="Times New Roman"/>
          <w:sz w:val="32"/>
          <w:highlight w:val="none"/>
          <w:u w:val="none"/>
          <w:lang w:val="en-US" w:eastAsia="zh-CN"/>
        </w:rPr>
        <w:t>。</w:t>
      </w:r>
    </w:p>
    <w:p>
      <w:pPr>
        <w:keepNext w:val="0"/>
        <w:keepLines w:val="0"/>
        <w:pageBreakBefore w:val="0"/>
        <w:widowControl/>
        <w:numPr>
          <w:ilvl w:val="0"/>
          <w:numId w:val="0"/>
        </w:numPr>
        <w:kinsoku/>
        <w:overflowPunct/>
        <w:topLinePunct w:val="0"/>
        <w:autoSpaceDE/>
        <w:autoSpaceDN/>
        <w:bidi w:val="0"/>
        <w:adjustRightInd/>
        <w:snapToGrid/>
        <w:spacing w:beforeLines="-2147483648" w:afterLines="-2147483648" w:line="560" w:lineRule="exact"/>
        <w:ind w:firstLine="640" w:firstLineChars="200"/>
        <w:textAlignment w:val="auto"/>
        <w:outlineLvl w:val="1"/>
        <w:rPr>
          <w:rFonts w:hint="default" w:ascii="仿宋_GB2312" w:hAnsi="仿宋_GB2312" w:eastAsia="仿宋_GB2312" w:cs="Times New Roman"/>
          <w:b/>
          <w:bCs/>
          <w:sz w:val="32"/>
          <w:highlight w:val="none"/>
          <w:u w:val="none"/>
          <w:lang w:val="en-US" w:eastAsia="zh-CN"/>
        </w:rPr>
      </w:pPr>
      <w:bookmarkStart w:id="344" w:name="_Toc28495"/>
      <w:bookmarkStart w:id="345" w:name="_Toc31143"/>
      <w:bookmarkStart w:id="346" w:name="_Toc8408"/>
      <w:bookmarkStart w:id="347" w:name="_Toc4589"/>
      <w:bookmarkStart w:id="348" w:name="_Toc29892"/>
      <w:bookmarkStart w:id="349" w:name="_Toc15156"/>
      <w:bookmarkStart w:id="350" w:name="_Toc32105"/>
      <w:bookmarkStart w:id="351" w:name="_Toc5438"/>
      <w:bookmarkStart w:id="352" w:name="_Toc5467"/>
      <w:bookmarkStart w:id="353" w:name="_Toc22114"/>
      <w:bookmarkStart w:id="354" w:name="_Toc26368"/>
      <w:bookmarkStart w:id="355" w:name="_Toc3861"/>
      <w:r>
        <w:rPr>
          <w:rFonts w:hint="default" w:ascii="仿宋_GB2312" w:hAnsi="仿宋_GB2312" w:eastAsia="黑体" w:cs="Times New Roman"/>
          <w:b w:val="0"/>
          <w:kern w:val="2"/>
          <w:sz w:val="32"/>
          <w:szCs w:val="32"/>
          <w:highlight w:val="none"/>
          <w:u w:val="none"/>
          <w:lang w:val="en-US" w:eastAsia="zh-CN" w:bidi="ar-SA"/>
        </w:rPr>
        <w:t>二、构建全民</w:t>
      </w:r>
      <w:r>
        <w:rPr>
          <w:rFonts w:hint="eastAsia" w:ascii="仿宋_GB2312" w:hAnsi="仿宋_GB2312" w:eastAsia="黑体" w:cs="Times New Roman"/>
          <w:b w:val="0"/>
          <w:kern w:val="2"/>
          <w:sz w:val="32"/>
          <w:szCs w:val="32"/>
          <w:highlight w:val="none"/>
          <w:u w:val="none"/>
          <w:lang w:val="en-US" w:eastAsia="zh-CN" w:bidi="ar-SA"/>
        </w:rPr>
        <w:t>多元</w:t>
      </w:r>
      <w:r>
        <w:rPr>
          <w:rFonts w:hint="default" w:ascii="仿宋_GB2312" w:hAnsi="仿宋_GB2312" w:eastAsia="黑体" w:cs="Times New Roman"/>
          <w:b w:val="0"/>
          <w:kern w:val="2"/>
          <w:sz w:val="32"/>
          <w:szCs w:val="32"/>
          <w:highlight w:val="none"/>
          <w:u w:val="none"/>
          <w:lang w:val="en-US" w:eastAsia="zh-CN" w:bidi="ar-SA"/>
        </w:rPr>
        <w:t>健身服务体系</w:t>
      </w:r>
      <w:bookmarkEnd w:id="344"/>
      <w:bookmarkEnd w:id="345"/>
      <w:bookmarkEnd w:id="346"/>
      <w:bookmarkEnd w:id="347"/>
      <w:bookmarkEnd w:id="348"/>
      <w:bookmarkEnd w:id="349"/>
      <w:bookmarkEnd w:id="350"/>
      <w:bookmarkEnd w:id="351"/>
      <w:bookmarkEnd w:id="352"/>
      <w:bookmarkEnd w:id="353"/>
      <w:bookmarkEnd w:id="354"/>
      <w:bookmarkEnd w:id="355"/>
    </w:p>
    <w:p>
      <w:pPr>
        <w:spacing w:beforeLines="0" w:afterLines="0" w:line="560" w:lineRule="exact"/>
        <w:ind w:firstLine="640" w:firstLineChars="200"/>
        <w:rPr>
          <w:rFonts w:hint="default" w:ascii="仿宋_GB2312" w:hAnsi="仿宋_GB2312" w:eastAsia="仿宋_GB2312" w:cs="Times New Roman"/>
          <w:sz w:val="32"/>
          <w:highlight w:val="none"/>
          <w:u w:val="none"/>
          <w:lang w:val="en-US" w:eastAsia="zh-CN"/>
        </w:rPr>
      </w:pPr>
      <w:r>
        <w:rPr>
          <w:rFonts w:hint="eastAsia" w:ascii="仿宋_GB2312" w:hAnsi="仿宋_GB2312" w:eastAsia="仿宋_GB2312" w:cs="Times New Roman"/>
          <w:i w:val="0"/>
          <w:iCs w:val="0"/>
          <w:caps w:val="0"/>
          <w:spacing w:val="0"/>
          <w:sz w:val="32"/>
          <w:szCs w:val="24"/>
          <w:highlight w:val="none"/>
          <w:u w:val="none"/>
          <w:shd w:val="clear"/>
        </w:rPr>
        <w:t>完善全民健身服务体系</w:t>
      </w:r>
      <w:r>
        <w:rPr>
          <w:rFonts w:hint="eastAsia" w:ascii="仿宋_GB2312" w:hAnsi="仿宋_GB2312" w:eastAsia="仿宋_GB2312" w:cs="Times New Roman"/>
          <w:i w:val="0"/>
          <w:iCs w:val="0"/>
          <w:caps w:val="0"/>
          <w:spacing w:val="0"/>
          <w:sz w:val="32"/>
          <w:szCs w:val="24"/>
          <w:highlight w:val="none"/>
          <w:u w:val="none"/>
          <w:shd w:val="clear"/>
          <w:lang w:eastAsia="zh-CN"/>
        </w:rPr>
        <w:t>，</w:t>
      </w:r>
      <w:r>
        <w:rPr>
          <w:rFonts w:hint="eastAsia" w:ascii="仿宋_GB2312" w:hAnsi="仿宋_GB2312" w:eastAsia="仿宋_GB2312" w:cs="Times New Roman"/>
          <w:i w:val="0"/>
          <w:iCs w:val="0"/>
          <w:caps w:val="0"/>
          <w:spacing w:val="0"/>
          <w:sz w:val="32"/>
          <w:szCs w:val="24"/>
          <w:highlight w:val="none"/>
          <w:u w:val="none"/>
          <w:shd w:val="clear"/>
        </w:rPr>
        <w:t>满足群众多样化健身和健康需求</w:t>
      </w:r>
      <w:r>
        <w:rPr>
          <w:rFonts w:hint="eastAsia" w:ascii="仿宋_GB2312" w:hAnsi="仿宋_GB2312" w:eastAsia="仿宋_GB2312" w:cs="Times New Roman"/>
          <w:i w:val="0"/>
          <w:iCs w:val="0"/>
          <w:caps w:val="0"/>
          <w:spacing w:val="0"/>
          <w:sz w:val="32"/>
          <w:szCs w:val="24"/>
          <w:highlight w:val="none"/>
          <w:u w:val="none"/>
          <w:shd w:val="clear"/>
          <w:lang w:eastAsia="zh-CN"/>
        </w:rPr>
        <w:t>。</w:t>
      </w:r>
      <w:r>
        <w:rPr>
          <w:rFonts w:hint="eastAsia" w:ascii="仿宋_GB2312" w:hAnsi="仿宋_GB2312" w:eastAsia="仿宋_GB2312" w:cs="Times New Roman"/>
          <w:i w:val="0"/>
          <w:iCs w:val="0"/>
          <w:caps w:val="0"/>
          <w:spacing w:val="0"/>
          <w:sz w:val="32"/>
          <w:szCs w:val="24"/>
          <w:highlight w:val="none"/>
          <w:u w:val="none"/>
          <w:shd w:val="clear"/>
        </w:rPr>
        <w:t>通过扩大全民健身场地供给、打造全龄友好型健身空间、</w:t>
      </w:r>
      <w:r>
        <w:rPr>
          <w:rFonts w:hint="eastAsia" w:ascii="仿宋_GB2312" w:hAnsi="仿宋_GB2312" w:eastAsia="仿宋_GB2312" w:cs="Times New Roman"/>
          <w:i w:val="0"/>
          <w:iCs w:val="0"/>
          <w:caps w:val="0"/>
          <w:spacing w:val="0"/>
          <w:sz w:val="32"/>
          <w:szCs w:val="24"/>
          <w:highlight w:val="none"/>
          <w:u w:val="none"/>
          <w:shd w:val="clear"/>
          <w:lang w:val="en-US" w:eastAsia="zh-CN"/>
        </w:rPr>
        <w:t>统筹</w:t>
      </w:r>
      <w:r>
        <w:rPr>
          <w:rFonts w:hint="eastAsia" w:ascii="仿宋_GB2312" w:hAnsi="仿宋_GB2312" w:eastAsia="仿宋_GB2312" w:cs="仿宋_GB2312"/>
          <w:sz w:val="32"/>
          <w:szCs w:val="32"/>
          <w:highlight w:val="none"/>
          <w:u w:val="none"/>
          <w:lang w:val="en-US" w:eastAsia="zh-CN"/>
        </w:rPr>
        <w:t>推进群众体育和竞技体育发展</w:t>
      </w:r>
      <w:r>
        <w:rPr>
          <w:rFonts w:hint="eastAsia" w:ascii="仿宋_GB2312" w:hAnsi="仿宋_GB2312" w:eastAsia="仿宋_GB2312" w:cs="Times New Roman"/>
          <w:i w:val="0"/>
          <w:iCs w:val="0"/>
          <w:caps w:val="0"/>
          <w:spacing w:val="0"/>
          <w:sz w:val="32"/>
          <w:szCs w:val="24"/>
          <w:highlight w:val="none"/>
          <w:u w:val="none"/>
          <w:shd w:val="clear"/>
        </w:rPr>
        <w:t>，推动全民健身深度融入群众日常生活，让体育成为提升生活品质、激发城市活力的重要力量。</w:t>
      </w:r>
    </w:p>
    <w:p>
      <w:pPr>
        <w:keepNext w:val="0"/>
        <w:keepLines w:val="0"/>
        <w:pageBreakBefore w:val="0"/>
        <w:widowControl/>
        <w:numPr>
          <w:ilvl w:val="0"/>
          <w:numId w:val="0"/>
        </w:numPr>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b w:val="0"/>
          <w:bCs w:val="0"/>
          <w:sz w:val="32"/>
          <w:szCs w:val="24"/>
          <w:highlight w:val="none"/>
          <w:u w:val="none"/>
          <w:lang w:val="en-US" w:eastAsia="zh-CN"/>
        </w:rPr>
      </w:pPr>
      <w:r>
        <w:rPr>
          <w:rFonts w:hint="eastAsia" w:ascii="仿宋_GB2312" w:hAnsi="仿宋_GB2312" w:eastAsia="楷体_GB2312" w:cs="楷体_GB2312"/>
          <w:b w:val="0"/>
          <w:bCs w:val="0"/>
          <w:sz w:val="32"/>
          <w:szCs w:val="24"/>
          <w:highlight w:val="none"/>
          <w:u w:val="none"/>
          <w:lang w:val="en-US" w:eastAsia="zh-CN"/>
        </w:rPr>
        <w:t>（一）加大全民健身场地供给</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Times New Roman"/>
          <w:sz w:val="32"/>
          <w:szCs w:val="32"/>
          <w:highlight w:val="none"/>
          <w:u w:val="none"/>
          <w:lang w:val="en-US" w:eastAsia="zh-CN"/>
        </w:rPr>
      </w:pPr>
      <w:r>
        <w:rPr>
          <w:rFonts w:hint="eastAsia" w:ascii="仿宋_GB2312" w:hAnsi="仿宋_GB2312" w:eastAsia="仿宋_GB2312" w:cs="Times New Roman"/>
          <w:sz w:val="32"/>
          <w:szCs w:val="32"/>
          <w:highlight w:val="none"/>
          <w:u w:val="none"/>
          <w:lang w:val="en-US" w:eastAsia="zh-CN"/>
        </w:rPr>
        <w:t>推动体育设施</w:t>
      </w:r>
      <w:r>
        <w:rPr>
          <w:rFonts w:hint="default" w:ascii="仿宋_GB2312" w:hAnsi="仿宋_GB2312" w:eastAsia="仿宋_GB2312" w:cs="Times New Roman"/>
          <w:sz w:val="32"/>
          <w:szCs w:val="32"/>
          <w:highlight w:val="none"/>
          <w:u w:val="none"/>
          <w:lang w:val="en-US" w:eastAsia="zh-CN"/>
        </w:rPr>
        <w:t>增量建设与存量盘活并重，不断扩大体育服务覆盖面。</w:t>
      </w:r>
      <w:r>
        <w:rPr>
          <w:rFonts w:hint="default" w:ascii="仿宋_GB2312" w:hAnsi="仿宋_GB2312" w:eastAsia="仿宋_GB2312" w:cs="仿宋_GB2312"/>
          <w:sz w:val="32"/>
          <w:szCs w:val="32"/>
          <w:highlight w:val="none"/>
          <w:u w:val="none"/>
          <w:lang w:val="en-US" w:eastAsia="zh-CN"/>
        </w:rPr>
        <w:t>加快补齐</w:t>
      </w:r>
      <w:r>
        <w:rPr>
          <w:rFonts w:hint="eastAsia" w:ascii="仿宋_GB2312" w:hAnsi="仿宋_GB2312" w:eastAsia="仿宋_GB2312" w:cs="仿宋_GB2312"/>
          <w:sz w:val="32"/>
          <w:szCs w:val="32"/>
          <w:highlight w:val="none"/>
          <w:u w:val="none"/>
          <w:lang w:val="en-US" w:eastAsia="zh-CN"/>
        </w:rPr>
        <w:t>怀柔</w:t>
      </w:r>
      <w:r>
        <w:rPr>
          <w:rFonts w:hint="default" w:ascii="仿宋_GB2312" w:hAnsi="仿宋_GB2312" w:eastAsia="仿宋_GB2312" w:cs="仿宋_GB2312"/>
          <w:sz w:val="32"/>
          <w:szCs w:val="32"/>
          <w:highlight w:val="none"/>
          <w:u w:val="none"/>
          <w:lang w:val="en-US" w:eastAsia="zh-CN"/>
        </w:rPr>
        <w:t>科学城体育设施</w:t>
      </w:r>
      <w:r>
        <w:rPr>
          <w:rFonts w:hint="eastAsia" w:ascii="仿宋_GB2312" w:hAnsi="仿宋_GB2312" w:eastAsia="仿宋_GB2312" w:cs="仿宋_GB2312"/>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推进陈各庄街区级全民健身中心建设</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充分利用公园绿地、滨水空间、闲置厂房等资源，嵌入式布设体育设施，</w:t>
      </w:r>
      <w:r>
        <w:rPr>
          <w:rFonts w:hint="default" w:ascii="仿宋_GB2312" w:hAnsi="仿宋_GB2312" w:eastAsia="仿宋_GB2312" w:cs="仿宋_GB2312"/>
          <w:sz w:val="32"/>
          <w:szCs w:val="32"/>
          <w:highlight w:val="none"/>
          <w:u w:val="none"/>
          <w:lang w:val="en-US" w:eastAsia="zh-CN"/>
        </w:rPr>
        <w:t>因地制宜建设一批贴近社区、方便可达的运动场地</w:t>
      </w:r>
      <w:r>
        <w:rPr>
          <w:rFonts w:hint="eastAsia" w:ascii="仿宋_GB2312" w:hAnsi="仿宋_GB2312" w:eastAsia="仿宋_GB2312" w:cs="Times New Roman"/>
          <w:sz w:val="32"/>
          <w:szCs w:val="32"/>
          <w:highlight w:val="none"/>
          <w:u w:val="none"/>
          <w:lang w:val="en-US" w:eastAsia="zh-CN"/>
        </w:rPr>
        <w:t>，拓</w:t>
      </w:r>
      <w:r>
        <w:rPr>
          <w:rFonts w:hint="default" w:ascii="仿宋_GB2312" w:hAnsi="仿宋_GB2312" w:eastAsia="仿宋_GB2312" w:cs="Times New Roman"/>
          <w:sz w:val="32"/>
          <w:szCs w:val="32"/>
          <w:highlight w:val="none"/>
          <w:u w:val="none"/>
          <w:lang w:val="en-US" w:eastAsia="zh-CN"/>
        </w:rPr>
        <w:t>展群众身边的健身场景。</w:t>
      </w:r>
      <w:r>
        <w:rPr>
          <w:rFonts w:hint="eastAsia" w:ascii="仿宋_GB2312" w:hAnsi="仿宋_GB2312" w:eastAsia="仿宋_GB2312" w:cs="Times New Roman"/>
          <w:sz w:val="32"/>
          <w:szCs w:val="32"/>
          <w:highlight w:val="none"/>
          <w:u w:val="none"/>
          <w:lang w:val="en-US" w:eastAsia="zh-CN"/>
        </w:rPr>
        <w:t>推动现有体育设施</w:t>
      </w:r>
      <w:r>
        <w:rPr>
          <w:rFonts w:hint="default" w:ascii="仿宋_GB2312" w:hAnsi="仿宋_GB2312" w:eastAsia="仿宋_GB2312" w:cs="Times New Roman"/>
          <w:sz w:val="32"/>
          <w:szCs w:val="32"/>
          <w:highlight w:val="none"/>
          <w:u w:val="none"/>
          <w:lang w:val="en-US" w:eastAsia="zh-CN"/>
        </w:rPr>
        <w:t>集约</w:t>
      </w:r>
      <w:r>
        <w:rPr>
          <w:rFonts w:hint="eastAsia" w:ascii="仿宋_GB2312" w:hAnsi="仿宋_GB2312" w:eastAsia="仿宋_GB2312" w:cs="Times New Roman"/>
          <w:sz w:val="32"/>
          <w:szCs w:val="32"/>
          <w:highlight w:val="none"/>
          <w:u w:val="none"/>
          <w:lang w:val="en-US" w:eastAsia="zh-CN"/>
        </w:rPr>
        <w:t>化</w:t>
      </w:r>
      <w:r>
        <w:rPr>
          <w:rFonts w:hint="default" w:ascii="仿宋_GB2312" w:hAnsi="仿宋_GB2312" w:eastAsia="仿宋_GB2312" w:cs="Times New Roman"/>
          <w:sz w:val="32"/>
          <w:szCs w:val="32"/>
          <w:highlight w:val="none"/>
          <w:u w:val="none"/>
          <w:lang w:val="en-US" w:eastAsia="zh-CN"/>
        </w:rPr>
        <w:t>利用</w:t>
      </w:r>
      <w:r>
        <w:rPr>
          <w:rFonts w:hint="default" w:ascii="仿宋_GB2312" w:hAnsi="仿宋_GB2312" w:eastAsia="仿宋_GB2312" w:cs="Times New Roman"/>
          <w:sz w:val="32"/>
          <w:szCs w:val="32"/>
          <w:highlight w:val="none"/>
          <w:u w:val="none"/>
        </w:rPr>
        <w:t>与智慧化管理</w:t>
      </w:r>
      <w:r>
        <w:rPr>
          <w:rFonts w:hint="default" w:ascii="仿宋_GB2312" w:hAnsi="仿宋_GB2312" w:eastAsia="仿宋_GB2312" w:cs="Times New Roman"/>
          <w:sz w:val="32"/>
          <w:szCs w:val="32"/>
          <w:highlight w:val="none"/>
          <w:u w:val="none"/>
          <w:lang w:val="en-US" w:eastAsia="zh-CN"/>
        </w:rPr>
        <w:t>，推动公共体育设施复合利用和空间共享，提高存量体育资源</w:t>
      </w:r>
      <w:r>
        <w:rPr>
          <w:rFonts w:hint="eastAsia" w:ascii="仿宋_GB2312" w:hAnsi="仿宋_GB2312" w:eastAsia="仿宋_GB2312" w:cs="Times New Roman"/>
          <w:sz w:val="32"/>
          <w:szCs w:val="32"/>
          <w:highlight w:val="none"/>
          <w:u w:val="none"/>
          <w:lang w:val="en-US" w:eastAsia="zh-CN"/>
        </w:rPr>
        <w:t>利用</w:t>
      </w:r>
      <w:r>
        <w:rPr>
          <w:rFonts w:hint="default" w:ascii="仿宋_GB2312" w:hAnsi="仿宋_GB2312" w:eastAsia="仿宋_GB2312" w:cs="Times New Roman"/>
          <w:sz w:val="32"/>
          <w:szCs w:val="32"/>
          <w:highlight w:val="none"/>
          <w:u w:val="none"/>
          <w:lang w:val="en-US" w:eastAsia="zh-CN"/>
        </w:rPr>
        <w:t>效率。积极推动</w:t>
      </w:r>
      <w:r>
        <w:rPr>
          <w:rFonts w:hint="eastAsia" w:ascii="仿宋_GB2312" w:hAnsi="仿宋_GB2312" w:eastAsia="仿宋_GB2312" w:cs="Times New Roman"/>
          <w:sz w:val="32"/>
          <w:szCs w:val="32"/>
          <w:highlight w:val="none"/>
          <w:u w:val="none"/>
          <w:lang w:val="en-US" w:eastAsia="zh-CN"/>
        </w:rPr>
        <w:t>学校</w:t>
      </w:r>
      <w:r>
        <w:rPr>
          <w:rFonts w:hint="default" w:ascii="仿宋_GB2312" w:hAnsi="仿宋_GB2312" w:eastAsia="仿宋_GB2312" w:cs="Times New Roman"/>
          <w:sz w:val="32"/>
          <w:szCs w:val="32"/>
          <w:highlight w:val="none"/>
          <w:u w:val="none"/>
          <w:lang w:val="en-US" w:eastAsia="zh-CN"/>
        </w:rPr>
        <w:t>体育设施有序向社会开放，探索建立规范化的运营管理和使用机制，在法定节假日和寒暑假期间实现常态化开放，提升场馆使用效率和服务能力。到2030年，</w:t>
      </w:r>
      <w:r>
        <w:rPr>
          <w:rFonts w:hint="eastAsia" w:ascii="仿宋_GB2312" w:hAnsi="仿宋_GB2312" w:eastAsia="仿宋_GB2312" w:cs="Times New Roman"/>
          <w:sz w:val="32"/>
          <w:szCs w:val="32"/>
          <w:highlight w:val="none"/>
          <w:u w:val="none"/>
          <w:lang w:val="en-US" w:eastAsia="zh-CN"/>
        </w:rPr>
        <w:t>实现</w:t>
      </w:r>
      <w:r>
        <w:rPr>
          <w:rFonts w:hint="default" w:ascii="仿宋_GB2312" w:hAnsi="仿宋_GB2312" w:eastAsia="仿宋_GB2312" w:cs="Times New Roman"/>
          <w:sz w:val="32"/>
          <w:szCs w:val="32"/>
          <w:highlight w:val="none"/>
          <w:u w:val="none"/>
          <w:lang w:val="en-US" w:eastAsia="zh-CN"/>
        </w:rPr>
        <w:t>人均体育场地面积</w:t>
      </w:r>
      <w:r>
        <w:rPr>
          <w:rFonts w:hint="eastAsia" w:ascii="仿宋_GB2312" w:hAnsi="仿宋_GB2312" w:eastAsia="仿宋_GB2312" w:cs="Times New Roman"/>
          <w:sz w:val="32"/>
          <w:szCs w:val="32"/>
          <w:highlight w:val="none"/>
          <w:u w:val="none"/>
          <w:lang w:val="en-US" w:eastAsia="zh-CN"/>
        </w:rPr>
        <w:t>达</w:t>
      </w:r>
      <w:bookmarkStart w:id="356" w:name="体育场地面积"/>
      <w:r>
        <w:rPr>
          <w:rFonts w:hint="eastAsia" w:ascii="仿宋_GB2312" w:hAnsi="仿宋_GB2312" w:eastAsia="仿宋_GB2312" w:cs="Times New Roman"/>
          <w:sz w:val="32"/>
          <w:szCs w:val="32"/>
          <w:highlight w:val="none"/>
          <w:u w:val="none"/>
          <w:lang w:val="en-US" w:eastAsia="zh-CN"/>
        </w:rPr>
        <w:t>3.81</w:t>
      </w:r>
      <w:bookmarkEnd w:id="356"/>
      <w:r>
        <w:rPr>
          <w:rFonts w:hint="default" w:ascii="仿宋_GB2312" w:hAnsi="仿宋_GB2312" w:eastAsia="仿宋_GB2312" w:cs="Times New Roman"/>
          <w:sz w:val="32"/>
          <w:szCs w:val="32"/>
          <w:highlight w:val="none"/>
          <w:u w:val="none"/>
          <w:lang w:val="en-US" w:eastAsia="zh-CN"/>
        </w:rPr>
        <w:t>平方米，有效提升全民健身公共服务供给水平。</w:t>
      </w:r>
    </w:p>
    <w:p>
      <w:pPr>
        <w:keepNext w:val="0"/>
        <w:keepLines w:val="0"/>
        <w:pageBreakBefore w:val="0"/>
        <w:widowControl/>
        <w:numPr>
          <w:ilvl w:val="0"/>
          <w:numId w:val="0"/>
        </w:numPr>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b w:val="0"/>
          <w:bCs w:val="0"/>
          <w:sz w:val="32"/>
          <w:szCs w:val="24"/>
          <w:highlight w:val="none"/>
          <w:u w:val="none"/>
          <w:lang w:val="en-US" w:eastAsia="zh-CN"/>
        </w:rPr>
      </w:pPr>
      <w:r>
        <w:rPr>
          <w:rFonts w:hint="eastAsia" w:ascii="仿宋_GB2312" w:hAnsi="仿宋_GB2312" w:eastAsia="楷体_GB2312" w:cs="楷体_GB2312"/>
          <w:b w:val="0"/>
          <w:bCs w:val="0"/>
          <w:sz w:val="32"/>
          <w:szCs w:val="24"/>
          <w:highlight w:val="none"/>
          <w:u w:val="none"/>
          <w:lang w:val="en-US" w:eastAsia="zh-CN"/>
        </w:rPr>
        <w:t>（二）打造全龄友好型健身空间</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Times New Roman"/>
          <w:sz w:val="32"/>
          <w:szCs w:val="32"/>
          <w:highlight w:val="none"/>
          <w:u w:val="none"/>
          <w:lang w:val="en-US" w:eastAsia="zh-CN"/>
        </w:rPr>
      </w:pPr>
      <w:r>
        <w:rPr>
          <w:rFonts w:hint="default" w:ascii="仿宋_GB2312" w:hAnsi="仿宋_GB2312" w:eastAsia="仿宋_GB2312" w:cs="Times New Roman"/>
          <w:sz w:val="32"/>
          <w:szCs w:val="32"/>
          <w:highlight w:val="none"/>
          <w:u w:val="none"/>
          <w:lang w:val="en-US" w:eastAsia="zh-CN"/>
        </w:rPr>
        <w:t>聚焦儿童、青少年、老年等重点群体健身需求，合理配置公共体育设施，提升空间适配性与可及性。在社区、公园、绿地等公共场所，增设适合学龄前儿童大动作发展与体能锻炼的器材</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针对青少年近视、肥胖等突出健康问题，强化体育干预，配置契合青少年成长特点的健身设施</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提高设施适老化水平，推广适合老年群体的康体休闲项目。常态化开展健身器材维护与更新，提升全民健身服务的安全性与可持续性。加快推进体育设施智能化改造，提升设施利用效率和管理水平。深入实施全民健身示范工程，健全社会体育指导员培训机制，持续提升健身服务的专业化、规范化水平，推动形成全龄友好、均衡共享的健身空间体系。到2030年，</w:t>
      </w:r>
      <w:r>
        <w:rPr>
          <w:rFonts w:hint="eastAsia" w:ascii="仿宋_GB2312" w:hAnsi="仿宋_GB2312" w:eastAsia="仿宋_GB2312" w:cs="Times New Roman"/>
          <w:sz w:val="32"/>
          <w:szCs w:val="32"/>
          <w:highlight w:val="none"/>
          <w:u w:val="none"/>
          <w:lang w:val="en-US" w:eastAsia="zh-CN"/>
        </w:rPr>
        <w:t>实现</w:t>
      </w:r>
      <w:r>
        <w:rPr>
          <w:rFonts w:hint="default" w:ascii="仿宋_GB2312" w:hAnsi="仿宋_GB2312" w:eastAsia="仿宋_GB2312" w:cs="Times New Roman"/>
          <w:sz w:val="32"/>
          <w:szCs w:val="32"/>
          <w:highlight w:val="none"/>
          <w:u w:val="none"/>
          <w:lang w:val="en-US" w:eastAsia="zh-CN"/>
        </w:rPr>
        <w:t>经常参加体育锻炼人数占比</w:t>
      </w:r>
      <w:r>
        <w:rPr>
          <w:rFonts w:hint="eastAsia" w:ascii="仿宋_GB2312" w:hAnsi="仿宋_GB2312" w:eastAsia="仿宋_GB2312" w:cs="Times New Roman"/>
          <w:sz w:val="32"/>
          <w:szCs w:val="32"/>
          <w:highlight w:val="none"/>
          <w:u w:val="none"/>
          <w:lang w:val="en-US" w:eastAsia="zh-CN"/>
        </w:rPr>
        <w:t>不低于55%。</w:t>
      </w:r>
    </w:p>
    <w:p>
      <w:pPr>
        <w:keepNext w:val="0"/>
        <w:keepLines w:val="0"/>
        <w:pageBreakBefore w:val="0"/>
        <w:widowControl/>
        <w:numPr>
          <w:ilvl w:val="0"/>
          <w:numId w:val="0"/>
        </w:numPr>
        <w:kinsoku/>
        <w:overflowPunct/>
        <w:topLinePunct w:val="0"/>
        <w:autoSpaceDE/>
        <w:autoSpaceDN/>
        <w:bidi w:val="0"/>
        <w:adjustRightInd/>
        <w:snapToGrid/>
        <w:spacing w:beforeLines="0" w:afterLines="0" w:line="560" w:lineRule="exact"/>
        <w:ind w:firstLine="640" w:firstLineChars="200"/>
        <w:textAlignment w:val="auto"/>
        <w:outlineLvl w:val="2"/>
        <w:rPr>
          <w:rFonts w:hint="eastAsia" w:ascii="仿宋_GB2312" w:hAnsi="仿宋_GB2312" w:eastAsia="楷体_GB2312" w:cs="楷体_GB2312"/>
          <w:b w:val="0"/>
          <w:bCs w:val="0"/>
          <w:sz w:val="32"/>
          <w:szCs w:val="24"/>
          <w:highlight w:val="none"/>
          <w:u w:val="none"/>
          <w:lang w:val="en-US" w:eastAsia="zh-CN"/>
        </w:rPr>
      </w:pPr>
      <w:r>
        <w:rPr>
          <w:rFonts w:hint="eastAsia" w:ascii="仿宋_GB2312" w:hAnsi="仿宋_GB2312" w:eastAsia="楷体_GB2312" w:cs="楷体_GB2312"/>
          <w:b w:val="0"/>
          <w:bCs w:val="0"/>
          <w:sz w:val="32"/>
          <w:szCs w:val="24"/>
          <w:highlight w:val="none"/>
          <w:u w:val="none"/>
          <w:lang w:val="en-US" w:eastAsia="zh-CN"/>
        </w:rPr>
        <w:t>（三）丰富体育赛事活动供给</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rPr>
          <w:rFonts w:hint="default" w:ascii="仿宋_GB2312" w:hAnsi="仿宋_GB2312" w:eastAsia="仿宋_GB2312" w:cs="仿宋_GB2312"/>
          <w:sz w:val="32"/>
          <w:szCs w:val="32"/>
          <w:highlight w:val="none"/>
          <w:u w:val="none"/>
          <w:lang w:val="en-US" w:eastAsia="zh-CN"/>
        </w:rPr>
      </w:pPr>
      <w:r>
        <w:rPr>
          <w:rFonts w:hint="default" w:ascii="仿宋_GB2312" w:hAnsi="仿宋_GB2312" w:eastAsia="仿宋_GB2312" w:cs="Times New Roman"/>
          <w:sz w:val="32"/>
          <w:szCs w:val="32"/>
          <w:highlight w:val="none"/>
          <w:u w:val="none"/>
          <w:lang w:val="en-US" w:eastAsia="zh-CN"/>
        </w:rPr>
        <w:t>构建</w:t>
      </w:r>
      <w:r>
        <w:rPr>
          <w:rFonts w:hint="eastAsia" w:ascii="仿宋_GB2312" w:hAnsi="仿宋_GB2312" w:eastAsia="仿宋_GB2312" w:cs="仿宋_GB2312"/>
          <w:sz w:val="32"/>
          <w:szCs w:val="32"/>
          <w:highlight w:val="none"/>
          <w:u w:val="none"/>
          <w:lang w:val="en-US" w:eastAsia="zh-CN"/>
        </w:rPr>
        <w:t>“国家级引领、市区级支撑、基层级普及”的多层次全民体育赛事体系，激发赛事经济活力。促进体育事业高质量发展，加快培育和引进一批高水平教练员、运动员等优秀人才，不断提高竞技体育综合实力，推动“三大球”振兴发展，加强足球青训体系建设。高水平办好怀柔长城马拉松、北京怀柔徒步大会等具有影响力的品牌赛事活动，引入铁人三项世界杯赛、凯乐石跑山赛等高附加值赛事，推动高质量户外运动目的地建设。常态化举办“科学城杯”龙舟大赛、篮球联赛、“和谐杯”乒乓球赛等区级重点赛事，提升群众参与度和赛事品牌效应。培育镇乡级特色体育活动，推动赛事活动进社区、进农村，形成覆盖广泛、内容多元的赛事供给格局，切实满足不同群体健身需求，推动全民健身理念深入人心。</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sz w:val="32"/>
          <w:highlight w:val="none"/>
          <w:u w:val="none"/>
          <w:lang w:val="en-US" w:eastAsia="zh-CN"/>
        </w:rPr>
      </w:pPr>
      <w:r>
        <w:rPr>
          <w:rFonts w:hint="default" w:ascii="仿宋_GB2312" w:hAnsi="仿宋_GB2312" w:eastAsia="仿宋_GB2312" w:cs="Times New Roman"/>
          <w:sz w:val="32"/>
          <w:highlight w:val="none"/>
          <w:u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ascii="仿宋_GB2312" w:hAnsi="仿宋_GB2312" w:eastAsia="方正小标宋_GBK" w:cs="方正小标宋_GBK"/>
          <w:b w:val="0"/>
          <w:bCs/>
          <w:sz w:val="36"/>
          <w:szCs w:val="36"/>
          <w:highlight w:val="none"/>
          <w:u w:val="none"/>
          <w:lang w:val="en-US" w:eastAsia="zh-CN"/>
        </w:rPr>
      </w:pPr>
      <w:bookmarkStart w:id="357" w:name="_Toc20178"/>
      <w:bookmarkStart w:id="358" w:name="_Toc3660"/>
      <w:bookmarkStart w:id="359" w:name="_Toc26831"/>
      <w:bookmarkStart w:id="360" w:name="_Toc19500"/>
      <w:bookmarkStart w:id="361" w:name="_Toc10440"/>
      <w:bookmarkStart w:id="362" w:name="_Toc3517"/>
      <w:bookmarkStart w:id="363" w:name="_Toc27337"/>
      <w:bookmarkStart w:id="364" w:name="_Toc29043"/>
      <w:bookmarkStart w:id="365" w:name="_Toc3742"/>
      <w:bookmarkStart w:id="366" w:name="_Toc24084"/>
      <w:bookmarkStart w:id="367" w:name="_Toc28016"/>
      <w:bookmarkStart w:id="368" w:name="_Toc7301"/>
      <w:r>
        <w:rPr>
          <w:rFonts w:hint="eastAsia" w:ascii="仿宋_GB2312" w:hAnsi="仿宋_GB2312" w:eastAsia="方正小标宋_GBK" w:cs="方正小标宋_GBK"/>
          <w:b w:val="0"/>
          <w:bCs/>
          <w:sz w:val="36"/>
          <w:szCs w:val="36"/>
          <w:highlight w:val="none"/>
          <w:u w:val="none"/>
          <w:lang w:val="en-US" w:eastAsia="zh-CN"/>
        </w:rPr>
        <w:t>第七章 构建重点人群精准保障</w:t>
      </w:r>
      <w:bookmarkEnd w:id="328"/>
      <w:r>
        <w:rPr>
          <w:rFonts w:hint="eastAsia" w:ascii="仿宋_GB2312" w:hAnsi="仿宋_GB2312" w:eastAsia="方正小标宋_GBK" w:cs="方正小标宋_GBK"/>
          <w:b w:val="0"/>
          <w:bCs/>
          <w:sz w:val="36"/>
          <w:szCs w:val="36"/>
          <w:highlight w:val="none"/>
          <w:u w:val="none"/>
          <w:lang w:val="en-US" w:eastAsia="zh-CN"/>
        </w:rPr>
        <w:t>体系</w:t>
      </w:r>
      <w:bookmarkEnd w:id="329"/>
      <w:bookmarkEnd w:id="330"/>
      <w:bookmarkEnd w:id="331"/>
      <w:bookmarkEnd w:id="357"/>
      <w:bookmarkEnd w:id="358"/>
      <w:bookmarkEnd w:id="359"/>
      <w:bookmarkEnd w:id="360"/>
      <w:bookmarkEnd w:id="361"/>
      <w:bookmarkEnd w:id="362"/>
      <w:bookmarkEnd w:id="363"/>
      <w:bookmarkEnd w:id="364"/>
      <w:bookmarkEnd w:id="365"/>
      <w:bookmarkEnd w:id="366"/>
      <w:bookmarkEnd w:id="367"/>
      <w:bookmarkEnd w:id="368"/>
    </w:p>
    <w:p>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kern w:val="2"/>
          <w:sz w:val="32"/>
          <w:szCs w:val="24"/>
          <w:highlight w:val="none"/>
          <w:u w:val="none"/>
          <w:lang w:val="en-US" w:eastAsia="zh-CN" w:bidi="ar-SA"/>
        </w:rPr>
      </w:pPr>
      <w:r>
        <w:rPr>
          <w:rFonts w:hint="eastAsia" w:ascii="仿宋_GB2312" w:hAnsi="仿宋_GB2312" w:eastAsia="仿宋_GB2312" w:cs="Times New Roman"/>
          <w:kern w:val="2"/>
          <w:sz w:val="32"/>
          <w:szCs w:val="24"/>
          <w:highlight w:val="none"/>
          <w:u w:val="none"/>
          <w:lang w:val="en-US" w:eastAsia="zh-CN" w:bidi="ar-SA"/>
        </w:rPr>
        <w:t>聚焦“一老一小”等重点群体，统筹困难群体、残疾人、妇女儿童、退役军人等群体，加快形成全覆盖、分层次、多维度的精准保障体系。以完善服务供给、健全救助网络、强化权益维护为重点，全面提升重点人群服务保障质量和公平性，推动形成更加完善的公共服务支撑格局和包容共享的社会环境。</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Times New Roman"/>
          <w:b w:val="0"/>
          <w:kern w:val="2"/>
          <w:sz w:val="32"/>
          <w:szCs w:val="32"/>
          <w:highlight w:val="none"/>
          <w:u w:val="none"/>
          <w:lang w:val="en-US" w:eastAsia="zh-CN" w:bidi="ar-SA"/>
        </w:rPr>
      </w:pPr>
      <w:bookmarkStart w:id="369" w:name="_Toc11999"/>
      <w:bookmarkStart w:id="370" w:name="_Toc19767"/>
      <w:bookmarkStart w:id="371" w:name="_Toc8828"/>
      <w:bookmarkStart w:id="372" w:name="_Toc18186"/>
      <w:bookmarkStart w:id="373" w:name="_Toc31319"/>
      <w:bookmarkStart w:id="374" w:name="_Toc31006"/>
      <w:bookmarkStart w:id="375" w:name="_Toc14912"/>
      <w:bookmarkStart w:id="376" w:name="_Toc3927"/>
      <w:bookmarkStart w:id="377" w:name="_Toc30163"/>
      <w:bookmarkStart w:id="378" w:name="_Toc17389"/>
      <w:bookmarkStart w:id="379" w:name="_Toc569"/>
      <w:bookmarkStart w:id="380" w:name="_Toc12581"/>
      <w:bookmarkStart w:id="381" w:name="_Toc30304"/>
      <w:bookmarkStart w:id="382" w:name="_Toc9371"/>
      <w:bookmarkStart w:id="383" w:name="_Toc17546"/>
      <w:bookmarkStart w:id="384" w:name="_Toc24563"/>
      <w:r>
        <w:rPr>
          <w:rFonts w:hint="eastAsia" w:ascii="仿宋_GB2312" w:hAnsi="仿宋_GB2312" w:eastAsia="黑体" w:cs="Times New Roman"/>
          <w:b w:val="0"/>
          <w:kern w:val="2"/>
          <w:sz w:val="32"/>
          <w:szCs w:val="32"/>
          <w:highlight w:val="none"/>
          <w:u w:val="none"/>
          <w:lang w:val="en-US" w:eastAsia="zh-CN" w:bidi="ar-SA"/>
        </w:rPr>
        <w:t>一、抓好“一老一小”服务体系</w:t>
      </w:r>
      <w:bookmarkEnd w:id="369"/>
      <w:bookmarkEnd w:id="370"/>
      <w:bookmarkEnd w:id="371"/>
      <w:bookmarkEnd w:id="372"/>
      <w:bookmarkEnd w:id="373"/>
      <w:bookmarkEnd w:id="374"/>
      <w:r>
        <w:rPr>
          <w:rFonts w:hint="eastAsia" w:ascii="仿宋_GB2312" w:hAnsi="仿宋_GB2312" w:eastAsia="黑体" w:cs="Times New Roman"/>
          <w:b w:val="0"/>
          <w:kern w:val="2"/>
          <w:sz w:val="32"/>
          <w:szCs w:val="32"/>
          <w:highlight w:val="none"/>
          <w:u w:val="none"/>
          <w:lang w:val="en-US" w:eastAsia="zh-CN" w:bidi="ar-SA"/>
        </w:rPr>
        <w:t>建设</w:t>
      </w:r>
      <w:bookmarkEnd w:id="375"/>
      <w:bookmarkEnd w:id="376"/>
      <w:bookmarkEnd w:id="377"/>
      <w:bookmarkEnd w:id="378"/>
      <w:bookmarkEnd w:id="379"/>
      <w:bookmarkEnd w:id="380"/>
      <w:bookmarkEnd w:id="381"/>
      <w:bookmarkEnd w:id="382"/>
      <w:bookmarkEnd w:id="383"/>
      <w:bookmarkEnd w:id="384"/>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sz w:val="32"/>
          <w:highlight w:val="none"/>
          <w:u w:val="none"/>
          <w:lang w:eastAsia="zh-CN"/>
        </w:rPr>
      </w:pPr>
      <w:r>
        <w:rPr>
          <w:rFonts w:hint="default" w:ascii="仿宋_GB2312" w:hAnsi="仿宋_GB2312" w:eastAsia="仿宋_GB2312"/>
          <w:sz w:val="32"/>
          <w:highlight w:val="none"/>
          <w:u w:val="none"/>
        </w:rPr>
        <w:t>统筹推进养老和托育服务体系建设</w:t>
      </w:r>
      <w:r>
        <w:rPr>
          <w:rFonts w:hint="eastAsia" w:ascii="仿宋_GB2312" w:hAnsi="仿宋_GB2312" w:eastAsia="仿宋_GB2312"/>
          <w:sz w:val="32"/>
          <w:highlight w:val="none"/>
          <w:u w:val="none"/>
          <w:lang w:eastAsia="zh-CN"/>
        </w:rPr>
        <w:t>，</w:t>
      </w:r>
      <w:r>
        <w:rPr>
          <w:rFonts w:hint="default" w:ascii="仿宋_GB2312" w:hAnsi="仿宋_GB2312" w:eastAsia="仿宋_GB2312"/>
          <w:sz w:val="32"/>
          <w:highlight w:val="none"/>
          <w:u w:val="none"/>
        </w:rPr>
        <w:t>推进养老设施提质扩容</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lang w:val="en-US" w:eastAsia="zh-CN"/>
        </w:rPr>
        <w:t>促进养老</w:t>
      </w:r>
      <w:r>
        <w:rPr>
          <w:rFonts w:hint="default" w:ascii="仿宋_GB2312" w:hAnsi="仿宋_GB2312" w:eastAsia="仿宋_GB2312"/>
          <w:sz w:val="32"/>
          <w:highlight w:val="none"/>
          <w:u w:val="none"/>
        </w:rPr>
        <w:t>服务质量全面提升</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lang w:val="en-US" w:eastAsia="zh-CN"/>
        </w:rPr>
        <w:t>推动</w:t>
      </w:r>
      <w:r>
        <w:rPr>
          <w:rFonts w:hint="default" w:ascii="仿宋_GB2312" w:hAnsi="仿宋_GB2312" w:eastAsia="仿宋_GB2312"/>
          <w:sz w:val="32"/>
          <w:highlight w:val="none"/>
          <w:u w:val="none"/>
        </w:rPr>
        <w:t>医康养深度融合，完善普惠托育服务网络，为老年人</w:t>
      </w:r>
      <w:r>
        <w:rPr>
          <w:rFonts w:hint="eastAsia" w:ascii="仿宋_GB2312" w:hAnsi="仿宋_GB2312" w:eastAsia="仿宋_GB2312"/>
          <w:sz w:val="32"/>
          <w:highlight w:val="none"/>
          <w:u w:val="none"/>
          <w:lang w:val="en-US" w:eastAsia="zh-CN"/>
        </w:rPr>
        <w:t>和“小小孩”</w:t>
      </w:r>
      <w:r>
        <w:rPr>
          <w:rFonts w:hint="default" w:ascii="仿宋_GB2312" w:hAnsi="仿宋_GB2312" w:eastAsia="仿宋_GB2312"/>
          <w:sz w:val="32"/>
          <w:highlight w:val="none"/>
          <w:u w:val="none"/>
        </w:rPr>
        <w:t>提供更加安全、便捷、普惠、智慧的服务。</w:t>
      </w:r>
    </w:p>
    <w:p>
      <w:pPr>
        <w:keepNext w:val="0"/>
        <w:keepLines w:val="0"/>
        <w:pageBreakBefore w:val="0"/>
        <w:kinsoku/>
        <w:overflowPunct/>
        <w:topLinePunct w:val="0"/>
        <w:autoSpaceDE/>
        <w:autoSpaceDN/>
        <w:bidi w:val="0"/>
        <w:adjustRightInd/>
        <w:snapToGrid/>
        <w:spacing w:line="560" w:lineRule="exact"/>
        <w:ind w:firstLine="640" w:firstLineChars="200"/>
        <w:textAlignment w:val="auto"/>
        <w:outlineLvl w:val="2"/>
        <w:rPr>
          <w:rFonts w:hint="default" w:ascii="仿宋_GB2312" w:hAnsi="仿宋_GB2312" w:eastAsia="楷体_GB2312" w:cs="楷体_GB2312"/>
          <w:b w:val="0"/>
          <w:bCs w:val="0"/>
          <w:sz w:val="32"/>
          <w:highlight w:val="none"/>
          <w:u w:val="none"/>
          <w:lang w:val="en-US" w:eastAsia="zh-CN"/>
        </w:rPr>
      </w:pPr>
      <w:r>
        <w:rPr>
          <w:rFonts w:hint="eastAsia" w:ascii="仿宋_GB2312" w:hAnsi="仿宋_GB2312" w:eastAsia="楷体_GB2312" w:cs="楷体_GB2312"/>
          <w:b w:val="0"/>
          <w:bCs w:val="0"/>
          <w:sz w:val="32"/>
          <w:highlight w:val="none"/>
          <w:u w:val="none"/>
          <w:lang w:eastAsia="zh-CN"/>
        </w:rPr>
        <w:t>（</w:t>
      </w:r>
      <w:r>
        <w:rPr>
          <w:rFonts w:hint="eastAsia" w:ascii="仿宋_GB2312" w:hAnsi="仿宋_GB2312" w:eastAsia="楷体_GB2312" w:cs="楷体_GB2312"/>
          <w:b w:val="0"/>
          <w:bCs w:val="0"/>
          <w:sz w:val="32"/>
          <w:highlight w:val="none"/>
          <w:u w:val="none"/>
          <w:lang w:val="en-US" w:eastAsia="zh-CN"/>
        </w:rPr>
        <w:t>一</w:t>
      </w:r>
      <w:r>
        <w:rPr>
          <w:rFonts w:hint="eastAsia" w:ascii="仿宋_GB2312" w:hAnsi="仿宋_GB2312" w:eastAsia="楷体_GB2312" w:cs="楷体_GB2312"/>
          <w:b w:val="0"/>
          <w:bCs w:val="0"/>
          <w:sz w:val="32"/>
          <w:highlight w:val="none"/>
          <w:u w:val="none"/>
          <w:lang w:eastAsia="zh-CN"/>
        </w:rPr>
        <w:t>）</w:t>
      </w:r>
      <w:r>
        <w:rPr>
          <w:rFonts w:hint="eastAsia" w:ascii="仿宋_GB2312" w:hAnsi="仿宋_GB2312" w:eastAsia="楷体_GB2312" w:cs="楷体_GB2312"/>
          <w:b w:val="0"/>
          <w:bCs w:val="0"/>
          <w:sz w:val="32"/>
          <w:highlight w:val="none"/>
          <w:u w:val="none"/>
          <w:lang w:val="en-US" w:eastAsia="zh-CN"/>
        </w:rPr>
        <w:t>发展普惠可及的养老服务</w:t>
      </w:r>
    </w:p>
    <w:p>
      <w:pPr>
        <w:keepNext w:val="0"/>
        <w:keepLines w:val="0"/>
        <w:pageBreakBefore w:val="0"/>
        <w:widowControl w:val="0"/>
        <w:kinsoku/>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b/>
          <w:bCs/>
          <w:sz w:val="32"/>
          <w:highlight w:val="none"/>
          <w:u w:val="none"/>
          <w:lang w:val="en-US" w:eastAsia="zh-CN"/>
        </w:rPr>
      </w:pPr>
      <w:r>
        <w:rPr>
          <w:rFonts w:hint="eastAsia" w:ascii="仿宋_GB2312" w:hAnsi="仿宋_GB2312" w:eastAsia="仿宋_GB2312"/>
          <w:b/>
          <w:bCs/>
          <w:sz w:val="32"/>
          <w:highlight w:val="none"/>
          <w:u w:val="none"/>
          <w:lang w:val="en-US" w:eastAsia="zh-CN"/>
        </w:rPr>
        <w:t>完善三级养老服务网络。</w:t>
      </w:r>
      <w:r>
        <w:rPr>
          <w:rFonts w:hint="eastAsia" w:ascii="仿宋_GB2312" w:hAnsi="仿宋_GB2312" w:eastAsia="仿宋_GB2312"/>
          <w:b w:val="0"/>
          <w:bCs w:val="0"/>
          <w:sz w:val="32"/>
          <w:highlight w:val="none"/>
          <w:u w:val="none"/>
          <w:lang w:val="en-US" w:eastAsia="zh-CN"/>
        </w:rPr>
        <w:t>深化</w:t>
      </w:r>
      <w:r>
        <w:rPr>
          <w:rFonts w:hint="eastAsia" w:ascii="仿宋_GB2312" w:hAnsi="仿宋_GB2312" w:eastAsia="仿宋_GB2312"/>
          <w:b w:val="0"/>
          <w:bCs w:val="0"/>
          <w:sz w:val="32"/>
          <w:highlight w:val="none"/>
          <w:u w:val="none"/>
        </w:rPr>
        <w:t>以区级养老服务指导中心为统筹</w:t>
      </w:r>
      <w:r>
        <w:rPr>
          <w:rFonts w:hint="eastAsia" w:ascii="仿宋_GB2312" w:hAnsi="仿宋_GB2312" w:eastAsia="仿宋_GB2312"/>
          <w:b w:val="0"/>
          <w:bCs w:val="0"/>
          <w:sz w:val="32"/>
          <w:highlight w:val="none"/>
          <w:u w:val="none"/>
          <w:lang w:eastAsia="zh-CN"/>
        </w:rPr>
        <w:t>，</w:t>
      </w:r>
      <w:r>
        <w:rPr>
          <w:rFonts w:hint="eastAsia" w:ascii="仿宋_GB2312" w:hAnsi="仿宋_GB2312" w:eastAsia="仿宋_GB2312"/>
          <w:b w:val="0"/>
          <w:bCs w:val="0"/>
          <w:sz w:val="32"/>
          <w:highlight w:val="none"/>
          <w:u w:val="none"/>
          <w:lang w:val="en-US" w:eastAsia="zh-CN"/>
        </w:rPr>
        <w:t>以</w:t>
      </w:r>
      <w:r>
        <w:rPr>
          <w:rFonts w:hint="eastAsia" w:ascii="仿宋_GB2312" w:hAnsi="仿宋_GB2312" w:eastAsia="仿宋_GB2312"/>
          <w:b w:val="0"/>
          <w:bCs w:val="0"/>
          <w:sz w:val="32"/>
          <w:highlight w:val="none"/>
          <w:u w:val="none"/>
        </w:rPr>
        <w:t>街道</w:t>
      </w:r>
      <w:r>
        <w:rPr>
          <w:rFonts w:hint="eastAsia" w:ascii="仿宋_GB2312" w:hAnsi="仿宋_GB2312" w:eastAsia="仿宋_GB2312"/>
          <w:b w:val="0"/>
          <w:bCs w:val="0"/>
          <w:sz w:val="32"/>
          <w:highlight w:val="none"/>
          <w:u w:val="none"/>
          <w:lang w:eastAsia="zh-CN"/>
        </w:rPr>
        <w:t>（</w:t>
      </w:r>
      <w:r>
        <w:rPr>
          <w:rFonts w:hint="eastAsia" w:ascii="仿宋_GB2312" w:hAnsi="仿宋_GB2312" w:eastAsia="仿宋_GB2312"/>
          <w:b w:val="0"/>
          <w:bCs w:val="0"/>
          <w:sz w:val="32"/>
          <w:highlight w:val="none"/>
          <w:u w:val="none"/>
        </w:rPr>
        <w:t>乡镇</w:t>
      </w:r>
      <w:r>
        <w:rPr>
          <w:rFonts w:hint="eastAsia" w:ascii="仿宋_GB2312" w:hAnsi="仿宋_GB2312" w:eastAsia="仿宋_GB2312"/>
          <w:b w:val="0"/>
          <w:bCs w:val="0"/>
          <w:sz w:val="32"/>
          <w:highlight w:val="none"/>
          <w:u w:val="none"/>
          <w:lang w:eastAsia="zh-CN"/>
        </w:rPr>
        <w:t>）</w:t>
      </w:r>
      <w:r>
        <w:rPr>
          <w:rFonts w:hint="eastAsia" w:ascii="仿宋_GB2312" w:hAnsi="仿宋_GB2312" w:eastAsia="仿宋_GB2312"/>
          <w:b w:val="0"/>
          <w:bCs w:val="0"/>
          <w:sz w:val="32"/>
          <w:highlight w:val="none"/>
          <w:u w:val="none"/>
        </w:rPr>
        <w:t>区域养老服务中心为</w:t>
      </w:r>
      <w:r>
        <w:rPr>
          <w:rFonts w:hint="eastAsia" w:ascii="仿宋_GB2312" w:hAnsi="仿宋_GB2312" w:eastAsia="仿宋_GB2312"/>
          <w:b w:val="0"/>
          <w:bCs w:val="0"/>
          <w:sz w:val="32"/>
          <w:highlight w:val="none"/>
          <w:u w:val="none"/>
          <w:lang w:val="en-US" w:eastAsia="zh-CN"/>
        </w:rPr>
        <w:t>枢纽</w:t>
      </w:r>
      <w:r>
        <w:rPr>
          <w:rFonts w:hint="eastAsia" w:ascii="仿宋_GB2312" w:hAnsi="仿宋_GB2312" w:eastAsia="仿宋_GB2312"/>
          <w:b w:val="0"/>
          <w:bCs w:val="0"/>
          <w:sz w:val="32"/>
          <w:highlight w:val="none"/>
          <w:u w:val="none"/>
        </w:rPr>
        <w:t>，以社区养老服务驿站为延伸</w:t>
      </w:r>
      <w:r>
        <w:rPr>
          <w:rFonts w:hint="eastAsia" w:ascii="仿宋_GB2312" w:hAnsi="仿宋_GB2312" w:eastAsia="仿宋_GB2312"/>
          <w:b w:val="0"/>
          <w:bCs w:val="0"/>
          <w:sz w:val="32"/>
          <w:highlight w:val="none"/>
          <w:u w:val="none"/>
          <w:lang w:val="en-US" w:eastAsia="zh-CN"/>
        </w:rPr>
        <w:t>的三级养老服务网络。</w:t>
      </w:r>
      <w:r>
        <w:rPr>
          <w:rFonts w:hint="eastAsia" w:ascii="仿宋_GB2312" w:hAnsi="仿宋_GB2312" w:eastAsia="仿宋_GB2312"/>
          <w:sz w:val="32"/>
          <w:highlight w:val="none"/>
          <w:u w:val="none"/>
        </w:rPr>
        <w:t>强化养老服务指导中心的统筹</w:t>
      </w:r>
      <w:r>
        <w:rPr>
          <w:rFonts w:hint="eastAsia" w:ascii="仿宋_GB2312" w:hAnsi="仿宋_GB2312" w:eastAsia="仿宋_GB2312"/>
          <w:sz w:val="32"/>
          <w:highlight w:val="none"/>
          <w:u w:val="none"/>
          <w:lang w:val="en-US" w:eastAsia="zh-CN"/>
        </w:rPr>
        <w:t>调度与</w:t>
      </w:r>
      <w:r>
        <w:rPr>
          <w:rFonts w:hint="eastAsia" w:ascii="仿宋_GB2312" w:hAnsi="仿宋_GB2312" w:eastAsia="仿宋_GB2312"/>
          <w:sz w:val="32"/>
          <w:highlight w:val="none"/>
          <w:u w:val="none"/>
        </w:rPr>
        <w:t>养老服务平台</w:t>
      </w:r>
      <w:r>
        <w:rPr>
          <w:rFonts w:hint="eastAsia" w:ascii="仿宋_GB2312" w:hAnsi="仿宋_GB2312" w:eastAsia="仿宋_GB2312"/>
          <w:sz w:val="32"/>
          <w:highlight w:val="none"/>
          <w:u w:val="none"/>
          <w:lang w:val="en-US" w:eastAsia="zh-CN"/>
        </w:rPr>
        <w:t>支撑作用</w:t>
      </w:r>
      <w:r>
        <w:rPr>
          <w:rFonts w:hint="eastAsia" w:ascii="仿宋_GB2312" w:hAnsi="仿宋_GB2312" w:eastAsia="仿宋_GB2312"/>
          <w:sz w:val="32"/>
          <w:highlight w:val="none"/>
          <w:u w:val="none"/>
        </w:rPr>
        <w:t>，整合</w:t>
      </w:r>
      <w:r>
        <w:rPr>
          <w:rFonts w:hint="eastAsia" w:ascii="仿宋_GB2312" w:hAnsi="仿宋_GB2312" w:eastAsia="仿宋_GB2312"/>
          <w:sz w:val="32"/>
          <w:highlight w:val="none"/>
          <w:u w:val="none"/>
          <w:lang w:val="en-US" w:eastAsia="zh-CN"/>
        </w:rPr>
        <w:t>养老</w:t>
      </w:r>
      <w:r>
        <w:rPr>
          <w:rFonts w:hint="eastAsia" w:ascii="仿宋_GB2312" w:hAnsi="仿宋_GB2312" w:eastAsia="仿宋_GB2312"/>
          <w:sz w:val="32"/>
          <w:highlight w:val="none"/>
          <w:u w:val="none"/>
        </w:rPr>
        <w:t>服务资源，实现精准供需匹配</w:t>
      </w:r>
      <w:r>
        <w:rPr>
          <w:rFonts w:hint="eastAsia" w:ascii="仿宋_GB2312" w:hAnsi="仿宋_GB2312" w:eastAsia="仿宋_GB2312"/>
          <w:sz w:val="32"/>
          <w:highlight w:val="none"/>
          <w:u w:val="none"/>
          <w:lang w:eastAsia="zh-CN"/>
        </w:rPr>
        <w:t>。提升</w:t>
      </w:r>
      <w:r>
        <w:rPr>
          <w:rFonts w:hint="eastAsia" w:ascii="仿宋_GB2312" w:hAnsi="仿宋_GB2312" w:eastAsia="仿宋_GB2312"/>
          <w:sz w:val="32"/>
          <w:highlight w:val="none"/>
          <w:u w:val="none"/>
        </w:rPr>
        <w:t>街道（乡镇）区域养老服务中心</w:t>
      </w:r>
      <w:r>
        <w:rPr>
          <w:rFonts w:hint="eastAsia" w:ascii="仿宋_GB2312" w:hAnsi="仿宋_GB2312" w:eastAsia="仿宋_GB2312"/>
          <w:sz w:val="32"/>
          <w:highlight w:val="none"/>
          <w:u w:val="none"/>
          <w:lang w:eastAsia="zh-CN"/>
        </w:rPr>
        <w:t>服务能力，</w:t>
      </w:r>
      <w:r>
        <w:rPr>
          <w:rFonts w:hint="eastAsia" w:ascii="仿宋_GB2312" w:hAnsi="仿宋_GB2312" w:eastAsia="仿宋_GB2312"/>
          <w:b w:val="0"/>
          <w:bCs w:val="0"/>
          <w:sz w:val="32"/>
          <w:highlight w:val="none"/>
          <w:u w:val="none"/>
          <w:lang w:val="en-US" w:eastAsia="zh-CN"/>
        </w:rPr>
        <w:t>逐步推广“小规模、专业化、家门口”养老服务模式。</w:t>
      </w:r>
      <w:r>
        <w:rPr>
          <w:rFonts w:hint="eastAsia" w:ascii="仿宋_GB2312" w:hAnsi="仿宋_GB2312" w:eastAsia="仿宋_GB2312"/>
          <w:sz w:val="32"/>
          <w:highlight w:val="none"/>
          <w:u w:val="none"/>
        </w:rPr>
        <w:t>延伸养老服务驿站功能，</w:t>
      </w:r>
      <w:r>
        <w:rPr>
          <w:rFonts w:hint="eastAsia" w:ascii="仿宋_GB2312" w:hAnsi="仿宋_GB2312" w:eastAsia="仿宋_GB2312"/>
          <w:sz w:val="32"/>
          <w:highlight w:val="none"/>
          <w:u w:val="none"/>
          <w:lang w:val="en-US" w:eastAsia="zh-CN"/>
        </w:rPr>
        <w:t>完善巡视探访、</w:t>
      </w:r>
      <w:r>
        <w:rPr>
          <w:rFonts w:hint="eastAsia" w:ascii="仿宋_GB2312" w:hAnsi="仿宋_GB2312" w:eastAsia="仿宋_GB2312"/>
          <w:sz w:val="32"/>
          <w:highlight w:val="none"/>
          <w:u w:val="none"/>
        </w:rPr>
        <w:t>助餐、</w:t>
      </w:r>
      <w:r>
        <w:rPr>
          <w:rFonts w:hint="eastAsia" w:ascii="仿宋_GB2312" w:hAnsi="仿宋_GB2312" w:eastAsia="仿宋_GB2312"/>
          <w:sz w:val="32"/>
          <w:highlight w:val="none"/>
          <w:u w:val="none"/>
          <w:lang w:val="en-US" w:eastAsia="zh-CN"/>
        </w:rPr>
        <w:t>助医、</w:t>
      </w:r>
      <w:r>
        <w:rPr>
          <w:rFonts w:hint="eastAsia" w:ascii="仿宋_GB2312" w:hAnsi="仿宋_GB2312" w:eastAsia="仿宋_GB2312"/>
          <w:sz w:val="32"/>
          <w:highlight w:val="none"/>
          <w:u w:val="none"/>
        </w:rPr>
        <w:t>助洁、助浴</w:t>
      </w:r>
      <w:r>
        <w:rPr>
          <w:rFonts w:hint="eastAsia" w:ascii="仿宋_GB2312" w:hAnsi="仿宋_GB2312" w:eastAsia="仿宋_GB2312"/>
          <w:sz w:val="32"/>
          <w:highlight w:val="none"/>
          <w:u w:val="none"/>
          <w:lang w:eastAsia="zh-CN"/>
        </w:rPr>
        <w:t>、代购代办</w:t>
      </w:r>
      <w:r>
        <w:rPr>
          <w:rFonts w:hint="eastAsia" w:ascii="仿宋_GB2312" w:hAnsi="仿宋_GB2312" w:eastAsia="仿宋_GB2312"/>
          <w:sz w:val="32"/>
          <w:highlight w:val="none"/>
          <w:u w:val="none"/>
        </w:rPr>
        <w:t>等上门服务，拓展老年学堂、心理辅导、法律咨询等增值服务</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rPr>
        <w:t>推广农村邻里互助点建设，探索</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rPr>
        <w:t>离家不离村</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rPr>
        <w:t>居家养老模式</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rPr>
        <w:t>鼓励志愿服务与低龄健康老年人参与互助养老，推进家庭适老化改造和辅助器具配备，提升居家安全性</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lang w:val="en-US" w:eastAsia="zh-CN"/>
        </w:rPr>
        <w:t>提高养老服务人才质量，推进养老护理员职业认定和技能等级评价，提升养老服务专业化、规范化水平。聚焦高龄、失能、失智、独居老年人需求，发展精细化照护服务。鼓励社会力量参与养老服务供给，打造具有怀柔特色的康养综合体。到2030年，实现每万名老年人拥有养老护理员95人。</w:t>
      </w:r>
    </w:p>
    <w:p>
      <w:pPr>
        <w:keepNext w:val="0"/>
        <w:keepLines w:val="0"/>
        <w:pageBreakBefore w:val="0"/>
        <w:widowControl w:val="0"/>
        <w:kinsoku/>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b w:val="0"/>
          <w:bCs w:val="0"/>
          <w:sz w:val="32"/>
          <w:highlight w:val="none"/>
          <w:u w:val="none"/>
          <w:lang w:val="en-US" w:eastAsia="zh-CN"/>
        </w:rPr>
      </w:pPr>
      <w:r>
        <w:rPr>
          <w:rFonts w:hint="eastAsia" w:ascii="仿宋_GB2312" w:hAnsi="仿宋_GB2312" w:eastAsia="仿宋_GB2312" w:cstheme="minorBidi"/>
          <w:b/>
          <w:bCs/>
          <w:sz w:val="32"/>
          <w:highlight w:val="none"/>
          <w:u w:val="none"/>
          <w:lang w:val="en-US" w:eastAsia="zh-CN"/>
        </w:rPr>
        <w:t>优化养老设施功能布局。</w:t>
      </w:r>
      <w:r>
        <w:rPr>
          <w:rFonts w:hint="eastAsia" w:ascii="仿宋_GB2312" w:hAnsi="仿宋_GB2312" w:eastAsia="仿宋_GB2312"/>
          <w:sz w:val="32"/>
          <w:highlight w:val="none"/>
          <w:u w:val="none"/>
          <w:lang w:val="en-US" w:eastAsia="zh-CN"/>
        </w:rPr>
        <w:t>统筹推进养老设施集约布局、功能优化，大力改善养老环境。统筹老城区与怀柔科学城养老服务融合发展，推动养老设施跨区域协同布局和资源共享，促进养老服务供给与人口分布、区域功能定位相适应。探索连片式、系统化养老模式，</w:t>
      </w:r>
      <w:r>
        <w:rPr>
          <w:rFonts w:hint="eastAsia" w:ascii="仿宋_GB2312" w:hAnsi="仿宋_GB2312" w:eastAsia="仿宋_GB2312"/>
          <w:b w:val="0"/>
          <w:bCs w:val="0"/>
          <w:sz w:val="32"/>
          <w:highlight w:val="none"/>
          <w:u w:val="none"/>
          <w:lang w:val="en-US" w:eastAsia="zh-CN"/>
        </w:rPr>
        <w:t>推动建设北部、中部、西部三大区域养老服务中心，实现集约化发展，强化区域养老服务中心对周边乡镇的辐射作用，提供生活照料、康复护理、文化娱乐等综合服务</w:t>
      </w:r>
      <w:r>
        <w:rPr>
          <w:rFonts w:hint="default" w:ascii="仿宋_GB2312" w:hAnsi="仿宋_GB2312" w:eastAsia="仿宋_GB2312"/>
          <w:b w:val="0"/>
          <w:bCs w:val="0"/>
          <w:sz w:val="32"/>
          <w:highlight w:val="none"/>
          <w:u w:val="none"/>
          <w:lang w:val="en-US" w:eastAsia="zh-CN"/>
        </w:rPr>
        <w:t>，提升养老服务可及性</w:t>
      </w:r>
      <w:r>
        <w:rPr>
          <w:rFonts w:hint="eastAsia" w:ascii="仿宋_GB2312" w:hAnsi="仿宋_GB2312" w:eastAsia="仿宋_GB2312"/>
          <w:b w:val="0"/>
          <w:bCs w:val="0"/>
          <w:sz w:val="32"/>
          <w:highlight w:val="none"/>
          <w:u w:val="none"/>
          <w:lang w:val="en-US" w:eastAsia="zh-CN"/>
        </w:rPr>
        <w:t>，优化</w:t>
      </w:r>
      <w:r>
        <w:rPr>
          <w:rFonts w:hint="default" w:ascii="仿宋_GB2312" w:hAnsi="仿宋_GB2312" w:eastAsia="仿宋_GB2312"/>
          <w:b w:val="0"/>
          <w:bCs w:val="0"/>
          <w:sz w:val="32"/>
          <w:highlight w:val="none"/>
          <w:u w:val="none"/>
          <w:lang w:val="en-US" w:eastAsia="zh-CN"/>
        </w:rPr>
        <w:t>资源配置效率</w:t>
      </w:r>
      <w:r>
        <w:rPr>
          <w:rFonts w:hint="eastAsia" w:ascii="仿宋_GB2312" w:hAnsi="仿宋_GB2312" w:eastAsia="仿宋_GB2312"/>
          <w:b w:val="0"/>
          <w:bCs w:val="0"/>
          <w:sz w:val="32"/>
          <w:highlight w:val="none"/>
          <w:u w:val="none"/>
          <w:lang w:val="en-US" w:eastAsia="zh-CN"/>
        </w:rPr>
        <w:t>。到2030年，</w:t>
      </w:r>
      <w:r>
        <w:rPr>
          <w:rFonts w:hint="eastAsia" w:ascii="仿宋_GB2312" w:hAnsi="仿宋_GB2312" w:eastAsia="仿宋_GB2312"/>
          <w:b w:val="0"/>
          <w:bCs w:val="0"/>
          <w:sz w:val="32"/>
          <w:highlight w:val="none"/>
          <w:u w:val="none"/>
        </w:rPr>
        <w:t>实现每千名</w:t>
      </w:r>
      <w:r>
        <w:rPr>
          <w:rFonts w:hint="eastAsia" w:ascii="仿宋_GB2312" w:hAnsi="仿宋_GB2312" w:eastAsia="仿宋_GB2312"/>
          <w:b w:val="0"/>
          <w:bCs w:val="0"/>
          <w:sz w:val="32"/>
          <w:highlight w:val="none"/>
          <w:u w:val="none"/>
          <w:lang w:eastAsia="zh-CN"/>
        </w:rPr>
        <w:t>常住人口</w:t>
      </w:r>
      <w:r>
        <w:rPr>
          <w:rFonts w:hint="eastAsia" w:ascii="仿宋_GB2312" w:hAnsi="仿宋_GB2312" w:eastAsia="仿宋_GB2312"/>
          <w:b w:val="0"/>
          <w:bCs w:val="0"/>
          <w:sz w:val="32"/>
          <w:highlight w:val="none"/>
          <w:u w:val="none"/>
        </w:rPr>
        <w:t>养老床位数</w:t>
      </w:r>
      <w:r>
        <w:rPr>
          <w:rFonts w:hint="eastAsia" w:ascii="仿宋_GB2312" w:hAnsi="仿宋_GB2312" w:eastAsia="仿宋_GB2312"/>
          <w:b w:val="0"/>
          <w:bCs w:val="0"/>
          <w:sz w:val="32"/>
          <w:highlight w:val="none"/>
          <w:u w:val="none"/>
          <w:lang w:val="en-US" w:eastAsia="zh-CN"/>
        </w:rPr>
        <w:t>8.2</w:t>
      </w:r>
      <w:r>
        <w:rPr>
          <w:rFonts w:hint="eastAsia" w:ascii="仿宋_GB2312" w:hAnsi="仿宋_GB2312" w:eastAsia="仿宋_GB2312"/>
          <w:b w:val="0"/>
          <w:bCs w:val="0"/>
          <w:sz w:val="32"/>
          <w:highlight w:val="none"/>
          <w:u w:val="none"/>
        </w:rPr>
        <w:t>张</w:t>
      </w:r>
      <w:r>
        <w:rPr>
          <w:rFonts w:hint="eastAsia" w:ascii="仿宋_GB2312" w:hAnsi="仿宋_GB2312" w:eastAsia="仿宋_GB2312"/>
          <w:b w:val="0"/>
          <w:bCs w:val="0"/>
          <w:sz w:val="32"/>
          <w:highlight w:val="none"/>
          <w:u w:val="none"/>
          <w:lang w:eastAsia="zh-CN"/>
        </w:rPr>
        <w:t>，</w:t>
      </w:r>
      <w:r>
        <w:rPr>
          <w:rFonts w:hint="eastAsia" w:ascii="仿宋_GB2312" w:hAnsi="仿宋_GB2312" w:eastAsia="仿宋_GB2312"/>
          <w:b w:val="0"/>
          <w:bCs w:val="0"/>
          <w:sz w:val="32"/>
          <w:highlight w:val="none"/>
          <w:u w:val="none"/>
          <w:lang w:val="en-US" w:eastAsia="zh-CN"/>
        </w:rPr>
        <w:t>养老机构护理型床位占比达75%。</w:t>
      </w:r>
    </w:p>
    <w:p>
      <w:pPr>
        <w:keepNext w:val="0"/>
        <w:keepLines w:val="0"/>
        <w:pageBreakBefore w:val="0"/>
        <w:widowControl w:val="0"/>
        <w:kinsoku/>
        <w:overflowPunct/>
        <w:topLinePunct w:val="0"/>
        <w:autoSpaceDE/>
        <w:autoSpaceDN/>
        <w:bidi w:val="0"/>
        <w:adjustRightInd/>
        <w:snapToGrid/>
        <w:spacing w:line="560" w:lineRule="exact"/>
        <w:ind w:firstLine="642" w:firstLineChars="200"/>
        <w:jc w:val="both"/>
        <w:textAlignment w:val="auto"/>
        <w:outlineLvl w:val="9"/>
        <w:rPr>
          <w:rFonts w:hint="eastAsia" w:ascii="仿宋_GB2312" w:hAnsi="仿宋_GB2312" w:eastAsia="仿宋_GB2312" w:cstheme="minorBidi"/>
          <w:i w:val="0"/>
          <w:iCs w:val="0"/>
          <w:kern w:val="2"/>
          <w:sz w:val="32"/>
          <w:szCs w:val="24"/>
          <w:highlight w:val="none"/>
          <w:u w:val="none"/>
          <w:lang w:val="en-US" w:eastAsia="zh-CN" w:bidi="ar"/>
        </w:rPr>
      </w:pPr>
      <w:r>
        <w:rPr>
          <w:rFonts w:hint="eastAsia" w:ascii="仿宋_GB2312" w:hAnsi="仿宋_GB2312" w:eastAsia="仿宋_GB2312" w:cstheme="minorBidi"/>
          <w:b/>
          <w:bCs/>
          <w:i w:val="0"/>
          <w:iCs w:val="0"/>
          <w:kern w:val="2"/>
          <w:sz w:val="32"/>
          <w:szCs w:val="24"/>
          <w:highlight w:val="none"/>
          <w:u w:val="none"/>
          <w:lang w:val="en-US" w:eastAsia="zh-CN" w:bidi="ar"/>
        </w:rPr>
        <w:t>持续推进智慧养老服务。</w:t>
      </w:r>
      <w:r>
        <w:rPr>
          <w:rFonts w:hint="eastAsia" w:ascii="仿宋_GB2312" w:hAnsi="仿宋_GB2312" w:eastAsia="仿宋_GB2312" w:cstheme="minorBidi"/>
          <w:b w:val="0"/>
          <w:bCs w:val="0"/>
          <w:i w:val="0"/>
          <w:iCs w:val="0"/>
          <w:kern w:val="2"/>
          <w:sz w:val="32"/>
          <w:szCs w:val="24"/>
          <w:highlight w:val="none"/>
          <w:u w:val="none"/>
          <w:lang w:val="en-US" w:eastAsia="zh-CN" w:bidi="ar"/>
        </w:rPr>
        <w:t>完善怀柔区智慧养老服务综合信息平台，推动养老机构、社区服务、居家服务信息互通，推动线上线下一体化服务。</w:t>
      </w:r>
      <w:r>
        <w:rPr>
          <w:rFonts w:hint="eastAsia" w:ascii="仿宋_GB2312" w:hAnsi="仿宋_GB2312" w:eastAsia="仿宋_GB2312"/>
          <w:sz w:val="32"/>
          <w:highlight w:val="none"/>
          <w:u w:val="none"/>
        </w:rPr>
        <w:t>推动养老服务与前沿技术深度融合，打造科技赋能养老的怀柔特色。推进智能养老试点示范，在居家养老、康复养老等领域试点部署适老化智能体产品，形成可复制推广的智慧养老</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lang w:val="en-US" w:eastAsia="zh-CN"/>
        </w:rPr>
        <w:t>怀柔经验</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rPr>
        <w:t>。</w:t>
      </w:r>
      <w:r>
        <w:rPr>
          <w:rFonts w:hint="eastAsia" w:ascii="仿宋_GB2312" w:hAnsi="仿宋_GB2312" w:eastAsia="仿宋_GB2312"/>
          <w:sz w:val="32"/>
          <w:highlight w:val="none"/>
          <w:u w:val="none"/>
          <w:lang w:val="en-US" w:eastAsia="zh-CN"/>
        </w:rPr>
        <w:t>积极探索“AI+安全”“AI+医疗”“AI+监管”等智慧养老应用场景</w:t>
      </w:r>
      <w:r>
        <w:rPr>
          <w:rFonts w:hint="eastAsia" w:ascii="仿宋_GB2312" w:hAnsi="仿宋_GB2312" w:eastAsia="仿宋_GB2312"/>
          <w:sz w:val="32"/>
          <w:highlight w:val="none"/>
          <w:u w:val="none"/>
        </w:rPr>
        <w:t>，加快康复机器人、智能穿戴设备、健康监测终端等科技成果在养老服务领域转化落地</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rPr>
        <w:t>赋能助力怀柔养老事业发展</w:t>
      </w:r>
      <w:r>
        <w:rPr>
          <w:rFonts w:hint="eastAsia" w:ascii="仿宋_GB2312" w:hAnsi="仿宋_GB2312" w:eastAsia="仿宋_GB2312"/>
          <w:sz w:val="32"/>
          <w:highlight w:val="none"/>
          <w:u w:val="none"/>
          <w:lang w:eastAsia="zh-CN"/>
        </w:rPr>
        <w:t>。</w:t>
      </w:r>
    </w:p>
    <w:p>
      <w:pPr>
        <w:keepNext w:val="0"/>
        <w:keepLines w:val="0"/>
        <w:pageBreakBefore w:val="0"/>
        <w:widowControl w:val="0"/>
        <w:numPr>
          <w:ilvl w:val="-1"/>
          <w:numId w:val="0"/>
        </w:numPr>
        <w:kinsoku/>
        <w:overflowPunct/>
        <w:topLinePunct w:val="0"/>
        <w:autoSpaceDE/>
        <w:autoSpaceDN/>
        <w:bidi w:val="0"/>
        <w:adjustRightInd/>
        <w:snapToGrid/>
        <w:spacing w:line="560" w:lineRule="exact"/>
        <w:ind w:firstLine="642" w:firstLineChars="200"/>
        <w:jc w:val="left"/>
        <w:textAlignment w:val="auto"/>
        <w:outlineLvl w:val="9"/>
        <w:rPr>
          <w:rFonts w:hint="eastAsia" w:ascii="仿宋_GB2312" w:hAnsi="仿宋_GB2312" w:eastAsia="仿宋_GB2312"/>
          <w:b w:val="0"/>
          <w:bCs w:val="0"/>
          <w:sz w:val="32"/>
          <w:highlight w:val="none"/>
          <w:u w:val="none"/>
          <w:lang w:val="en-US" w:eastAsia="zh-CN"/>
        </w:rPr>
      </w:pPr>
      <w:r>
        <w:rPr>
          <w:rFonts w:hint="eastAsia" w:ascii="仿宋_GB2312" w:hAnsi="仿宋_GB2312" w:eastAsia="仿宋_GB2312" w:cstheme="minorBidi"/>
          <w:b/>
          <w:bCs/>
          <w:sz w:val="32"/>
          <w:highlight w:val="none"/>
          <w:u w:val="none"/>
          <w:lang w:val="en-US" w:eastAsia="zh-CN"/>
        </w:rPr>
        <w:t>深化医康养融合服务。</w:t>
      </w:r>
      <w:r>
        <w:rPr>
          <w:rFonts w:hint="eastAsia" w:ascii="仿宋_GB2312" w:hAnsi="仿宋_GB2312" w:eastAsia="仿宋_GB2312"/>
          <w:b w:val="0"/>
          <w:bCs w:val="0"/>
          <w:sz w:val="32"/>
          <w:highlight w:val="none"/>
          <w:u w:val="none"/>
          <w:lang w:val="en-US" w:eastAsia="zh-CN"/>
        </w:rPr>
        <w:t>全面构建医养结合型养老健康服务体系，推动医疗、康复、护理与养老资源高效衔接。健全区、镇、村三级联动机制，推动养老机构与医院建立长期合作关系，实现“小病不出门、大病及时转”，并将符合条件的养老机构纳入医养联合体，建立双向转诊。推动</w:t>
      </w:r>
      <w:r>
        <w:rPr>
          <w:rFonts w:hint="eastAsia" w:ascii="仿宋_GB2312" w:hAnsi="仿宋_GB2312" w:eastAsia="仿宋_GB2312"/>
          <w:sz w:val="32"/>
          <w:highlight w:val="none"/>
          <w:u w:val="none"/>
          <w:lang w:val="en-US" w:eastAsia="zh-CN"/>
        </w:rPr>
        <w:t>建设</w:t>
      </w:r>
      <w:r>
        <w:rPr>
          <w:rFonts w:hint="eastAsia" w:ascii="仿宋_GB2312" w:hAnsi="仿宋_GB2312" w:eastAsia="仿宋_GB2312"/>
          <w:sz w:val="32"/>
          <w:highlight w:val="none"/>
          <w:u w:val="none"/>
        </w:rPr>
        <w:t>老年护理中心</w:t>
      </w:r>
      <w:r>
        <w:rPr>
          <w:rFonts w:hint="eastAsia" w:ascii="仿宋_GB2312" w:hAnsi="仿宋_GB2312" w:eastAsia="仿宋_GB2312"/>
          <w:sz w:val="32"/>
          <w:highlight w:val="none"/>
          <w:u w:val="none"/>
          <w:lang w:val="en-US" w:eastAsia="zh-CN"/>
        </w:rPr>
        <w:t>，</w:t>
      </w:r>
      <w:r>
        <w:rPr>
          <w:rFonts w:hint="eastAsia" w:ascii="仿宋_GB2312" w:hAnsi="仿宋_GB2312" w:eastAsia="仿宋_GB2312"/>
          <w:sz w:val="32"/>
          <w:highlight w:val="none"/>
          <w:u w:val="none"/>
        </w:rPr>
        <w:t>让老年人在“家门口”享受优质便捷的医疗护理服务</w:t>
      </w:r>
      <w:r>
        <w:rPr>
          <w:rFonts w:hint="eastAsia" w:ascii="仿宋_GB2312" w:hAnsi="仿宋_GB2312" w:eastAsia="仿宋_GB2312"/>
          <w:sz w:val="32"/>
          <w:highlight w:val="none"/>
          <w:u w:val="none"/>
          <w:lang w:eastAsia="zh-CN"/>
        </w:rPr>
        <w:t>。</w:t>
      </w:r>
      <w:r>
        <w:rPr>
          <w:rFonts w:hint="eastAsia" w:ascii="仿宋_GB2312" w:hAnsi="仿宋_GB2312" w:eastAsia="仿宋_GB2312"/>
          <w:b w:val="0"/>
          <w:bCs w:val="0"/>
          <w:sz w:val="32"/>
          <w:highlight w:val="none"/>
          <w:u w:val="none"/>
          <w:lang w:val="en-US" w:eastAsia="zh-CN"/>
        </w:rPr>
        <w:t>优化安宁疗护服务，</w:t>
      </w:r>
      <w:r>
        <w:rPr>
          <w:rFonts w:hint="eastAsia" w:ascii="仿宋_GB2312" w:hAnsi="仿宋_GB2312" w:eastAsia="仿宋_GB2312"/>
          <w:sz w:val="32"/>
          <w:highlight w:val="none"/>
          <w:u w:val="none"/>
          <w:lang w:val="en-US" w:eastAsia="zh-CN"/>
        </w:rPr>
        <w:t>加强</w:t>
      </w:r>
      <w:r>
        <w:rPr>
          <w:rFonts w:hint="eastAsia" w:ascii="仿宋_GB2312" w:hAnsi="仿宋_GB2312" w:eastAsia="仿宋_GB2312"/>
          <w:b w:val="0"/>
          <w:bCs w:val="0"/>
          <w:sz w:val="32"/>
          <w:highlight w:val="none"/>
          <w:u w:val="none"/>
          <w:lang w:val="en-US" w:eastAsia="zh-CN"/>
        </w:rPr>
        <w:t>与老年医学、康复护理、长期照护等服务有机衔接，</w:t>
      </w:r>
      <w:r>
        <w:rPr>
          <w:rFonts w:hint="eastAsia" w:ascii="仿宋_GB2312" w:hAnsi="仿宋_GB2312" w:eastAsia="仿宋_GB2312"/>
          <w:sz w:val="32"/>
          <w:highlight w:val="none"/>
          <w:u w:val="none"/>
        </w:rPr>
        <w:t>完善</w:t>
      </w:r>
      <w:r>
        <w:rPr>
          <w:rFonts w:hint="eastAsia" w:ascii="仿宋_GB2312" w:hAnsi="仿宋_GB2312" w:eastAsia="仿宋_GB2312"/>
          <w:sz w:val="32"/>
          <w:highlight w:val="none"/>
          <w:u w:val="none"/>
          <w:lang w:val="en-US" w:eastAsia="zh-CN"/>
        </w:rPr>
        <w:t>老人生命</w:t>
      </w:r>
      <w:r>
        <w:rPr>
          <w:rFonts w:hint="eastAsia" w:ascii="仿宋_GB2312" w:hAnsi="仿宋_GB2312" w:eastAsia="仿宋_GB2312"/>
          <w:sz w:val="32"/>
          <w:highlight w:val="none"/>
          <w:u w:val="none"/>
        </w:rPr>
        <w:t>终末期照护</w:t>
      </w:r>
      <w:r>
        <w:rPr>
          <w:rFonts w:hint="eastAsia" w:ascii="仿宋_GB2312" w:hAnsi="仿宋_GB2312" w:eastAsia="仿宋_GB2312"/>
          <w:sz w:val="32"/>
          <w:highlight w:val="none"/>
          <w:u w:val="none"/>
          <w:lang w:val="en-US" w:eastAsia="zh-CN"/>
        </w:rPr>
        <w:t>服务</w:t>
      </w:r>
      <w:r>
        <w:rPr>
          <w:rFonts w:hint="eastAsia" w:ascii="仿宋_GB2312" w:hAnsi="仿宋_GB2312" w:eastAsia="仿宋_GB2312"/>
          <w:sz w:val="32"/>
          <w:highlight w:val="none"/>
          <w:u w:val="none"/>
        </w:rPr>
        <w:t>。</w:t>
      </w:r>
      <w:r>
        <w:rPr>
          <w:rFonts w:hint="eastAsia" w:ascii="仿宋_GB2312" w:hAnsi="仿宋_GB2312" w:eastAsia="仿宋_GB2312"/>
          <w:sz w:val="32"/>
          <w:highlight w:val="none"/>
          <w:u w:val="none"/>
          <w:lang w:val="en-US" w:eastAsia="zh-CN"/>
        </w:rPr>
        <w:t>探索推动社区卫生服务中心转型为安宁疗护中心，提供更丰富的“家门口”安宁疗护服务。推动北房镇安宁疗护中心提质增效，壮大多学科团队力量，提升专业服务能力，打造区域重点安宁疗护服务平台，促进优质安宁疗护服务资源下沉基层。</w:t>
      </w:r>
      <w:r>
        <w:rPr>
          <w:rFonts w:hint="eastAsia" w:ascii="仿宋_GB2312" w:hAnsi="仿宋_GB2312" w:eastAsia="仿宋_GB2312"/>
          <w:b w:val="0"/>
          <w:bCs w:val="0"/>
          <w:sz w:val="32"/>
          <w:highlight w:val="none"/>
          <w:u w:val="none"/>
          <w:lang w:val="en-US" w:eastAsia="zh-CN"/>
        </w:rPr>
        <w:t>稳步提升老年人家庭医生签约覆盖率，重点聚焦高龄、失能、失智老人群体，提供家庭病床、上门巡诊等居家医疗服务。依托怀柔生态资源优势，积极发展旅居康养、生态养老等特色养老业态，支持培训疗养机构转型发展旅居、康养等特色养老服务，更好满足不同人群养老需求。</w:t>
      </w:r>
    </w:p>
    <w:p>
      <w:pPr>
        <w:keepNext w:val="0"/>
        <w:keepLines w:val="0"/>
        <w:pageBreakBefore w:val="0"/>
        <w:widowControl w:val="0"/>
        <w:numPr>
          <w:ilvl w:val="-1"/>
          <w:numId w:val="0"/>
        </w:numPr>
        <w:kinsoku/>
        <w:overflowPunct/>
        <w:topLinePunct w:val="0"/>
        <w:autoSpaceDE/>
        <w:autoSpaceDN/>
        <w:bidi w:val="0"/>
        <w:adjustRightInd/>
        <w:snapToGrid/>
        <w:spacing w:line="560" w:lineRule="exact"/>
        <w:ind w:firstLine="640" w:firstLineChars="200"/>
        <w:jc w:val="left"/>
        <w:textAlignment w:val="auto"/>
        <w:outlineLvl w:val="2"/>
        <w:rPr>
          <w:rFonts w:hint="default" w:ascii="仿宋_GB2312" w:hAnsi="仿宋_GB2312" w:eastAsia="楷体_GB2312" w:cs="楷体_GB2312"/>
          <w:b w:val="0"/>
          <w:bCs w:val="0"/>
          <w:sz w:val="32"/>
          <w:highlight w:val="none"/>
          <w:u w:val="none"/>
          <w:lang w:val="en-US" w:eastAsia="zh-CN"/>
        </w:rPr>
      </w:pPr>
      <w:bookmarkStart w:id="385" w:name="_Toc18014"/>
      <w:bookmarkStart w:id="386" w:name="_Toc17971"/>
      <w:bookmarkStart w:id="387" w:name="_Toc14479"/>
      <w:bookmarkStart w:id="388" w:name="_Toc6869"/>
      <w:r>
        <w:rPr>
          <w:rFonts w:hint="eastAsia" w:ascii="仿宋_GB2312" w:hAnsi="仿宋_GB2312" w:eastAsia="楷体_GB2312" w:cs="楷体_GB2312"/>
          <w:b w:val="0"/>
          <w:bCs w:val="0"/>
          <w:sz w:val="32"/>
          <w:highlight w:val="none"/>
          <w:u w:val="none"/>
          <w:lang w:val="en-US" w:eastAsia="zh-CN"/>
        </w:rPr>
        <w:t>（二）提高“小小孩”托育服务质量</w:t>
      </w:r>
      <w:bookmarkEnd w:id="385"/>
      <w:bookmarkEnd w:id="386"/>
      <w:bookmarkEnd w:id="387"/>
      <w:bookmarkEnd w:id="388"/>
    </w:p>
    <w:p>
      <w:pPr>
        <w:keepNext w:val="0"/>
        <w:keepLines w:val="0"/>
        <w:pageBreakBefore w:val="0"/>
        <w:widowControl w:val="0"/>
        <w:kinsoku/>
        <w:wordWrap w:val="0"/>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theme="minorBidi"/>
          <w:b w:val="0"/>
          <w:bCs w:val="0"/>
          <w:kern w:val="2"/>
          <w:sz w:val="32"/>
          <w:szCs w:val="24"/>
          <w:highlight w:val="none"/>
          <w:u w:val="none"/>
          <w:lang w:val="en-US" w:eastAsia="zh-CN" w:bidi="ar-SA"/>
        </w:rPr>
      </w:pPr>
      <w:r>
        <w:rPr>
          <w:rFonts w:hint="eastAsia" w:ascii="仿宋_GB2312" w:hAnsi="仿宋_GB2312" w:eastAsia="仿宋_GB2312"/>
          <w:b/>
          <w:bCs/>
          <w:sz w:val="32"/>
          <w:highlight w:val="none"/>
          <w:u w:val="none"/>
          <w:lang w:val="en-US" w:eastAsia="zh-CN"/>
        </w:rPr>
        <w:t>完善普惠托育服务体系。</w:t>
      </w:r>
      <w:r>
        <w:rPr>
          <w:rFonts w:hint="default" w:ascii="仿宋_GB2312" w:hAnsi="仿宋_GB2312" w:eastAsia="仿宋_GB2312"/>
          <w:sz w:val="32"/>
          <w:highlight w:val="none"/>
          <w:u w:val="none"/>
        </w:rPr>
        <w:t>构建以幼儿园办托为主渠道、社区办托和托育机构为重要依托、单位办托为有效补充的“大学前”托幼一体化服务体系。</w:t>
      </w:r>
      <w:r>
        <w:rPr>
          <w:rFonts w:hint="eastAsia" w:ascii="仿宋_GB2312" w:hAnsi="仿宋_GB2312" w:eastAsia="仿宋_GB2312"/>
          <w:b w:val="0"/>
          <w:bCs w:val="0"/>
          <w:sz w:val="32"/>
          <w:highlight w:val="none"/>
          <w:u w:val="none"/>
          <w:lang w:val="en-US" w:eastAsia="zh-CN"/>
        </w:rPr>
        <w:t>优化</w:t>
      </w:r>
      <w:r>
        <w:rPr>
          <w:rFonts w:hint="default" w:ascii="仿宋_GB2312" w:hAnsi="仿宋_GB2312" w:eastAsia="仿宋_GB2312"/>
          <w:b w:val="0"/>
          <w:bCs w:val="0"/>
          <w:sz w:val="32"/>
          <w:highlight w:val="none"/>
          <w:u w:val="none"/>
        </w:rPr>
        <w:t>托育服务布局，</w:t>
      </w:r>
      <w:r>
        <w:rPr>
          <w:rFonts w:hint="eastAsia" w:ascii="仿宋_GB2312" w:hAnsi="仿宋_GB2312" w:eastAsia="仿宋_GB2312" w:cstheme="minorBidi"/>
          <w:b w:val="0"/>
          <w:bCs w:val="0"/>
          <w:kern w:val="2"/>
          <w:sz w:val="32"/>
          <w:szCs w:val="24"/>
          <w:highlight w:val="none"/>
          <w:u w:val="none"/>
          <w:lang w:val="en-US" w:eastAsia="zh-CN" w:bidi="ar-SA"/>
        </w:rPr>
        <w:t>依托怀柔区托育综合服务中心，</w:t>
      </w:r>
      <w:r>
        <w:rPr>
          <w:rFonts w:hint="eastAsia" w:ascii="仿宋_GB2312" w:hAnsi="仿宋_GB2312" w:eastAsia="仿宋_GB2312" w:cs="仿宋_GB2312"/>
          <w:spacing w:val="0"/>
          <w:sz w:val="32"/>
          <w:szCs w:val="32"/>
          <w:highlight w:val="none"/>
          <w:u w:val="none"/>
          <w:shd w:val="clear" w:color="auto" w:fill="auto"/>
          <w:lang w:val="en-US" w:eastAsia="zh-CN" w:bidi="ar-SA"/>
        </w:rPr>
        <w:t>逐步形成“1+N”托育服务网络，推动全区托育服务专业化、规范化、系统化管理。</w:t>
      </w:r>
      <w:r>
        <w:rPr>
          <w:rFonts w:hint="eastAsia" w:ascii="仿宋_GB2312" w:hAnsi="仿宋_GB2312" w:eastAsia="仿宋_GB2312" w:cstheme="minorBidi"/>
          <w:b w:val="0"/>
          <w:bCs w:val="0"/>
          <w:kern w:val="2"/>
          <w:sz w:val="32"/>
          <w:szCs w:val="24"/>
          <w:highlight w:val="none"/>
          <w:u w:val="none"/>
          <w:lang w:val="en-US" w:eastAsia="zh-CN" w:bidi="ar-SA"/>
        </w:rPr>
        <w:t>充分利用</w:t>
      </w:r>
      <w:r>
        <w:rPr>
          <w:rFonts w:hint="eastAsia" w:ascii="仿宋_GB2312" w:hAnsi="仿宋_GB2312" w:eastAsia="仿宋_GB2312" w:cs="仿宋_GB2312"/>
          <w:b w:val="0"/>
          <w:bCs w:val="0"/>
          <w:spacing w:val="0"/>
          <w:kern w:val="2"/>
          <w:sz w:val="32"/>
          <w:szCs w:val="32"/>
          <w:highlight w:val="none"/>
          <w:u w:val="none"/>
          <w:shd w:val="clear" w:color="auto" w:fill="auto"/>
          <w:lang w:val="en-US" w:eastAsia="zh-CN" w:bidi="ar-SA"/>
        </w:rPr>
        <w:t>社区儿童中心、妇女之家、儿童之家、家长学校等场所，推进社区嵌入式托育服务设施建设，</w:t>
      </w:r>
      <w:r>
        <w:rPr>
          <w:rFonts w:hint="eastAsia" w:ascii="仿宋_GB2312" w:hAnsi="仿宋_GB2312" w:eastAsia="仿宋_GB2312" w:cstheme="minorBidi"/>
          <w:b w:val="0"/>
          <w:bCs w:val="0"/>
          <w:kern w:val="2"/>
          <w:sz w:val="32"/>
          <w:szCs w:val="24"/>
          <w:highlight w:val="none"/>
          <w:u w:val="none"/>
          <w:lang w:val="en-US" w:eastAsia="zh-CN" w:bidi="ar-SA"/>
        </w:rPr>
        <w:t>提供全日托、半日托、临时托、计时托等多样化服务，完善“家门口”普惠托育服务供给。鼓励有条件的公办幼儿园和优质普惠的民办幼儿园开设托班，发展0-6岁“大学前”托幼一体化服务，构建起连续、优质、普惠的照护与教育服务体系。</w:t>
      </w:r>
      <w:r>
        <w:rPr>
          <w:rFonts w:hint="eastAsia" w:ascii="仿宋_GB2312" w:hAnsi="仿宋_GB2312" w:eastAsia="仿宋_GB2312" w:cs="仿宋_GB2312"/>
          <w:b w:val="0"/>
          <w:bCs w:val="0"/>
          <w:sz w:val="32"/>
          <w:szCs w:val="32"/>
          <w:highlight w:val="none"/>
          <w:u w:val="none"/>
          <w:lang w:val="en-US" w:eastAsia="zh-CN"/>
        </w:rPr>
        <w:t>到2030年，实现3岁以下婴幼儿入托率提高到25%。</w:t>
      </w:r>
    </w:p>
    <w:p>
      <w:pPr>
        <w:keepNext w:val="0"/>
        <w:keepLines w:val="0"/>
        <w:pageBreakBefore w:val="0"/>
        <w:widowControl w:val="0"/>
        <w:kinsoku/>
        <w:wordWrap w:val="0"/>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spacing w:val="0"/>
          <w:sz w:val="32"/>
          <w:szCs w:val="32"/>
          <w:highlight w:val="none"/>
          <w:u w:val="none"/>
          <w:shd w:val="clear" w:color="auto" w:fill="auto"/>
          <w:lang w:val="en-US" w:eastAsia="zh-CN" w:bidi="ar-SA"/>
        </w:rPr>
      </w:pPr>
      <w:r>
        <w:rPr>
          <w:rFonts w:hint="eastAsia" w:ascii="仿宋_GB2312" w:hAnsi="仿宋_GB2312" w:eastAsia="仿宋_GB2312"/>
          <w:b/>
          <w:bCs/>
          <w:sz w:val="32"/>
          <w:highlight w:val="none"/>
          <w:u w:val="none"/>
        </w:rPr>
        <w:t>提升托育服务质量和安全水平</w:t>
      </w:r>
      <w:r>
        <w:rPr>
          <w:rFonts w:hint="eastAsia" w:ascii="仿宋_GB2312" w:hAnsi="仿宋_GB2312" w:eastAsia="仿宋_GB2312"/>
          <w:b/>
          <w:bCs/>
          <w:sz w:val="32"/>
          <w:highlight w:val="none"/>
          <w:u w:val="none"/>
          <w:lang w:eastAsia="zh-CN"/>
        </w:rPr>
        <w:t>。</w:t>
      </w:r>
      <w:r>
        <w:rPr>
          <w:rFonts w:hint="default" w:ascii="仿宋_GB2312" w:hAnsi="仿宋_GB2312" w:eastAsia="仿宋_GB2312" w:cs="仿宋_GB2312"/>
          <w:spacing w:val="0"/>
          <w:sz w:val="32"/>
          <w:szCs w:val="32"/>
          <w:highlight w:val="none"/>
          <w:u w:val="none"/>
          <w:shd w:val="clear" w:color="auto" w:fill="auto"/>
          <w:lang w:val="en-US" w:eastAsia="zh-CN" w:bidi="ar-SA"/>
        </w:rPr>
        <w:t>高质量开展</w:t>
      </w:r>
      <w:r>
        <w:rPr>
          <w:rFonts w:hint="eastAsia" w:ascii="仿宋_GB2312" w:hAnsi="仿宋_GB2312" w:eastAsia="仿宋_GB2312" w:cs="仿宋_GB2312"/>
          <w:spacing w:val="0"/>
          <w:sz w:val="32"/>
          <w:szCs w:val="32"/>
          <w:highlight w:val="none"/>
          <w:u w:val="none"/>
          <w:shd w:val="clear" w:color="auto" w:fill="auto"/>
          <w:lang w:val="en-US" w:eastAsia="zh-CN" w:bidi="ar-SA"/>
        </w:rPr>
        <w:t>保教结合、医育融合，推动</w:t>
      </w:r>
      <w:r>
        <w:rPr>
          <w:rFonts w:hint="eastAsia" w:ascii="仿宋_GB2312" w:hAnsi="仿宋_GB2312" w:eastAsia="仿宋_GB2312" w:cs="仿宋_GB2312"/>
          <w:b w:val="0"/>
          <w:bCs w:val="0"/>
          <w:color w:val="auto"/>
          <w:sz w:val="32"/>
          <w:szCs w:val="32"/>
          <w:highlight w:val="none"/>
          <w:u w:val="none"/>
          <w:lang w:val="en-US" w:eastAsia="zh-CN"/>
        </w:rPr>
        <w:t>区级医育结合指导中心建设，完善托育机构卫生保健、健康管理和育儿指导服务</w:t>
      </w:r>
      <w:r>
        <w:rPr>
          <w:rFonts w:hint="eastAsia" w:ascii="仿宋_GB2312" w:hAnsi="仿宋_GB2312" w:eastAsia="仿宋_GB2312" w:cs="仿宋_GB2312"/>
          <w:spacing w:val="0"/>
          <w:sz w:val="32"/>
          <w:szCs w:val="32"/>
          <w:highlight w:val="none"/>
          <w:u w:val="none"/>
          <w:shd w:val="clear" w:color="auto" w:fill="auto"/>
          <w:lang w:val="en-US" w:eastAsia="zh-CN" w:bidi="ar-SA"/>
        </w:rPr>
        <w:t>。</w:t>
      </w:r>
      <w:r>
        <w:rPr>
          <w:rFonts w:hint="eastAsia" w:ascii="仿宋_GB2312" w:hAnsi="仿宋_GB2312" w:eastAsia="仿宋_GB2312" w:cs="仿宋_GB2312"/>
          <w:sz w:val="32"/>
          <w:szCs w:val="32"/>
          <w:highlight w:val="none"/>
          <w:u w:val="none"/>
          <w:shd w:val="clear" w:color="auto" w:fill="auto"/>
        </w:rPr>
        <w:t>强化托育教师培训和从业人员管理，逐步建立统一标准和服务规范，加强托育机构常态化综合监管，提升育儿指导和科学养育服务能力。落实婴幼儿照护、育儿补贴等生育配套政策，切实缓解家庭育儿压力。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黑体" w:cs="Times New Roman"/>
          <w:b w:val="0"/>
          <w:kern w:val="2"/>
          <w:sz w:val="32"/>
          <w:szCs w:val="32"/>
          <w:highlight w:val="none"/>
          <w:u w:val="none"/>
          <w:lang w:val="en-US" w:eastAsia="zh-CN" w:bidi="ar-SA"/>
        </w:rPr>
      </w:pPr>
      <w:bookmarkStart w:id="389" w:name="_Toc6410"/>
      <w:bookmarkStart w:id="390" w:name="_Toc3659"/>
      <w:bookmarkStart w:id="391" w:name="_Toc10000"/>
      <w:bookmarkStart w:id="392" w:name="_Toc2080"/>
      <w:bookmarkStart w:id="393" w:name="_Toc16587"/>
      <w:bookmarkStart w:id="394" w:name="_Toc31007"/>
      <w:bookmarkStart w:id="395" w:name="_Toc16436"/>
      <w:bookmarkStart w:id="396" w:name="_Toc4750"/>
      <w:bookmarkStart w:id="397" w:name="_Toc28476"/>
      <w:bookmarkStart w:id="398" w:name="_Toc8344"/>
      <w:bookmarkStart w:id="399" w:name="_Toc29119"/>
      <w:bookmarkStart w:id="400" w:name="_Toc23879"/>
      <w:bookmarkStart w:id="401" w:name="_Toc31173"/>
      <w:bookmarkStart w:id="402" w:name="_Toc10952"/>
      <w:bookmarkStart w:id="403" w:name="_Toc31703"/>
      <w:bookmarkStart w:id="404" w:name="_Toc10473"/>
      <w:bookmarkStart w:id="405" w:name="_Toc28309"/>
      <w:r>
        <w:rPr>
          <w:rFonts w:hint="eastAsia" w:ascii="仿宋_GB2312" w:hAnsi="仿宋_GB2312" w:eastAsia="黑体" w:cs="Times New Roman"/>
          <w:b w:val="0"/>
          <w:kern w:val="2"/>
          <w:sz w:val="32"/>
          <w:szCs w:val="32"/>
          <w:highlight w:val="none"/>
          <w:u w:val="none"/>
          <w:lang w:val="en-US" w:eastAsia="zh-CN" w:bidi="ar-SA"/>
        </w:rPr>
        <w:t>二、加强困难群体和残疾人</w:t>
      </w:r>
      <w:bookmarkEnd w:id="389"/>
      <w:bookmarkEnd w:id="390"/>
      <w:bookmarkEnd w:id="391"/>
      <w:bookmarkEnd w:id="392"/>
      <w:r>
        <w:rPr>
          <w:rFonts w:hint="eastAsia" w:ascii="仿宋_GB2312" w:hAnsi="仿宋_GB2312" w:eastAsia="黑体" w:cs="Times New Roman"/>
          <w:b w:val="0"/>
          <w:kern w:val="2"/>
          <w:sz w:val="32"/>
          <w:szCs w:val="32"/>
          <w:highlight w:val="none"/>
          <w:u w:val="none"/>
          <w:lang w:val="en-US" w:eastAsia="zh-CN" w:bidi="ar-SA"/>
        </w:rPr>
        <w:t>保障</w:t>
      </w:r>
      <w:bookmarkEnd w:id="393"/>
      <w:bookmarkEnd w:id="394"/>
      <w:bookmarkEnd w:id="395"/>
      <w:bookmarkEnd w:id="396"/>
      <w:bookmarkEnd w:id="397"/>
      <w:bookmarkEnd w:id="398"/>
      <w:bookmarkEnd w:id="399"/>
      <w:bookmarkEnd w:id="400"/>
      <w:bookmarkEnd w:id="401"/>
      <w:bookmarkEnd w:id="402"/>
      <w:bookmarkEnd w:id="403"/>
      <w:bookmarkEnd w:id="404"/>
    </w:p>
    <w:p>
      <w:pPr>
        <w:keepNext w:val="0"/>
        <w:keepLines w:val="0"/>
        <w:pageBreakBefore w:val="0"/>
        <w:widowControl w:val="0"/>
        <w:numPr>
          <w:ilvl w:val="-1"/>
          <w:numId w:val="0"/>
        </w:numPr>
        <w:kinsoku/>
        <w:wordWrap w:val="0"/>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sz w:val="32"/>
          <w:highlight w:val="none"/>
          <w:u w:val="none"/>
          <w:lang w:eastAsia="zh-CN"/>
        </w:rPr>
      </w:pPr>
      <w:r>
        <w:rPr>
          <w:rFonts w:hint="eastAsia" w:ascii="仿宋_GB2312" w:hAnsi="仿宋_GB2312" w:eastAsia="仿宋_GB2312"/>
          <w:sz w:val="32"/>
          <w:highlight w:val="none"/>
          <w:u w:val="none"/>
        </w:rPr>
        <w:t>健全社会救助体系</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lang w:val="en-US" w:eastAsia="zh-CN"/>
        </w:rPr>
        <w:t>增强</w:t>
      </w:r>
      <w:r>
        <w:rPr>
          <w:rFonts w:hint="eastAsia" w:ascii="仿宋_GB2312" w:hAnsi="仿宋_GB2312" w:eastAsia="仿宋_GB2312"/>
          <w:sz w:val="32"/>
          <w:highlight w:val="none"/>
          <w:u w:val="none"/>
        </w:rPr>
        <w:t>兜底保障能力，强化多部门联动与社会参与，完善困境</w:t>
      </w:r>
      <w:r>
        <w:rPr>
          <w:rFonts w:hint="eastAsia" w:ascii="仿宋_GB2312" w:hAnsi="仿宋_GB2312" w:eastAsia="仿宋_GB2312"/>
          <w:sz w:val="32"/>
          <w:highlight w:val="none"/>
          <w:u w:val="none"/>
          <w:lang w:val="en-US" w:eastAsia="zh-CN"/>
        </w:rPr>
        <w:t>群体</w:t>
      </w:r>
      <w:r>
        <w:rPr>
          <w:rFonts w:hint="eastAsia" w:ascii="仿宋_GB2312" w:hAnsi="仿宋_GB2312" w:eastAsia="仿宋_GB2312"/>
          <w:sz w:val="32"/>
          <w:highlight w:val="none"/>
          <w:u w:val="none"/>
        </w:rPr>
        <w:t>、残疾人等群体服务保障体系</w:t>
      </w:r>
      <w:r>
        <w:rPr>
          <w:rFonts w:hint="eastAsia" w:ascii="仿宋_GB2312" w:hAnsi="仿宋_GB2312" w:eastAsia="仿宋_GB2312"/>
          <w:sz w:val="32"/>
          <w:highlight w:val="none"/>
          <w:u w:val="none"/>
          <w:lang w:eastAsia="zh-CN"/>
        </w:rPr>
        <w:t>，</w:t>
      </w:r>
      <w:r>
        <w:rPr>
          <w:rFonts w:hint="eastAsia" w:ascii="仿宋_GB2312" w:hAnsi="仿宋_GB2312" w:eastAsia="仿宋_GB2312"/>
          <w:sz w:val="32"/>
          <w:highlight w:val="none"/>
          <w:u w:val="none"/>
          <w:lang w:val="en-US" w:eastAsia="zh-CN"/>
        </w:rPr>
        <w:t>推动救助服务精准化、常态化、长效化，</w:t>
      </w:r>
      <w:r>
        <w:rPr>
          <w:rFonts w:hint="eastAsia" w:ascii="仿宋_GB2312" w:hAnsi="仿宋_GB2312" w:eastAsia="仿宋_GB2312"/>
          <w:sz w:val="32"/>
          <w:highlight w:val="none"/>
          <w:u w:val="none"/>
        </w:rPr>
        <w:t>提升困难群体生活保障水平。</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hAnsi="仿宋_GB2312" w:eastAsia="仿宋_GB2312" w:cs="仿宋_GB2312"/>
          <w:b w:val="0"/>
          <w:bCs w:val="0"/>
          <w:color w:val="auto"/>
          <w:kern w:val="2"/>
          <w:sz w:val="32"/>
          <w:szCs w:val="32"/>
          <w:highlight w:val="none"/>
          <w:u w:val="none"/>
          <w:lang w:val="en-US" w:eastAsia="zh-CN" w:bidi="ar"/>
        </w:rPr>
      </w:pPr>
      <w:r>
        <w:rPr>
          <w:rFonts w:hint="eastAsia" w:ascii="仿宋_GB2312" w:hAnsi="仿宋_GB2312" w:eastAsia="楷体_GB2312" w:cs="楷体_GB2312"/>
          <w:b w:val="0"/>
          <w:bCs w:val="0"/>
          <w:color w:val="auto"/>
          <w:kern w:val="2"/>
          <w:sz w:val="32"/>
          <w:szCs w:val="32"/>
          <w:highlight w:val="none"/>
          <w:u w:val="none"/>
          <w:lang w:val="en-US" w:eastAsia="zh-CN" w:bidi="ar"/>
        </w:rPr>
        <w:t>（一）提高困难群体救助能力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u w:val="none"/>
          <w:lang w:bidi="ar"/>
        </w:rPr>
      </w:pPr>
      <w:r>
        <w:rPr>
          <w:rFonts w:hint="eastAsia" w:ascii="仿宋_GB2312" w:hAnsi="仿宋_GB2312" w:eastAsia="仿宋_GB2312" w:cs="仿宋_GB2312"/>
          <w:color w:val="auto"/>
          <w:sz w:val="32"/>
          <w:szCs w:val="32"/>
          <w:highlight w:val="none"/>
          <w:u w:val="none"/>
          <w:lang w:bidi="ar"/>
        </w:rPr>
        <w:t>持续完善困难群体救助体系，强化兜底保障能力，确保低保、特困、残疾人及其他特殊群体基本生活得到有力保障。</w:t>
      </w:r>
      <w:r>
        <w:rPr>
          <w:rFonts w:hint="eastAsia" w:ascii="仿宋_GB2312" w:hAnsi="仿宋_GB2312" w:eastAsia="仿宋_GB2312" w:cs="仿宋_GB2312"/>
          <w:b w:val="0"/>
          <w:bCs w:val="0"/>
          <w:color w:val="auto"/>
          <w:sz w:val="32"/>
          <w:szCs w:val="32"/>
          <w:highlight w:val="none"/>
          <w:u w:val="none"/>
          <w:lang w:bidi="ar"/>
        </w:rPr>
        <w:t>完善日常救助保障</w:t>
      </w:r>
      <w:r>
        <w:rPr>
          <w:rFonts w:hint="eastAsia" w:ascii="仿宋_GB2312" w:hAnsi="仿宋_GB2312" w:eastAsia="仿宋_GB2312" w:cs="仿宋_GB2312"/>
          <w:b w:val="0"/>
          <w:bCs w:val="0"/>
          <w:color w:val="auto"/>
          <w:sz w:val="32"/>
          <w:szCs w:val="32"/>
          <w:highlight w:val="none"/>
          <w:u w:val="none"/>
          <w:lang w:eastAsia="zh-CN" w:bidi="ar"/>
        </w:rPr>
        <w:t>，</w:t>
      </w:r>
      <w:r>
        <w:rPr>
          <w:rFonts w:hint="eastAsia" w:ascii="仿宋_GB2312" w:hAnsi="仿宋_GB2312" w:eastAsia="仿宋_GB2312" w:cs="仿宋_GB2312"/>
          <w:b w:val="0"/>
          <w:bCs w:val="0"/>
          <w:color w:val="auto"/>
          <w:sz w:val="32"/>
          <w:szCs w:val="32"/>
          <w:highlight w:val="none"/>
          <w:u w:val="none"/>
          <w:lang w:bidi="ar"/>
        </w:rPr>
        <w:t>扎实做好城乡低保户、特困人员等9类服务对象的保障工作，及时发放低保金、特困人员生活费及残疾人</w:t>
      </w:r>
      <w:r>
        <w:rPr>
          <w:rFonts w:hint="eastAsia" w:ascii="仿宋_GB2312" w:hAnsi="仿宋_GB2312" w:eastAsia="仿宋_GB2312" w:cs="仿宋_GB2312"/>
          <w:b w:val="0"/>
          <w:bCs w:val="0"/>
          <w:color w:val="auto"/>
          <w:sz w:val="32"/>
          <w:szCs w:val="32"/>
          <w:highlight w:val="none"/>
          <w:u w:val="none"/>
          <w:lang w:eastAsia="zh-CN" w:bidi="ar"/>
        </w:rPr>
        <w:t>“</w:t>
      </w:r>
      <w:r>
        <w:rPr>
          <w:rFonts w:hint="eastAsia" w:ascii="仿宋_GB2312" w:hAnsi="仿宋_GB2312" w:eastAsia="仿宋_GB2312" w:cs="仿宋_GB2312"/>
          <w:b w:val="0"/>
          <w:bCs w:val="0"/>
          <w:color w:val="auto"/>
          <w:sz w:val="32"/>
          <w:szCs w:val="32"/>
          <w:highlight w:val="none"/>
          <w:u w:val="none"/>
          <w:lang w:bidi="ar"/>
        </w:rPr>
        <w:t>两项补贴</w:t>
      </w:r>
      <w:r>
        <w:rPr>
          <w:rFonts w:hint="eastAsia" w:ascii="仿宋_GB2312" w:hAnsi="仿宋_GB2312" w:eastAsia="仿宋_GB2312" w:cs="仿宋_GB2312"/>
          <w:b w:val="0"/>
          <w:bCs w:val="0"/>
          <w:color w:val="auto"/>
          <w:sz w:val="32"/>
          <w:szCs w:val="32"/>
          <w:highlight w:val="none"/>
          <w:u w:val="none"/>
          <w:lang w:eastAsia="zh-CN" w:bidi="ar"/>
        </w:rPr>
        <w:t>”</w:t>
      </w:r>
      <w:r>
        <w:rPr>
          <w:rFonts w:hint="eastAsia" w:ascii="仿宋_GB2312" w:hAnsi="仿宋_GB2312" w:eastAsia="仿宋_GB2312" w:cs="仿宋_GB2312"/>
          <w:b w:val="0"/>
          <w:bCs w:val="0"/>
          <w:color w:val="auto"/>
          <w:sz w:val="32"/>
          <w:szCs w:val="32"/>
          <w:highlight w:val="none"/>
          <w:u w:val="none"/>
          <w:lang w:bidi="ar"/>
        </w:rPr>
        <w:t>，并实施临时救助，确保救助资金精准覆盖、切实保障群众基本生活需求。构建高效联动机制</w:t>
      </w:r>
      <w:r>
        <w:rPr>
          <w:rFonts w:hint="eastAsia" w:ascii="仿宋_GB2312" w:hAnsi="仿宋_GB2312" w:eastAsia="仿宋_GB2312" w:cs="仿宋_GB2312"/>
          <w:b w:val="0"/>
          <w:bCs w:val="0"/>
          <w:color w:val="auto"/>
          <w:sz w:val="32"/>
          <w:szCs w:val="32"/>
          <w:highlight w:val="none"/>
          <w:u w:val="none"/>
          <w:lang w:eastAsia="zh-CN" w:bidi="ar"/>
        </w:rPr>
        <w:t>，</w:t>
      </w:r>
      <w:r>
        <w:rPr>
          <w:rFonts w:hint="eastAsia" w:ascii="仿宋_GB2312" w:hAnsi="仿宋_GB2312" w:eastAsia="仿宋_GB2312" w:cs="仿宋_GB2312"/>
          <w:b w:val="0"/>
          <w:bCs w:val="0"/>
          <w:color w:val="auto"/>
          <w:sz w:val="32"/>
          <w:szCs w:val="32"/>
          <w:highlight w:val="none"/>
          <w:u w:val="none"/>
          <w:lang w:bidi="ar"/>
        </w:rPr>
        <w:t>依托区救助管理站，加强多部门协作，形成高效、有序的救助工作体系。健全救助对象认定监测机制，加强救助体系与其他政策有效衔接，激发救助对象脱困解困内生动力。推进信息化手段应用，实现困难群体及时发现、快速救助，确保应助尽助。完善流浪乞讨及特殊群体关爱服务</w:t>
      </w:r>
      <w:r>
        <w:rPr>
          <w:rFonts w:hint="eastAsia" w:ascii="仿宋_GB2312" w:hAnsi="仿宋_GB2312" w:eastAsia="仿宋_GB2312" w:cs="仿宋_GB2312"/>
          <w:b w:val="0"/>
          <w:bCs w:val="0"/>
          <w:color w:val="auto"/>
          <w:sz w:val="32"/>
          <w:szCs w:val="32"/>
          <w:highlight w:val="none"/>
          <w:u w:val="none"/>
          <w:lang w:eastAsia="zh-CN" w:bidi="ar"/>
        </w:rPr>
        <w:t>，</w:t>
      </w:r>
      <w:r>
        <w:rPr>
          <w:rFonts w:hint="eastAsia" w:ascii="仿宋_GB2312" w:hAnsi="仿宋_GB2312" w:eastAsia="仿宋_GB2312" w:cs="仿宋_GB2312"/>
          <w:b w:val="0"/>
          <w:bCs w:val="0"/>
          <w:color w:val="auto"/>
          <w:sz w:val="32"/>
          <w:szCs w:val="32"/>
          <w:highlight w:val="none"/>
          <w:u w:val="none"/>
          <w:lang w:bidi="ar"/>
        </w:rPr>
        <w:t>健全流浪乞讨人员救助机制，</w:t>
      </w:r>
      <w:r>
        <w:rPr>
          <w:rFonts w:hint="eastAsia" w:ascii="仿宋_GB2312" w:hAnsi="仿宋_GB2312" w:eastAsia="仿宋_GB2312" w:cs="仿宋_GB2312"/>
          <w:b w:val="0"/>
          <w:bCs w:val="0"/>
          <w:color w:val="auto"/>
          <w:sz w:val="32"/>
          <w:szCs w:val="32"/>
          <w:highlight w:val="none"/>
          <w:u w:val="none"/>
          <w:lang w:val="en-US" w:eastAsia="zh-CN" w:bidi="ar"/>
        </w:rPr>
        <w:t>完善</w:t>
      </w:r>
      <w:r>
        <w:rPr>
          <w:rFonts w:hint="eastAsia" w:ascii="仿宋_GB2312" w:hAnsi="仿宋_GB2312" w:eastAsia="仿宋_GB2312" w:cs="仿宋_GB2312"/>
          <w:b w:val="0"/>
          <w:bCs w:val="0"/>
          <w:color w:val="auto"/>
          <w:sz w:val="32"/>
          <w:szCs w:val="32"/>
          <w:highlight w:val="none"/>
          <w:u w:val="none"/>
          <w:lang w:bidi="ar"/>
        </w:rPr>
        <w:t>基本生活、医疗、返乡安置等服务，并强化对流浪未成年人的全链条关爱和保护。强化儿童及困境群体</w:t>
      </w:r>
      <w:r>
        <w:rPr>
          <w:rFonts w:hint="eastAsia" w:ascii="仿宋_GB2312" w:hAnsi="仿宋_GB2312" w:eastAsia="仿宋_GB2312" w:cs="仿宋_GB2312"/>
          <w:b w:val="0"/>
          <w:bCs w:val="0"/>
          <w:color w:val="auto"/>
          <w:sz w:val="32"/>
          <w:szCs w:val="32"/>
          <w:highlight w:val="none"/>
          <w:u w:val="none"/>
          <w:lang w:val="en-US" w:eastAsia="zh-CN" w:bidi="ar"/>
        </w:rPr>
        <w:t>救助</w:t>
      </w:r>
      <w:r>
        <w:rPr>
          <w:rFonts w:hint="eastAsia" w:ascii="仿宋_GB2312" w:hAnsi="仿宋_GB2312" w:eastAsia="仿宋_GB2312" w:cs="仿宋_GB2312"/>
          <w:b w:val="0"/>
          <w:bCs w:val="0"/>
          <w:color w:val="auto"/>
          <w:sz w:val="32"/>
          <w:szCs w:val="32"/>
          <w:highlight w:val="none"/>
          <w:u w:val="none"/>
          <w:lang w:bidi="ar"/>
        </w:rPr>
        <w:t>服务</w:t>
      </w:r>
      <w:r>
        <w:rPr>
          <w:rFonts w:hint="eastAsia" w:ascii="仿宋_GB2312" w:hAnsi="仿宋_GB2312" w:eastAsia="仿宋_GB2312" w:cs="仿宋_GB2312"/>
          <w:b w:val="0"/>
          <w:bCs w:val="0"/>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完善困境（留守）儿童服务体系，依托区儿童福利院提供养育、</w:t>
      </w:r>
      <w:r>
        <w:rPr>
          <w:rFonts w:hint="eastAsia" w:ascii="仿宋_GB2312" w:hAnsi="仿宋_GB2312" w:eastAsia="仿宋_GB2312" w:cs="仿宋_GB2312"/>
          <w:color w:val="auto"/>
          <w:sz w:val="32"/>
          <w:szCs w:val="32"/>
          <w:highlight w:val="none"/>
          <w:u w:val="none"/>
          <w:lang w:val="en-US" w:eastAsia="zh-CN" w:bidi="ar"/>
        </w:rPr>
        <w:t>关爱</w:t>
      </w:r>
      <w:r>
        <w:rPr>
          <w:rFonts w:hint="eastAsia" w:ascii="仿宋_GB2312" w:hAnsi="仿宋_GB2312" w:eastAsia="仿宋_GB2312" w:cs="仿宋_GB2312"/>
          <w:color w:val="auto"/>
          <w:sz w:val="32"/>
          <w:szCs w:val="32"/>
          <w:highlight w:val="none"/>
          <w:u w:val="none"/>
          <w:lang w:bidi="ar"/>
        </w:rPr>
        <w:t>等服务。持续开展</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为困境（留守）儿童撑起一片蓝天</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品牌服务，提升困境儿童心理健康和身心发展水平。</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2"/>
        <w:rPr>
          <w:rFonts w:hint="default" w:ascii="仿宋_GB2312" w:hAnsi="仿宋_GB2312" w:eastAsia="楷体_GB2312" w:cs="楷体_GB2312"/>
          <w:b w:val="0"/>
          <w:bCs w:val="0"/>
          <w:color w:val="auto"/>
          <w:kern w:val="2"/>
          <w:sz w:val="32"/>
          <w:szCs w:val="32"/>
          <w:highlight w:val="none"/>
          <w:u w:val="none"/>
          <w:lang w:val="en-US" w:eastAsia="zh-CN" w:bidi="ar"/>
        </w:rPr>
      </w:pPr>
      <w:bookmarkStart w:id="406" w:name="_Toc17150"/>
      <w:bookmarkStart w:id="407" w:name="_Toc13375"/>
      <w:bookmarkStart w:id="408" w:name="_Toc18485"/>
      <w:bookmarkStart w:id="409" w:name="_Toc22383"/>
      <w:r>
        <w:rPr>
          <w:rFonts w:hint="eastAsia" w:ascii="仿宋_GB2312" w:hAnsi="仿宋_GB2312" w:eastAsia="楷体_GB2312" w:cs="楷体_GB2312"/>
          <w:b w:val="0"/>
          <w:bCs w:val="0"/>
          <w:color w:val="auto"/>
          <w:kern w:val="2"/>
          <w:sz w:val="32"/>
          <w:szCs w:val="32"/>
          <w:highlight w:val="none"/>
          <w:u w:val="none"/>
          <w:lang w:val="en-US" w:eastAsia="zh-CN" w:bidi="ar"/>
        </w:rPr>
        <w:t>（二）提升残疾人保障水平</w:t>
      </w:r>
      <w:bookmarkEnd w:id="406"/>
      <w:bookmarkEnd w:id="40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color w:val="auto"/>
          <w:kern w:val="2"/>
          <w:sz w:val="32"/>
          <w:szCs w:val="32"/>
          <w:highlight w:val="none"/>
          <w:u w:val="none"/>
          <w:lang w:val="en-US" w:eastAsia="zh-CN" w:bidi="ar"/>
        </w:rPr>
      </w:pPr>
      <w:r>
        <w:rPr>
          <w:rFonts w:hint="eastAsia" w:ascii="仿宋_GB2312" w:hAnsi="仿宋_GB2312" w:eastAsia="仿宋_GB2312" w:cs="仿宋_GB2312"/>
          <w:color w:val="auto"/>
          <w:sz w:val="32"/>
          <w:szCs w:val="32"/>
          <w:highlight w:val="none"/>
          <w:u w:val="none"/>
          <w:lang w:val="en-US" w:eastAsia="zh-CN"/>
        </w:rPr>
        <w:t>充分发挥温馨家园活动、服务、教育和展示功能，持续提升温馨家园服务保障能力与水平。</w:t>
      </w:r>
      <w:r>
        <w:rPr>
          <w:rFonts w:hint="eastAsia" w:ascii="仿宋_GB2312" w:hAnsi="仿宋_GB2312" w:eastAsia="仿宋_GB2312" w:cs="仿宋_GB2312"/>
          <w:color w:val="auto"/>
          <w:sz w:val="32"/>
          <w:szCs w:val="32"/>
          <w:highlight w:val="none"/>
          <w:u w:val="none"/>
        </w:rPr>
        <w:t>以温馨家园为服务阵地，整合就业指导、康复培训、文体活动、日间照料及关怀照料等资源，实现服务供给与残疾人需求的精准对接。提升残疾人康复服务水平</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加强</w:t>
      </w:r>
      <w:r>
        <w:rPr>
          <w:rFonts w:hint="eastAsia" w:ascii="仿宋_GB2312" w:hAnsi="仿宋_GB2312" w:eastAsia="仿宋_GB2312" w:cs="仿宋_GB2312"/>
          <w:color w:val="auto"/>
          <w:sz w:val="32"/>
          <w:szCs w:val="32"/>
          <w:highlight w:val="none"/>
          <w:u w:val="none"/>
          <w:lang w:eastAsia="zh-CN"/>
        </w:rPr>
        <w:t>康复护理</w:t>
      </w:r>
      <w:r>
        <w:rPr>
          <w:rFonts w:hint="eastAsia" w:ascii="仿宋_GB2312" w:hAnsi="仿宋_GB2312" w:eastAsia="仿宋_GB2312" w:cs="仿宋_GB2312"/>
          <w:color w:val="auto"/>
          <w:sz w:val="32"/>
          <w:szCs w:val="32"/>
          <w:highlight w:val="none"/>
          <w:u w:val="none"/>
        </w:rPr>
        <w:t>培训，提高康复服务的精准度和有效性</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拓宽就业渠道，助力残疾人实现社会价值。积极对接区内外优质培训资源，依托职业培训机构、温馨家园、职业康复劳动站等平台，开展针对性的职业技能培训，强化就业服务支持。深入推进科技助残，加强公共设施、信息交流、社会服务无障碍环境建设</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lang w:val="en-US" w:eastAsia="zh-CN"/>
        </w:rPr>
        <w:t>打造“</w:t>
      </w:r>
      <w:r>
        <w:rPr>
          <w:rFonts w:hint="eastAsia" w:ascii="仿宋_GB2312" w:hAnsi="仿宋_GB2312" w:eastAsia="仿宋_GB2312" w:cs="仿宋_GB2312"/>
          <w:b w:val="0"/>
          <w:bCs w:val="0"/>
          <w:color w:val="auto"/>
          <w:sz w:val="32"/>
          <w:szCs w:val="32"/>
          <w:highlight w:val="none"/>
          <w:u w:val="none"/>
          <w:lang w:val="en-US" w:eastAsia="zh-CN"/>
        </w:rPr>
        <w:t>一刻钟无障碍便民服务圈</w:t>
      </w:r>
      <w:r>
        <w:rPr>
          <w:rFonts w:hint="eastAsia" w:ascii="仿宋_GB2312" w:hAnsi="仿宋_GB2312" w:eastAsia="仿宋_GB2312" w:cs="仿宋_GB2312"/>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。改善居家生活环境</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落实</w:t>
      </w:r>
      <w:r>
        <w:rPr>
          <w:rFonts w:hint="eastAsia" w:ascii="仿宋_GB2312" w:hAnsi="仿宋_GB2312" w:eastAsia="仿宋_GB2312" w:cs="仿宋_GB2312"/>
          <w:sz w:val="32"/>
          <w:szCs w:val="32"/>
          <w:highlight w:val="none"/>
          <w:u w:val="none"/>
          <w:lang w:val="en-US" w:eastAsia="zh-CN"/>
        </w:rPr>
        <w:t>残疾人</w:t>
      </w:r>
      <w:r>
        <w:rPr>
          <w:rFonts w:hint="eastAsia" w:ascii="仿宋_GB2312" w:hAnsi="仿宋_GB2312" w:eastAsia="仿宋_GB2312" w:cs="仿宋_GB2312"/>
          <w:color w:val="auto"/>
          <w:sz w:val="32"/>
          <w:szCs w:val="32"/>
          <w:highlight w:val="none"/>
          <w:u w:val="none"/>
        </w:rPr>
        <w:t>居家环境无障碍改造政策，推进居家生活设施无障碍改造，提升残疾人生活便利性和生活质量，实现服务延伸至日常生活场景。</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Times New Roman"/>
          <w:b w:val="0"/>
          <w:kern w:val="2"/>
          <w:sz w:val="32"/>
          <w:szCs w:val="32"/>
          <w:highlight w:val="none"/>
          <w:u w:val="none"/>
          <w:lang w:val="en-US" w:eastAsia="zh-CN" w:bidi="ar-SA"/>
        </w:rPr>
      </w:pPr>
      <w:bookmarkStart w:id="410" w:name="_Toc15421"/>
      <w:bookmarkStart w:id="411" w:name="_Toc20596"/>
      <w:bookmarkStart w:id="412" w:name="_Toc14815"/>
      <w:bookmarkStart w:id="413" w:name="_Toc27683"/>
      <w:bookmarkStart w:id="414" w:name="_Toc27038"/>
      <w:bookmarkStart w:id="415" w:name="_Toc14565"/>
      <w:bookmarkStart w:id="416" w:name="_Toc13538"/>
      <w:bookmarkStart w:id="417" w:name="_Toc23807"/>
      <w:bookmarkStart w:id="418" w:name="_Toc21971"/>
      <w:bookmarkStart w:id="419" w:name="_Toc14435"/>
      <w:bookmarkStart w:id="420" w:name="_Toc27906"/>
      <w:bookmarkStart w:id="421" w:name="_Toc29347"/>
      <w:bookmarkStart w:id="422" w:name="_Toc1850"/>
      <w:bookmarkStart w:id="423" w:name="_Toc103"/>
      <w:r>
        <w:rPr>
          <w:rFonts w:hint="eastAsia" w:ascii="仿宋_GB2312" w:hAnsi="仿宋_GB2312" w:eastAsia="黑体" w:cs="Times New Roman"/>
          <w:b w:val="0"/>
          <w:kern w:val="2"/>
          <w:sz w:val="32"/>
          <w:szCs w:val="32"/>
          <w:highlight w:val="none"/>
          <w:u w:val="none"/>
          <w:lang w:val="en-US" w:eastAsia="zh-CN" w:bidi="ar-SA"/>
        </w:rPr>
        <w:t>三、强化妇女儿童和退役军人</w:t>
      </w:r>
      <w:bookmarkEnd w:id="408"/>
      <w:bookmarkEnd w:id="409"/>
      <w:r>
        <w:rPr>
          <w:rFonts w:hint="eastAsia" w:ascii="仿宋_GB2312" w:hAnsi="仿宋_GB2312" w:eastAsia="黑体" w:cs="Times New Roman"/>
          <w:b w:val="0"/>
          <w:kern w:val="2"/>
          <w:sz w:val="32"/>
          <w:szCs w:val="32"/>
          <w:highlight w:val="none"/>
          <w:u w:val="none"/>
          <w:lang w:val="en-US" w:eastAsia="zh-CN" w:bidi="ar-SA"/>
        </w:rPr>
        <w:t>服务</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bidi="ar"/>
        </w:rPr>
      </w:pPr>
      <w:r>
        <w:rPr>
          <w:rFonts w:hint="eastAsia" w:ascii="仿宋_GB2312" w:hAnsi="仿宋_GB2312" w:eastAsia="仿宋_GB2312" w:cs="仿宋_GB2312"/>
          <w:color w:val="auto"/>
          <w:sz w:val="32"/>
          <w:szCs w:val="32"/>
          <w:highlight w:val="none"/>
          <w:u w:val="none"/>
          <w:lang w:bidi="ar"/>
        </w:rPr>
        <w:t>围绕妇女、儿童和退役军人群体，完善法律保障、社会保障、教育培训、就业创业及生活关爱等各类服务供给，保障其在社会生活中的公平参与和发展机会。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楷体_GB2312" w:cs="楷体_GB2312"/>
          <w:b w:val="0"/>
          <w:bCs w:val="0"/>
          <w:color w:val="auto"/>
          <w:sz w:val="32"/>
          <w:szCs w:val="32"/>
          <w:highlight w:val="none"/>
          <w:u w:val="none"/>
          <w:lang w:val="en-US" w:eastAsia="zh-CN" w:bidi="ar"/>
        </w:rPr>
      </w:pPr>
      <w:r>
        <w:rPr>
          <w:rFonts w:hint="eastAsia" w:ascii="仿宋_GB2312" w:hAnsi="仿宋_GB2312" w:eastAsia="楷体_GB2312" w:cs="楷体_GB2312"/>
          <w:b w:val="0"/>
          <w:bCs w:val="0"/>
          <w:color w:val="auto"/>
          <w:sz w:val="32"/>
          <w:szCs w:val="32"/>
          <w:highlight w:val="none"/>
          <w:u w:val="none"/>
          <w:lang w:val="en-US" w:eastAsia="zh-CN" w:bidi="ar"/>
        </w:rPr>
        <w:t>（一）强化妇女权益保障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bidi="ar"/>
        </w:rPr>
      </w:pPr>
      <w:r>
        <w:rPr>
          <w:rFonts w:hint="eastAsia" w:ascii="仿宋_GB2312" w:hAnsi="仿宋_GB2312" w:eastAsia="仿宋_GB2312" w:cs="仿宋_GB2312"/>
          <w:color w:val="auto"/>
          <w:sz w:val="32"/>
          <w:szCs w:val="32"/>
          <w:highlight w:val="none"/>
          <w:u w:val="none"/>
          <w:lang w:bidi="ar"/>
        </w:rPr>
        <w:t>强化妇女权益保护与发展并重，提升妇女法治意识、就业能力和社会保障水平。持续丰富</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她·守护</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品牌内涵，开展</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巾帼普法乡村行</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等系列活动，加强对困难妇女群体的帮扶与救助，及时化解矛盾纠纷，切实维护妇女合法权益。加强宣传引导，树立创业就业女性典型，激发妇女参与创业和就业的积极性。分层次、多类型开展技能培训，提升女性劳动力就业能力。扩大妇女社会保险覆盖面，提高妇女在养老、医疗、失业等社会保险领域的参保率。持续预防和制止家庭暴力，严厉打击侵害妇女权</w:t>
      </w:r>
      <w:r>
        <w:rPr>
          <w:rFonts w:hint="eastAsia" w:ascii="仿宋_GB2312" w:hAnsi="仿宋_GB2312" w:eastAsia="仿宋_GB2312" w:cs="仿宋_GB2312"/>
          <w:color w:val="auto"/>
          <w:sz w:val="32"/>
          <w:szCs w:val="32"/>
          <w:highlight w:val="none"/>
          <w:u w:val="none"/>
          <w:lang w:val="en-US" w:eastAsia="zh-CN" w:bidi="ar"/>
        </w:rPr>
        <w:t>益</w:t>
      </w:r>
      <w:r>
        <w:rPr>
          <w:rFonts w:hint="eastAsia" w:ascii="仿宋_GB2312" w:hAnsi="仿宋_GB2312" w:eastAsia="仿宋_GB2312" w:cs="仿宋_GB2312"/>
          <w:color w:val="auto"/>
          <w:sz w:val="32"/>
          <w:szCs w:val="32"/>
          <w:highlight w:val="none"/>
          <w:u w:val="none"/>
          <w:lang w:bidi="ar"/>
        </w:rPr>
        <w:t>的违法犯罪行为。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楷体_GB2312" w:cs="楷体_GB2312"/>
          <w:b w:val="0"/>
          <w:bCs w:val="0"/>
          <w:color w:val="auto"/>
          <w:sz w:val="32"/>
          <w:szCs w:val="32"/>
          <w:highlight w:val="none"/>
          <w:u w:val="none"/>
          <w:lang w:val="en-US" w:eastAsia="zh-CN" w:bidi="ar"/>
        </w:rPr>
      </w:pPr>
      <w:r>
        <w:rPr>
          <w:rFonts w:hint="eastAsia" w:ascii="仿宋_GB2312" w:hAnsi="仿宋_GB2312" w:eastAsia="楷体_GB2312" w:cs="楷体_GB2312"/>
          <w:b w:val="0"/>
          <w:bCs w:val="0"/>
          <w:color w:val="auto"/>
          <w:sz w:val="32"/>
          <w:szCs w:val="32"/>
          <w:highlight w:val="none"/>
          <w:u w:val="none"/>
          <w:lang w:val="en-US" w:eastAsia="zh-CN" w:bidi="ar"/>
        </w:rPr>
        <w:t>（二）推进儿童权益保障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u w:val="none"/>
          <w:lang w:val="en-US" w:eastAsia="zh-CN" w:bidi="ar"/>
        </w:rPr>
      </w:pPr>
      <w:r>
        <w:rPr>
          <w:rFonts w:hint="eastAsia" w:ascii="仿宋_GB2312" w:hAnsi="仿宋_GB2312" w:eastAsia="仿宋_GB2312" w:cs="仿宋_GB2312"/>
          <w:color w:val="auto"/>
          <w:sz w:val="32"/>
          <w:szCs w:val="32"/>
          <w:highlight w:val="none"/>
          <w:u w:val="none"/>
          <w:lang w:eastAsia="zh-CN" w:bidi="ar"/>
        </w:rPr>
        <w:t>推进“一米高度看城市”</w:t>
      </w:r>
      <w:r>
        <w:rPr>
          <w:rFonts w:hint="eastAsia" w:ascii="仿宋_GB2312" w:hAnsi="仿宋_GB2312" w:eastAsia="仿宋_GB2312" w:cs="仿宋_GB2312"/>
          <w:color w:val="auto"/>
          <w:sz w:val="32"/>
          <w:szCs w:val="32"/>
          <w:highlight w:val="none"/>
          <w:u w:val="none"/>
          <w:lang w:bidi="ar"/>
        </w:rPr>
        <w:t>，提升儿童参与社会生活的机会。拓展开放共享的儿童成长空间，增加公益性儿童教育、科技、文化、体育及娱乐等校外活动场所</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推动服务设施适</w:t>
      </w:r>
      <w:r>
        <w:rPr>
          <w:rFonts w:hint="eastAsia" w:ascii="仿宋_GB2312" w:hAnsi="仿宋_GB2312" w:eastAsia="仿宋_GB2312" w:cs="仿宋_GB2312"/>
          <w:color w:val="auto"/>
          <w:sz w:val="32"/>
          <w:szCs w:val="32"/>
          <w:highlight w:val="none"/>
          <w:u w:val="none"/>
          <w:lang w:eastAsia="zh-CN" w:bidi="ar"/>
        </w:rPr>
        <w:t>儿</w:t>
      </w:r>
      <w:r>
        <w:rPr>
          <w:rFonts w:hint="eastAsia" w:ascii="仿宋_GB2312" w:hAnsi="仿宋_GB2312" w:eastAsia="仿宋_GB2312" w:cs="仿宋_GB2312"/>
          <w:color w:val="auto"/>
          <w:sz w:val="32"/>
          <w:szCs w:val="32"/>
          <w:highlight w:val="none"/>
          <w:u w:val="none"/>
          <w:lang w:bidi="ar"/>
        </w:rPr>
        <w:t>化改造，推广儿童友好“街区+”“社区+”“公园+”“商场+”建设模式。提升儿童之家建设、管理和服务水平，充分发挥关爱和保护儿童作用。加强未成年人权益保护和网络保护</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制定实施儿童伤害防控行动计划，强化未成年人违法犯罪预防和治理，有效防治学生欺凌。</w:t>
      </w:r>
      <w:r>
        <w:rPr>
          <w:rFonts w:hint="eastAsia" w:ascii="仿宋_GB2312" w:hAnsi="仿宋_GB2312" w:eastAsia="仿宋_GB2312" w:cs="仿宋_GB2312"/>
          <w:color w:val="auto"/>
          <w:sz w:val="32"/>
          <w:szCs w:val="32"/>
          <w:highlight w:val="none"/>
          <w:u w:val="none"/>
          <w:lang w:val="en-US" w:eastAsia="zh-CN" w:bidi="ar"/>
        </w:rPr>
        <w:t>加快建设</w:t>
      </w:r>
      <w:r>
        <w:rPr>
          <w:rFonts w:hint="eastAsia" w:ascii="仿宋_GB2312" w:hAnsi="仿宋_GB2312" w:eastAsia="仿宋_GB2312" w:cs="仿宋_GB2312"/>
          <w:color w:val="auto"/>
          <w:sz w:val="32"/>
          <w:szCs w:val="32"/>
          <w:highlight w:val="none"/>
          <w:u w:val="none"/>
          <w:lang w:bidi="ar"/>
        </w:rPr>
        <w:t>儿童友好城市。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楷体_GB2312" w:cs="楷体_GB2312"/>
          <w:b w:val="0"/>
          <w:bCs w:val="0"/>
          <w:color w:val="auto"/>
          <w:sz w:val="32"/>
          <w:szCs w:val="32"/>
          <w:highlight w:val="none"/>
          <w:u w:val="none"/>
          <w:lang w:val="en-US" w:eastAsia="zh-CN" w:bidi="ar"/>
        </w:rPr>
      </w:pPr>
      <w:r>
        <w:rPr>
          <w:rFonts w:hint="eastAsia" w:ascii="仿宋_GB2312" w:hAnsi="仿宋_GB2312" w:eastAsia="楷体_GB2312" w:cs="楷体_GB2312"/>
          <w:b w:val="0"/>
          <w:bCs w:val="0"/>
          <w:color w:val="auto"/>
          <w:sz w:val="32"/>
          <w:szCs w:val="32"/>
          <w:highlight w:val="none"/>
          <w:u w:val="none"/>
          <w:lang w:val="en-US" w:eastAsia="zh-CN" w:bidi="ar"/>
        </w:rPr>
        <w:t>（三）强化退役军人权益保障</w:t>
      </w:r>
    </w:p>
    <w:p>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黑体"/>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bidi="ar"/>
        </w:rPr>
        <w:t>持续健全退役军人移交安置、就业创业全链条服务体系，精准帮扶退役军人平稳转岗、顺畅融入社会。建立定期走访慰问机制，持续关怀退役军人及优抚对象。落实退役军人及优抚对象集中供养要求，完善光荣院软硬件设施建设，提升</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val="en-US" w:eastAsia="zh-CN" w:bidi="ar"/>
        </w:rPr>
        <w:t>五化</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val="en-US" w:eastAsia="zh-CN" w:bidi="ar"/>
        </w:rPr>
        <w:t>服务</w:t>
      </w:r>
      <w:r>
        <w:rPr>
          <w:rFonts w:hint="eastAsia" w:ascii="仿宋_GB2312" w:hAnsi="仿宋_GB2312" w:eastAsia="仿宋_GB2312" w:cs="仿宋_GB2312"/>
          <w:color w:val="auto"/>
          <w:sz w:val="32"/>
          <w:szCs w:val="32"/>
          <w:highlight w:val="none"/>
          <w:u w:val="none"/>
          <w:lang w:bidi="ar"/>
        </w:rPr>
        <w:t>水平，扩大集中供养服务覆盖面。</w:t>
      </w:r>
      <w:r>
        <w:rPr>
          <w:rFonts w:hint="eastAsia" w:ascii="仿宋_GB2312" w:hAnsi="仿宋_GB2312" w:eastAsia="仿宋_GB2312" w:cs="仿宋_GB2312"/>
          <w:color w:val="auto"/>
          <w:sz w:val="32"/>
          <w:szCs w:val="32"/>
          <w:highlight w:val="none"/>
          <w:u w:val="none"/>
          <w:lang w:eastAsia="zh-CN" w:bidi="ar"/>
        </w:rPr>
        <w:t>开展</w:t>
      </w:r>
      <w:r>
        <w:rPr>
          <w:rFonts w:hint="eastAsia" w:ascii="仿宋_GB2312" w:hAnsi="仿宋_GB2312" w:eastAsia="仿宋_GB2312" w:cs="仿宋_GB2312"/>
          <w:color w:val="auto"/>
          <w:sz w:val="32"/>
          <w:szCs w:val="32"/>
          <w:highlight w:val="none"/>
          <w:u w:val="none"/>
          <w:lang w:bidi="ar"/>
        </w:rPr>
        <w:t>常态化走访慰问工作，做好退役军人和各类优抚对象日常关怀、困难帮扶。统筹推进全区烈士纪念设施修缮管护，深度挖掘英烈事迹、传承弘扬英烈精神，充分发挥</w:t>
      </w:r>
      <w:r>
        <w:rPr>
          <w:rFonts w:hint="eastAsia" w:ascii="仿宋_GB2312" w:hAnsi="仿宋_GB2312" w:eastAsia="仿宋_GB2312" w:cs="仿宋_GB2312"/>
          <w:color w:val="auto"/>
          <w:sz w:val="32"/>
          <w:szCs w:val="32"/>
          <w:highlight w:val="none"/>
          <w:u w:val="none"/>
          <w:lang w:eastAsia="zh-CN" w:bidi="ar"/>
        </w:rPr>
        <w:t>烈士</w:t>
      </w:r>
      <w:r>
        <w:rPr>
          <w:rFonts w:hint="eastAsia" w:ascii="仿宋_GB2312" w:hAnsi="仿宋_GB2312" w:eastAsia="仿宋_GB2312" w:cs="仿宋_GB2312"/>
          <w:color w:val="auto"/>
          <w:sz w:val="32"/>
          <w:szCs w:val="32"/>
          <w:highlight w:val="none"/>
          <w:u w:val="none"/>
          <w:lang w:bidi="ar"/>
        </w:rPr>
        <w:t>纪念</w:t>
      </w:r>
      <w:r>
        <w:rPr>
          <w:rFonts w:hint="eastAsia" w:ascii="仿宋_GB2312" w:hAnsi="仿宋_GB2312" w:eastAsia="仿宋_GB2312" w:cs="仿宋_GB2312"/>
          <w:color w:val="auto"/>
          <w:sz w:val="32"/>
          <w:szCs w:val="32"/>
          <w:highlight w:val="none"/>
          <w:u w:val="none"/>
          <w:lang w:eastAsia="zh-CN" w:bidi="ar"/>
        </w:rPr>
        <w:t>设施</w:t>
      </w:r>
      <w:r>
        <w:rPr>
          <w:rFonts w:hint="eastAsia" w:ascii="仿宋_GB2312" w:hAnsi="仿宋_GB2312" w:eastAsia="仿宋_GB2312" w:cs="仿宋_GB2312"/>
          <w:color w:val="auto"/>
          <w:sz w:val="32"/>
          <w:szCs w:val="32"/>
          <w:highlight w:val="none"/>
          <w:u w:val="none"/>
          <w:lang w:bidi="ar"/>
        </w:rPr>
        <w:t>红色育人、国防宣教、青少年思政教育主阵地功能，不断提升红色资源公共文化价值与社会教</w:t>
      </w:r>
      <w:r>
        <w:rPr>
          <w:rFonts w:hint="eastAsia" w:ascii="仿宋_GB2312" w:hAnsi="仿宋_GB2312" w:eastAsia="仿宋_GB2312" w:cs="仿宋_GB2312"/>
          <w:color w:val="auto"/>
          <w:sz w:val="32"/>
          <w:szCs w:val="32"/>
          <w:highlight w:val="none"/>
          <w:u w:val="none"/>
          <w:lang w:eastAsia="zh-CN" w:bidi="ar"/>
        </w:rPr>
        <w:t>化</w:t>
      </w:r>
      <w:r>
        <w:rPr>
          <w:rFonts w:hint="eastAsia" w:ascii="仿宋_GB2312" w:hAnsi="仿宋_GB2312" w:eastAsia="仿宋_GB2312" w:cs="仿宋_GB2312"/>
          <w:color w:val="auto"/>
          <w:sz w:val="32"/>
          <w:szCs w:val="32"/>
          <w:highlight w:val="none"/>
          <w:u w:val="none"/>
          <w:lang w:bidi="ar"/>
        </w:rPr>
        <w:t>影响力。</w:t>
      </w:r>
      <w:r>
        <w:rPr>
          <w:rFonts w:hint="eastAsia" w:ascii="仿宋_GB2312" w:hAnsi="仿宋_GB2312" w:eastAsia="仿宋_GB2312" w:cs="仿宋_GB2312"/>
          <w:color w:val="auto"/>
          <w:sz w:val="32"/>
          <w:szCs w:val="32"/>
          <w:highlight w:val="none"/>
          <w:u w:val="none"/>
          <w:lang w:val="en-US" w:eastAsia="zh-CN" w:bidi="ar"/>
        </w:rPr>
        <w:t>深化军民融合发展，巩固“双拥模范城”创建成果。</w:t>
      </w:r>
      <w:r>
        <w:rPr>
          <w:rFonts w:hint="eastAsia" w:ascii="仿宋_GB2312" w:hAnsi="仿宋_GB2312" w:eastAsia="黑体"/>
          <w:sz w:val="32"/>
          <w:szCs w:val="32"/>
          <w:highlight w:val="none"/>
          <w:u w:val="none"/>
          <w:lang w:val="en-US" w:eastAsia="zh-CN"/>
        </w:rPr>
        <w:br w:type="page"/>
      </w:r>
    </w:p>
    <w:bookmarkEnd w:id="405"/>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仿宋_GB2312" w:hAnsi="仿宋_GB2312" w:eastAsia="方正小标宋_GBK" w:cs="方正小标宋_GBK"/>
          <w:b w:val="0"/>
          <w:bCs/>
          <w:sz w:val="36"/>
          <w:szCs w:val="36"/>
          <w:highlight w:val="none"/>
          <w:u w:val="none"/>
          <w:lang w:val="en-US" w:eastAsia="zh-CN"/>
        </w:rPr>
      </w:pPr>
      <w:bookmarkStart w:id="424" w:name="_Toc6"/>
      <w:bookmarkStart w:id="425" w:name="_Toc32664"/>
      <w:bookmarkStart w:id="426" w:name="_Toc2034"/>
      <w:bookmarkStart w:id="427" w:name="_Toc18001"/>
      <w:bookmarkStart w:id="428" w:name="_Toc12240"/>
      <w:bookmarkStart w:id="429" w:name="_Toc13977"/>
      <w:bookmarkStart w:id="430" w:name="_Toc16018"/>
      <w:bookmarkStart w:id="431" w:name="_Toc14872"/>
      <w:bookmarkStart w:id="432" w:name="_Toc12295"/>
      <w:bookmarkStart w:id="433" w:name="_Toc4257"/>
      <w:bookmarkStart w:id="434" w:name="_Toc28833"/>
      <w:bookmarkStart w:id="435" w:name="_Toc28128"/>
      <w:bookmarkStart w:id="436" w:name="_Toc18048"/>
      <w:bookmarkStart w:id="437" w:name="_Toc25850"/>
      <w:bookmarkStart w:id="438" w:name="_Toc17582"/>
      <w:r>
        <w:rPr>
          <w:rFonts w:hint="eastAsia" w:ascii="仿宋_GB2312" w:hAnsi="仿宋_GB2312" w:eastAsia="方正小标宋_GBK" w:cs="方正小标宋_GBK"/>
          <w:b w:val="0"/>
          <w:bCs/>
          <w:sz w:val="36"/>
          <w:szCs w:val="36"/>
          <w:highlight w:val="none"/>
          <w:u w:val="none"/>
          <w:lang w:val="en-US" w:eastAsia="zh-CN"/>
        </w:rPr>
        <w:t>第八章 提质扩容社会保障服务网络</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u w:val="none"/>
          <w:lang w:val="en-US" w:eastAsia="zh-CN" w:bidi="ar"/>
        </w:rPr>
      </w:pPr>
      <w:r>
        <w:rPr>
          <w:rFonts w:hint="eastAsia" w:ascii="仿宋_GB2312" w:hAnsi="仿宋_GB2312" w:eastAsia="仿宋_GB2312" w:cs="仿宋_GB2312"/>
          <w:color w:val="auto"/>
          <w:sz w:val="32"/>
          <w:szCs w:val="32"/>
          <w:highlight w:val="none"/>
          <w:u w:val="none"/>
          <w:lang w:val="en-US" w:eastAsia="zh-CN" w:bidi="ar"/>
        </w:rPr>
        <w:t>围绕保障和改善民生，统筹社会保险、社会福利、住房保障、公共安全及法律服务，推进社会保障体系提质扩容。通过健全多层次社会保险、提高住房保障能力、推进公益性殡葬设施建设、打造“平安怀柔”，提升高品质法律服务，增强社会保障供给能力和服务效能。</w:t>
      </w:r>
    </w:p>
    <w:p>
      <w:pPr>
        <w:keepNext w:val="0"/>
        <w:keepLines w:val="0"/>
        <w:pageBreakBefore w:val="0"/>
        <w:widowControl w:val="0"/>
        <w:numPr>
          <w:ilvl w:val="-1"/>
          <w:numId w:val="0"/>
        </w:numPr>
        <w:shd w:val="clea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Times New Roman"/>
          <w:b w:val="0"/>
          <w:kern w:val="2"/>
          <w:sz w:val="32"/>
          <w:szCs w:val="32"/>
          <w:highlight w:val="none"/>
          <w:u w:val="none"/>
          <w:lang w:val="en-US" w:eastAsia="zh-CN" w:bidi="ar-SA"/>
        </w:rPr>
      </w:pPr>
      <w:bookmarkStart w:id="439" w:name="_Toc26456"/>
      <w:bookmarkStart w:id="440" w:name="_Toc31628"/>
      <w:bookmarkStart w:id="441" w:name="_Toc26571"/>
      <w:bookmarkStart w:id="442" w:name="_Toc7632"/>
      <w:bookmarkStart w:id="443" w:name="_Toc3559"/>
      <w:bookmarkStart w:id="444" w:name="_Toc27687"/>
      <w:bookmarkStart w:id="445" w:name="_Toc26819"/>
      <w:bookmarkStart w:id="446" w:name="_Toc15771"/>
      <w:bookmarkStart w:id="447" w:name="_Toc31904"/>
      <w:bookmarkStart w:id="448" w:name="_Toc19405"/>
      <w:bookmarkStart w:id="449" w:name="_Toc18154"/>
      <w:bookmarkStart w:id="450" w:name="_Toc11380"/>
      <w:bookmarkStart w:id="451" w:name="_Toc5802"/>
      <w:bookmarkStart w:id="452" w:name="_Toc16888"/>
      <w:bookmarkStart w:id="453" w:name="_Toc25872"/>
      <w:bookmarkStart w:id="454" w:name="_Toc11377"/>
      <w:r>
        <w:rPr>
          <w:rFonts w:hint="eastAsia" w:ascii="仿宋_GB2312" w:hAnsi="仿宋_GB2312" w:eastAsia="黑体" w:cs="Times New Roman"/>
          <w:b w:val="0"/>
          <w:kern w:val="2"/>
          <w:sz w:val="32"/>
          <w:szCs w:val="32"/>
          <w:highlight w:val="none"/>
          <w:u w:val="none"/>
          <w:lang w:val="en-US" w:eastAsia="zh-CN" w:bidi="ar-SA"/>
        </w:rPr>
        <w:t>一、</w:t>
      </w:r>
      <w:bookmarkEnd w:id="439"/>
      <w:bookmarkEnd w:id="440"/>
      <w:bookmarkEnd w:id="441"/>
      <w:bookmarkEnd w:id="442"/>
      <w:r>
        <w:rPr>
          <w:rFonts w:hint="eastAsia" w:ascii="仿宋_GB2312" w:hAnsi="仿宋_GB2312" w:eastAsia="黑体" w:cs="Times New Roman"/>
          <w:b w:val="0"/>
          <w:kern w:val="2"/>
          <w:sz w:val="32"/>
          <w:szCs w:val="32"/>
          <w:highlight w:val="none"/>
          <w:u w:val="none"/>
          <w:lang w:val="en-US" w:eastAsia="zh-CN" w:bidi="ar-SA"/>
        </w:rPr>
        <w:t>健全社会救助体系</w:t>
      </w:r>
      <w:bookmarkEnd w:id="443"/>
      <w:bookmarkEnd w:id="444"/>
      <w:bookmarkEnd w:id="445"/>
      <w:bookmarkEnd w:id="446"/>
      <w:bookmarkEnd w:id="447"/>
      <w:bookmarkEnd w:id="448"/>
      <w:bookmarkEnd w:id="449"/>
      <w:bookmarkEnd w:id="450"/>
      <w:bookmarkEnd w:id="451"/>
      <w:bookmarkEnd w:id="452"/>
    </w:p>
    <w:bookmarkEnd w:id="453"/>
    <w:bookmarkEnd w:id="454"/>
    <w:p>
      <w:pPr>
        <w:pStyle w:val="18"/>
        <w:shd w:val="clear"/>
        <w:spacing w:after="0" w:line="560" w:lineRule="exact"/>
        <w:ind w:left="0" w:leftChars="0" w:firstLine="0"/>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pPr>
      <w:bookmarkStart w:id="455" w:name="_Toc13493"/>
      <w:bookmarkStart w:id="456" w:name="_Toc21822"/>
      <w:bookmarkStart w:id="457" w:name="_Toc22522"/>
      <w:bookmarkStart w:id="458" w:name="_Toc4482"/>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健全以基本生活救助、专项社会救助、急难社会救助为主体，社会力量参与为补充的分层分类社会救助体系，形成多元救助格局。完善低收入人口动态监测平台和数据库，实现部门数据共享和信息互通，提高救助工作的科学化和精准化水平。推行农村低收入人口开发式帮扶，提升受助者自我发展能力，促进增收致富。鼓励社会力量参与救助工作，充分发挥乡镇慈善工作站、村居公益慈善站等基层公益平台作用，推动资源整合和社会协作。创新救助方式与服务，推动“司法救助+社会救助”双向衔接，形成“物质+服务”综合帮扶机制。持续开展“困境老人儿童帮扶关爱行动”等项目，提升救助的针对性和有效性，构建长效化救助服务体系。到2030年，实现社会救助服务率不低于85%。</w:t>
      </w:r>
    </w:p>
    <w:p>
      <w:pPr>
        <w:numPr>
          <w:ilvl w:val="0"/>
          <w:numId w:val="0"/>
        </w:numPr>
        <w:ind w:firstLine="640"/>
        <w:outlineLvl w:val="1"/>
        <w:rPr>
          <w:rFonts w:hint="eastAsia" w:ascii="仿宋_GB2312" w:hAnsi="仿宋_GB2312" w:eastAsia="黑体" w:cs="Times New Roman"/>
          <w:b w:val="0"/>
          <w:bCs w:val="0"/>
          <w:sz w:val="32"/>
          <w:szCs w:val="32"/>
          <w:highlight w:val="none"/>
          <w:u w:val="none"/>
          <w:lang w:val="en-US" w:eastAsia="zh-CN"/>
        </w:rPr>
      </w:pPr>
      <w:bookmarkStart w:id="459" w:name="_Toc22704"/>
      <w:bookmarkStart w:id="460" w:name="_Toc20748"/>
      <w:bookmarkStart w:id="461" w:name="_Toc16114"/>
      <w:r>
        <w:rPr>
          <w:rFonts w:hint="eastAsia" w:ascii="仿宋_GB2312" w:hAnsi="仿宋_GB2312" w:eastAsia="黑体" w:cs="Times New Roman"/>
          <w:b w:val="0"/>
          <w:bCs w:val="0"/>
          <w:sz w:val="32"/>
          <w:szCs w:val="32"/>
          <w:highlight w:val="none"/>
          <w:u w:val="none"/>
          <w:lang w:val="en-US" w:eastAsia="zh-CN"/>
        </w:rPr>
        <w:t>二、完善社会保险体系</w:t>
      </w:r>
      <w:bookmarkEnd w:id="459"/>
      <w:bookmarkEnd w:id="460"/>
      <w:bookmarkEnd w:id="461"/>
    </w:p>
    <w:p>
      <w:pPr>
        <w:pStyle w:val="18"/>
        <w:shd w:val="clear"/>
        <w:spacing w:after="0" w:line="560" w:lineRule="exact"/>
        <w:ind w:left="0" w:leftChars="0" w:firstLine="0"/>
        <w:rPr>
          <w:rFonts w:hint="eastAsia" w:ascii="仿宋_GB2312" w:hAnsi="仿宋_GB2312" w:eastAsia="仿宋_GB2312" w:cs="仿宋_GB2312"/>
          <w:color w:val="auto"/>
          <w:sz w:val="32"/>
          <w:szCs w:val="32"/>
          <w:highlight w:val="none"/>
          <w:u w:val="none"/>
          <w:lang w:bidi="ar"/>
        </w:rPr>
      </w:pP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巩固基本养老保险全覆盖</w:t>
      </w:r>
      <w:r>
        <w:rPr>
          <w:rFonts w:hint="eastAsia" w:ascii="仿宋_GB2312" w:hAnsi="仿宋_GB2312" w:cs="仿宋_GB2312"/>
          <w:b w:val="0"/>
          <w:bCs w:val="0"/>
          <w:color w:val="000000" w:themeColor="text1"/>
          <w:sz w:val="32"/>
          <w:szCs w:val="32"/>
          <w:highlight w:val="none"/>
          <w:u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稳妥有序推进渐进式延迟法定退休年龄改革和企业职工基本养老保险病残津贴政策，持续开展精准化政策宣传解读，不断提升服务水平</w:t>
      </w:r>
      <w:r>
        <w:rPr>
          <w:rFonts w:hint="eastAsia" w:ascii="仿宋_GB2312" w:hAnsi="仿宋_GB2312" w:cs="仿宋_GB2312"/>
          <w:b w:val="0"/>
          <w:bCs w:val="0"/>
          <w:color w:val="000000" w:themeColor="text1"/>
          <w:sz w:val="32"/>
          <w:szCs w:val="32"/>
          <w:highlight w:val="none"/>
          <w:u w:val="none"/>
          <w:lang w:val="en-US" w:eastAsia="zh-CN"/>
          <w14:textFill>
            <w14:solidFill>
              <w14:schemeClr w14:val="tx1"/>
            </w14:solidFill>
          </w14:textFill>
        </w:rPr>
        <w:t>。</w:t>
      </w:r>
      <w:r>
        <w:rPr>
          <w:rFonts w:hint="eastAsia" w:ascii="仿宋_GB2312" w:hAnsi="仿宋_GB2312" w:eastAsia="仿宋_GB2312" w:cs="仿宋_GB2312"/>
          <w:color w:val="auto"/>
          <w:sz w:val="32"/>
          <w:szCs w:val="32"/>
          <w:highlight w:val="none"/>
          <w:u w:val="none"/>
          <w:lang w:bidi="ar"/>
        </w:rPr>
        <w:t>落实养老、医疗、工伤、失业、生育等社会保险政策，健全养老保险待遇合理调整机制，扩大企业年金</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val="en-US" w:eastAsia="zh-CN" w:bidi="ar"/>
        </w:rPr>
        <w:t>失业保险、</w:t>
      </w:r>
      <w:r>
        <w:rPr>
          <w:rFonts w:hint="eastAsia" w:ascii="仿宋_GB2312" w:hAnsi="仿宋_GB2312" w:eastAsia="仿宋_GB2312" w:cs="仿宋_GB2312"/>
          <w:color w:val="auto"/>
          <w:sz w:val="32"/>
          <w:szCs w:val="32"/>
          <w:highlight w:val="none"/>
          <w:u w:val="none"/>
          <w:lang w:bidi="ar"/>
        </w:rPr>
        <w:t>工伤保险覆盖</w:t>
      </w:r>
      <w:r>
        <w:rPr>
          <w:rFonts w:hint="eastAsia" w:ascii="仿宋_GB2312" w:hAnsi="仿宋_GB2312" w:eastAsia="仿宋_GB2312" w:cs="仿宋_GB2312"/>
          <w:color w:val="auto"/>
          <w:sz w:val="32"/>
          <w:szCs w:val="32"/>
          <w:highlight w:val="none"/>
          <w:u w:val="none"/>
          <w:lang w:val="en-US" w:eastAsia="zh-CN" w:bidi="ar"/>
        </w:rPr>
        <w:t>面</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val="en-US" w:eastAsia="zh-CN" w:bidi="ar"/>
        </w:rPr>
        <w:t>建立健全职业伤害保障制度，强化</w:t>
      </w:r>
      <w:r>
        <w:rPr>
          <w:rFonts w:hint="eastAsia" w:ascii="仿宋_GB2312" w:hAnsi="仿宋_GB2312" w:eastAsia="仿宋_GB2312" w:cs="仿宋_GB2312"/>
          <w:color w:val="auto"/>
          <w:sz w:val="32"/>
          <w:szCs w:val="32"/>
          <w:highlight w:val="none"/>
          <w:u w:val="none"/>
          <w:lang w:bidi="ar"/>
        </w:rPr>
        <w:t>平台灵活就业人员职业伤害保障</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b w:val="0"/>
          <w:bCs w:val="0"/>
          <w:color w:val="auto"/>
          <w:sz w:val="32"/>
          <w:szCs w:val="32"/>
          <w:highlight w:val="none"/>
          <w:u w:val="none"/>
          <w:lang w:val="en-US" w:eastAsia="zh-CN" w:bidi="ar"/>
        </w:rPr>
        <w:t>深化新业态人员职业伤害保障试点，推动出行、快递、外卖等平台企业应保尽保</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kern w:val="2"/>
          <w:sz w:val="32"/>
          <w:szCs w:val="32"/>
          <w:highlight w:val="none"/>
          <w:u w:val="none"/>
          <w:lang w:val="en-US" w:eastAsia="zh-CN" w:bidi="ar"/>
        </w:rPr>
        <w:t>健全多层次医疗保障体系，贯彻落实参保长效机制，发挥各类商业保险补充保障作用。适时推进长期护理保险制度落地落实，规范长期护理服务供给。强化生育保险保障功能。强化大数据监控、信用管理和社会监督，确保医保基金安全可持续。提升社保经办服务效能，健全“区-街-社”三级服务链条，拓展线上线下融合服务，打造“15分钟社保便民服务圈”。</w:t>
      </w:r>
    </w:p>
    <w:p>
      <w:pPr>
        <w:keepNext w:val="0"/>
        <w:keepLines w:val="0"/>
        <w:pageBreakBefore w:val="0"/>
        <w:widowControl/>
        <w:numPr>
          <w:ilvl w:val="0"/>
          <w:numId w:val="0"/>
        </w:numPr>
        <w:shd w:val="clear"/>
        <w:kinsoku/>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黑体" w:cs="Times New Roman"/>
          <w:sz w:val="32"/>
          <w:szCs w:val="32"/>
          <w:highlight w:val="none"/>
          <w:u w:val="none"/>
          <w:lang w:val="en-US" w:eastAsia="zh-CN" w:bidi="ar-SA"/>
        </w:rPr>
      </w:pPr>
      <w:bookmarkStart w:id="462" w:name="_Toc25595"/>
      <w:bookmarkStart w:id="463" w:name="_Toc22913"/>
      <w:bookmarkStart w:id="464" w:name="_Toc28383"/>
      <w:bookmarkStart w:id="465" w:name="_Toc13667"/>
      <w:bookmarkStart w:id="466" w:name="_Toc8497"/>
      <w:bookmarkStart w:id="467" w:name="_Toc411"/>
      <w:bookmarkStart w:id="468" w:name="_Toc9976"/>
      <w:bookmarkStart w:id="469" w:name="_Toc1167"/>
      <w:bookmarkStart w:id="470" w:name="_Toc19281"/>
      <w:bookmarkStart w:id="471" w:name="_Toc2285"/>
      <w:bookmarkStart w:id="472" w:name="_Toc20134"/>
      <w:bookmarkStart w:id="473" w:name="_Toc32548"/>
      <w:r>
        <w:rPr>
          <w:rFonts w:hint="eastAsia" w:ascii="仿宋_GB2312" w:hAnsi="仿宋_GB2312" w:eastAsia="黑体" w:cs="Times New Roman"/>
          <w:sz w:val="32"/>
          <w:szCs w:val="32"/>
          <w:highlight w:val="none"/>
          <w:u w:val="none"/>
          <w:lang w:val="en-US" w:eastAsia="zh-CN" w:bidi="ar-SA"/>
        </w:rPr>
        <w:t>三、</w:t>
      </w:r>
      <w:r>
        <w:rPr>
          <w:rFonts w:hint="eastAsia" w:ascii="仿宋_GB2312" w:hAnsi="仿宋_GB2312" w:eastAsia="黑体" w:cs="Times New Roman"/>
          <w:b w:val="0"/>
          <w:bCs w:val="0"/>
          <w:sz w:val="32"/>
          <w:szCs w:val="32"/>
          <w:highlight w:val="none"/>
          <w:u w:val="none"/>
          <w:lang w:val="en-US" w:eastAsia="zh-CN"/>
        </w:rPr>
        <w:t>优化住房保障服务</w:t>
      </w:r>
      <w:bookmarkEnd w:id="462"/>
      <w:bookmarkEnd w:id="463"/>
      <w:bookmarkEnd w:id="464"/>
      <w:bookmarkEnd w:id="465"/>
      <w:bookmarkEnd w:id="466"/>
      <w:bookmarkEnd w:id="467"/>
      <w:bookmarkEnd w:id="468"/>
      <w:bookmarkEnd w:id="469"/>
      <w:bookmarkEnd w:id="470"/>
      <w:bookmarkEnd w:id="471"/>
    </w:p>
    <w:p>
      <w:pPr>
        <w:keepNext w:val="0"/>
        <w:keepLines w:val="0"/>
        <w:pageBreakBefore w:val="0"/>
        <w:widowControl/>
        <w:kinsoku/>
        <w:wordWrap/>
        <w:overflowPunct/>
        <w:topLinePunct w:val="0"/>
        <w:autoSpaceDE/>
        <w:autoSpaceDN/>
        <w:bidi w:val="0"/>
        <w:adjustRightInd/>
        <w:snapToGrid/>
        <w:spacing w:before="0" w:beforeLines="0" w:after="0" w:afterLines="0" w:line="560" w:lineRule="exact"/>
        <w:ind w:firstLine="640" w:firstLineChars="200"/>
        <w:jc w:val="left"/>
        <w:textAlignment w:val="auto"/>
        <w:outlineLvl w:val="9"/>
        <w:rPr>
          <w:rFonts w:hint="default" w:ascii="仿宋_GB2312" w:hAnsi="仿宋_GB2312" w:eastAsia="方正小标宋_GBK" w:cs="Times New Roman"/>
          <w:b w:val="0"/>
          <w:bCs/>
          <w:sz w:val="36"/>
          <w:szCs w:val="36"/>
          <w:highlight w:val="none"/>
          <w:u w:val="none"/>
          <w:lang w:val="en-US" w:eastAsia="zh-CN"/>
        </w:rPr>
      </w:pPr>
      <w:r>
        <w:rPr>
          <w:rFonts w:hint="eastAsia" w:ascii="仿宋_GB2312" w:hAnsi="仿宋_GB2312" w:eastAsia="仿宋_GB2312" w:cs="仿宋_GB2312"/>
          <w:sz w:val="32"/>
          <w:szCs w:val="40"/>
          <w:highlight w:val="none"/>
          <w:u w:val="none"/>
          <w:lang w:val="en-US" w:eastAsia="zh-CN"/>
        </w:rPr>
        <w:t>坚持租购并举和分类保障，加快构建覆盖不同群体的住房保障体系。围绕不同群体住房需求，完善“保障+市场”住房供应体系，优化住房供给结构，加大人才住房供给，完善商品住房、共有产权住房、公租房、保障性租赁住房等多层次供给结构，推动职住平衡和产城融合。</w:t>
      </w:r>
      <w:r>
        <w:rPr>
          <w:rFonts w:hint="eastAsia" w:ascii="仿宋_GB2312" w:hAnsi="仿宋_GB2312" w:eastAsia="仿宋_GB2312" w:cs="仿宋_GB2312"/>
          <w:color w:val="000000"/>
          <w:sz w:val="32"/>
          <w:szCs w:val="32"/>
          <w:highlight w:val="none"/>
          <w:u w:val="none"/>
          <w:lang w:val="en-US" w:eastAsia="zh-CN"/>
        </w:rPr>
        <w:t>以存量更新改造为主、增量开发建设为辅，提升资源利用效率，稳妥</w:t>
      </w:r>
      <w:r>
        <w:rPr>
          <w:rFonts w:hint="eastAsia" w:ascii="仿宋_GB2312" w:hAnsi="仿宋_GB2312" w:eastAsia="仿宋_GB2312" w:cs="仿宋_GB2312"/>
          <w:sz w:val="32"/>
          <w:szCs w:val="40"/>
          <w:highlight w:val="none"/>
          <w:u w:val="none"/>
          <w:lang w:val="en-US" w:eastAsia="zh-CN"/>
        </w:rPr>
        <w:t>推进租赁住房供给建设。增加改善性住房供给，加快推进04街区D地块、东关等地块“好房子”建设，推动存量商品房“以旧换新”、房票安置政策落地见效。</w:t>
      </w:r>
      <w:r>
        <w:rPr>
          <w:rFonts w:hint="eastAsia" w:ascii="仿宋_GB2312" w:hAnsi="仿宋_GB2312" w:eastAsia="仿宋_GB2312" w:cs="仿宋_GB2312"/>
          <w:color w:val="000000"/>
          <w:sz w:val="32"/>
          <w:szCs w:val="32"/>
          <w:highlight w:val="none"/>
          <w:u w:val="none"/>
          <w:lang w:val="en-US" w:eastAsia="zh-CN"/>
        </w:rPr>
        <w:t>推动恒城人才公租房项目落地，实现怀柔科学城长城青年社区一期项目投入运营，加大</w:t>
      </w:r>
      <w:r>
        <w:rPr>
          <w:rFonts w:hint="eastAsia" w:ascii="仿宋_GB2312" w:hAnsi="仿宋_GB2312" w:eastAsia="仿宋_GB2312" w:cs="仿宋_GB2312"/>
          <w:sz w:val="32"/>
          <w:szCs w:val="40"/>
          <w:highlight w:val="none"/>
          <w:u w:val="none"/>
          <w:lang w:val="en-US" w:eastAsia="zh-CN"/>
        </w:rPr>
        <w:t>各类保障性住房存量房源转化为保障性租赁住房力度，在保障低收入群体住有所居的同时，全力解决怀柔科学城人才租赁住房需求</w:t>
      </w:r>
      <w:r>
        <w:rPr>
          <w:rFonts w:hint="eastAsia" w:ascii="仿宋_GB2312" w:hAnsi="仿宋_GB2312" w:eastAsia="仿宋_GB2312" w:cs="仿宋_GB2312"/>
          <w:color w:val="000000"/>
          <w:sz w:val="32"/>
          <w:szCs w:val="32"/>
          <w:highlight w:val="none"/>
          <w:u w:val="none"/>
          <w:lang w:val="en-US" w:eastAsia="zh-CN"/>
        </w:rPr>
        <w:t>。加大对城市基本公共服务运行保障人员的住房保障力度，提供居住条件良好、经济适宜的“一张床、一间房”项目。到2030年，实现建成4个国际社区，公租房备案家庭保障率持续保持在85%以上。</w:t>
      </w:r>
    </w:p>
    <w:bookmarkEnd w:id="455"/>
    <w:bookmarkEnd w:id="456"/>
    <w:bookmarkEnd w:id="457"/>
    <w:bookmarkEnd w:id="458"/>
    <w:bookmarkEnd w:id="472"/>
    <w:bookmarkEnd w:id="473"/>
    <w:p>
      <w:pPr>
        <w:keepNext w:val="0"/>
        <w:keepLines w:val="0"/>
        <w:pageBreakBefore w:val="0"/>
        <w:widowControl/>
        <w:numPr>
          <w:ilvl w:val="0"/>
          <w:numId w:val="0"/>
        </w:numPr>
        <w:shd w:val="clear"/>
        <w:kinsoku/>
        <w:wordWrap/>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黑体" w:cs="Times New Roman"/>
          <w:b w:val="0"/>
          <w:kern w:val="2"/>
          <w:sz w:val="32"/>
          <w:szCs w:val="32"/>
          <w:highlight w:val="none"/>
          <w:u w:val="none"/>
          <w:lang w:val="en-US" w:eastAsia="zh-CN" w:bidi="ar-SA"/>
        </w:rPr>
      </w:pPr>
      <w:bookmarkStart w:id="474" w:name="_Toc25310"/>
      <w:bookmarkStart w:id="475" w:name="_Toc3705"/>
      <w:bookmarkStart w:id="476" w:name="_Toc9896"/>
      <w:bookmarkStart w:id="477" w:name="_Toc30191"/>
      <w:bookmarkStart w:id="478" w:name="_Toc16966"/>
      <w:bookmarkStart w:id="479" w:name="_Toc8788"/>
      <w:bookmarkStart w:id="480" w:name="_Toc20268"/>
      <w:bookmarkStart w:id="481" w:name="_Toc13550"/>
      <w:bookmarkStart w:id="482" w:name="_Toc29308"/>
      <w:bookmarkStart w:id="483" w:name="_Toc349"/>
      <w:bookmarkStart w:id="484" w:name="_Toc20661"/>
      <w:bookmarkStart w:id="485" w:name="_Toc32506"/>
      <w:bookmarkStart w:id="486" w:name="_Toc18229"/>
      <w:bookmarkStart w:id="487" w:name="_Toc1275"/>
      <w:r>
        <w:rPr>
          <w:rFonts w:hint="eastAsia" w:ascii="仿宋_GB2312" w:hAnsi="仿宋_GB2312" w:eastAsia="黑体" w:cs="Times New Roman"/>
          <w:b w:val="0"/>
          <w:kern w:val="2"/>
          <w:sz w:val="32"/>
          <w:szCs w:val="32"/>
          <w:highlight w:val="none"/>
          <w:u w:val="none"/>
          <w:lang w:val="en-US" w:eastAsia="zh-CN" w:bidi="ar-SA"/>
        </w:rPr>
        <w:t>四、</w:t>
      </w:r>
      <w:r>
        <w:rPr>
          <w:rFonts w:hint="eastAsia" w:ascii="仿宋_GB2312" w:hAnsi="仿宋_GB2312" w:eastAsia="黑体" w:cs="Times New Roman"/>
          <w:sz w:val="32"/>
          <w:szCs w:val="32"/>
          <w:highlight w:val="none"/>
          <w:u w:val="none"/>
          <w:lang w:val="en-US" w:eastAsia="zh-CN"/>
        </w:rPr>
        <w:t>推进公益性殡葬设施</w:t>
      </w:r>
      <w:bookmarkEnd w:id="474"/>
      <w:bookmarkEnd w:id="475"/>
      <w:bookmarkEnd w:id="476"/>
      <w:bookmarkEnd w:id="477"/>
    </w:p>
    <w:p>
      <w:pPr>
        <w:keepNext w:val="0"/>
        <w:keepLines w:val="0"/>
        <w:pageBreakBefore w:val="0"/>
        <w:shd w:val="clear"/>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eastAsia="zh-CN" w:bidi="ar"/>
        </w:rPr>
      </w:pPr>
      <w:r>
        <w:rPr>
          <w:rFonts w:hint="eastAsia" w:ascii="仿宋_GB2312" w:hAnsi="仿宋_GB2312" w:eastAsia="仿宋_GB2312" w:cs="仿宋_GB2312"/>
          <w:color w:val="auto"/>
          <w:sz w:val="32"/>
          <w:szCs w:val="32"/>
          <w:highlight w:val="none"/>
          <w:u w:val="none"/>
          <w:lang w:bidi="ar"/>
        </w:rPr>
        <w:t>全面落实怀柔区殡葬设施专项规划</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优化殡葬设施空间布局</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val="en-US" w:eastAsia="zh-CN" w:bidi="ar"/>
        </w:rPr>
        <w:t>逐步</w:t>
      </w:r>
      <w:r>
        <w:rPr>
          <w:rFonts w:hint="eastAsia" w:ascii="仿宋_GB2312" w:hAnsi="仿宋_GB2312" w:eastAsia="仿宋_GB2312" w:cs="仿宋_GB2312"/>
          <w:color w:val="auto"/>
          <w:sz w:val="32"/>
          <w:szCs w:val="32"/>
          <w:highlight w:val="none"/>
          <w:u w:val="none"/>
          <w:lang w:bidi="ar"/>
        </w:rPr>
        <w:t>构建</w:t>
      </w:r>
      <w:r>
        <w:rPr>
          <w:rFonts w:hint="eastAsia" w:ascii="仿宋_GB2312" w:hAnsi="仿宋_GB2312" w:eastAsia="仿宋_GB2312" w:cs="仿宋_GB2312"/>
          <w:color w:val="auto"/>
          <w:sz w:val="32"/>
          <w:szCs w:val="32"/>
          <w:highlight w:val="none"/>
          <w:u w:val="none"/>
          <w:lang w:eastAsia="zh-CN" w:bidi="ar"/>
        </w:rPr>
        <w:t>“一</w:t>
      </w:r>
      <w:r>
        <w:rPr>
          <w:rFonts w:hint="eastAsia" w:ascii="仿宋_GB2312" w:hAnsi="仿宋_GB2312" w:eastAsia="仿宋_GB2312" w:cs="仿宋_GB2312"/>
          <w:color w:val="auto"/>
          <w:sz w:val="32"/>
          <w:szCs w:val="32"/>
          <w:highlight w:val="none"/>
          <w:u w:val="none"/>
          <w:lang w:bidi="ar"/>
        </w:rPr>
        <w:t>馆、</w:t>
      </w:r>
      <w:r>
        <w:rPr>
          <w:rFonts w:hint="eastAsia" w:ascii="仿宋_GB2312" w:hAnsi="仿宋_GB2312" w:eastAsia="仿宋_GB2312" w:cs="仿宋_GB2312"/>
          <w:color w:val="auto"/>
          <w:sz w:val="32"/>
          <w:szCs w:val="32"/>
          <w:highlight w:val="none"/>
          <w:u w:val="none"/>
          <w:lang w:val="en-US" w:eastAsia="zh-CN" w:bidi="ar"/>
        </w:rPr>
        <w:t>两</w:t>
      </w:r>
      <w:r>
        <w:rPr>
          <w:rFonts w:hint="eastAsia" w:ascii="仿宋_GB2312" w:hAnsi="仿宋_GB2312" w:eastAsia="仿宋_GB2312" w:cs="仿宋_GB2312"/>
          <w:color w:val="auto"/>
          <w:sz w:val="32"/>
          <w:szCs w:val="32"/>
          <w:highlight w:val="none"/>
          <w:u w:val="none"/>
          <w:lang w:bidi="ar"/>
        </w:rPr>
        <w:t>园、多点</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的殡葬设施</w:t>
      </w:r>
      <w:r>
        <w:rPr>
          <w:rFonts w:hint="eastAsia" w:ascii="仿宋_GB2312" w:hAnsi="仿宋_GB2312" w:eastAsia="仿宋_GB2312" w:cs="仿宋_GB2312"/>
          <w:color w:val="auto"/>
          <w:sz w:val="32"/>
          <w:szCs w:val="32"/>
          <w:highlight w:val="none"/>
          <w:u w:val="none"/>
          <w:lang w:val="en-US" w:eastAsia="zh-CN" w:bidi="ar"/>
        </w:rPr>
        <w:t>格局</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加快推进区级公益性墓地建设，</w:t>
      </w:r>
      <w:r>
        <w:rPr>
          <w:rFonts w:hint="eastAsia" w:ascii="仿宋_GB2312" w:hAnsi="仿宋_GB2312" w:eastAsia="仿宋_GB2312" w:cs="仿宋_GB2312"/>
          <w:color w:val="auto"/>
          <w:sz w:val="32"/>
          <w:szCs w:val="32"/>
          <w:highlight w:val="none"/>
          <w:u w:val="none"/>
          <w:lang w:val="en-US" w:eastAsia="zh-CN" w:bidi="ar"/>
        </w:rPr>
        <w:t>推动</w:t>
      </w:r>
      <w:r>
        <w:rPr>
          <w:rFonts w:hint="eastAsia" w:ascii="仿宋_GB2312" w:hAnsi="仿宋_GB2312" w:eastAsia="仿宋_GB2312" w:cs="仿宋_GB2312"/>
          <w:color w:val="auto"/>
          <w:sz w:val="32"/>
          <w:szCs w:val="32"/>
          <w:highlight w:val="none"/>
          <w:u w:val="none"/>
          <w:lang w:bidi="ar"/>
        </w:rPr>
        <w:t>公益性公墓的服务</w:t>
      </w:r>
      <w:r>
        <w:rPr>
          <w:rFonts w:hint="eastAsia" w:ascii="仿宋_GB2312" w:hAnsi="仿宋_GB2312" w:eastAsia="仿宋_GB2312" w:cs="仿宋_GB2312"/>
          <w:color w:val="auto"/>
          <w:sz w:val="32"/>
          <w:szCs w:val="32"/>
          <w:highlight w:val="none"/>
          <w:u w:val="none"/>
          <w:lang w:val="en-US" w:eastAsia="zh-CN" w:bidi="ar"/>
        </w:rPr>
        <w:t>逐步</w:t>
      </w:r>
      <w:r>
        <w:rPr>
          <w:rFonts w:hint="eastAsia" w:ascii="仿宋_GB2312" w:hAnsi="仿宋_GB2312" w:eastAsia="仿宋_GB2312" w:cs="仿宋_GB2312"/>
          <w:color w:val="auto"/>
          <w:sz w:val="32"/>
          <w:szCs w:val="32"/>
          <w:highlight w:val="none"/>
          <w:u w:val="none"/>
          <w:lang w:bidi="ar"/>
        </w:rPr>
        <w:t>覆盖所有乡镇，有效保障群众基本安葬需求</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提升智慧化管理水平</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依托信息化手段</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加强殡葬设施与服务的数字化管理，提升服务便捷性和管理效率。</w:t>
      </w:r>
      <w:r>
        <w:rPr>
          <w:rFonts w:hint="eastAsia" w:ascii="仿宋_GB2312" w:hAnsi="仿宋_GB2312" w:eastAsia="仿宋_GB2312" w:cs="仿宋_GB2312"/>
          <w:color w:val="auto"/>
          <w:sz w:val="32"/>
          <w:szCs w:val="32"/>
          <w:highlight w:val="none"/>
          <w:u w:val="none"/>
          <w:lang w:eastAsia="zh-CN" w:bidi="ar"/>
        </w:rPr>
        <w:t>弘扬文明殡葬新风，</w:t>
      </w:r>
      <w:r>
        <w:rPr>
          <w:rFonts w:hint="eastAsia" w:ascii="仿宋_GB2312" w:hAnsi="仿宋_GB2312" w:eastAsia="仿宋_GB2312" w:cs="仿宋_GB2312"/>
          <w:color w:val="auto"/>
          <w:sz w:val="32"/>
          <w:szCs w:val="32"/>
          <w:highlight w:val="none"/>
          <w:u w:val="none"/>
          <w:lang w:bidi="ar"/>
        </w:rPr>
        <w:t>强化资源节约与生态导向</w:t>
      </w:r>
      <w:r>
        <w:rPr>
          <w:rFonts w:hint="eastAsia" w:ascii="仿宋_GB2312" w:hAnsi="仿宋_GB2312" w:eastAsia="仿宋_GB2312" w:cs="仿宋_GB2312"/>
          <w:color w:val="auto"/>
          <w:sz w:val="32"/>
          <w:szCs w:val="32"/>
          <w:highlight w:val="none"/>
          <w:u w:val="none"/>
          <w:lang w:eastAsia="zh-CN" w:bidi="ar"/>
        </w:rPr>
        <w:t>，</w:t>
      </w:r>
      <w:r>
        <w:rPr>
          <w:rFonts w:hint="eastAsia" w:ascii="仿宋_GB2312" w:hAnsi="仿宋_GB2312" w:eastAsia="仿宋_GB2312" w:cs="仿宋_GB2312"/>
          <w:color w:val="auto"/>
          <w:sz w:val="32"/>
          <w:szCs w:val="32"/>
          <w:highlight w:val="none"/>
          <w:u w:val="none"/>
          <w:lang w:bidi="ar"/>
        </w:rPr>
        <w:t>严格遵守节地生态标准，推广绿色、集约的安葬方式，促进殡葬设施与生态环境的协调发展</w:t>
      </w:r>
      <w:r>
        <w:rPr>
          <w:rFonts w:hint="eastAsia" w:ascii="仿宋_GB2312" w:hAnsi="仿宋_GB2312" w:eastAsia="仿宋_GB2312" w:cs="仿宋_GB2312"/>
          <w:color w:val="auto"/>
          <w:sz w:val="32"/>
          <w:szCs w:val="32"/>
          <w:highlight w:val="none"/>
          <w:u w:val="none"/>
          <w:lang w:eastAsia="zh-CN" w:bidi="ar"/>
        </w:rPr>
        <w:t>。</w:t>
      </w:r>
    </w:p>
    <w:p>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560" w:lineRule="exact"/>
        <w:ind w:firstLine="640" w:firstLineChars="200"/>
        <w:textAlignment w:val="auto"/>
        <w:outlineLvl w:val="1"/>
        <w:rPr>
          <w:rStyle w:val="31"/>
          <w:rFonts w:hint="default" w:ascii="仿宋_GB2312" w:hAnsi="仿宋_GB2312" w:eastAsia="仿宋_GB2312" w:cs="Times New Roman"/>
          <w:b w:val="0"/>
          <w:bCs/>
          <w:szCs w:val="32"/>
          <w:highlight w:val="none"/>
          <w:u w:val="none"/>
        </w:rPr>
      </w:pPr>
      <w:bookmarkStart w:id="488" w:name="_Toc18631"/>
      <w:bookmarkStart w:id="489" w:name="_Toc1307"/>
      <w:bookmarkStart w:id="490" w:name="_Toc4806"/>
      <w:bookmarkStart w:id="491" w:name="_Toc30132"/>
      <w:r>
        <w:rPr>
          <w:rFonts w:hint="eastAsia" w:ascii="仿宋_GB2312" w:hAnsi="仿宋_GB2312" w:eastAsia="黑体" w:cs="Times New Roman"/>
          <w:b w:val="0"/>
          <w:kern w:val="2"/>
          <w:sz w:val="32"/>
          <w:szCs w:val="32"/>
          <w:highlight w:val="none"/>
          <w:u w:val="none"/>
          <w:lang w:val="en-US" w:eastAsia="zh-CN" w:bidi="ar-SA"/>
        </w:rPr>
        <w:t>五</w:t>
      </w:r>
      <w:r>
        <w:rPr>
          <w:rStyle w:val="31"/>
          <w:rFonts w:hint="eastAsia" w:ascii="仿宋_GB2312" w:hAnsi="仿宋_GB2312" w:eastAsia="黑体" w:cs="黑体"/>
          <w:b w:val="0"/>
          <w:bCs/>
          <w:szCs w:val="32"/>
          <w:highlight w:val="none"/>
          <w:u w:val="none"/>
        </w:rPr>
        <w:t>、建设高水平“平安怀柔</w:t>
      </w:r>
      <w:bookmarkEnd w:id="478"/>
      <w:bookmarkEnd w:id="479"/>
      <w:bookmarkEnd w:id="480"/>
      <w:r>
        <w:rPr>
          <w:rStyle w:val="31"/>
          <w:rFonts w:hint="eastAsia" w:ascii="仿宋_GB2312" w:hAnsi="仿宋_GB2312" w:eastAsia="黑体" w:cs="黑体"/>
          <w:b w:val="0"/>
          <w:bCs/>
          <w:szCs w:val="32"/>
          <w:highlight w:val="none"/>
          <w:u w:val="none"/>
        </w:rPr>
        <w:t>”</w:t>
      </w:r>
      <w:bookmarkEnd w:id="481"/>
      <w:bookmarkEnd w:id="482"/>
      <w:bookmarkEnd w:id="483"/>
      <w:bookmarkEnd w:id="484"/>
      <w:bookmarkEnd w:id="485"/>
      <w:bookmarkEnd w:id="486"/>
      <w:bookmarkEnd w:id="488"/>
      <w:bookmarkEnd w:id="489"/>
      <w:bookmarkEnd w:id="490"/>
      <w:bookmarkEnd w:id="491"/>
    </w:p>
    <w:p>
      <w:pPr>
        <w:keepNext w:val="0"/>
        <w:keepLines w:val="0"/>
        <w:pageBreakBefore w:val="0"/>
        <w:widowControl/>
        <w:kinsoku/>
        <w:wordWrap/>
        <w:overflowPunct/>
        <w:topLinePunct w:val="0"/>
        <w:autoSpaceDE/>
        <w:autoSpaceDN/>
        <w:bidi w:val="0"/>
        <w:adjustRightInd/>
        <w:snapToGrid/>
        <w:spacing w:beforeLines="0" w:afterLines="0" w:afterAutospacing="0" w:line="560" w:lineRule="exact"/>
        <w:ind w:firstLine="640" w:firstLineChars="200"/>
        <w:textAlignment w:val="auto"/>
        <w:outlineLvl w:val="9"/>
        <w:rPr>
          <w:rFonts w:hint="default" w:ascii="仿宋_GB2312" w:hAnsi="仿宋_GB2312" w:eastAsia="仿宋_GB2312" w:cs="Times New Roman"/>
          <w:b w:val="0"/>
          <w:bCs w:val="0"/>
          <w:sz w:val="32"/>
          <w:szCs w:val="32"/>
          <w:highlight w:val="none"/>
          <w:u w:val="none"/>
          <w:lang w:val="en-US" w:eastAsia="zh-CN"/>
        </w:rPr>
      </w:pPr>
      <w:r>
        <w:rPr>
          <w:rFonts w:hint="default" w:ascii="仿宋_GB2312" w:hAnsi="仿宋_GB2312" w:eastAsia="仿宋_GB2312" w:cs="Times New Roman"/>
          <w:sz w:val="32"/>
          <w:szCs w:val="32"/>
          <w:highlight w:val="none"/>
          <w:u w:val="none"/>
          <w:lang w:val="en-US" w:eastAsia="zh-CN"/>
        </w:rPr>
        <w:t>全面加强社会治安防控与消防体系建设，着力提升违法犯罪防控打击效能</w:t>
      </w:r>
      <w:r>
        <w:rPr>
          <w:rFonts w:hint="eastAsia" w:ascii="仿宋_GB2312" w:hAnsi="仿宋_GB2312" w:eastAsia="仿宋_GB2312" w:cs="Times New Roman"/>
          <w:sz w:val="32"/>
          <w:szCs w:val="32"/>
          <w:highlight w:val="none"/>
          <w:u w:val="none"/>
          <w:lang w:val="en-US" w:eastAsia="zh-CN"/>
        </w:rPr>
        <w:t>，提高</w:t>
      </w:r>
      <w:r>
        <w:rPr>
          <w:rFonts w:hint="default" w:ascii="仿宋_GB2312" w:hAnsi="仿宋_GB2312" w:eastAsia="仿宋_GB2312" w:cs="Times New Roman"/>
          <w:sz w:val="32"/>
          <w:szCs w:val="32"/>
          <w:highlight w:val="none"/>
          <w:u w:val="none"/>
          <w:lang w:val="en-US" w:eastAsia="zh-CN"/>
        </w:rPr>
        <w:t>消防应急救援能力，增强群众安全感与</w:t>
      </w:r>
      <w:r>
        <w:rPr>
          <w:rFonts w:hint="default" w:ascii="仿宋_GB2312" w:hAnsi="仿宋_GB2312" w:eastAsia="仿宋_GB2312" w:cs="Times New Roman"/>
          <w:b w:val="0"/>
          <w:bCs w:val="0"/>
          <w:sz w:val="32"/>
          <w:szCs w:val="32"/>
          <w:highlight w:val="none"/>
          <w:u w:val="none"/>
          <w:lang w:val="en-US" w:eastAsia="zh-CN"/>
        </w:rPr>
        <w:t>安居感。</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afterAutospacing="0" w:line="560" w:lineRule="exact"/>
        <w:ind w:firstLine="640" w:firstLineChars="200"/>
        <w:textAlignment w:val="auto"/>
        <w:outlineLvl w:val="2"/>
        <w:rPr>
          <w:rFonts w:hint="eastAsia" w:ascii="仿宋_GB2312" w:hAnsi="仿宋_GB2312" w:eastAsia="楷体_GB2312" w:cs="楷体_GB2312"/>
          <w:b w:val="0"/>
          <w:bCs w:val="0"/>
          <w:sz w:val="32"/>
          <w:szCs w:val="24"/>
          <w:highlight w:val="none"/>
          <w:u w:val="none"/>
          <w:lang w:val="en-US" w:eastAsia="zh-CN"/>
        </w:rPr>
      </w:pPr>
      <w:r>
        <w:rPr>
          <w:rFonts w:hint="eastAsia" w:ascii="仿宋_GB2312" w:hAnsi="仿宋_GB2312" w:eastAsia="楷体_GB2312" w:cs="楷体_GB2312"/>
          <w:b w:val="0"/>
          <w:bCs w:val="0"/>
          <w:sz w:val="32"/>
          <w:szCs w:val="24"/>
          <w:highlight w:val="none"/>
          <w:u w:val="none"/>
          <w:lang w:val="en-US" w:eastAsia="zh-CN"/>
        </w:rPr>
        <w:t>（一）加强社会治安防控</w:t>
      </w:r>
    </w:p>
    <w:p>
      <w:pPr>
        <w:keepNext w:val="0"/>
        <w:keepLines w:val="0"/>
        <w:pageBreakBefore w:val="0"/>
        <w:widowControl/>
        <w:kinsoku/>
        <w:wordWrap/>
        <w:overflowPunct/>
        <w:topLinePunct w:val="0"/>
        <w:autoSpaceDE/>
        <w:autoSpaceDN/>
        <w:bidi w:val="0"/>
        <w:adjustRightInd/>
        <w:snapToGrid/>
        <w:spacing w:beforeLines="0" w:afterLines="0" w:afterAutospacing="0" w:line="560" w:lineRule="exact"/>
        <w:ind w:firstLine="640" w:firstLineChars="200"/>
        <w:textAlignment w:val="auto"/>
        <w:outlineLvl w:val="9"/>
        <w:rPr>
          <w:rFonts w:hint="default" w:ascii="仿宋_GB2312" w:hAnsi="仿宋_GB2312" w:eastAsia="仿宋_GB2312" w:cs="Times New Roman"/>
          <w:sz w:val="32"/>
          <w:szCs w:val="32"/>
          <w:highlight w:val="none"/>
          <w:u w:val="none"/>
          <w:lang w:val="en-US" w:eastAsia="zh-CN"/>
        </w:rPr>
      </w:pPr>
      <w:r>
        <w:rPr>
          <w:rFonts w:hint="default" w:ascii="仿宋_GB2312" w:hAnsi="仿宋_GB2312" w:eastAsia="仿宋_GB2312" w:cs="Times New Roman"/>
          <w:b w:val="0"/>
          <w:bCs w:val="0"/>
          <w:sz w:val="32"/>
          <w:szCs w:val="32"/>
          <w:highlight w:val="none"/>
          <w:u w:val="none"/>
          <w:lang w:val="en-US" w:eastAsia="zh-CN"/>
        </w:rPr>
        <w:t>构建立体化、信息化治安防控体系，加大违法犯罪打击力度，</w:t>
      </w:r>
      <w:r>
        <w:rPr>
          <w:rFonts w:hint="default" w:ascii="仿宋_GB2312" w:hAnsi="仿宋_GB2312" w:eastAsia="仿宋_GB2312" w:cs="Times New Roman"/>
          <w:sz w:val="32"/>
          <w:szCs w:val="32"/>
          <w:highlight w:val="none"/>
          <w:u w:val="none"/>
          <w:lang w:val="en-US" w:eastAsia="zh-CN"/>
        </w:rPr>
        <w:t>切实打造</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平安之城</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。筑牢首都北大门，优化北部山区检查站布局，加快推动“三站两卡口”建设</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sz w:val="32"/>
          <w:szCs w:val="32"/>
          <w:highlight w:val="none"/>
          <w:u w:val="none"/>
          <w:lang w:val="en-US" w:eastAsia="zh-CN"/>
        </w:rPr>
        <w:t>提升北部公共安全服务保障。推进信息化、智慧化安防系统建设，持续加强</w:t>
      </w:r>
      <w:r>
        <w:rPr>
          <w:rFonts w:hint="eastAsia" w:ascii="仿宋_GB2312" w:hAnsi="仿宋_GB2312" w:eastAsia="仿宋_GB2312" w:cs="Times New Roman"/>
          <w:sz w:val="32"/>
          <w:szCs w:val="32"/>
          <w:highlight w:val="none"/>
          <w:u w:val="none"/>
          <w:lang w:val="en-US" w:eastAsia="zh-CN"/>
        </w:rPr>
        <w:t>街道（乡镇）平安建设能力。推动怀柔科学城智慧安防体系和警用无人机一体化建设，以现代化科技手段赋能治安整体防控。围绕</w:t>
      </w:r>
      <w:r>
        <w:rPr>
          <w:rFonts w:hint="default" w:ascii="仿宋_GB2312" w:hAnsi="仿宋_GB2312" w:eastAsia="仿宋_GB2312" w:cs="Times New Roman"/>
          <w:sz w:val="32"/>
          <w:szCs w:val="32"/>
          <w:highlight w:val="none"/>
          <w:u w:val="none"/>
          <w:lang w:val="en-US" w:eastAsia="zh-CN"/>
        </w:rPr>
        <w:t>辖区内学校、幼儿园、商场等人员密集场所以及治安乱点、警情高发区域持续开展专项整治行动</w:t>
      </w:r>
      <w:r>
        <w:rPr>
          <w:rFonts w:hint="eastAsia" w:ascii="仿宋_GB2312" w:hAnsi="仿宋_GB2312" w:eastAsia="仿宋_GB2312" w:cs="Times New Roman"/>
          <w:sz w:val="32"/>
          <w:szCs w:val="32"/>
          <w:highlight w:val="none"/>
          <w:u w:val="none"/>
          <w:lang w:val="en-US" w:eastAsia="zh-CN"/>
        </w:rPr>
        <w:t>，</w:t>
      </w:r>
      <w:r>
        <w:rPr>
          <w:rFonts w:hint="default" w:ascii="仿宋_GB2312" w:hAnsi="仿宋_GB2312" w:eastAsia="仿宋_GB2312" w:cs="Times New Roman"/>
          <w:b w:val="0"/>
          <w:bCs w:val="0"/>
          <w:sz w:val="32"/>
          <w:szCs w:val="32"/>
          <w:highlight w:val="none"/>
          <w:u w:val="none"/>
          <w:lang w:val="en-US" w:eastAsia="zh-CN"/>
        </w:rPr>
        <w:t>营造良好的社会治安环境。</w:t>
      </w:r>
    </w:p>
    <w:p>
      <w:pPr>
        <w:keepNext w:val="0"/>
        <w:keepLines w:val="0"/>
        <w:pageBreakBefore w:val="0"/>
        <w:widowControl/>
        <w:numPr>
          <w:ilvl w:val="0"/>
          <w:numId w:val="0"/>
        </w:numPr>
        <w:pBdr>
          <w:bottom w:val="none" w:color="auto" w:sz="0" w:space="0"/>
        </w:pBdr>
        <w:kinsoku/>
        <w:wordWrap/>
        <w:overflowPunct/>
        <w:topLinePunct w:val="0"/>
        <w:autoSpaceDE/>
        <w:autoSpaceDN/>
        <w:bidi w:val="0"/>
        <w:adjustRightInd/>
        <w:snapToGrid/>
        <w:spacing w:beforeLines="0" w:after="0" w:afterLines="0" w:afterAutospacing="0" w:line="560" w:lineRule="exact"/>
        <w:ind w:left="0" w:leftChars="0" w:firstLine="640" w:firstLineChars="200"/>
        <w:textAlignment w:val="auto"/>
        <w:outlineLvl w:val="2"/>
        <w:rPr>
          <w:rFonts w:hint="eastAsia" w:ascii="仿宋_GB2312" w:hAnsi="仿宋_GB2312" w:eastAsia="楷体_GB2312" w:cs="楷体_GB2312"/>
          <w:b w:val="0"/>
          <w:bCs w:val="0"/>
          <w:sz w:val="32"/>
          <w:szCs w:val="24"/>
          <w:highlight w:val="none"/>
          <w:u w:val="none"/>
        </w:rPr>
      </w:pPr>
      <w:r>
        <w:rPr>
          <w:rFonts w:hint="eastAsia" w:ascii="仿宋_GB2312" w:hAnsi="仿宋_GB2312" w:eastAsia="楷体_GB2312" w:cs="楷体_GB2312"/>
          <w:b w:val="0"/>
          <w:bCs w:val="0"/>
          <w:sz w:val="32"/>
          <w:szCs w:val="24"/>
          <w:highlight w:val="none"/>
          <w:u w:val="none"/>
          <w:lang w:val="en-US" w:eastAsia="zh-CN"/>
        </w:rPr>
        <w:t>（二）完善消防体系建设</w:t>
      </w:r>
    </w:p>
    <w:p>
      <w:pPr>
        <w:keepNext w:val="0"/>
        <w:keepLines w:val="0"/>
        <w:pageBreakBefore w:val="0"/>
        <w:widowControl/>
        <w:numPr>
          <w:ilvl w:val="-1"/>
          <w:numId w:val="0"/>
        </w:numPr>
        <w:pBdr>
          <w:bottom w:val="none" w:color="auto" w:sz="0" w:space="0"/>
        </w:pBdr>
        <w:kinsoku/>
        <w:wordWrap/>
        <w:overflowPunct/>
        <w:topLinePunct w:val="0"/>
        <w:autoSpaceDE/>
        <w:autoSpaceDN/>
        <w:bidi w:val="0"/>
        <w:adjustRightInd/>
        <w:snapToGrid/>
        <w:spacing w:beforeLines="0" w:after="0" w:afterLines="0" w:afterAutospacing="0" w:line="560" w:lineRule="exact"/>
        <w:ind w:left="0" w:leftChars="0" w:firstLine="640" w:firstLineChars="200"/>
        <w:textAlignment w:val="auto"/>
        <w:outlineLvl w:val="9"/>
        <w:rPr>
          <w:rFonts w:hint="eastAsia" w:ascii="仿宋_GB2312" w:hAnsi="仿宋_GB2312" w:eastAsia="仿宋_GB2312" w:cs="Times New Roman"/>
          <w:sz w:val="32"/>
          <w:szCs w:val="32"/>
          <w:highlight w:val="none"/>
          <w:u w:val="none"/>
          <w:lang w:val="en-US" w:eastAsia="zh-CN"/>
        </w:rPr>
      </w:pPr>
      <w:r>
        <w:rPr>
          <w:rFonts w:hint="eastAsia" w:ascii="仿宋_GB2312" w:hAnsi="仿宋_GB2312" w:eastAsia="仿宋_GB2312" w:cs="Times New Roman"/>
          <w:b w:val="0"/>
          <w:bCs w:val="0"/>
          <w:sz w:val="32"/>
          <w:szCs w:val="32"/>
          <w:highlight w:val="none"/>
          <w:u w:val="none"/>
          <w:lang w:val="en-US" w:eastAsia="zh-CN"/>
        </w:rPr>
        <w:t>推动</w:t>
      </w:r>
      <w:r>
        <w:rPr>
          <w:rFonts w:hint="default" w:ascii="仿宋_GB2312" w:hAnsi="仿宋_GB2312" w:eastAsia="仿宋_GB2312" w:cs="Times New Roman"/>
          <w:b w:val="0"/>
          <w:bCs w:val="0"/>
          <w:sz w:val="32"/>
          <w:szCs w:val="32"/>
          <w:highlight w:val="none"/>
          <w:u w:val="none"/>
          <w:lang w:val="en-US" w:eastAsia="zh-CN"/>
        </w:rPr>
        <w:t>消除消防薄弱点</w:t>
      </w:r>
      <w:r>
        <w:rPr>
          <w:rFonts w:hint="eastAsia" w:ascii="仿宋_GB2312" w:hAnsi="仿宋_GB2312" w:eastAsia="仿宋_GB2312" w:cs="Times New Roman"/>
          <w:b w:val="0"/>
          <w:bCs w:val="0"/>
          <w:sz w:val="32"/>
          <w:szCs w:val="32"/>
          <w:highlight w:val="none"/>
          <w:u w:val="none"/>
          <w:lang w:val="en-US" w:eastAsia="zh-CN"/>
        </w:rPr>
        <w:t>，</w:t>
      </w:r>
      <w:r>
        <w:rPr>
          <w:rFonts w:hint="default" w:ascii="仿宋_GB2312" w:hAnsi="仿宋_GB2312" w:eastAsia="仿宋_GB2312" w:cs="Times New Roman"/>
          <w:b w:val="0"/>
          <w:bCs w:val="0"/>
          <w:sz w:val="32"/>
          <w:szCs w:val="32"/>
          <w:highlight w:val="none"/>
          <w:u w:val="none"/>
          <w:lang w:val="en-US" w:eastAsia="zh-CN"/>
        </w:rPr>
        <w:t>提升消防智慧化水平，</w:t>
      </w:r>
      <w:r>
        <w:rPr>
          <w:rFonts w:hint="eastAsia" w:ascii="仿宋_GB2312" w:hAnsi="仿宋_GB2312" w:eastAsia="仿宋_GB2312" w:cs="Times New Roman"/>
          <w:b w:val="0"/>
          <w:bCs w:val="0"/>
          <w:sz w:val="32"/>
          <w:szCs w:val="32"/>
          <w:highlight w:val="none"/>
          <w:u w:val="none"/>
          <w:lang w:val="en-US" w:eastAsia="zh-CN"/>
        </w:rPr>
        <w:t>加强</w:t>
      </w:r>
      <w:r>
        <w:rPr>
          <w:rFonts w:hint="default" w:ascii="仿宋_GB2312" w:hAnsi="仿宋_GB2312" w:eastAsia="仿宋_GB2312" w:cs="Times New Roman"/>
          <w:b w:val="0"/>
          <w:bCs w:val="0"/>
          <w:sz w:val="32"/>
          <w:szCs w:val="32"/>
          <w:highlight w:val="none"/>
          <w:u w:val="none"/>
        </w:rPr>
        <w:t>消防救援与防控能力</w:t>
      </w:r>
      <w:r>
        <w:rPr>
          <w:rFonts w:hint="default" w:ascii="仿宋_GB2312" w:hAnsi="仿宋_GB2312" w:eastAsia="仿宋_GB2312" w:cs="Times New Roman"/>
          <w:b w:val="0"/>
          <w:bCs w:val="0"/>
          <w:sz w:val="32"/>
          <w:szCs w:val="32"/>
          <w:highlight w:val="none"/>
          <w:u w:val="none"/>
          <w:lang w:eastAsia="zh-CN"/>
        </w:rPr>
        <w:t>。</w:t>
      </w:r>
      <w:r>
        <w:rPr>
          <w:rFonts w:hint="default" w:ascii="仿宋_GB2312" w:hAnsi="仿宋_GB2312" w:eastAsia="仿宋_GB2312" w:cs="Times New Roman"/>
          <w:sz w:val="32"/>
          <w:szCs w:val="32"/>
          <w:highlight w:val="none"/>
          <w:u w:val="none"/>
          <w:lang w:val="en-US" w:eastAsia="zh-CN"/>
        </w:rPr>
        <w:t>完善</w:t>
      </w:r>
      <w:r>
        <w:rPr>
          <w:rFonts w:hint="eastAsia" w:ascii="仿宋_GB2312" w:hAnsi="仿宋_GB2312" w:eastAsia="仿宋_GB2312" w:cs="Times New Roman"/>
          <w:sz w:val="32"/>
          <w:szCs w:val="32"/>
          <w:highlight w:val="none"/>
          <w:u w:val="none"/>
          <w:lang w:val="en-US" w:eastAsia="zh-CN"/>
        </w:rPr>
        <w:t>“中心站—小型站—微型站”</w:t>
      </w:r>
      <w:r>
        <w:rPr>
          <w:rFonts w:hint="default" w:ascii="仿宋_GB2312" w:hAnsi="仿宋_GB2312" w:eastAsia="仿宋_GB2312" w:cs="Times New Roman"/>
          <w:sz w:val="32"/>
          <w:szCs w:val="32"/>
          <w:highlight w:val="none"/>
          <w:u w:val="none"/>
          <w:lang w:val="en-US" w:eastAsia="zh-CN"/>
        </w:rPr>
        <w:t>三级消防体系</w:t>
      </w:r>
      <w:r>
        <w:rPr>
          <w:rFonts w:hint="default" w:ascii="仿宋_GB2312" w:hAnsi="仿宋_GB2312" w:eastAsia="仿宋_GB2312" w:cs="Times New Roman"/>
          <w:b w:val="0"/>
          <w:bCs w:val="0"/>
          <w:sz w:val="32"/>
          <w:szCs w:val="32"/>
          <w:highlight w:val="none"/>
          <w:u w:val="none"/>
          <w:lang w:val="en-US" w:eastAsia="zh-CN"/>
        </w:rPr>
        <w:t>，加快</w:t>
      </w:r>
      <w:r>
        <w:rPr>
          <w:rFonts w:hint="default" w:ascii="仿宋_GB2312" w:hAnsi="仿宋_GB2312" w:eastAsia="仿宋_GB2312" w:cs="Times New Roman"/>
          <w:sz w:val="32"/>
          <w:szCs w:val="32"/>
          <w:highlight w:val="none"/>
          <w:u w:val="none"/>
          <w:lang w:val="en-US" w:eastAsia="zh-CN"/>
        </w:rPr>
        <w:t>推动科学城、渤海、红螺湖3座消防站投入使用，</w:t>
      </w:r>
      <w:r>
        <w:rPr>
          <w:rFonts w:hint="default" w:ascii="仿宋_GB2312" w:hAnsi="仿宋_GB2312" w:eastAsia="仿宋_GB2312" w:cs="Times New Roman"/>
          <w:sz w:val="32"/>
          <w:szCs w:val="32"/>
          <w:highlight w:val="none"/>
          <w:u w:val="none"/>
          <w:lang w:eastAsia="zh-CN"/>
        </w:rPr>
        <w:t>建</w:t>
      </w:r>
      <w:r>
        <w:rPr>
          <w:rFonts w:hint="eastAsia" w:ascii="仿宋_GB2312" w:hAnsi="仿宋_GB2312" w:eastAsia="仿宋_GB2312" w:cs="Times New Roman"/>
          <w:sz w:val="32"/>
          <w:szCs w:val="32"/>
          <w:highlight w:val="none"/>
          <w:u w:val="none"/>
          <w:lang w:eastAsia="zh-CN"/>
        </w:rPr>
        <w:t>设</w:t>
      </w:r>
      <w:r>
        <w:rPr>
          <w:rFonts w:hint="default" w:ascii="仿宋_GB2312" w:hAnsi="仿宋_GB2312" w:eastAsia="仿宋_GB2312" w:cs="Times New Roman"/>
          <w:sz w:val="32"/>
          <w:szCs w:val="32"/>
          <w:highlight w:val="none"/>
          <w:u w:val="none"/>
          <w:lang w:eastAsia="zh-CN"/>
        </w:rPr>
        <w:t>怀北、</w:t>
      </w:r>
      <w:r>
        <w:rPr>
          <w:rFonts w:hint="eastAsia" w:ascii="仿宋_GB2312" w:hAnsi="仿宋_GB2312" w:eastAsia="仿宋_GB2312" w:cs="Times New Roman"/>
          <w:sz w:val="32"/>
          <w:szCs w:val="32"/>
          <w:highlight w:val="none"/>
          <w:u w:val="none"/>
          <w:lang w:val="en-US" w:eastAsia="zh-CN"/>
        </w:rPr>
        <w:t>庙城</w:t>
      </w:r>
      <w:r>
        <w:rPr>
          <w:rFonts w:hint="default" w:ascii="仿宋_GB2312" w:hAnsi="仿宋_GB2312" w:eastAsia="仿宋_GB2312" w:cs="Times New Roman"/>
          <w:sz w:val="32"/>
          <w:szCs w:val="32"/>
          <w:highlight w:val="none"/>
          <w:u w:val="none"/>
          <w:lang w:eastAsia="zh-CN"/>
        </w:rPr>
        <w:t>消防</w:t>
      </w:r>
      <w:r>
        <w:rPr>
          <w:rFonts w:hint="default" w:ascii="仿宋_GB2312" w:hAnsi="仿宋_GB2312" w:eastAsia="仿宋_GB2312" w:cs="Times New Roman"/>
          <w:sz w:val="32"/>
          <w:szCs w:val="32"/>
          <w:highlight w:val="none"/>
          <w:u w:val="none"/>
          <w:lang w:val="en-US" w:eastAsia="zh-CN"/>
        </w:rPr>
        <w:t>救援</w:t>
      </w:r>
      <w:r>
        <w:rPr>
          <w:rFonts w:hint="default" w:ascii="仿宋_GB2312" w:hAnsi="仿宋_GB2312" w:eastAsia="仿宋_GB2312" w:cs="Times New Roman"/>
          <w:sz w:val="32"/>
          <w:szCs w:val="32"/>
          <w:highlight w:val="none"/>
          <w:u w:val="none"/>
          <w:lang w:eastAsia="zh-CN"/>
        </w:rPr>
        <w:t>站</w:t>
      </w:r>
      <w:r>
        <w:rPr>
          <w:rFonts w:hint="eastAsia" w:ascii="仿宋_GB2312" w:hAnsi="仿宋_GB2312" w:eastAsia="仿宋_GB2312" w:cs="Times New Roman"/>
          <w:sz w:val="32"/>
          <w:szCs w:val="32"/>
          <w:highlight w:val="none"/>
          <w:u w:val="none"/>
          <w:lang w:eastAsia="zh-CN"/>
        </w:rPr>
        <w:t>。</w:t>
      </w:r>
      <w:r>
        <w:rPr>
          <w:rFonts w:hint="eastAsia" w:ascii="仿宋_GB2312" w:hAnsi="仿宋_GB2312" w:eastAsia="仿宋_GB2312" w:cs="Times New Roman"/>
          <w:sz w:val="32"/>
          <w:szCs w:val="32"/>
          <w:highlight w:val="none"/>
          <w:u w:val="none"/>
          <w:lang w:val="en-US" w:eastAsia="zh-CN"/>
        </w:rPr>
        <w:t>推动</w:t>
      </w:r>
      <w:r>
        <w:rPr>
          <w:rFonts w:hint="default" w:ascii="仿宋_GB2312" w:hAnsi="仿宋_GB2312" w:eastAsia="仿宋_GB2312" w:cs="Times New Roman"/>
          <w:sz w:val="32"/>
          <w:szCs w:val="32"/>
          <w:highlight w:val="none"/>
          <w:u w:val="none"/>
          <w:lang w:val="en-US" w:eastAsia="zh-CN"/>
        </w:rPr>
        <w:t>商业密集区、老旧小区、偏远乡村等区域因地制宜建设政府专职小型消防站</w:t>
      </w:r>
      <w:r>
        <w:rPr>
          <w:rFonts w:hint="default" w:ascii="仿宋_GB2312" w:hAnsi="仿宋_GB2312" w:eastAsia="仿宋_GB2312" w:cs="Times New Roman"/>
          <w:sz w:val="32"/>
          <w:szCs w:val="32"/>
          <w:highlight w:val="none"/>
          <w:u w:val="none"/>
        </w:rPr>
        <w:t>，</w:t>
      </w:r>
      <w:r>
        <w:rPr>
          <w:rFonts w:hint="default" w:ascii="仿宋_GB2312" w:hAnsi="仿宋_GB2312" w:eastAsia="仿宋_GB2312" w:cs="Times New Roman"/>
          <w:sz w:val="32"/>
          <w:szCs w:val="32"/>
          <w:highlight w:val="none"/>
          <w:u w:val="none"/>
          <w:lang w:val="en-US" w:eastAsia="zh-CN"/>
        </w:rPr>
        <w:t>推动社区、重点单位全面建设标准化微型消防站</w:t>
      </w:r>
      <w:r>
        <w:rPr>
          <w:rFonts w:hint="default" w:ascii="仿宋_GB2312" w:hAnsi="仿宋_GB2312" w:eastAsia="仿宋_GB2312" w:cs="Times New Roman"/>
          <w:sz w:val="32"/>
          <w:szCs w:val="32"/>
          <w:highlight w:val="none"/>
          <w:u w:val="none"/>
        </w:rPr>
        <w:t>，切实缩短</w:t>
      </w:r>
      <w:r>
        <w:rPr>
          <w:rFonts w:hint="eastAsia" w:ascii="仿宋_GB2312" w:hAnsi="仿宋_GB2312" w:eastAsia="仿宋_GB2312" w:cs="Times New Roman"/>
          <w:sz w:val="32"/>
          <w:szCs w:val="32"/>
          <w:highlight w:val="none"/>
          <w:u w:val="none"/>
          <w:lang w:eastAsia="zh-CN"/>
        </w:rPr>
        <w:t>消防救援</w:t>
      </w:r>
      <w:r>
        <w:rPr>
          <w:rFonts w:hint="default" w:ascii="仿宋_GB2312" w:hAnsi="仿宋_GB2312" w:eastAsia="仿宋_GB2312" w:cs="Times New Roman"/>
          <w:sz w:val="32"/>
          <w:szCs w:val="32"/>
          <w:highlight w:val="none"/>
          <w:u w:val="none"/>
        </w:rPr>
        <w:t>半径，提高响应速度</w:t>
      </w:r>
      <w:r>
        <w:rPr>
          <w:rFonts w:hint="default" w:ascii="仿宋_GB2312" w:hAnsi="仿宋_GB2312" w:eastAsia="仿宋_GB2312" w:cs="Times New Roman"/>
          <w:sz w:val="32"/>
          <w:szCs w:val="32"/>
          <w:highlight w:val="none"/>
          <w:u w:val="none"/>
          <w:lang w:eastAsia="zh-CN"/>
        </w:rPr>
        <w:t>。</w:t>
      </w:r>
      <w:r>
        <w:rPr>
          <w:rFonts w:hint="default" w:ascii="仿宋_GB2312" w:hAnsi="仿宋_GB2312" w:eastAsia="仿宋_GB2312" w:cs="Times New Roman"/>
          <w:sz w:val="32"/>
          <w:szCs w:val="32"/>
          <w:highlight w:val="none"/>
          <w:u w:val="none"/>
          <w:lang w:val="en-US" w:eastAsia="zh-CN"/>
        </w:rPr>
        <w:t>推动各乡镇（街道）建设专职消防队，确保</w:t>
      </w:r>
      <w:r>
        <w:rPr>
          <w:rFonts w:hint="default" w:ascii="仿宋_GB2312" w:hAnsi="仿宋_GB2312" w:eastAsia="仿宋_GB2312" w:cs="Times New Roman"/>
          <w:sz w:val="32"/>
          <w:szCs w:val="32"/>
          <w:highlight w:val="none"/>
          <w:u w:val="none"/>
        </w:rPr>
        <w:t>全</w:t>
      </w:r>
      <w:r>
        <w:rPr>
          <w:rFonts w:hint="default" w:ascii="仿宋_GB2312" w:hAnsi="仿宋_GB2312" w:eastAsia="仿宋_GB2312" w:cs="Times New Roman"/>
          <w:sz w:val="32"/>
          <w:szCs w:val="32"/>
          <w:highlight w:val="none"/>
          <w:u w:val="none"/>
          <w:lang w:val="en-US" w:eastAsia="zh-CN"/>
        </w:rPr>
        <w:t>区</w:t>
      </w:r>
      <w:r>
        <w:rPr>
          <w:rFonts w:hint="default" w:ascii="仿宋_GB2312" w:hAnsi="仿宋_GB2312" w:eastAsia="仿宋_GB2312" w:cs="Times New Roman"/>
          <w:sz w:val="32"/>
          <w:szCs w:val="32"/>
          <w:highlight w:val="none"/>
          <w:u w:val="none"/>
        </w:rPr>
        <w:t>乡镇（街道）专职消防队建设率达到100%</w:t>
      </w:r>
      <w:r>
        <w:rPr>
          <w:rFonts w:hint="default" w:ascii="仿宋_GB2312" w:hAnsi="仿宋_GB2312" w:eastAsia="仿宋_GB2312" w:cs="Times New Roman"/>
          <w:sz w:val="32"/>
          <w:szCs w:val="32"/>
          <w:highlight w:val="none"/>
          <w:u w:val="none"/>
          <w:lang w:eastAsia="zh-CN"/>
        </w:rPr>
        <w:t>。</w:t>
      </w:r>
      <w:r>
        <w:rPr>
          <w:rFonts w:hint="default" w:ascii="仿宋_GB2312" w:hAnsi="仿宋_GB2312" w:eastAsia="仿宋_GB2312" w:cs="Times New Roman"/>
          <w:sz w:val="32"/>
          <w:szCs w:val="32"/>
          <w:highlight w:val="none"/>
          <w:u w:val="none"/>
          <w:lang w:val="en-US" w:eastAsia="zh-CN"/>
        </w:rPr>
        <w:t>推动重点单位</w:t>
      </w:r>
      <w:r>
        <w:rPr>
          <w:rFonts w:hint="eastAsia" w:ascii="仿宋_GB2312" w:hAnsi="仿宋_GB2312" w:eastAsia="仿宋_GB2312" w:cs="Times New Roman"/>
          <w:sz w:val="32"/>
          <w:szCs w:val="32"/>
          <w:highlight w:val="none"/>
          <w:u w:val="none"/>
          <w:lang w:val="en-US" w:eastAsia="zh-CN"/>
        </w:rPr>
        <w:t>安装</w:t>
      </w:r>
      <w:r>
        <w:rPr>
          <w:rFonts w:hint="default" w:ascii="仿宋_GB2312" w:hAnsi="仿宋_GB2312" w:eastAsia="仿宋_GB2312" w:cs="Times New Roman"/>
          <w:sz w:val="32"/>
          <w:szCs w:val="32"/>
          <w:highlight w:val="none"/>
          <w:u w:val="none"/>
          <w:lang w:val="en-US" w:eastAsia="zh-CN"/>
        </w:rPr>
        <w:t>物联感知监测设备，推动消防重点关爱人群配发火灾逃生“四件套”，鼓励社会单位、消防技术服务机构等</w:t>
      </w:r>
      <w:r>
        <w:rPr>
          <w:rFonts w:hint="eastAsia" w:ascii="仿宋_GB2312" w:hAnsi="仿宋_GB2312" w:eastAsia="仿宋_GB2312" w:cs="Times New Roman"/>
          <w:sz w:val="32"/>
          <w:szCs w:val="32"/>
          <w:highlight w:val="none"/>
          <w:u w:val="none"/>
          <w:lang w:val="en-US" w:eastAsia="zh-CN"/>
        </w:rPr>
        <w:t>接入</w:t>
      </w:r>
      <w:r>
        <w:rPr>
          <w:rFonts w:hint="default" w:ascii="仿宋_GB2312" w:hAnsi="仿宋_GB2312" w:eastAsia="仿宋_GB2312" w:cs="Times New Roman"/>
          <w:sz w:val="32"/>
          <w:szCs w:val="32"/>
          <w:highlight w:val="none"/>
          <w:u w:val="none"/>
          <w:lang w:val="en-US" w:eastAsia="zh-CN"/>
        </w:rPr>
        <w:t>消防物联感知监控管理系统，加强监测预警。</w:t>
      </w:r>
      <w:r>
        <w:rPr>
          <w:rFonts w:hint="eastAsia" w:ascii="仿宋_GB2312" w:hAnsi="仿宋_GB2312" w:eastAsia="仿宋_GB2312" w:cs="Times New Roman"/>
          <w:sz w:val="32"/>
          <w:szCs w:val="32"/>
          <w:highlight w:val="none"/>
          <w:u w:val="none"/>
          <w:lang w:val="en-US" w:eastAsia="zh-CN"/>
        </w:rPr>
        <w:t>到2030年，实现十万常住人口火灾死亡率不超过0.25%。</w:t>
      </w:r>
    </w:p>
    <w:p>
      <w:pPr>
        <w:widowControl/>
        <w:numPr>
          <w:ilvl w:val="0"/>
          <w:numId w:val="0"/>
        </w:numPr>
        <w:pBdr>
          <w:bottom w:val="none" w:color="auto" w:sz="0" w:space="0"/>
        </w:pBdr>
        <w:spacing w:beforeLines="0" w:afterLines="0" w:line="560" w:lineRule="exact"/>
        <w:ind w:firstLine="640" w:firstLineChars="200"/>
        <w:outlineLvl w:val="2"/>
        <w:rPr>
          <w:rFonts w:hint="default" w:ascii="仿宋_GB2312" w:hAnsi="仿宋_GB2312" w:eastAsia="楷体_GB2312" w:cs="楷体_GB2312"/>
          <w:sz w:val="32"/>
          <w:szCs w:val="24"/>
          <w:highlight w:val="none"/>
          <w:u w:val="none"/>
        </w:rPr>
      </w:pPr>
      <w:r>
        <w:rPr>
          <w:rFonts w:hint="eastAsia" w:ascii="仿宋_GB2312" w:hAnsi="仿宋_GB2312" w:eastAsia="楷体_GB2312" w:cs="楷体_GB2312"/>
          <w:sz w:val="32"/>
          <w:szCs w:val="24"/>
          <w:highlight w:val="none"/>
          <w:u w:val="none"/>
        </w:rPr>
        <w:t>（三）</w:t>
      </w:r>
      <w:r>
        <w:rPr>
          <w:rFonts w:hint="eastAsia" w:ascii="仿宋_GB2312" w:hAnsi="仿宋_GB2312" w:eastAsia="楷体_GB2312" w:cs="楷体_GB2312"/>
          <w:sz w:val="32"/>
          <w:szCs w:val="24"/>
          <w:highlight w:val="none"/>
          <w:u w:val="none"/>
          <w:lang w:val="en-US" w:eastAsia="zh-CN"/>
        </w:rPr>
        <w:t>筑牢公共空间安全防线</w:t>
      </w:r>
    </w:p>
    <w:p>
      <w:pPr>
        <w:pStyle w:val="6"/>
        <w:spacing w:line="560" w:lineRule="exact"/>
        <w:ind w:firstLine="640" w:firstLineChars="200"/>
        <w:rPr>
          <w:rFonts w:hint="default"/>
          <w:highlight w:val="none"/>
          <w:u w:val="none"/>
          <w:lang w:val="en-US" w:eastAsia="zh-CN"/>
        </w:rPr>
      </w:pPr>
      <w:r>
        <w:rPr>
          <w:rFonts w:hint="eastAsia" w:ascii="仿宋_GB2312" w:hAnsi="仿宋_GB2312" w:eastAsia="仿宋_GB2312"/>
          <w:sz w:val="32"/>
          <w:szCs w:val="32"/>
          <w:highlight w:val="none"/>
          <w:u w:val="none"/>
        </w:rPr>
        <w:t>坚持统筹发展和安全，将</w:t>
      </w:r>
      <w:r>
        <w:rPr>
          <w:rFonts w:hint="eastAsia" w:ascii="仿宋_GB2312" w:hAnsi="仿宋_GB2312" w:eastAsia="仿宋_GB2312"/>
          <w:sz w:val="32"/>
          <w:szCs w:val="32"/>
          <w:highlight w:val="none"/>
          <w:u w:val="none"/>
          <w:lang w:val="en-US" w:eastAsia="zh-CN"/>
        </w:rPr>
        <w:t>城市</w:t>
      </w:r>
      <w:r>
        <w:rPr>
          <w:rFonts w:hint="eastAsia" w:ascii="仿宋_GB2312" w:hAnsi="仿宋_GB2312" w:eastAsia="仿宋_GB2312"/>
          <w:sz w:val="32"/>
          <w:szCs w:val="32"/>
          <w:highlight w:val="none"/>
          <w:u w:val="none"/>
        </w:rPr>
        <w:t>公共空间本质安全作为公共服务重要内容，</w:t>
      </w:r>
      <w:r>
        <w:rPr>
          <w:rFonts w:hint="eastAsia" w:ascii="仿宋_GB2312" w:hAnsi="仿宋_GB2312" w:eastAsia="仿宋_GB2312"/>
          <w:sz w:val="32"/>
          <w:szCs w:val="32"/>
          <w:highlight w:val="none"/>
          <w:u w:val="none"/>
          <w:lang w:val="en-US" w:eastAsia="zh-CN"/>
        </w:rPr>
        <w:t>立足</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32"/>
          <w:highlight w:val="none"/>
          <w:u w:val="none"/>
          <w:lang w:val="en-US" w:eastAsia="zh-CN"/>
        </w:rPr>
        <w:t>一城两都</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32"/>
          <w:highlight w:val="none"/>
          <w:u w:val="none"/>
          <w:lang w:val="en-US" w:eastAsia="zh-CN"/>
        </w:rPr>
        <w:t>三大功能板块</w:t>
      </w:r>
      <w:r>
        <w:rPr>
          <w:rFonts w:hint="eastAsia" w:ascii="仿宋_GB2312" w:hAnsi="仿宋_GB2312" w:eastAsia="仿宋_GB2312"/>
          <w:sz w:val="32"/>
          <w:szCs w:val="32"/>
          <w:highlight w:val="none"/>
          <w:u w:val="none"/>
        </w:rPr>
        <w:t>，</w:t>
      </w:r>
      <w:r>
        <w:rPr>
          <w:rFonts w:hint="eastAsia" w:ascii="仿宋_GB2312" w:hAnsi="仿宋_GB2312" w:eastAsia="仿宋_GB2312"/>
          <w:sz w:val="32"/>
          <w:szCs w:val="32"/>
          <w:highlight w:val="none"/>
          <w:u w:val="none"/>
          <w:lang w:val="en-US" w:eastAsia="zh-CN"/>
        </w:rPr>
        <w:t>强化</w:t>
      </w:r>
      <w:r>
        <w:rPr>
          <w:rFonts w:hint="eastAsia" w:ascii="仿宋_GB2312" w:hAnsi="仿宋_GB2312" w:eastAsia="仿宋_GB2312"/>
          <w:sz w:val="32"/>
          <w:szCs w:val="32"/>
          <w:highlight w:val="none"/>
          <w:u w:val="none"/>
        </w:rPr>
        <w:t>公共空间风险防控和安全保障能力。</w:t>
      </w:r>
      <w:r>
        <w:rPr>
          <w:rFonts w:hint="eastAsia" w:ascii="仿宋_GB2312" w:hAnsi="仿宋_GB2312" w:eastAsia="仿宋_GB2312"/>
          <w:sz w:val="32"/>
          <w:szCs w:val="32"/>
          <w:highlight w:val="none"/>
          <w:u w:val="none"/>
          <w:lang w:val="en-US" w:eastAsia="zh-CN"/>
        </w:rPr>
        <w:t>以安全第一、预防为主，推动公共安全治理模式向事前预防转型。</w:t>
      </w:r>
      <w:r>
        <w:rPr>
          <w:rFonts w:hint="eastAsia" w:ascii="仿宋_GB2312" w:hAnsi="仿宋_GB2312" w:eastAsia="仿宋_GB2312" w:cs="Times New Roman"/>
          <w:b w:val="0"/>
          <w:bCs w:val="0"/>
          <w:color w:val="auto"/>
          <w:kern w:val="2"/>
          <w:sz w:val="32"/>
          <w:szCs w:val="32"/>
          <w:highlight w:val="none"/>
          <w:u w:val="none"/>
          <w:lang w:val="en-US" w:eastAsia="zh-CN"/>
        </w:rPr>
        <w:t>统筹推进山区与全区应急避难场所标准化、体系化建设，构建多层次、综合性的应急避险工作体系。在山区乡镇，规划建设综合性、室内型长期应急避难场所；在全区范围，统筹利用现有公共服务设施与新建场所，系统整合区域内酒店、村委会、学校等现有公共服务设施，通过标准化改造提升应急避难功能，科学规划新建一批紧急避难场所，有效填补服务空白。</w:t>
      </w:r>
      <w:r>
        <w:rPr>
          <w:rFonts w:hint="eastAsia" w:ascii="仿宋_GB2312" w:hAnsi="仿宋_GB2312" w:eastAsia="仿宋_GB2312"/>
          <w:sz w:val="32"/>
          <w:szCs w:val="32"/>
          <w:highlight w:val="none"/>
          <w:u w:val="none"/>
        </w:rPr>
        <w:t>充分发挥怀柔科技创新资源优势，推动智能监测、风险预警等技术在应急管理领域应用，提升公共安全风险感知、监测预警和综合治理能力。</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黑体"/>
          <w:b w:val="0"/>
          <w:kern w:val="2"/>
          <w:sz w:val="32"/>
          <w:szCs w:val="32"/>
          <w:highlight w:val="none"/>
          <w:u w:val="none"/>
          <w:lang w:val="en-US" w:eastAsia="zh-CN" w:bidi="ar-SA"/>
        </w:rPr>
      </w:pPr>
      <w:bookmarkStart w:id="492" w:name="_Toc262"/>
      <w:bookmarkStart w:id="493" w:name="_Toc5098"/>
      <w:bookmarkStart w:id="494" w:name="_Toc9330"/>
      <w:bookmarkStart w:id="495" w:name="_Toc25517"/>
      <w:bookmarkStart w:id="496" w:name="_Toc29174"/>
      <w:bookmarkStart w:id="497" w:name="_Toc8746"/>
      <w:bookmarkStart w:id="498" w:name="_Toc10673"/>
      <w:bookmarkStart w:id="499" w:name="_Toc30336"/>
      <w:bookmarkStart w:id="500" w:name="_Toc2548"/>
      <w:bookmarkStart w:id="501" w:name="_Toc30472"/>
      <w:bookmarkStart w:id="502" w:name="_Toc1505"/>
      <w:bookmarkStart w:id="503" w:name="_Toc177"/>
      <w:bookmarkStart w:id="504" w:name="_Toc32333"/>
      <w:r>
        <w:rPr>
          <w:rFonts w:hint="eastAsia" w:ascii="仿宋_GB2312" w:hAnsi="仿宋_GB2312" w:eastAsia="黑体" w:cs="黑体"/>
          <w:b w:val="0"/>
          <w:kern w:val="2"/>
          <w:sz w:val="32"/>
          <w:szCs w:val="32"/>
          <w:highlight w:val="none"/>
          <w:u w:val="none"/>
          <w:lang w:val="en-US" w:eastAsia="zh-CN" w:bidi="ar-SA"/>
        </w:rPr>
        <w:t>六、</w:t>
      </w:r>
      <w:bookmarkEnd w:id="492"/>
      <w:bookmarkEnd w:id="493"/>
      <w:bookmarkEnd w:id="494"/>
      <w:r>
        <w:rPr>
          <w:rFonts w:hint="eastAsia" w:ascii="仿宋_GB2312" w:hAnsi="仿宋_GB2312" w:eastAsia="黑体" w:cs="黑体"/>
          <w:b w:val="0"/>
          <w:kern w:val="2"/>
          <w:sz w:val="32"/>
          <w:szCs w:val="32"/>
          <w:highlight w:val="none"/>
          <w:u w:val="none"/>
          <w:lang w:val="en-US" w:eastAsia="zh-CN" w:bidi="ar-SA"/>
        </w:rPr>
        <w:t>提供高品质法律服务</w:t>
      </w:r>
      <w:bookmarkEnd w:id="495"/>
      <w:bookmarkEnd w:id="496"/>
      <w:bookmarkEnd w:id="497"/>
      <w:bookmarkEnd w:id="498"/>
      <w:bookmarkEnd w:id="499"/>
      <w:bookmarkEnd w:id="500"/>
      <w:bookmarkEnd w:id="501"/>
      <w:bookmarkEnd w:id="502"/>
      <w:bookmarkEnd w:id="503"/>
      <w:bookmarkEnd w:id="504"/>
    </w:p>
    <w:p>
      <w:pPr>
        <w:widowControl/>
        <w:numPr>
          <w:ilvl w:val="-1"/>
          <w:numId w:val="0"/>
        </w:numPr>
        <w:pBdr>
          <w:bottom w:val="none" w:color="auto" w:sz="0" w:space="0"/>
        </w:pBdr>
        <w:spacing w:beforeLines="0" w:afterLines="0" w:line="560" w:lineRule="exact"/>
        <w:ind w:firstLine="640" w:firstLineChars="200"/>
        <w:outlineLvl w:val="9"/>
        <w:rPr>
          <w:rFonts w:hint="default" w:ascii="仿宋_GB2312" w:hAnsi="仿宋_GB2312" w:eastAsia="仿宋_GB2312" w:cs="Times New Roman"/>
          <w:b w:val="0"/>
          <w:kern w:val="2"/>
          <w:sz w:val="32"/>
          <w:szCs w:val="32"/>
          <w:highlight w:val="none"/>
          <w:u w:val="none"/>
          <w:lang w:val="en-US" w:eastAsia="zh-CN" w:bidi="ar-SA"/>
        </w:rPr>
      </w:pPr>
      <w:r>
        <w:rPr>
          <w:rFonts w:hint="eastAsia" w:ascii="仿宋_GB2312" w:hAnsi="仿宋_GB2312" w:eastAsia="仿宋_GB2312" w:cs="Times New Roman"/>
          <w:sz w:val="32"/>
          <w:szCs w:val="32"/>
          <w:highlight w:val="none"/>
          <w:u w:val="none"/>
          <w:lang w:val="en-US" w:eastAsia="zh-CN"/>
        </w:rPr>
        <w:t>围绕法治怀柔建设，统筹提升基础法律服务供给能力和专业法律服务水平，推动公共法律服务均等可及、优质高效，为区域高质量发展营造良好法治环境。</w:t>
      </w:r>
    </w:p>
    <w:p>
      <w:pPr>
        <w:widowControl/>
        <w:numPr>
          <w:ilvl w:val="0"/>
          <w:numId w:val="0"/>
        </w:numPr>
        <w:pBdr>
          <w:bottom w:val="none" w:color="auto" w:sz="0" w:space="0"/>
        </w:pBdr>
        <w:spacing w:beforeLines="0" w:afterLines="0" w:line="560" w:lineRule="exact"/>
        <w:ind w:firstLine="640" w:firstLineChars="200"/>
        <w:outlineLvl w:val="2"/>
        <w:rPr>
          <w:rFonts w:hint="eastAsia" w:ascii="仿宋_GB2312" w:hAnsi="仿宋_GB2312" w:eastAsia="楷体_GB2312" w:cs="楷体_GB2312"/>
          <w:b w:val="0"/>
          <w:kern w:val="2"/>
          <w:sz w:val="32"/>
          <w:szCs w:val="24"/>
          <w:highlight w:val="none"/>
          <w:u w:val="none"/>
          <w:lang w:val="en-US" w:eastAsia="zh-CN" w:bidi="ar-SA"/>
        </w:rPr>
      </w:pPr>
      <w:r>
        <w:rPr>
          <w:rFonts w:hint="eastAsia" w:ascii="仿宋_GB2312" w:hAnsi="仿宋_GB2312" w:eastAsia="楷体_GB2312" w:cs="楷体_GB2312"/>
          <w:b w:val="0"/>
          <w:kern w:val="2"/>
          <w:sz w:val="32"/>
          <w:szCs w:val="24"/>
          <w:highlight w:val="none"/>
          <w:u w:val="none"/>
          <w:lang w:val="en-US" w:eastAsia="zh-CN" w:bidi="ar-SA"/>
        </w:rPr>
        <w:t>（一）推进法律服务普惠均等</w:t>
      </w:r>
    </w:p>
    <w:p>
      <w:pPr>
        <w:pStyle w:val="9"/>
        <w:spacing w:line="560" w:lineRule="exact"/>
        <w:ind w:firstLine="640" w:firstLineChars="200"/>
        <w:jc w:val="both"/>
        <w:rPr>
          <w:rFonts w:hint="eastAsia" w:ascii="仿宋_GB2312" w:hAnsi="仿宋_GB2312" w:eastAsia="仿宋_GB2312" w:cs="仿宋_GB2312"/>
          <w:b w:val="0"/>
          <w:bCs w:val="0"/>
          <w:color w:val="auto"/>
          <w:spacing w:val="0"/>
          <w:kern w:val="2"/>
          <w:sz w:val="32"/>
          <w:szCs w:val="32"/>
          <w:highlight w:val="none"/>
          <w:u w:val="none"/>
          <w:lang w:val="en-US" w:eastAsia="zh-CN" w:bidi="ar-SA"/>
        </w:rPr>
      </w:pPr>
      <w:r>
        <w:rPr>
          <w:rFonts w:hint="eastAsia" w:ascii="仿宋_GB2312" w:hAnsi="仿宋_GB2312" w:eastAsia="仿宋_GB2312" w:cs="Times New Roman"/>
          <w:b w:val="0"/>
          <w:kern w:val="2"/>
          <w:sz w:val="32"/>
          <w:szCs w:val="32"/>
          <w:highlight w:val="none"/>
          <w:u w:val="none"/>
          <w:lang w:val="en-US" w:eastAsia="zh-CN" w:bidi="ar-SA"/>
        </w:rPr>
        <w:t>持续深化法律服务实体、热线、网络三大平台融合发展，健全“一站式”服务机制。推进怀柔区“法务中心”建设，打造集约化、一体化区级法律服务对外接待窗口。推进镇乡街道公共法律服务站、各村居公共法律服务室的服务能力提升和山区法律服务供给，鼓励村（居）法律顾问、公证巡回服务、远程服务。探索人工智能在法律咨询、法律援助指引等场景应用，提升服务响应速度与精准性。创新普法方式，将普法宣传与农文商旅体科深度融合，构建“线上线下融合、传统与新兴互补”的普法新格局。加强普法宣传阵地建设，建立红色法治场所名录，打造一批沉浸式、体验式普法场景。严格落实法官、检察官、律师、行政执法人员普法责任制。统筹“法律明白人”、人民调解员、村（居）法律顾问三支基层队伍融合发展，建立协同配合、优势互补的基层普法与依法治理工作体系。</w:t>
      </w:r>
    </w:p>
    <w:p>
      <w:pPr>
        <w:widowControl/>
        <w:numPr>
          <w:ilvl w:val="0"/>
          <w:numId w:val="0"/>
        </w:numPr>
        <w:pBdr>
          <w:bottom w:val="none" w:color="auto" w:sz="0" w:space="0"/>
        </w:pBdr>
        <w:spacing w:beforeLines="0" w:afterLines="0" w:line="560" w:lineRule="exact"/>
        <w:ind w:firstLineChars="200"/>
        <w:jc w:val="both"/>
        <w:outlineLvl w:val="2"/>
        <w:rPr>
          <w:rFonts w:hint="default" w:ascii="仿宋_GB2312" w:hAnsi="仿宋_GB2312" w:eastAsia="楷体_GB2312" w:cs="楷体_GB2312"/>
          <w:b w:val="0"/>
          <w:bCs w:val="0"/>
          <w:snapToGrid/>
          <w:color w:val="auto"/>
          <w:spacing w:val="0"/>
          <w:kern w:val="2"/>
          <w:sz w:val="32"/>
          <w:szCs w:val="24"/>
          <w:highlight w:val="none"/>
          <w:u w:val="none"/>
          <w:lang w:val="en-US" w:eastAsia="zh-CN"/>
        </w:rPr>
      </w:pPr>
      <w:r>
        <w:rPr>
          <w:rFonts w:hint="eastAsia" w:ascii="仿宋_GB2312" w:hAnsi="仿宋_GB2312" w:eastAsia="楷体_GB2312" w:cs="楷体_GB2312"/>
          <w:b w:val="0"/>
          <w:bCs w:val="0"/>
          <w:snapToGrid/>
          <w:color w:val="auto"/>
          <w:spacing w:val="0"/>
          <w:kern w:val="2"/>
          <w:sz w:val="32"/>
          <w:szCs w:val="24"/>
          <w:highlight w:val="none"/>
          <w:u w:val="none"/>
          <w:lang w:val="en-US" w:eastAsia="zh-CN"/>
        </w:rPr>
        <w:t>（二）提升高品质法律服务能力</w:t>
      </w:r>
    </w:p>
    <w:p>
      <w:pPr>
        <w:keepNext w:val="0"/>
        <w:keepLines w:val="0"/>
        <w:pageBreakBefore w:val="0"/>
        <w:widowControl/>
        <w:numPr>
          <w:ilvl w:val="0"/>
          <w:numId w:val="0"/>
        </w:numPr>
        <w:shd w:val="clea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snapToGrid/>
          <w:color w:val="auto"/>
          <w:spacing w:val="0"/>
          <w:kern w:val="2"/>
          <w:sz w:val="32"/>
          <w:szCs w:val="32"/>
          <w:highlight w:val="none"/>
          <w:u w:val="none"/>
          <w:lang w:val="en-US" w:eastAsia="zh-CN"/>
        </w:rPr>
      </w:pPr>
      <w:r>
        <w:rPr>
          <w:rFonts w:hint="eastAsia" w:ascii="仿宋_GB2312" w:hAnsi="仿宋_GB2312" w:eastAsia="仿宋_GB2312" w:cs="仿宋_GB2312"/>
          <w:b w:val="0"/>
          <w:bCs w:val="0"/>
          <w:snapToGrid/>
          <w:color w:val="auto"/>
          <w:spacing w:val="0"/>
          <w:kern w:val="2"/>
          <w:sz w:val="32"/>
          <w:szCs w:val="32"/>
          <w:highlight w:val="none"/>
          <w:u w:val="none"/>
          <w:lang w:val="en-US" w:eastAsia="zh-CN"/>
        </w:rPr>
        <w:t>依托怀柔科学城司法所法律枢纽功能和怀柔科学城新质生产力法律保护中心、商事解纷中心和“怀柔科学城普法驿站”等平台效能，推动法治资源向创新一线延伸。联动优质法律资源，高标准打造“怀柔科学城法科融合示范区（前沿领域法治研究基地）”。聚焦大科学装置运行、数据资产确权及职务发明赋权等前沿领域和影视文化IP开发、投融资与制作、发行等文化创意领域构建全链条法律服务体系。加大高端法律服务供给，引进一批擅长知识产权、涉外经贸、会务会展的律师事务所和专业机构，健全诉讼、仲裁、公证、商事调解有效衔接的多元解纷机制，为科研机构、科创企业和高层次人才提供专业化、国际化、便利化法律服务，全力打造稳定公平透明、可预期的法治化营商营科环境。</w:t>
      </w:r>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jc w:val="left"/>
        <w:textAlignment w:val="auto"/>
        <w:outlineLvl w:val="9"/>
        <w:rPr>
          <w:rFonts w:hint="eastAsia" w:ascii="仿宋_GB2312" w:hAnsi="仿宋_GB2312" w:eastAsia="方正小标宋_GBK" w:cs="方正小标宋_GBK"/>
          <w:b w:val="0"/>
          <w:bCs/>
          <w:sz w:val="36"/>
          <w:szCs w:val="36"/>
          <w:highlight w:val="none"/>
          <w:u w:val="none"/>
          <w:lang w:val="en-US" w:eastAsia="zh-CN"/>
        </w:rPr>
      </w:pPr>
      <w:bookmarkStart w:id="505" w:name="_Toc601"/>
      <w:bookmarkStart w:id="506" w:name="_Toc11923"/>
      <w:bookmarkStart w:id="507" w:name="_Toc27978"/>
      <w:bookmarkStart w:id="508" w:name="_Toc29652"/>
      <w:bookmarkStart w:id="509" w:name="_Toc6064"/>
      <w:bookmarkStart w:id="510" w:name="_Toc14557"/>
      <w:bookmarkStart w:id="511" w:name="_Toc17182"/>
      <w:bookmarkStart w:id="512" w:name="_Toc32680"/>
      <w:bookmarkStart w:id="513" w:name="_Toc9947"/>
      <w:bookmarkStart w:id="514" w:name="_Toc11002"/>
      <w:bookmarkStart w:id="515" w:name="_Toc3960"/>
      <w:r>
        <w:rPr>
          <w:rFonts w:hint="eastAsia" w:ascii="仿宋_GB2312" w:hAnsi="仿宋_GB2312" w:eastAsia="方正小标宋_GBK" w:cs="方正小标宋_GBK"/>
          <w:b w:val="0"/>
          <w:bCs/>
          <w:sz w:val="36"/>
          <w:szCs w:val="36"/>
          <w:highlight w:val="none"/>
          <w:u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仿宋_GB2312" w:hAnsi="仿宋_GB2312" w:eastAsia="方正小标宋_GBK" w:cs="方正小标宋_GBK"/>
          <w:b w:val="0"/>
          <w:bCs/>
          <w:sz w:val="36"/>
          <w:szCs w:val="36"/>
          <w:highlight w:val="none"/>
          <w:u w:val="none"/>
          <w:lang w:val="en-US" w:eastAsia="zh-CN"/>
        </w:rPr>
      </w:pPr>
      <w:bookmarkStart w:id="516" w:name="_Toc27546"/>
      <w:bookmarkStart w:id="517" w:name="_Toc22693"/>
      <w:bookmarkStart w:id="518" w:name="_Toc11044"/>
      <w:bookmarkStart w:id="519" w:name="_Toc9985"/>
      <w:bookmarkStart w:id="520" w:name="_Toc21682"/>
      <w:r>
        <w:rPr>
          <w:rFonts w:hint="eastAsia" w:ascii="仿宋_GB2312" w:hAnsi="仿宋_GB2312" w:eastAsia="方正小标宋_GBK" w:cs="方正小标宋_GBK"/>
          <w:b w:val="0"/>
          <w:bCs/>
          <w:sz w:val="36"/>
          <w:szCs w:val="36"/>
          <w:highlight w:val="none"/>
          <w:u w:val="none"/>
          <w:lang w:val="en-US" w:eastAsia="zh-CN"/>
        </w:rPr>
        <w:t>第九章 保障措施</w:t>
      </w:r>
      <w:bookmarkEnd w:id="487"/>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Times New Roman"/>
          <w:sz w:val="32"/>
          <w:szCs w:val="32"/>
          <w:highlight w:val="none"/>
          <w:u w:val="none"/>
          <w:lang w:val="en-US" w:eastAsia="zh-CN"/>
        </w:rPr>
      </w:pPr>
      <w:bookmarkStart w:id="521" w:name="_Toc31954"/>
      <w:bookmarkStart w:id="522" w:name="_Toc25892"/>
      <w:bookmarkStart w:id="523" w:name="_Toc11699"/>
      <w:bookmarkStart w:id="524" w:name="_Toc6314"/>
      <w:bookmarkStart w:id="525" w:name="_Toc13296"/>
      <w:bookmarkStart w:id="526" w:name="_Toc15459"/>
      <w:bookmarkStart w:id="527" w:name="_Toc14903"/>
      <w:bookmarkStart w:id="528" w:name="_Toc6325"/>
      <w:bookmarkStart w:id="529" w:name="_Toc21326"/>
      <w:bookmarkStart w:id="530" w:name="_Toc6498"/>
      <w:bookmarkStart w:id="531" w:name="_Toc19054"/>
      <w:bookmarkStart w:id="532" w:name="_Toc26066"/>
      <w:bookmarkStart w:id="533" w:name="_Toc305"/>
      <w:bookmarkStart w:id="534" w:name="_Toc16240"/>
      <w:bookmarkStart w:id="535" w:name="_Toc1035"/>
      <w:bookmarkStart w:id="536" w:name="_Toc21196"/>
      <w:bookmarkStart w:id="537" w:name="_Toc6862"/>
      <w:r>
        <w:rPr>
          <w:rFonts w:hint="eastAsia" w:ascii="仿宋_GB2312" w:hAnsi="仿宋_GB2312" w:eastAsia="黑体" w:cs="Times New Roman"/>
          <w:sz w:val="32"/>
          <w:szCs w:val="32"/>
          <w:highlight w:val="none"/>
          <w:u w:val="none"/>
          <w:lang w:val="en-US" w:eastAsia="zh-CN"/>
        </w:rPr>
        <w:t>一、</w:t>
      </w:r>
      <w:bookmarkEnd w:id="521"/>
      <w:bookmarkEnd w:id="522"/>
      <w:bookmarkEnd w:id="523"/>
      <w:bookmarkEnd w:id="524"/>
      <w:bookmarkEnd w:id="525"/>
      <w:bookmarkEnd w:id="526"/>
      <w:r>
        <w:rPr>
          <w:rFonts w:hint="eastAsia" w:ascii="仿宋_GB2312" w:hAnsi="仿宋_GB2312" w:eastAsia="黑体" w:cs="Times New Roman"/>
          <w:sz w:val="32"/>
          <w:szCs w:val="32"/>
          <w:highlight w:val="none"/>
          <w:u w:val="none"/>
          <w:lang w:val="en-US" w:eastAsia="zh-CN"/>
        </w:rPr>
        <w:t>强化部门协同联动</w:t>
      </w:r>
      <w:bookmarkEnd w:id="527"/>
      <w:bookmarkEnd w:id="528"/>
      <w:bookmarkEnd w:id="529"/>
      <w:bookmarkEnd w:id="530"/>
      <w:bookmarkEnd w:id="531"/>
      <w:bookmarkEnd w:id="532"/>
      <w:bookmarkEnd w:id="533"/>
      <w:bookmarkEnd w:id="534"/>
      <w:bookmarkEnd w:id="535"/>
      <w:bookmarkEnd w:id="536"/>
      <w:bookmarkEnd w:id="53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kern w:val="0"/>
          <w:sz w:val="32"/>
          <w:szCs w:val="22"/>
          <w:highlight w:val="none"/>
          <w:u w:val="none"/>
          <w:lang w:val="en-US" w:eastAsia="zh-CN" w:bidi="ar-SA"/>
        </w:rPr>
      </w:pPr>
      <w:r>
        <w:rPr>
          <w:rFonts w:hint="eastAsia" w:ascii="仿宋_GB2312" w:hAnsi="仿宋_GB2312" w:eastAsia="仿宋_GB2312" w:cs="Times New Roman"/>
          <w:kern w:val="0"/>
          <w:sz w:val="32"/>
          <w:szCs w:val="22"/>
          <w:highlight w:val="none"/>
          <w:u w:val="none"/>
          <w:lang w:val="en-US" w:eastAsia="zh-CN" w:bidi="ar-SA"/>
        </w:rPr>
        <w:t>明确规划牵头单位和责任主体，推动任务清单化、节点化、责任化管理。加强资源整合与信息共享，形成统筹谋划、分工协作、合力攻坚的工作格局。建立常态化沟通会商和联合督办机制，及时协调解决重大事项和突出问题，确保各项任务落实落细。各相关部门主动担当、密切配合，充分发挥专业优势和职能作用，推动重点工程高效推进、重点任务有力落实，切实保障规划落地见效。</w:t>
      </w:r>
    </w:p>
    <w:p>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Times New Roman"/>
          <w:sz w:val="32"/>
          <w:szCs w:val="32"/>
          <w:highlight w:val="none"/>
          <w:u w:val="none"/>
          <w:lang w:val="en-US" w:eastAsia="zh-CN"/>
        </w:rPr>
      </w:pPr>
      <w:bookmarkStart w:id="538" w:name="_Toc21666"/>
      <w:bookmarkStart w:id="539" w:name="_Toc13600"/>
      <w:bookmarkStart w:id="540" w:name="_Toc19975"/>
      <w:bookmarkStart w:id="541" w:name="_Toc28496"/>
      <w:bookmarkStart w:id="542" w:name="_Toc20934"/>
      <w:bookmarkStart w:id="543" w:name="_Toc30732"/>
      <w:bookmarkStart w:id="544" w:name="_Toc28430"/>
      <w:bookmarkStart w:id="545" w:name="_Toc13330"/>
      <w:bookmarkStart w:id="546" w:name="_Toc34"/>
      <w:bookmarkStart w:id="547" w:name="_Toc11624"/>
      <w:bookmarkStart w:id="548" w:name="_Toc132"/>
      <w:bookmarkStart w:id="549" w:name="_Toc2432"/>
      <w:bookmarkStart w:id="550" w:name="_Toc31673"/>
      <w:bookmarkStart w:id="551" w:name="_Toc15620"/>
      <w:bookmarkStart w:id="552" w:name="_Toc11025"/>
      <w:bookmarkStart w:id="553" w:name="_Toc5709"/>
      <w:bookmarkStart w:id="554" w:name="_Toc22302"/>
      <w:r>
        <w:rPr>
          <w:rFonts w:hint="eastAsia" w:ascii="仿宋_GB2312" w:hAnsi="仿宋_GB2312" w:eastAsia="黑体" w:cs="Times New Roman"/>
          <w:sz w:val="32"/>
          <w:szCs w:val="32"/>
          <w:highlight w:val="none"/>
          <w:u w:val="none"/>
          <w:lang w:val="en-US" w:eastAsia="zh-CN"/>
        </w:rPr>
        <w:t>二、增强多元资金保障</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kern w:val="0"/>
          <w:sz w:val="32"/>
          <w:szCs w:val="22"/>
          <w:highlight w:val="none"/>
          <w:u w:val="none"/>
          <w:lang w:val="en-US" w:eastAsia="zh-CN" w:bidi="ar-SA"/>
        </w:rPr>
      </w:pPr>
      <w:r>
        <w:rPr>
          <w:rFonts w:hint="eastAsia" w:ascii="仿宋_GB2312" w:hAnsi="仿宋_GB2312" w:eastAsia="仿宋_GB2312" w:cs="Times New Roman"/>
          <w:kern w:val="0"/>
          <w:sz w:val="32"/>
          <w:szCs w:val="22"/>
          <w:highlight w:val="none"/>
          <w:u w:val="none"/>
        </w:rPr>
        <w:t>构建</w:t>
      </w:r>
      <w:r>
        <w:rPr>
          <w:rFonts w:hint="eastAsia" w:ascii="仿宋_GB2312" w:hAnsi="仿宋_GB2312" w:eastAsia="仿宋_GB2312" w:cs="Times New Roman"/>
          <w:kern w:val="0"/>
          <w:sz w:val="32"/>
          <w:szCs w:val="22"/>
          <w:highlight w:val="none"/>
          <w:u w:val="none"/>
          <w:lang w:val="en-US" w:eastAsia="zh-CN"/>
        </w:rPr>
        <w:t>多元协同的</w:t>
      </w:r>
      <w:r>
        <w:rPr>
          <w:rFonts w:hint="eastAsia" w:ascii="仿宋_GB2312" w:hAnsi="仿宋_GB2312" w:eastAsia="仿宋_GB2312" w:cs="Times New Roman"/>
          <w:kern w:val="0"/>
          <w:sz w:val="32"/>
          <w:szCs w:val="22"/>
          <w:highlight w:val="none"/>
          <w:u w:val="none"/>
        </w:rPr>
        <w:t>资金保障体系</w:t>
      </w:r>
      <w:r>
        <w:rPr>
          <w:rFonts w:hint="eastAsia" w:ascii="仿宋_GB2312" w:hAnsi="仿宋_GB2312" w:eastAsia="仿宋_GB2312" w:cs="Times New Roman"/>
          <w:kern w:val="0"/>
          <w:sz w:val="32"/>
          <w:szCs w:val="22"/>
          <w:highlight w:val="none"/>
          <w:u w:val="none"/>
          <w:lang w:eastAsia="zh-CN"/>
        </w:rPr>
        <w:t>，</w:t>
      </w:r>
      <w:r>
        <w:rPr>
          <w:rFonts w:hint="eastAsia" w:ascii="仿宋_GB2312" w:hAnsi="仿宋_GB2312" w:eastAsia="仿宋_GB2312" w:cs="Times New Roman"/>
          <w:kern w:val="0"/>
          <w:sz w:val="32"/>
          <w:szCs w:val="22"/>
          <w:highlight w:val="none"/>
          <w:u w:val="none"/>
          <w:lang w:val="en-US" w:eastAsia="zh-CN" w:bidi="ar-SA"/>
        </w:rPr>
        <w:t>坚持政府引导与社会参与相结合，统筹用好政府投入、社会资本、公益资金等多渠道资源，加大对民政、教育、医疗等重点领域的财政支持。鼓励社会组织、民间资本参与公共服务设施建设与运营，推动形成共建共享的投入机制。强化资金使用的全过程监督，推动资金使用规范高效、公开透明。</w:t>
      </w:r>
    </w:p>
    <w:p>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Times New Roman"/>
          <w:sz w:val="32"/>
          <w:szCs w:val="32"/>
          <w:highlight w:val="none"/>
          <w:u w:val="none"/>
          <w:lang w:val="en-US" w:eastAsia="zh-CN"/>
        </w:rPr>
      </w:pPr>
      <w:bookmarkStart w:id="555" w:name="_Toc5501"/>
      <w:bookmarkStart w:id="556" w:name="_Toc22084"/>
      <w:bookmarkStart w:id="557" w:name="_Toc4411"/>
      <w:bookmarkStart w:id="558" w:name="_Toc26896"/>
      <w:bookmarkStart w:id="559" w:name="_Toc29059"/>
      <w:bookmarkStart w:id="560" w:name="_Toc3532"/>
      <w:bookmarkStart w:id="561" w:name="_Toc9465"/>
      <w:bookmarkStart w:id="562" w:name="_Toc1810"/>
      <w:bookmarkStart w:id="563" w:name="_Toc8645"/>
      <w:bookmarkStart w:id="564" w:name="_Toc19930"/>
      <w:bookmarkStart w:id="565" w:name="_Toc29731"/>
      <w:bookmarkStart w:id="566" w:name="_Toc9024"/>
      <w:bookmarkStart w:id="567" w:name="_Toc32083"/>
      <w:bookmarkStart w:id="568" w:name="_Toc5149"/>
      <w:bookmarkStart w:id="569" w:name="_Toc23668"/>
      <w:bookmarkStart w:id="570" w:name="_Toc8571"/>
      <w:bookmarkStart w:id="571" w:name="_Toc18206"/>
      <w:r>
        <w:rPr>
          <w:rFonts w:hint="eastAsia" w:ascii="仿宋_GB2312" w:hAnsi="仿宋_GB2312" w:eastAsia="黑体" w:cs="Times New Roman"/>
          <w:sz w:val="32"/>
          <w:szCs w:val="32"/>
          <w:highlight w:val="none"/>
          <w:u w:val="none"/>
          <w:lang w:val="en-US" w:eastAsia="zh-CN"/>
        </w:rPr>
        <w:t>三、加强专业队伍建设</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kern w:val="0"/>
          <w:sz w:val="32"/>
          <w:szCs w:val="22"/>
          <w:highlight w:val="none"/>
          <w:u w:val="none"/>
          <w:lang w:val="en-US" w:eastAsia="zh-CN" w:bidi="ar-SA"/>
        </w:rPr>
      </w:pPr>
      <w:r>
        <w:rPr>
          <w:rFonts w:hint="eastAsia" w:ascii="仿宋_GB2312" w:hAnsi="仿宋_GB2312" w:eastAsia="仿宋_GB2312" w:cs="Times New Roman"/>
          <w:kern w:val="0"/>
          <w:sz w:val="32"/>
          <w:szCs w:val="22"/>
          <w:highlight w:val="none"/>
          <w:u w:val="none"/>
          <w:lang w:val="en-US" w:eastAsia="zh-CN" w:bidi="ar-SA"/>
        </w:rPr>
        <w:t>聚焦重点公共服务领域，系统加强人才队伍建设，为实现服务体系高质量发展提供坚强支撑。吸引高层次、专业化、复合型人才，加强与高校、科研院所及行业组织的合作，提升本地人才供给能力。聚焦基层一线，注重社会工作者、社区服务人员、志愿服务人员等队伍建设，完善职业技能培训体系和岗位晋升通道，提升其专业能力和服务水平。建立健全人才激励与保障机制，探索岗位津贴、专项补助、事业发展激励等方式，增强岗位吸引力与人员稳定性。</w:t>
      </w:r>
    </w:p>
    <w:p>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黑体" w:cs="Times New Roman"/>
          <w:sz w:val="32"/>
          <w:szCs w:val="32"/>
          <w:highlight w:val="none"/>
          <w:u w:val="none"/>
          <w:lang w:val="en-US" w:eastAsia="zh-CN"/>
        </w:rPr>
      </w:pPr>
      <w:bookmarkStart w:id="572" w:name="_Toc18390"/>
      <w:bookmarkStart w:id="573" w:name="_Toc27403"/>
      <w:bookmarkStart w:id="574" w:name="_Toc21124"/>
      <w:bookmarkStart w:id="575" w:name="_Toc29187"/>
      <w:bookmarkStart w:id="576" w:name="_Toc9853"/>
      <w:bookmarkStart w:id="577" w:name="_Toc9116"/>
      <w:bookmarkStart w:id="578" w:name="_Toc32754"/>
      <w:bookmarkStart w:id="579" w:name="_Toc29023"/>
      <w:bookmarkStart w:id="580" w:name="_Toc22186"/>
      <w:bookmarkStart w:id="581" w:name="_Toc20904"/>
      <w:bookmarkStart w:id="582" w:name="_Toc4372"/>
      <w:bookmarkStart w:id="583" w:name="_Toc4534"/>
      <w:bookmarkStart w:id="584" w:name="_Toc21491"/>
      <w:bookmarkStart w:id="585" w:name="_Toc19769"/>
      <w:bookmarkStart w:id="586" w:name="_Toc11792"/>
      <w:bookmarkStart w:id="587" w:name="_Toc1195"/>
      <w:bookmarkStart w:id="588" w:name="_Toc13865"/>
      <w:r>
        <w:rPr>
          <w:rFonts w:hint="eastAsia" w:ascii="仿宋_GB2312" w:hAnsi="仿宋_GB2312" w:eastAsia="黑体" w:cs="Times New Roman"/>
          <w:sz w:val="32"/>
          <w:szCs w:val="32"/>
          <w:highlight w:val="none"/>
          <w:u w:val="none"/>
          <w:lang w:val="en-US" w:eastAsia="zh-CN"/>
        </w:rPr>
        <w:t>四、落实规划监督评估</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27"/>
        <w:spacing w:line="560" w:lineRule="exact"/>
        <w:ind w:firstLine="640" w:firstLineChars="200"/>
        <w:rPr>
          <w:rFonts w:hint="eastAsia" w:ascii="仿宋_GB2312" w:hAnsi="仿宋_GB2312" w:eastAsia="仿宋_GB2312" w:cs="Times New Roman"/>
          <w:kern w:val="0"/>
          <w:sz w:val="32"/>
          <w:szCs w:val="22"/>
          <w:highlight w:val="none"/>
          <w:u w:val="none"/>
          <w:lang w:val="en-US" w:eastAsia="zh-CN" w:bidi="ar-SA"/>
        </w:rPr>
      </w:pPr>
      <w:r>
        <w:rPr>
          <w:rFonts w:hint="eastAsia" w:ascii="仿宋_GB2312" w:hAnsi="仿宋_GB2312" w:eastAsia="仿宋_GB2312" w:cs="Times New Roman"/>
          <w:kern w:val="0"/>
          <w:sz w:val="32"/>
          <w:szCs w:val="22"/>
          <w:highlight w:val="none"/>
          <w:u w:val="none"/>
          <w:lang w:val="en-US" w:eastAsia="zh-CN" w:bidi="ar-SA"/>
        </w:rPr>
        <w:t>坚持目标导向和问题导向相结合，全面强化公共服务规划的责任落实与评估监督，推动各项任务落实落细。健全责任分解机制，明确相关单位责任分工，做到事有专人管、责有专人担。强化规划实施的监督评估机制，定期对规划实施情况进行跟踪评估，确保规划目标按时完成。</w:t>
      </w:r>
    </w:p>
    <w:sectPr>
      <w:footerReference r:id="rId5"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431"/>
    <w:rsid w:val="0003766B"/>
    <w:rsid w:val="00037A66"/>
    <w:rsid w:val="00047431"/>
    <w:rsid w:val="004A6ECA"/>
    <w:rsid w:val="005F65CD"/>
    <w:rsid w:val="00641E35"/>
    <w:rsid w:val="00646E32"/>
    <w:rsid w:val="00B71F65"/>
    <w:rsid w:val="01017684"/>
    <w:rsid w:val="01034D11"/>
    <w:rsid w:val="011B2CE3"/>
    <w:rsid w:val="0127533C"/>
    <w:rsid w:val="012C34E4"/>
    <w:rsid w:val="012E2663"/>
    <w:rsid w:val="01317F69"/>
    <w:rsid w:val="01514167"/>
    <w:rsid w:val="016C71F3"/>
    <w:rsid w:val="0183453D"/>
    <w:rsid w:val="01A85D51"/>
    <w:rsid w:val="01B15496"/>
    <w:rsid w:val="01D07F09"/>
    <w:rsid w:val="01D32DCE"/>
    <w:rsid w:val="01FA65AD"/>
    <w:rsid w:val="01FB40D3"/>
    <w:rsid w:val="022056C6"/>
    <w:rsid w:val="02335DA9"/>
    <w:rsid w:val="024E26F8"/>
    <w:rsid w:val="025E5994"/>
    <w:rsid w:val="028C1608"/>
    <w:rsid w:val="029F2C26"/>
    <w:rsid w:val="02CB619B"/>
    <w:rsid w:val="02F23728"/>
    <w:rsid w:val="02F73FEC"/>
    <w:rsid w:val="03253AFD"/>
    <w:rsid w:val="034A3564"/>
    <w:rsid w:val="03A55365"/>
    <w:rsid w:val="03B46B6D"/>
    <w:rsid w:val="03B92296"/>
    <w:rsid w:val="03E2379C"/>
    <w:rsid w:val="03E756CF"/>
    <w:rsid w:val="0409453B"/>
    <w:rsid w:val="04185410"/>
    <w:rsid w:val="041F1C4D"/>
    <w:rsid w:val="04477AA3"/>
    <w:rsid w:val="046A31A1"/>
    <w:rsid w:val="0487290C"/>
    <w:rsid w:val="049C63CB"/>
    <w:rsid w:val="04FF0DA5"/>
    <w:rsid w:val="05096B07"/>
    <w:rsid w:val="052C1CF6"/>
    <w:rsid w:val="05573D16"/>
    <w:rsid w:val="056106F1"/>
    <w:rsid w:val="059D3E1F"/>
    <w:rsid w:val="05B46665"/>
    <w:rsid w:val="05B9052D"/>
    <w:rsid w:val="05FB6D97"/>
    <w:rsid w:val="065E2E82"/>
    <w:rsid w:val="06BE5E9C"/>
    <w:rsid w:val="06BF37AD"/>
    <w:rsid w:val="07034156"/>
    <w:rsid w:val="07292EE8"/>
    <w:rsid w:val="073C7668"/>
    <w:rsid w:val="074520E6"/>
    <w:rsid w:val="078057A6"/>
    <w:rsid w:val="07BA1387"/>
    <w:rsid w:val="07E45CCB"/>
    <w:rsid w:val="07E61381"/>
    <w:rsid w:val="08031362"/>
    <w:rsid w:val="080A0B4A"/>
    <w:rsid w:val="08202038"/>
    <w:rsid w:val="086A5B0F"/>
    <w:rsid w:val="0874698D"/>
    <w:rsid w:val="087A0447"/>
    <w:rsid w:val="087E7153"/>
    <w:rsid w:val="08971DC4"/>
    <w:rsid w:val="089A2898"/>
    <w:rsid w:val="08BA49DD"/>
    <w:rsid w:val="08D515B3"/>
    <w:rsid w:val="08EE04EE"/>
    <w:rsid w:val="08EF7504"/>
    <w:rsid w:val="08FD1286"/>
    <w:rsid w:val="0904341E"/>
    <w:rsid w:val="091837BC"/>
    <w:rsid w:val="091F73DA"/>
    <w:rsid w:val="09B832EB"/>
    <w:rsid w:val="09C000DC"/>
    <w:rsid w:val="0A014251"/>
    <w:rsid w:val="0A051F93"/>
    <w:rsid w:val="0A1246B0"/>
    <w:rsid w:val="0A2C0C06"/>
    <w:rsid w:val="0A522CFE"/>
    <w:rsid w:val="0A6D1106"/>
    <w:rsid w:val="0A7823B4"/>
    <w:rsid w:val="0ACF625E"/>
    <w:rsid w:val="0AF12517"/>
    <w:rsid w:val="0AF618DB"/>
    <w:rsid w:val="0B001C4F"/>
    <w:rsid w:val="0B0E2C09"/>
    <w:rsid w:val="0B70479C"/>
    <w:rsid w:val="0B72161B"/>
    <w:rsid w:val="0B753148"/>
    <w:rsid w:val="0B7E3319"/>
    <w:rsid w:val="0BD22349"/>
    <w:rsid w:val="0BFA53FB"/>
    <w:rsid w:val="0BFB189F"/>
    <w:rsid w:val="0C207FF5"/>
    <w:rsid w:val="0C2172A1"/>
    <w:rsid w:val="0C2D34BE"/>
    <w:rsid w:val="0C313C9E"/>
    <w:rsid w:val="0C38149C"/>
    <w:rsid w:val="0C4A01D3"/>
    <w:rsid w:val="0C5723A3"/>
    <w:rsid w:val="0C6A07D3"/>
    <w:rsid w:val="0C6B5969"/>
    <w:rsid w:val="0C802B98"/>
    <w:rsid w:val="0CA904F7"/>
    <w:rsid w:val="0CF4396E"/>
    <w:rsid w:val="0D0A78C0"/>
    <w:rsid w:val="0D0F2FB9"/>
    <w:rsid w:val="0D2766C4"/>
    <w:rsid w:val="0D2B61B4"/>
    <w:rsid w:val="0D5079C9"/>
    <w:rsid w:val="0D58062B"/>
    <w:rsid w:val="0D8A3FB9"/>
    <w:rsid w:val="0D9138C7"/>
    <w:rsid w:val="0D95362E"/>
    <w:rsid w:val="0DBF06AB"/>
    <w:rsid w:val="0DD405FA"/>
    <w:rsid w:val="0DD51C7C"/>
    <w:rsid w:val="0DDF6F9F"/>
    <w:rsid w:val="0DF46AF0"/>
    <w:rsid w:val="0E1409F6"/>
    <w:rsid w:val="0E2963A3"/>
    <w:rsid w:val="0E4F1A2E"/>
    <w:rsid w:val="0E5661DD"/>
    <w:rsid w:val="0E883192"/>
    <w:rsid w:val="0E8A22DC"/>
    <w:rsid w:val="0EB36461"/>
    <w:rsid w:val="0EC20452"/>
    <w:rsid w:val="0EF77F59"/>
    <w:rsid w:val="0F2A424A"/>
    <w:rsid w:val="0F3F4769"/>
    <w:rsid w:val="0F41377C"/>
    <w:rsid w:val="0F42261A"/>
    <w:rsid w:val="0F82240D"/>
    <w:rsid w:val="0F87344A"/>
    <w:rsid w:val="0F8B2F3A"/>
    <w:rsid w:val="0F956285"/>
    <w:rsid w:val="0FB97617"/>
    <w:rsid w:val="0FC30926"/>
    <w:rsid w:val="0FCB3337"/>
    <w:rsid w:val="101822F4"/>
    <w:rsid w:val="1020654F"/>
    <w:rsid w:val="103100DF"/>
    <w:rsid w:val="103662F2"/>
    <w:rsid w:val="103C0AD3"/>
    <w:rsid w:val="10581BF8"/>
    <w:rsid w:val="107C6D27"/>
    <w:rsid w:val="107F4121"/>
    <w:rsid w:val="108F1777"/>
    <w:rsid w:val="109021CB"/>
    <w:rsid w:val="10916444"/>
    <w:rsid w:val="10B0672E"/>
    <w:rsid w:val="10CB5C11"/>
    <w:rsid w:val="111807FE"/>
    <w:rsid w:val="1119446F"/>
    <w:rsid w:val="111F09D1"/>
    <w:rsid w:val="112E6112"/>
    <w:rsid w:val="11474013"/>
    <w:rsid w:val="1154735C"/>
    <w:rsid w:val="115945E2"/>
    <w:rsid w:val="11684622"/>
    <w:rsid w:val="116900CC"/>
    <w:rsid w:val="117119B5"/>
    <w:rsid w:val="11717F0E"/>
    <w:rsid w:val="1173012A"/>
    <w:rsid w:val="117B6FDE"/>
    <w:rsid w:val="11A622AD"/>
    <w:rsid w:val="11DB38F7"/>
    <w:rsid w:val="11E672BC"/>
    <w:rsid w:val="121B64E9"/>
    <w:rsid w:val="12211934"/>
    <w:rsid w:val="12437AFC"/>
    <w:rsid w:val="12465D42"/>
    <w:rsid w:val="12686624"/>
    <w:rsid w:val="126B0E01"/>
    <w:rsid w:val="129C6053"/>
    <w:rsid w:val="12A311CA"/>
    <w:rsid w:val="12AC07D3"/>
    <w:rsid w:val="12C0739F"/>
    <w:rsid w:val="12C17D51"/>
    <w:rsid w:val="130F79DE"/>
    <w:rsid w:val="133E2072"/>
    <w:rsid w:val="13515442"/>
    <w:rsid w:val="1356560D"/>
    <w:rsid w:val="138C7281"/>
    <w:rsid w:val="1392544B"/>
    <w:rsid w:val="13A2231E"/>
    <w:rsid w:val="13C702B9"/>
    <w:rsid w:val="13CB5FFB"/>
    <w:rsid w:val="13D053C0"/>
    <w:rsid w:val="141644F3"/>
    <w:rsid w:val="14206D94"/>
    <w:rsid w:val="142B0848"/>
    <w:rsid w:val="14403A45"/>
    <w:rsid w:val="144F506A"/>
    <w:rsid w:val="146143A3"/>
    <w:rsid w:val="14931327"/>
    <w:rsid w:val="14AA20B4"/>
    <w:rsid w:val="14BF0741"/>
    <w:rsid w:val="14C10E56"/>
    <w:rsid w:val="14E82BDD"/>
    <w:rsid w:val="153746E2"/>
    <w:rsid w:val="15406575"/>
    <w:rsid w:val="15436065"/>
    <w:rsid w:val="15445631"/>
    <w:rsid w:val="15595889"/>
    <w:rsid w:val="15A84FF5"/>
    <w:rsid w:val="15C30A2E"/>
    <w:rsid w:val="15D01F08"/>
    <w:rsid w:val="15D60C87"/>
    <w:rsid w:val="15FA2BC8"/>
    <w:rsid w:val="15FC5822"/>
    <w:rsid w:val="1664374B"/>
    <w:rsid w:val="167C538B"/>
    <w:rsid w:val="169A3A63"/>
    <w:rsid w:val="16AE5CA5"/>
    <w:rsid w:val="16DF3136"/>
    <w:rsid w:val="16E6314C"/>
    <w:rsid w:val="16F5404D"/>
    <w:rsid w:val="16F92E7F"/>
    <w:rsid w:val="16FC296F"/>
    <w:rsid w:val="17016C9D"/>
    <w:rsid w:val="170D348E"/>
    <w:rsid w:val="17481711"/>
    <w:rsid w:val="174B296C"/>
    <w:rsid w:val="176D1177"/>
    <w:rsid w:val="17740758"/>
    <w:rsid w:val="177C1EDF"/>
    <w:rsid w:val="17836BED"/>
    <w:rsid w:val="17AE5E6A"/>
    <w:rsid w:val="17C36FE9"/>
    <w:rsid w:val="17DA1F69"/>
    <w:rsid w:val="17F3FBF8"/>
    <w:rsid w:val="17F90C5D"/>
    <w:rsid w:val="18113453"/>
    <w:rsid w:val="181E2472"/>
    <w:rsid w:val="183103F7"/>
    <w:rsid w:val="18AA4E8B"/>
    <w:rsid w:val="18BC4D79"/>
    <w:rsid w:val="18DF60A5"/>
    <w:rsid w:val="19095C10"/>
    <w:rsid w:val="1917583F"/>
    <w:rsid w:val="1922346A"/>
    <w:rsid w:val="192835A8"/>
    <w:rsid w:val="192B12EA"/>
    <w:rsid w:val="19302240"/>
    <w:rsid w:val="19375EE1"/>
    <w:rsid w:val="19560314"/>
    <w:rsid w:val="195A44F9"/>
    <w:rsid w:val="19651927"/>
    <w:rsid w:val="199F52D0"/>
    <w:rsid w:val="19BE3F0C"/>
    <w:rsid w:val="19CA28B1"/>
    <w:rsid w:val="19D368EA"/>
    <w:rsid w:val="19FC4BA4"/>
    <w:rsid w:val="1A025A73"/>
    <w:rsid w:val="1A167E68"/>
    <w:rsid w:val="1A1F2BFD"/>
    <w:rsid w:val="1A2A3350"/>
    <w:rsid w:val="1A3122D7"/>
    <w:rsid w:val="1A347CEF"/>
    <w:rsid w:val="1A824F3A"/>
    <w:rsid w:val="1A974E89"/>
    <w:rsid w:val="1A9D1D74"/>
    <w:rsid w:val="1AAB623F"/>
    <w:rsid w:val="1AAF4E7F"/>
    <w:rsid w:val="1AC6751C"/>
    <w:rsid w:val="1AE02C21"/>
    <w:rsid w:val="1AE9320B"/>
    <w:rsid w:val="1B146D08"/>
    <w:rsid w:val="1B2D30F7"/>
    <w:rsid w:val="1B79633D"/>
    <w:rsid w:val="1B7E020B"/>
    <w:rsid w:val="1B846B7E"/>
    <w:rsid w:val="1B8D1DE8"/>
    <w:rsid w:val="1B9C368B"/>
    <w:rsid w:val="1BA62EAA"/>
    <w:rsid w:val="1BCC4FBB"/>
    <w:rsid w:val="1BD85BAB"/>
    <w:rsid w:val="1C123CDD"/>
    <w:rsid w:val="1C1D4F53"/>
    <w:rsid w:val="1C2051EE"/>
    <w:rsid w:val="1C324BFA"/>
    <w:rsid w:val="1C373C94"/>
    <w:rsid w:val="1C3A11BE"/>
    <w:rsid w:val="1C414F39"/>
    <w:rsid w:val="1C454471"/>
    <w:rsid w:val="1C4921B3"/>
    <w:rsid w:val="1C4A5F2B"/>
    <w:rsid w:val="1C632B49"/>
    <w:rsid w:val="1C7345A3"/>
    <w:rsid w:val="1C766D20"/>
    <w:rsid w:val="1C8F393E"/>
    <w:rsid w:val="1CA74329"/>
    <w:rsid w:val="1CB533A4"/>
    <w:rsid w:val="1CB55591"/>
    <w:rsid w:val="1CBB1918"/>
    <w:rsid w:val="1CC96E50"/>
    <w:rsid w:val="1CDD28FB"/>
    <w:rsid w:val="1CE819CC"/>
    <w:rsid w:val="1D305D42"/>
    <w:rsid w:val="1D3430A9"/>
    <w:rsid w:val="1D365C31"/>
    <w:rsid w:val="1D4A25BC"/>
    <w:rsid w:val="1D4D5CD3"/>
    <w:rsid w:val="1D534B47"/>
    <w:rsid w:val="1D60390A"/>
    <w:rsid w:val="1D6372A4"/>
    <w:rsid w:val="1D660B43"/>
    <w:rsid w:val="1D7940CD"/>
    <w:rsid w:val="1D7B69B9"/>
    <w:rsid w:val="1DA13BC6"/>
    <w:rsid w:val="1DD15364"/>
    <w:rsid w:val="1DE30541"/>
    <w:rsid w:val="1DFF0FD8"/>
    <w:rsid w:val="1E004AF3"/>
    <w:rsid w:val="1E4F15D7"/>
    <w:rsid w:val="1E565C05"/>
    <w:rsid w:val="1E5E1354"/>
    <w:rsid w:val="1E6C3F37"/>
    <w:rsid w:val="1E803A9B"/>
    <w:rsid w:val="1E8F5E77"/>
    <w:rsid w:val="1EAB4182"/>
    <w:rsid w:val="1EBF0354"/>
    <w:rsid w:val="1EC12A1A"/>
    <w:rsid w:val="1EC65D3D"/>
    <w:rsid w:val="1EE61F3B"/>
    <w:rsid w:val="1EF65EF6"/>
    <w:rsid w:val="1EFFBA45"/>
    <w:rsid w:val="1F071756"/>
    <w:rsid w:val="1F0C571A"/>
    <w:rsid w:val="1F4E0BF8"/>
    <w:rsid w:val="1F8F4381"/>
    <w:rsid w:val="1F903B2D"/>
    <w:rsid w:val="1FB75D16"/>
    <w:rsid w:val="1FC61D6D"/>
    <w:rsid w:val="1FC63B1B"/>
    <w:rsid w:val="1FD51B36"/>
    <w:rsid w:val="1FEC7F5C"/>
    <w:rsid w:val="1FF468DA"/>
    <w:rsid w:val="1FF670DF"/>
    <w:rsid w:val="1FF7CE4D"/>
    <w:rsid w:val="201605FE"/>
    <w:rsid w:val="202658E7"/>
    <w:rsid w:val="203B0065"/>
    <w:rsid w:val="206F7D0E"/>
    <w:rsid w:val="209916F9"/>
    <w:rsid w:val="20DC5E78"/>
    <w:rsid w:val="20DE3A7A"/>
    <w:rsid w:val="20E17D16"/>
    <w:rsid w:val="20E940DB"/>
    <w:rsid w:val="20FB7FAA"/>
    <w:rsid w:val="2102791E"/>
    <w:rsid w:val="210D3C3C"/>
    <w:rsid w:val="211712A5"/>
    <w:rsid w:val="211C7E96"/>
    <w:rsid w:val="212E5E1B"/>
    <w:rsid w:val="2143386B"/>
    <w:rsid w:val="215A6C10"/>
    <w:rsid w:val="21727874"/>
    <w:rsid w:val="21993E90"/>
    <w:rsid w:val="219B703A"/>
    <w:rsid w:val="21A734D8"/>
    <w:rsid w:val="21B55D30"/>
    <w:rsid w:val="21BE0F4D"/>
    <w:rsid w:val="21C2223D"/>
    <w:rsid w:val="21CF3DA1"/>
    <w:rsid w:val="21E06620"/>
    <w:rsid w:val="21E604A4"/>
    <w:rsid w:val="21E63DAC"/>
    <w:rsid w:val="22131D8B"/>
    <w:rsid w:val="222A213F"/>
    <w:rsid w:val="22446344"/>
    <w:rsid w:val="2254613F"/>
    <w:rsid w:val="22597044"/>
    <w:rsid w:val="227B55C4"/>
    <w:rsid w:val="2298179E"/>
    <w:rsid w:val="22A44678"/>
    <w:rsid w:val="22AF02FD"/>
    <w:rsid w:val="22C97BAA"/>
    <w:rsid w:val="22E12582"/>
    <w:rsid w:val="22E530D8"/>
    <w:rsid w:val="230E17C3"/>
    <w:rsid w:val="231D7EF5"/>
    <w:rsid w:val="233200D8"/>
    <w:rsid w:val="23337719"/>
    <w:rsid w:val="23447230"/>
    <w:rsid w:val="23452FA8"/>
    <w:rsid w:val="234D7183"/>
    <w:rsid w:val="236549DF"/>
    <w:rsid w:val="2398195C"/>
    <w:rsid w:val="239D7E68"/>
    <w:rsid w:val="23A351B6"/>
    <w:rsid w:val="23A61A23"/>
    <w:rsid w:val="23D06D16"/>
    <w:rsid w:val="23DC390D"/>
    <w:rsid w:val="24064BC6"/>
    <w:rsid w:val="241018DF"/>
    <w:rsid w:val="241B3D4C"/>
    <w:rsid w:val="241D2969"/>
    <w:rsid w:val="24533C27"/>
    <w:rsid w:val="246372F7"/>
    <w:rsid w:val="248A3369"/>
    <w:rsid w:val="24A24B56"/>
    <w:rsid w:val="24A54EC4"/>
    <w:rsid w:val="24B16B47"/>
    <w:rsid w:val="24B23DF4"/>
    <w:rsid w:val="24CA5E5B"/>
    <w:rsid w:val="250E2348"/>
    <w:rsid w:val="250F1AC0"/>
    <w:rsid w:val="253A708E"/>
    <w:rsid w:val="254F10C5"/>
    <w:rsid w:val="2572277A"/>
    <w:rsid w:val="25790E5B"/>
    <w:rsid w:val="25826C53"/>
    <w:rsid w:val="25DF5936"/>
    <w:rsid w:val="25F55E96"/>
    <w:rsid w:val="25F60649"/>
    <w:rsid w:val="26123B3D"/>
    <w:rsid w:val="261A071C"/>
    <w:rsid w:val="26485289"/>
    <w:rsid w:val="266257DC"/>
    <w:rsid w:val="267973E3"/>
    <w:rsid w:val="268C0024"/>
    <w:rsid w:val="269A360B"/>
    <w:rsid w:val="26A71E3B"/>
    <w:rsid w:val="26E25B54"/>
    <w:rsid w:val="26E8081A"/>
    <w:rsid w:val="26EC030B"/>
    <w:rsid w:val="27537CA2"/>
    <w:rsid w:val="27765E26"/>
    <w:rsid w:val="277C7366"/>
    <w:rsid w:val="279B57E2"/>
    <w:rsid w:val="27D55CE6"/>
    <w:rsid w:val="27E15995"/>
    <w:rsid w:val="281E78B9"/>
    <w:rsid w:val="282E6701"/>
    <w:rsid w:val="28323817"/>
    <w:rsid w:val="28333D17"/>
    <w:rsid w:val="28506677"/>
    <w:rsid w:val="28A864B3"/>
    <w:rsid w:val="28BC1F5F"/>
    <w:rsid w:val="28C826B1"/>
    <w:rsid w:val="28CA467C"/>
    <w:rsid w:val="28F72945"/>
    <w:rsid w:val="294C5091"/>
    <w:rsid w:val="29772E93"/>
    <w:rsid w:val="29933A24"/>
    <w:rsid w:val="299946CD"/>
    <w:rsid w:val="29B75C37"/>
    <w:rsid w:val="29C41A41"/>
    <w:rsid w:val="29CA4207"/>
    <w:rsid w:val="29D357B2"/>
    <w:rsid w:val="29F06CE1"/>
    <w:rsid w:val="2A2474D0"/>
    <w:rsid w:val="2A2C74BF"/>
    <w:rsid w:val="2A30050E"/>
    <w:rsid w:val="2A3E70CF"/>
    <w:rsid w:val="2A5C7555"/>
    <w:rsid w:val="2A663AD6"/>
    <w:rsid w:val="2A9E7B6E"/>
    <w:rsid w:val="2AC3095E"/>
    <w:rsid w:val="2ACB636B"/>
    <w:rsid w:val="2AEF03C9"/>
    <w:rsid w:val="2B031C30"/>
    <w:rsid w:val="2B0C0F7B"/>
    <w:rsid w:val="2B195446"/>
    <w:rsid w:val="2B3E4EAD"/>
    <w:rsid w:val="2B470C7D"/>
    <w:rsid w:val="2B4D0D75"/>
    <w:rsid w:val="2B550634"/>
    <w:rsid w:val="2B577D1D"/>
    <w:rsid w:val="2B5F7D93"/>
    <w:rsid w:val="2B6A3EF4"/>
    <w:rsid w:val="2B730F7E"/>
    <w:rsid w:val="2B800659"/>
    <w:rsid w:val="2BA47406"/>
    <w:rsid w:val="2BB60EE7"/>
    <w:rsid w:val="2BD2730B"/>
    <w:rsid w:val="2BD414DD"/>
    <w:rsid w:val="2BD61823"/>
    <w:rsid w:val="2BED6A56"/>
    <w:rsid w:val="2C043A01"/>
    <w:rsid w:val="2C950AFD"/>
    <w:rsid w:val="2C9F30BC"/>
    <w:rsid w:val="2CB371D5"/>
    <w:rsid w:val="2CBC0CB9"/>
    <w:rsid w:val="2CE850D0"/>
    <w:rsid w:val="2D095047"/>
    <w:rsid w:val="2D0A7F39"/>
    <w:rsid w:val="2D0D0FDB"/>
    <w:rsid w:val="2D235BE0"/>
    <w:rsid w:val="2D3B5C0F"/>
    <w:rsid w:val="2D4242EB"/>
    <w:rsid w:val="2D432666"/>
    <w:rsid w:val="2D4D13D7"/>
    <w:rsid w:val="2D517DE8"/>
    <w:rsid w:val="2D7B7CF2"/>
    <w:rsid w:val="2D80355B"/>
    <w:rsid w:val="2D8F5E37"/>
    <w:rsid w:val="2D960FD0"/>
    <w:rsid w:val="2D9B0395"/>
    <w:rsid w:val="2DE17EE4"/>
    <w:rsid w:val="2DEE2DDA"/>
    <w:rsid w:val="2E187C37"/>
    <w:rsid w:val="2E3F3416"/>
    <w:rsid w:val="2E3F4BE7"/>
    <w:rsid w:val="2E454CF5"/>
    <w:rsid w:val="2E4C739F"/>
    <w:rsid w:val="2E627104"/>
    <w:rsid w:val="2E747DC3"/>
    <w:rsid w:val="2E7C4194"/>
    <w:rsid w:val="2E7F52C5"/>
    <w:rsid w:val="2E955FE5"/>
    <w:rsid w:val="2EA44EEE"/>
    <w:rsid w:val="2EC40E47"/>
    <w:rsid w:val="2EED4C20"/>
    <w:rsid w:val="2F126434"/>
    <w:rsid w:val="2F1C72B3"/>
    <w:rsid w:val="2F3740ED"/>
    <w:rsid w:val="2F5A7DDB"/>
    <w:rsid w:val="2F5D98FF"/>
    <w:rsid w:val="2F6B1FE9"/>
    <w:rsid w:val="2F7B222C"/>
    <w:rsid w:val="2F8512FC"/>
    <w:rsid w:val="2F976CB9"/>
    <w:rsid w:val="2F98299C"/>
    <w:rsid w:val="2FB055B7"/>
    <w:rsid w:val="2FBA4017"/>
    <w:rsid w:val="2FD84678"/>
    <w:rsid w:val="2FF43D8C"/>
    <w:rsid w:val="2FFE638B"/>
    <w:rsid w:val="30024AC9"/>
    <w:rsid w:val="3010608B"/>
    <w:rsid w:val="303B2C65"/>
    <w:rsid w:val="304E7940"/>
    <w:rsid w:val="306B04F2"/>
    <w:rsid w:val="30770F4F"/>
    <w:rsid w:val="3091223A"/>
    <w:rsid w:val="30A752A2"/>
    <w:rsid w:val="30EE3890"/>
    <w:rsid w:val="30FD4EC2"/>
    <w:rsid w:val="3115045E"/>
    <w:rsid w:val="312863E3"/>
    <w:rsid w:val="313034EA"/>
    <w:rsid w:val="314372D3"/>
    <w:rsid w:val="316A07AA"/>
    <w:rsid w:val="31834069"/>
    <w:rsid w:val="319F1784"/>
    <w:rsid w:val="31C64860"/>
    <w:rsid w:val="31C732AF"/>
    <w:rsid w:val="31C97D0D"/>
    <w:rsid w:val="32021D4D"/>
    <w:rsid w:val="321E3BC0"/>
    <w:rsid w:val="324937F8"/>
    <w:rsid w:val="32700042"/>
    <w:rsid w:val="328F173A"/>
    <w:rsid w:val="329F0927"/>
    <w:rsid w:val="32B12408"/>
    <w:rsid w:val="32B52CFE"/>
    <w:rsid w:val="33342353"/>
    <w:rsid w:val="33466FF4"/>
    <w:rsid w:val="334703EE"/>
    <w:rsid w:val="334873B2"/>
    <w:rsid w:val="335952EB"/>
    <w:rsid w:val="335A2AA0"/>
    <w:rsid w:val="33727DEA"/>
    <w:rsid w:val="337371FA"/>
    <w:rsid w:val="33743B62"/>
    <w:rsid w:val="33784CD4"/>
    <w:rsid w:val="337C345E"/>
    <w:rsid w:val="33843679"/>
    <w:rsid w:val="338D6821"/>
    <w:rsid w:val="33947D60"/>
    <w:rsid w:val="33B568FC"/>
    <w:rsid w:val="33CF0D98"/>
    <w:rsid w:val="33D42D69"/>
    <w:rsid w:val="33D70D39"/>
    <w:rsid w:val="33DF6B01"/>
    <w:rsid w:val="33E16D1D"/>
    <w:rsid w:val="33E41473"/>
    <w:rsid w:val="33FF5023"/>
    <w:rsid w:val="34190265"/>
    <w:rsid w:val="342914CC"/>
    <w:rsid w:val="342D3D10"/>
    <w:rsid w:val="342E07E1"/>
    <w:rsid w:val="34341731"/>
    <w:rsid w:val="34441786"/>
    <w:rsid w:val="346F4329"/>
    <w:rsid w:val="34A22009"/>
    <w:rsid w:val="34C60443"/>
    <w:rsid w:val="34D81ECE"/>
    <w:rsid w:val="34E20B59"/>
    <w:rsid w:val="34E73EBF"/>
    <w:rsid w:val="34E7631A"/>
    <w:rsid w:val="34EB7ECE"/>
    <w:rsid w:val="34F767F8"/>
    <w:rsid w:val="355256DD"/>
    <w:rsid w:val="35694DCF"/>
    <w:rsid w:val="358949DD"/>
    <w:rsid w:val="35AA4BE4"/>
    <w:rsid w:val="360949B7"/>
    <w:rsid w:val="36107446"/>
    <w:rsid w:val="361138EA"/>
    <w:rsid w:val="361A2F71"/>
    <w:rsid w:val="3666372F"/>
    <w:rsid w:val="366835A4"/>
    <w:rsid w:val="36AF3103"/>
    <w:rsid w:val="36BB21EC"/>
    <w:rsid w:val="36DA6243"/>
    <w:rsid w:val="36EB413B"/>
    <w:rsid w:val="36EB4A04"/>
    <w:rsid w:val="36FD3E6E"/>
    <w:rsid w:val="36FDD1F1"/>
    <w:rsid w:val="37073F71"/>
    <w:rsid w:val="37305FF2"/>
    <w:rsid w:val="375A12C0"/>
    <w:rsid w:val="377F27DA"/>
    <w:rsid w:val="377F45D3"/>
    <w:rsid w:val="378400EB"/>
    <w:rsid w:val="378F0B09"/>
    <w:rsid w:val="37906A90"/>
    <w:rsid w:val="37971BCD"/>
    <w:rsid w:val="37CA31E3"/>
    <w:rsid w:val="37E21B3A"/>
    <w:rsid w:val="37FF0F39"/>
    <w:rsid w:val="38044B88"/>
    <w:rsid w:val="380B4369"/>
    <w:rsid w:val="380C5081"/>
    <w:rsid w:val="382F62A9"/>
    <w:rsid w:val="384E52B3"/>
    <w:rsid w:val="386F66A6"/>
    <w:rsid w:val="38757E6C"/>
    <w:rsid w:val="38B62526"/>
    <w:rsid w:val="38DD3F57"/>
    <w:rsid w:val="38F117B0"/>
    <w:rsid w:val="38F85F83"/>
    <w:rsid w:val="39317DFF"/>
    <w:rsid w:val="393D67A4"/>
    <w:rsid w:val="39607D09"/>
    <w:rsid w:val="397E6578"/>
    <w:rsid w:val="398B39B3"/>
    <w:rsid w:val="39B06A9F"/>
    <w:rsid w:val="39B1197A"/>
    <w:rsid w:val="39D37108"/>
    <w:rsid w:val="39D9D6EA"/>
    <w:rsid w:val="39F03816"/>
    <w:rsid w:val="3A2F07E2"/>
    <w:rsid w:val="3A4C6533"/>
    <w:rsid w:val="3A60099C"/>
    <w:rsid w:val="3A964AED"/>
    <w:rsid w:val="3AAD4CC5"/>
    <w:rsid w:val="3AF91556"/>
    <w:rsid w:val="3B0444C5"/>
    <w:rsid w:val="3B2B6A5B"/>
    <w:rsid w:val="3B4402BD"/>
    <w:rsid w:val="3B44096C"/>
    <w:rsid w:val="3B5B73B5"/>
    <w:rsid w:val="3B6224F2"/>
    <w:rsid w:val="3B742225"/>
    <w:rsid w:val="3BBD2BAE"/>
    <w:rsid w:val="3BE021D2"/>
    <w:rsid w:val="3BF02719"/>
    <w:rsid w:val="3BFC0955"/>
    <w:rsid w:val="3C097EBF"/>
    <w:rsid w:val="3C48624A"/>
    <w:rsid w:val="3C8A61A4"/>
    <w:rsid w:val="3C9C1A33"/>
    <w:rsid w:val="3CB80DE5"/>
    <w:rsid w:val="3D0D21E9"/>
    <w:rsid w:val="3D18634A"/>
    <w:rsid w:val="3D2E4D81"/>
    <w:rsid w:val="3D3037BD"/>
    <w:rsid w:val="3D421A9A"/>
    <w:rsid w:val="3D5B369C"/>
    <w:rsid w:val="3D605157"/>
    <w:rsid w:val="3D7529B0"/>
    <w:rsid w:val="3D7E7290"/>
    <w:rsid w:val="3DC6681E"/>
    <w:rsid w:val="3DEB0EC4"/>
    <w:rsid w:val="3DFAE2C0"/>
    <w:rsid w:val="3E1B341C"/>
    <w:rsid w:val="3E1D6BA4"/>
    <w:rsid w:val="3E3C527C"/>
    <w:rsid w:val="3E3F2149"/>
    <w:rsid w:val="3E444130"/>
    <w:rsid w:val="3E717CAB"/>
    <w:rsid w:val="3E7C1212"/>
    <w:rsid w:val="3EBF2FEC"/>
    <w:rsid w:val="3ED731F7"/>
    <w:rsid w:val="3ED86ED8"/>
    <w:rsid w:val="3F1439EF"/>
    <w:rsid w:val="3F3F09D8"/>
    <w:rsid w:val="3F446B4B"/>
    <w:rsid w:val="3F4C7741"/>
    <w:rsid w:val="3F570243"/>
    <w:rsid w:val="3F7F8403"/>
    <w:rsid w:val="3F80388E"/>
    <w:rsid w:val="3F93536F"/>
    <w:rsid w:val="3F967677"/>
    <w:rsid w:val="3FAC0B65"/>
    <w:rsid w:val="3FD140EA"/>
    <w:rsid w:val="3FFBDD52"/>
    <w:rsid w:val="3FFD85CF"/>
    <w:rsid w:val="40011035"/>
    <w:rsid w:val="400973E0"/>
    <w:rsid w:val="401B65D8"/>
    <w:rsid w:val="402C30CE"/>
    <w:rsid w:val="405C1C05"/>
    <w:rsid w:val="407F3B46"/>
    <w:rsid w:val="408B6047"/>
    <w:rsid w:val="40994E6A"/>
    <w:rsid w:val="40C065A7"/>
    <w:rsid w:val="40D34900"/>
    <w:rsid w:val="40DA73F3"/>
    <w:rsid w:val="40E165AE"/>
    <w:rsid w:val="410554A8"/>
    <w:rsid w:val="41990C37"/>
    <w:rsid w:val="41B33439"/>
    <w:rsid w:val="41BF069E"/>
    <w:rsid w:val="41CC4B41"/>
    <w:rsid w:val="41D57411"/>
    <w:rsid w:val="41DB1250"/>
    <w:rsid w:val="41F8770C"/>
    <w:rsid w:val="4220010E"/>
    <w:rsid w:val="42293D69"/>
    <w:rsid w:val="425B3FC9"/>
    <w:rsid w:val="425F59DD"/>
    <w:rsid w:val="428216CB"/>
    <w:rsid w:val="428D254A"/>
    <w:rsid w:val="42905B96"/>
    <w:rsid w:val="42A1220B"/>
    <w:rsid w:val="42A33000"/>
    <w:rsid w:val="42A85E68"/>
    <w:rsid w:val="42BE0955"/>
    <w:rsid w:val="42C649F3"/>
    <w:rsid w:val="42E15F66"/>
    <w:rsid w:val="430F7403"/>
    <w:rsid w:val="432307B8"/>
    <w:rsid w:val="432834D8"/>
    <w:rsid w:val="43493B12"/>
    <w:rsid w:val="43574906"/>
    <w:rsid w:val="435A7F52"/>
    <w:rsid w:val="435E5C94"/>
    <w:rsid w:val="436D4129"/>
    <w:rsid w:val="439C3B9D"/>
    <w:rsid w:val="43BB4E95"/>
    <w:rsid w:val="440B05F8"/>
    <w:rsid w:val="440E3217"/>
    <w:rsid w:val="44180E14"/>
    <w:rsid w:val="443D0EFB"/>
    <w:rsid w:val="44437B05"/>
    <w:rsid w:val="4482272C"/>
    <w:rsid w:val="449514A4"/>
    <w:rsid w:val="44A45929"/>
    <w:rsid w:val="44D77AAC"/>
    <w:rsid w:val="44ED72D0"/>
    <w:rsid w:val="4510132D"/>
    <w:rsid w:val="451707F1"/>
    <w:rsid w:val="451833F8"/>
    <w:rsid w:val="451A329F"/>
    <w:rsid w:val="45237196"/>
    <w:rsid w:val="45246FC5"/>
    <w:rsid w:val="45464C32"/>
    <w:rsid w:val="4561381A"/>
    <w:rsid w:val="45875BC9"/>
    <w:rsid w:val="45B51514"/>
    <w:rsid w:val="45B7168C"/>
    <w:rsid w:val="45D40490"/>
    <w:rsid w:val="45E22BAD"/>
    <w:rsid w:val="45E701C3"/>
    <w:rsid w:val="45F5651F"/>
    <w:rsid w:val="45FB63D1"/>
    <w:rsid w:val="460F771A"/>
    <w:rsid w:val="461131D7"/>
    <w:rsid w:val="46142D7E"/>
    <w:rsid w:val="462E7BA0"/>
    <w:rsid w:val="46301592"/>
    <w:rsid w:val="464C0026"/>
    <w:rsid w:val="464E00E0"/>
    <w:rsid w:val="46A41C10"/>
    <w:rsid w:val="46A9191C"/>
    <w:rsid w:val="4700748D"/>
    <w:rsid w:val="47164D4B"/>
    <w:rsid w:val="47867568"/>
    <w:rsid w:val="478A71EC"/>
    <w:rsid w:val="478F466E"/>
    <w:rsid w:val="47B87FFC"/>
    <w:rsid w:val="47B922BA"/>
    <w:rsid w:val="47BC323F"/>
    <w:rsid w:val="47C5290E"/>
    <w:rsid w:val="47D55B24"/>
    <w:rsid w:val="47E32C0C"/>
    <w:rsid w:val="47E66258"/>
    <w:rsid w:val="47ED4903"/>
    <w:rsid w:val="47F40975"/>
    <w:rsid w:val="47F9048B"/>
    <w:rsid w:val="47F99FD5"/>
    <w:rsid w:val="484F02A2"/>
    <w:rsid w:val="48621D83"/>
    <w:rsid w:val="48643C31"/>
    <w:rsid w:val="48684EBF"/>
    <w:rsid w:val="4879053A"/>
    <w:rsid w:val="489D2730"/>
    <w:rsid w:val="48A26BF8"/>
    <w:rsid w:val="48B82A2A"/>
    <w:rsid w:val="48BF71D5"/>
    <w:rsid w:val="48C52DFA"/>
    <w:rsid w:val="48D43888"/>
    <w:rsid w:val="48E924A4"/>
    <w:rsid w:val="48FD6B65"/>
    <w:rsid w:val="490E5A67"/>
    <w:rsid w:val="49296D45"/>
    <w:rsid w:val="49373210"/>
    <w:rsid w:val="49374FBE"/>
    <w:rsid w:val="49396F88"/>
    <w:rsid w:val="49510109"/>
    <w:rsid w:val="495E69EE"/>
    <w:rsid w:val="4961028C"/>
    <w:rsid w:val="4961203A"/>
    <w:rsid w:val="4968161B"/>
    <w:rsid w:val="49695393"/>
    <w:rsid w:val="49706721"/>
    <w:rsid w:val="497E0E3E"/>
    <w:rsid w:val="498B1C69"/>
    <w:rsid w:val="49AB48CC"/>
    <w:rsid w:val="49D06472"/>
    <w:rsid w:val="49D46CB0"/>
    <w:rsid w:val="49DD093F"/>
    <w:rsid w:val="4A002492"/>
    <w:rsid w:val="4A003601"/>
    <w:rsid w:val="4A113A61"/>
    <w:rsid w:val="4A2A4AFA"/>
    <w:rsid w:val="4A5120AF"/>
    <w:rsid w:val="4A67308E"/>
    <w:rsid w:val="4A6A6464"/>
    <w:rsid w:val="4A7705FE"/>
    <w:rsid w:val="4A7D51F8"/>
    <w:rsid w:val="4A987575"/>
    <w:rsid w:val="4AA014B1"/>
    <w:rsid w:val="4AB443EC"/>
    <w:rsid w:val="4AC72811"/>
    <w:rsid w:val="4ACE1F07"/>
    <w:rsid w:val="4B032B87"/>
    <w:rsid w:val="4B2C4FEF"/>
    <w:rsid w:val="4B2D2BE6"/>
    <w:rsid w:val="4B34667E"/>
    <w:rsid w:val="4B383A94"/>
    <w:rsid w:val="4B411659"/>
    <w:rsid w:val="4B6127C6"/>
    <w:rsid w:val="4B6D188C"/>
    <w:rsid w:val="4B8D5369"/>
    <w:rsid w:val="4BAFC1C4"/>
    <w:rsid w:val="4BBA0128"/>
    <w:rsid w:val="4BBF129A"/>
    <w:rsid w:val="4BFA0524"/>
    <w:rsid w:val="4C6A07A9"/>
    <w:rsid w:val="4C6F0F12"/>
    <w:rsid w:val="4C804791"/>
    <w:rsid w:val="4C90449D"/>
    <w:rsid w:val="4CB41635"/>
    <w:rsid w:val="4CE16CBD"/>
    <w:rsid w:val="4CE30FB8"/>
    <w:rsid w:val="4CEF5BAF"/>
    <w:rsid w:val="4CF55E24"/>
    <w:rsid w:val="4D0E4287"/>
    <w:rsid w:val="4D16510E"/>
    <w:rsid w:val="4D1D44CA"/>
    <w:rsid w:val="4D5478E8"/>
    <w:rsid w:val="4D5679DC"/>
    <w:rsid w:val="4D5A08BE"/>
    <w:rsid w:val="4D5F0FED"/>
    <w:rsid w:val="4D714816"/>
    <w:rsid w:val="4D7540BC"/>
    <w:rsid w:val="4D7E4702"/>
    <w:rsid w:val="4D814A59"/>
    <w:rsid w:val="4D8C343D"/>
    <w:rsid w:val="4DCD5EF0"/>
    <w:rsid w:val="4DEB281B"/>
    <w:rsid w:val="4DF358A9"/>
    <w:rsid w:val="4E005ADB"/>
    <w:rsid w:val="4E102281"/>
    <w:rsid w:val="4E336740"/>
    <w:rsid w:val="4E41068C"/>
    <w:rsid w:val="4E43123D"/>
    <w:rsid w:val="4E70046E"/>
    <w:rsid w:val="4EB162B0"/>
    <w:rsid w:val="4EB946C7"/>
    <w:rsid w:val="4EE31744"/>
    <w:rsid w:val="4EF7F265"/>
    <w:rsid w:val="4F2A2ECF"/>
    <w:rsid w:val="4F4B6E23"/>
    <w:rsid w:val="4F50502B"/>
    <w:rsid w:val="4F685452"/>
    <w:rsid w:val="4F7F13E4"/>
    <w:rsid w:val="4F8169F6"/>
    <w:rsid w:val="4F914963"/>
    <w:rsid w:val="4FC83BBC"/>
    <w:rsid w:val="4FD06B06"/>
    <w:rsid w:val="4FF0427E"/>
    <w:rsid w:val="5008305D"/>
    <w:rsid w:val="500951DA"/>
    <w:rsid w:val="50346BE2"/>
    <w:rsid w:val="5082566A"/>
    <w:rsid w:val="50831BDF"/>
    <w:rsid w:val="508F1B83"/>
    <w:rsid w:val="509048BD"/>
    <w:rsid w:val="50B05655"/>
    <w:rsid w:val="50F10148"/>
    <w:rsid w:val="51633798"/>
    <w:rsid w:val="51646B6C"/>
    <w:rsid w:val="51794893"/>
    <w:rsid w:val="5179562B"/>
    <w:rsid w:val="5184720E"/>
    <w:rsid w:val="518A39B3"/>
    <w:rsid w:val="51A11749"/>
    <w:rsid w:val="51B573C7"/>
    <w:rsid w:val="51E83CDC"/>
    <w:rsid w:val="51F738ED"/>
    <w:rsid w:val="51FE0D6E"/>
    <w:rsid w:val="51FFE86A"/>
    <w:rsid w:val="52081BED"/>
    <w:rsid w:val="52666914"/>
    <w:rsid w:val="52763B03"/>
    <w:rsid w:val="527C7EE5"/>
    <w:rsid w:val="529B2EF4"/>
    <w:rsid w:val="52B61649"/>
    <w:rsid w:val="52CB093C"/>
    <w:rsid w:val="52D07706"/>
    <w:rsid w:val="52D47D21"/>
    <w:rsid w:val="52EC0B25"/>
    <w:rsid w:val="52FA1199"/>
    <w:rsid w:val="530E6257"/>
    <w:rsid w:val="536F02C4"/>
    <w:rsid w:val="53A022C0"/>
    <w:rsid w:val="53B14659"/>
    <w:rsid w:val="53B35B89"/>
    <w:rsid w:val="53B37FB7"/>
    <w:rsid w:val="53B667B2"/>
    <w:rsid w:val="53D31D87"/>
    <w:rsid w:val="53DFCAE0"/>
    <w:rsid w:val="53E166FC"/>
    <w:rsid w:val="53E43F94"/>
    <w:rsid w:val="54006016"/>
    <w:rsid w:val="54D25E47"/>
    <w:rsid w:val="556F5ADF"/>
    <w:rsid w:val="5588094F"/>
    <w:rsid w:val="55992B5C"/>
    <w:rsid w:val="55C271CA"/>
    <w:rsid w:val="55C71477"/>
    <w:rsid w:val="55C93441"/>
    <w:rsid w:val="55E24503"/>
    <w:rsid w:val="56075D18"/>
    <w:rsid w:val="560B6D56"/>
    <w:rsid w:val="56493019"/>
    <w:rsid w:val="564A06C4"/>
    <w:rsid w:val="569D065D"/>
    <w:rsid w:val="56A93273"/>
    <w:rsid w:val="56AB0D99"/>
    <w:rsid w:val="56C43C09"/>
    <w:rsid w:val="56D7393C"/>
    <w:rsid w:val="570404A9"/>
    <w:rsid w:val="570861EB"/>
    <w:rsid w:val="57086641"/>
    <w:rsid w:val="57107234"/>
    <w:rsid w:val="571A39EE"/>
    <w:rsid w:val="57315920"/>
    <w:rsid w:val="57346FE0"/>
    <w:rsid w:val="579651BF"/>
    <w:rsid w:val="579730CB"/>
    <w:rsid w:val="57A557E8"/>
    <w:rsid w:val="57B64705"/>
    <w:rsid w:val="57C2639A"/>
    <w:rsid w:val="57CC4FCD"/>
    <w:rsid w:val="57F17E23"/>
    <w:rsid w:val="57F647F4"/>
    <w:rsid w:val="581110D0"/>
    <w:rsid w:val="582708F3"/>
    <w:rsid w:val="58313520"/>
    <w:rsid w:val="58313745"/>
    <w:rsid w:val="58596CF9"/>
    <w:rsid w:val="58872539"/>
    <w:rsid w:val="588C0A3D"/>
    <w:rsid w:val="58B05215"/>
    <w:rsid w:val="5900361E"/>
    <w:rsid w:val="59036464"/>
    <w:rsid w:val="590A6F7C"/>
    <w:rsid w:val="590B5556"/>
    <w:rsid w:val="59105E33"/>
    <w:rsid w:val="59170968"/>
    <w:rsid w:val="59447967"/>
    <w:rsid w:val="595601B9"/>
    <w:rsid w:val="59831B59"/>
    <w:rsid w:val="598B206A"/>
    <w:rsid w:val="599712B9"/>
    <w:rsid w:val="599E2E37"/>
    <w:rsid w:val="59A55F73"/>
    <w:rsid w:val="59BF2E07"/>
    <w:rsid w:val="59D37A4D"/>
    <w:rsid w:val="59FBCD3E"/>
    <w:rsid w:val="59FF7B96"/>
    <w:rsid w:val="5A054C64"/>
    <w:rsid w:val="5A1F5D26"/>
    <w:rsid w:val="5A2A4D0F"/>
    <w:rsid w:val="5A554C9A"/>
    <w:rsid w:val="5A6220B6"/>
    <w:rsid w:val="5A7C3A24"/>
    <w:rsid w:val="5A9870AD"/>
    <w:rsid w:val="5AA00900"/>
    <w:rsid w:val="5AE12FDB"/>
    <w:rsid w:val="5B04316E"/>
    <w:rsid w:val="5B072516"/>
    <w:rsid w:val="5B12588A"/>
    <w:rsid w:val="5B152313"/>
    <w:rsid w:val="5B231846"/>
    <w:rsid w:val="5B2B24A8"/>
    <w:rsid w:val="5B363095"/>
    <w:rsid w:val="5B4377F2"/>
    <w:rsid w:val="5B57329D"/>
    <w:rsid w:val="5B67BAAE"/>
    <w:rsid w:val="5B704E3A"/>
    <w:rsid w:val="5B731FC6"/>
    <w:rsid w:val="5B7F1946"/>
    <w:rsid w:val="5B8A3EFA"/>
    <w:rsid w:val="5B9D5CF3"/>
    <w:rsid w:val="5BA04C44"/>
    <w:rsid w:val="5BBF7537"/>
    <w:rsid w:val="5BCC31C8"/>
    <w:rsid w:val="5BCD17B1"/>
    <w:rsid w:val="5BCF552A"/>
    <w:rsid w:val="5BD97599"/>
    <w:rsid w:val="5BDD44F5"/>
    <w:rsid w:val="5BDF009F"/>
    <w:rsid w:val="5BFBFC78"/>
    <w:rsid w:val="5BFF3149"/>
    <w:rsid w:val="5C040CD4"/>
    <w:rsid w:val="5C084598"/>
    <w:rsid w:val="5C1A2E0D"/>
    <w:rsid w:val="5C257C57"/>
    <w:rsid w:val="5C327F41"/>
    <w:rsid w:val="5C4B1054"/>
    <w:rsid w:val="5C8A1451"/>
    <w:rsid w:val="5C8E2CEF"/>
    <w:rsid w:val="5C9D73D6"/>
    <w:rsid w:val="5CD39781"/>
    <w:rsid w:val="5CFC4214"/>
    <w:rsid w:val="5CFF9CEA"/>
    <w:rsid w:val="5D1256CE"/>
    <w:rsid w:val="5D4D6DDF"/>
    <w:rsid w:val="5D5E1D3C"/>
    <w:rsid w:val="5D7F6ADB"/>
    <w:rsid w:val="5D900CE9"/>
    <w:rsid w:val="5D973E25"/>
    <w:rsid w:val="5DFE1572"/>
    <w:rsid w:val="5E313EC2"/>
    <w:rsid w:val="5E4D4564"/>
    <w:rsid w:val="5E4E693A"/>
    <w:rsid w:val="5E52041C"/>
    <w:rsid w:val="5E5D1B2A"/>
    <w:rsid w:val="5E604B5F"/>
    <w:rsid w:val="5E652175"/>
    <w:rsid w:val="5E736640"/>
    <w:rsid w:val="5E9B055F"/>
    <w:rsid w:val="5EAF7CFD"/>
    <w:rsid w:val="5EBA103C"/>
    <w:rsid w:val="5EC73A2C"/>
    <w:rsid w:val="5EDC29E4"/>
    <w:rsid w:val="5EEB2B56"/>
    <w:rsid w:val="5EF84D97"/>
    <w:rsid w:val="5F01512C"/>
    <w:rsid w:val="5F177317"/>
    <w:rsid w:val="5F225970"/>
    <w:rsid w:val="5F2913F5"/>
    <w:rsid w:val="5F3BEA5E"/>
    <w:rsid w:val="5F5024B8"/>
    <w:rsid w:val="5F735117"/>
    <w:rsid w:val="5F9B0133"/>
    <w:rsid w:val="5F9F5F4F"/>
    <w:rsid w:val="5FA016B7"/>
    <w:rsid w:val="5FB72222"/>
    <w:rsid w:val="5FBC0662"/>
    <w:rsid w:val="5FCC0710"/>
    <w:rsid w:val="5FD6522A"/>
    <w:rsid w:val="5FDB016D"/>
    <w:rsid w:val="5FEA1036"/>
    <w:rsid w:val="5FFB301F"/>
    <w:rsid w:val="5FFC3AB2"/>
    <w:rsid w:val="5FFCC59B"/>
    <w:rsid w:val="60121376"/>
    <w:rsid w:val="60235E44"/>
    <w:rsid w:val="60591866"/>
    <w:rsid w:val="606D5311"/>
    <w:rsid w:val="60844B35"/>
    <w:rsid w:val="60994356"/>
    <w:rsid w:val="60BB7380"/>
    <w:rsid w:val="60ED4EAE"/>
    <w:rsid w:val="60F577E0"/>
    <w:rsid w:val="60F845F0"/>
    <w:rsid w:val="610F4AED"/>
    <w:rsid w:val="61356691"/>
    <w:rsid w:val="6159723C"/>
    <w:rsid w:val="618C531A"/>
    <w:rsid w:val="61A7507C"/>
    <w:rsid w:val="61BA6334"/>
    <w:rsid w:val="61D218D0"/>
    <w:rsid w:val="61F555BE"/>
    <w:rsid w:val="61F56990"/>
    <w:rsid w:val="61FE26C5"/>
    <w:rsid w:val="621E790D"/>
    <w:rsid w:val="623E51B7"/>
    <w:rsid w:val="6267026A"/>
    <w:rsid w:val="62C731CE"/>
    <w:rsid w:val="62CE705E"/>
    <w:rsid w:val="62D13935"/>
    <w:rsid w:val="62E47B0C"/>
    <w:rsid w:val="63075997"/>
    <w:rsid w:val="631321A0"/>
    <w:rsid w:val="6335507F"/>
    <w:rsid w:val="63365E8E"/>
    <w:rsid w:val="6353757A"/>
    <w:rsid w:val="63681C59"/>
    <w:rsid w:val="636C365E"/>
    <w:rsid w:val="637B6D38"/>
    <w:rsid w:val="637F5A87"/>
    <w:rsid w:val="6382443B"/>
    <w:rsid w:val="63A9027D"/>
    <w:rsid w:val="63AD0324"/>
    <w:rsid w:val="63BE65AF"/>
    <w:rsid w:val="63CE6058"/>
    <w:rsid w:val="63D57455"/>
    <w:rsid w:val="63DF02D4"/>
    <w:rsid w:val="63E46773"/>
    <w:rsid w:val="63EB6858"/>
    <w:rsid w:val="63F26259"/>
    <w:rsid w:val="63F518A5"/>
    <w:rsid w:val="63FC2C34"/>
    <w:rsid w:val="643539D5"/>
    <w:rsid w:val="64371EBE"/>
    <w:rsid w:val="64460942"/>
    <w:rsid w:val="6458371C"/>
    <w:rsid w:val="647F79B7"/>
    <w:rsid w:val="64935E01"/>
    <w:rsid w:val="649C7F73"/>
    <w:rsid w:val="64AE10DA"/>
    <w:rsid w:val="64B04EDC"/>
    <w:rsid w:val="64F8789F"/>
    <w:rsid w:val="65091AAC"/>
    <w:rsid w:val="650A1380"/>
    <w:rsid w:val="654A6E47"/>
    <w:rsid w:val="65611973"/>
    <w:rsid w:val="656D2D76"/>
    <w:rsid w:val="657B7B0E"/>
    <w:rsid w:val="65A17F37"/>
    <w:rsid w:val="65A646A6"/>
    <w:rsid w:val="65A73073"/>
    <w:rsid w:val="65B01F28"/>
    <w:rsid w:val="65E44DF1"/>
    <w:rsid w:val="65E46075"/>
    <w:rsid w:val="65ED25A6"/>
    <w:rsid w:val="65F71905"/>
    <w:rsid w:val="66342B59"/>
    <w:rsid w:val="66482160"/>
    <w:rsid w:val="666B22F3"/>
    <w:rsid w:val="667051B5"/>
    <w:rsid w:val="6678206D"/>
    <w:rsid w:val="66795166"/>
    <w:rsid w:val="66911EE3"/>
    <w:rsid w:val="66997AFC"/>
    <w:rsid w:val="66AA65DF"/>
    <w:rsid w:val="66BB0B84"/>
    <w:rsid w:val="66E42BA0"/>
    <w:rsid w:val="672F682C"/>
    <w:rsid w:val="673560CB"/>
    <w:rsid w:val="67563BC0"/>
    <w:rsid w:val="676C5425"/>
    <w:rsid w:val="67760B37"/>
    <w:rsid w:val="677FC794"/>
    <w:rsid w:val="679A11AF"/>
    <w:rsid w:val="67C25F42"/>
    <w:rsid w:val="67CFC96E"/>
    <w:rsid w:val="67D7071B"/>
    <w:rsid w:val="67F369F7"/>
    <w:rsid w:val="6828049B"/>
    <w:rsid w:val="684D3A5E"/>
    <w:rsid w:val="686D7D52"/>
    <w:rsid w:val="68996CA3"/>
    <w:rsid w:val="689E42BA"/>
    <w:rsid w:val="690600B1"/>
    <w:rsid w:val="69074AFD"/>
    <w:rsid w:val="692925FF"/>
    <w:rsid w:val="69472BA3"/>
    <w:rsid w:val="697F058F"/>
    <w:rsid w:val="69B02282"/>
    <w:rsid w:val="69BD3B23"/>
    <w:rsid w:val="69DA1D9A"/>
    <w:rsid w:val="69DC772B"/>
    <w:rsid w:val="69E330A1"/>
    <w:rsid w:val="69E76134"/>
    <w:rsid w:val="69F62FE8"/>
    <w:rsid w:val="69FF0655"/>
    <w:rsid w:val="6A1231B1"/>
    <w:rsid w:val="6A2829D5"/>
    <w:rsid w:val="6A395F2E"/>
    <w:rsid w:val="6A554E4C"/>
    <w:rsid w:val="6A7D0CB7"/>
    <w:rsid w:val="6A892D47"/>
    <w:rsid w:val="6A95793E"/>
    <w:rsid w:val="6A9C6483"/>
    <w:rsid w:val="6ABF49BB"/>
    <w:rsid w:val="6AE82164"/>
    <w:rsid w:val="6AF723A7"/>
    <w:rsid w:val="6B150577"/>
    <w:rsid w:val="6B2E53DC"/>
    <w:rsid w:val="6B316FE4"/>
    <w:rsid w:val="6B3B592A"/>
    <w:rsid w:val="6B3EFDC5"/>
    <w:rsid w:val="6B47B0C6"/>
    <w:rsid w:val="6B5CBD0E"/>
    <w:rsid w:val="6B826114"/>
    <w:rsid w:val="6B831D41"/>
    <w:rsid w:val="6B99345E"/>
    <w:rsid w:val="6B9D6B8D"/>
    <w:rsid w:val="6BA77375"/>
    <w:rsid w:val="6BB43DF4"/>
    <w:rsid w:val="6BB713E8"/>
    <w:rsid w:val="6BC71D79"/>
    <w:rsid w:val="6BEC481A"/>
    <w:rsid w:val="6C182CE8"/>
    <w:rsid w:val="6C1C72EC"/>
    <w:rsid w:val="6C33202D"/>
    <w:rsid w:val="6C3F37FE"/>
    <w:rsid w:val="6C44161C"/>
    <w:rsid w:val="6C477878"/>
    <w:rsid w:val="6C4B29AA"/>
    <w:rsid w:val="6C507FC1"/>
    <w:rsid w:val="6C5F3CBB"/>
    <w:rsid w:val="6C7D068A"/>
    <w:rsid w:val="6CAB36D8"/>
    <w:rsid w:val="6CBC11B2"/>
    <w:rsid w:val="6CCD7586"/>
    <w:rsid w:val="6CD35796"/>
    <w:rsid w:val="6CE24E5C"/>
    <w:rsid w:val="6CE60925"/>
    <w:rsid w:val="6CF05AD7"/>
    <w:rsid w:val="6CF24745"/>
    <w:rsid w:val="6CF66001"/>
    <w:rsid w:val="6CFDBED4"/>
    <w:rsid w:val="6D172DCB"/>
    <w:rsid w:val="6D463172"/>
    <w:rsid w:val="6D513FF0"/>
    <w:rsid w:val="6D725D15"/>
    <w:rsid w:val="6D8013D5"/>
    <w:rsid w:val="6DA13F45"/>
    <w:rsid w:val="6DA93E2C"/>
    <w:rsid w:val="6DAD4F9F"/>
    <w:rsid w:val="6DAFC0C3"/>
    <w:rsid w:val="6DE74EA3"/>
    <w:rsid w:val="6DFF1C8B"/>
    <w:rsid w:val="6E004945"/>
    <w:rsid w:val="6E050773"/>
    <w:rsid w:val="6E0C7F17"/>
    <w:rsid w:val="6E12227F"/>
    <w:rsid w:val="6E3531DF"/>
    <w:rsid w:val="6E3B5B23"/>
    <w:rsid w:val="6E5673E4"/>
    <w:rsid w:val="6E5BD297"/>
    <w:rsid w:val="6E69DB09"/>
    <w:rsid w:val="6E6F3131"/>
    <w:rsid w:val="6E9879FD"/>
    <w:rsid w:val="6EAB3BD4"/>
    <w:rsid w:val="6EAD14EE"/>
    <w:rsid w:val="6ECB4BEB"/>
    <w:rsid w:val="6EDF4C42"/>
    <w:rsid w:val="6EEF1D13"/>
    <w:rsid w:val="6EF07839"/>
    <w:rsid w:val="6EFF11A9"/>
    <w:rsid w:val="6F1B2B08"/>
    <w:rsid w:val="6F3239AE"/>
    <w:rsid w:val="6F3574E0"/>
    <w:rsid w:val="6F392F8E"/>
    <w:rsid w:val="6F4478C6"/>
    <w:rsid w:val="6F46544C"/>
    <w:rsid w:val="6F5635F6"/>
    <w:rsid w:val="6F5F7ED7"/>
    <w:rsid w:val="6F7C2E7B"/>
    <w:rsid w:val="6F7E4251"/>
    <w:rsid w:val="6F7FDCD5"/>
    <w:rsid w:val="6FB86CC8"/>
    <w:rsid w:val="6FBF8404"/>
    <w:rsid w:val="6FD41720"/>
    <w:rsid w:val="6FE62AD9"/>
    <w:rsid w:val="6FE67489"/>
    <w:rsid w:val="6FEC6EEC"/>
    <w:rsid w:val="6FEECD4B"/>
    <w:rsid w:val="6FFD4F6F"/>
    <w:rsid w:val="6FFF5FE2"/>
    <w:rsid w:val="7036571F"/>
    <w:rsid w:val="705F4C76"/>
    <w:rsid w:val="70B92A47"/>
    <w:rsid w:val="70BB39B7"/>
    <w:rsid w:val="70CC398E"/>
    <w:rsid w:val="70D2369A"/>
    <w:rsid w:val="70EA6122"/>
    <w:rsid w:val="70F0631E"/>
    <w:rsid w:val="71207A57"/>
    <w:rsid w:val="71662034"/>
    <w:rsid w:val="716B72D2"/>
    <w:rsid w:val="71793B16"/>
    <w:rsid w:val="71B44B4E"/>
    <w:rsid w:val="71BB148B"/>
    <w:rsid w:val="71D1444C"/>
    <w:rsid w:val="71DB7CE6"/>
    <w:rsid w:val="71DE2DF9"/>
    <w:rsid w:val="721156E3"/>
    <w:rsid w:val="72146D0A"/>
    <w:rsid w:val="72191CF8"/>
    <w:rsid w:val="72691DDC"/>
    <w:rsid w:val="72922D56"/>
    <w:rsid w:val="729B3093"/>
    <w:rsid w:val="72A15425"/>
    <w:rsid w:val="72A20E4A"/>
    <w:rsid w:val="72A41FE4"/>
    <w:rsid w:val="72A82F68"/>
    <w:rsid w:val="72A97E2B"/>
    <w:rsid w:val="72D80D10"/>
    <w:rsid w:val="72DD6326"/>
    <w:rsid w:val="731174B9"/>
    <w:rsid w:val="73271010"/>
    <w:rsid w:val="736B059D"/>
    <w:rsid w:val="7373C264"/>
    <w:rsid w:val="739509AF"/>
    <w:rsid w:val="73CF43DF"/>
    <w:rsid w:val="73CF7C0D"/>
    <w:rsid w:val="74305C7A"/>
    <w:rsid w:val="74457586"/>
    <w:rsid w:val="744740B1"/>
    <w:rsid w:val="74654825"/>
    <w:rsid w:val="74BB4610"/>
    <w:rsid w:val="74D07EF1"/>
    <w:rsid w:val="74D55DD2"/>
    <w:rsid w:val="74DD4202"/>
    <w:rsid w:val="74EE481B"/>
    <w:rsid w:val="74F17E67"/>
    <w:rsid w:val="74FF07D6"/>
    <w:rsid w:val="75030320"/>
    <w:rsid w:val="750556C0"/>
    <w:rsid w:val="75175B20"/>
    <w:rsid w:val="751D0C5C"/>
    <w:rsid w:val="75297256"/>
    <w:rsid w:val="755B4BC1"/>
    <w:rsid w:val="75630B78"/>
    <w:rsid w:val="7568A8A2"/>
    <w:rsid w:val="75AD3D8E"/>
    <w:rsid w:val="75DB0F7C"/>
    <w:rsid w:val="75EA3234"/>
    <w:rsid w:val="75F71329"/>
    <w:rsid w:val="75F714AD"/>
    <w:rsid w:val="76463CCB"/>
    <w:rsid w:val="7669212E"/>
    <w:rsid w:val="76AA2A57"/>
    <w:rsid w:val="76CA0970"/>
    <w:rsid w:val="76F3EE13"/>
    <w:rsid w:val="7709684A"/>
    <w:rsid w:val="77145A75"/>
    <w:rsid w:val="772D2B8C"/>
    <w:rsid w:val="773164CC"/>
    <w:rsid w:val="778F78E9"/>
    <w:rsid w:val="77CA2161"/>
    <w:rsid w:val="77CD4585"/>
    <w:rsid w:val="77CE9420"/>
    <w:rsid w:val="77DABB2E"/>
    <w:rsid w:val="77E141C3"/>
    <w:rsid w:val="77F74095"/>
    <w:rsid w:val="77FB24BA"/>
    <w:rsid w:val="77FBFB18"/>
    <w:rsid w:val="77FD5938"/>
    <w:rsid w:val="782A5B6A"/>
    <w:rsid w:val="783B2F15"/>
    <w:rsid w:val="78412EB3"/>
    <w:rsid w:val="785A1E74"/>
    <w:rsid w:val="78736567"/>
    <w:rsid w:val="78850AD7"/>
    <w:rsid w:val="789254BD"/>
    <w:rsid w:val="78925885"/>
    <w:rsid w:val="78A12303"/>
    <w:rsid w:val="78AA2807"/>
    <w:rsid w:val="78D143B4"/>
    <w:rsid w:val="78DC6019"/>
    <w:rsid w:val="78E51A91"/>
    <w:rsid w:val="78F660A4"/>
    <w:rsid w:val="78FB7506"/>
    <w:rsid w:val="79000447"/>
    <w:rsid w:val="79160434"/>
    <w:rsid w:val="79246A5D"/>
    <w:rsid w:val="79255EFC"/>
    <w:rsid w:val="79512482"/>
    <w:rsid w:val="79532E9E"/>
    <w:rsid w:val="797D79F0"/>
    <w:rsid w:val="797F5A41"/>
    <w:rsid w:val="79A42680"/>
    <w:rsid w:val="79A82749"/>
    <w:rsid w:val="79B7B436"/>
    <w:rsid w:val="79CD12F3"/>
    <w:rsid w:val="79D02042"/>
    <w:rsid w:val="79DFCD1A"/>
    <w:rsid w:val="79EB1329"/>
    <w:rsid w:val="79F27B08"/>
    <w:rsid w:val="79FB1AE1"/>
    <w:rsid w:val="79FF34B1"/>
    <w:rsid w:val="7A094344"/>
    <w:rsid w:val="7A0E5017"/>
    <w:rsid w:val="7A2F7467"/>
    <w:rsid w:val="7A52088A"/>
    <w:rsid w:val="7A525728"/>
    <w:rsid w:val="7A910122"/>
    <w:rsid w:val="7A9B68AB"/>
    <w:rsid w:val="7AA2562F"/>
    <w:rsid w:val="7ABC62A4"/>
    <w:rsid w:val="7AC80685"/>
    <w:rsid w:val="7ACF4C4D"/>
    <w:rsid w:val="7AD16771"/>
    <w:rsid w:val="7ADF17BC"/>
    <w:rsid w:val="7AF1C2EC"/>
    <w:rsid w:val="7B095F0A"/>
    <w:rsid w:val="7B2505B0"/>
    <w:rsid w:val="7B2B3841"/>
    <w:rsid w:val="7B3DB60F"/>
    <w:rsid w:val="7B454A69"/>
    <w:rsid w:val="7B533629"/>
    <w:rsid w:val="7B562F10"/>
    <w:rsid w:val="7B6F7E60"/>
    <w:rsid w:val="7B7B3D39"/>
    <w:rsid w:val="7B7C4EB1"/>
    <w:rsid w:val="7B7F3A8D"/>
    <w:rsid w:val="7BB251E6"/>
    <w:rsid w:val="7BBA3882"/>
    <w:rsid w:val="7BBF751A"/>
    <w:rsid w:val="7BC62BEB"/>
    <w:rsid w:val="7BC82C31"/>
    <w:rsid w:val="7BD76009"/>
    <w:rsid w:val="7BE20509"/>
    <w:rsid w:val="7BEAD914"/>
    <w:rsid w:val="7BFB7AF1"/>
    <w:rsid w:val="7C057093"/>
    <w:rsid w:val="7C1E3C2F"/>
    <w:rsid w:val="7C347AF0"/>
    <w:rsid w:val="7C3D1306"/>
    <w:rsid w:val="7C442F72"/>
    <w:rsid w:val="7C50CBC2"/>
    <w:rsid w:val="7C6453C2"/>
    <w:rsid w:val="7C6A112F"/>
    <w:rsid w:val="7C8F68E3"/>
    <w:rsid w:val="7CAA54CB"/>
    <w:rsid w:val="7CB87EEA"/>
    <w:rsid w:val="7CC54FDF"/>
    <w:rsid w:val="7CD442F6"/>
    <w:rsid w:val="7CDE33C7"/>
    <w:rsid w:val="7CE3278B"/>
    <w:rsid w:val="7D0821F2"/>
    <w:rsid w:val="7D0C6252"/>
    <w:rsid w:val="7D210830"/>
    <w:rsid w:val="7D3923AB"/>
    <w:rsid w:val="7D403BFA"/>
    <w:rsid w:val="7D5F62B6"/>
    <w:rsid w:val="7D623E0F"/>
    <w:rsid w:val="7D781125"/>
    <w:rsid w:val="7D7D673C"/>
    <w:rsid w:val="7D91719B"/>
    <w:rsid w:val="7DBF6204"/>
    <w:rsid w:val="7DC90D2D"/>
    <w:rsid w:val="7DD8599E"/>
    <w:rsid w:val="7DF2974C"/>
    <w:rsid w:val="7DFF0BF1"/>
    <w:rsid w:val="7E026C41"/>
    <w:rsid w:val="7E0A06F8"/>
    <w:rsid w:val="7E184526"/>
    <w:rsid w:val="7E265025"/>
    <w:rsid w:val="7E28328D"/>
    <w:rsid w:val="7E2A21A7"/>
    <w:rsid w:val="7E43029C"/>
    <w:rsid w:val="7E54324F"/>
    <w:rsid w:val="7E7EC90E"/>
    <w:rsid w:val="7E9401E1"/>
    <w:rsid w:val="7E97245E"/>
    <w:rsid w:val="7EBFBB4E"/>
    <w:rsid w:val="7EC02D84"/>
    <w:rsid w:val="7EC9775F"/>
    <w:rsid w:val="7EEBA858"/>
    <w:rsid w:val="7EF70770"/>
    <w:rsid w:val="7EFCFD05"/>
    <w:rsid w:val="7EFE3777"/>
    <w:rsid w:val="7EFF3E79"/>
    <w:rsid w:val="7F1DF64C"/>
    <w:rsid w:val="7F2D382D"/>
    <w:rsid w:val="7F3E0042"/>
    <w:rsid w:val="7F601E71"/>
    <w:rsid w:val="7F78365F"/>
    <w:rsid w:val="7FB7B99B"/>
    <w:rsid w:val="7FBFAB65"/>
    <w:rsid w:val="7FC567B1"/>
    <w:rsid w:val="7FC7476B"/>
    <w:rsid w:val="7FCB10AC"/>
    <w:rsid w:val="7FD14ACB"/>
    <w:rsid w:val="7FD926CB"/>
    <w:rsid w:val="7FDF7EBA"/>
    <w:rsid w:val="7FDFFAAE"/>
    <w:rsid w:val="7FED9154"/>
    <w:rsid w:val="7FEEEDD1"/>
    <w:rsid w:val="7FF4C5E6"/>
    <w:rsid w:val="7FF94555"/>
    <w:rsid w:val="7FFF02A8"/>
    <w:rsid w:val="827B4EE3"/>
    <w:rsid w:val="892D450B"/>
    <w:rsid w:val="8A7BDA69"/>
    <w:rsid w:val="8ECFF40B"/>
    <w:rsid w:val="917CC065"/>
    <w:rsid w:val="966EC47C"/>
    <w:rsid w:val="97E68B7A"/>
    <w:rsid w:val="9BDD11F2"/>
    <w:rsid w:val="9D7D123A"/>
    <w:rsid w:val="9F067A0B"/>
    <w:rsid w:val="9F23DA99"/>
    <w:rsid w:val="9FFF0156"/>
    <w:rsid w:val="9FFFE163"/>
    <w:rsid w:val="A8B76695"/>
    <w:rsid w:val="AA9F0425"/>
    <w:rsid w:val="ABFD3FDF"/>
    <w:rsid w:val="AE5FCF84"/>
    <w:rsid w:val="AF3BDB6E"/>
    <w:rsid w:val="AFDBA861"/>
    <w:rsid w:val="AFE5992B"/>
    <w:rsid w:val="AFEDA5F4"/>
    <w:rsid w:val="AFEFB635"/>
    <w:rsid w:val="B5EDBDAC"/>
    <w:rsid w:val="B7E37220"/>
    <w:rsid w:val="B7EFE65D"/>
    <w:rsid w:val="BB5F82C5"/>
    <w:rsid w:val="BBFF3930"/>
    <w:rsid w:val="BC2F8A7D"/>
    <w:rsid w:val="BC77350E"/>
    <w:rsid w:val="BDBEDC93"/>
    <w:rsid w:val="BDD27A68"/>
    <w:rsid w:val="BDF69DDD"/>
    <w:rsid w:val="BE6FCE1F"/>
    <w:rsid w:val="BEB79CCD"/>
    <w:rsid w:val="BEE9B4F3"/>
    <w:rsid w:val="BF3F7507"/>
    <w:rsid w:val="BF6FB170"/>
    <w:rsid w:val="BF7DB10B"/>
    <w:rsid w:val="BF7DC915"/>
    <w:rsid w:val="BFC52BB1"/>
    <w:rsid w:val="C94AAF58"/>
    <w:rsid w:val="CBEBCE58"/>
    <w:rsid w:val="CEBE2B10"/>
    <w:rsid w:val="D1D1A787"/>
    <w:rsid w:val="D1FBB63A"/>
    <w:rsid w:val="D597B3AE"/>
    <w:rsid w:val="D77F4BDB"/>
    <w:rsid w:val="D7F787AB"/>
    <w:rsid w:val="D8D5F5FA"/>
    <w:rsid w:val="DB7AAA8D"/>
    <w:rsid w:val="DBDD31F4"/>
    <w:rsid w:val="DD15FF32"/>
    <w:rsid w:val="DDDF977F"/>
    <w:rsid w:val="DDFC2C4B"/>
    <w:rsid w:val="DFAA26FA"/>
    <w:rsid w:val="DFEB4ADC"/>
    <w:rsid w:val="DFF762A2"/>
    <w:rsid w:val="DFFFE383"/>
    <w:rsid w:val="E176269A"/>
    <w:rsid w:val="E37F86DA"/>
    <w:rsid w:val="E78FDABA"/>
    <w:rsid w:val="E7DF1594"/>
    <w:rsid w:val="E9EF3F6A"/>
    <w:rsid w:val="EDF358BE"/>
    <w:rsid w:val="EE4F1B02"/>
    <w:rsid w:val="EF7FFADA"/>
    <w:rsid w:val="EF857295"/>
    <w:rsid w:val="EFFD8F25"/>
    <w:rsid w:val="EFFDC78B"/>
    <w:rsid w:val="EFFDFD52"/>
    <w:rsid w:val="EFFF2BFD"/>
    <w:rsid w:val="F2D74DD1"/>
    <w:rsid w:val="F3F39CD8"/>
    <w:rsid w:val="F4BDA11C"/>
    <w:rsid w:val="F4EF3235"/>
    <w:rsid w:val="F65F07BA"/>
    <w:rsid w:val="F79FEFAC"/>
    <w:rsid w:val="F7B328BC"/>
    <w:rsid w:val="F7BDECD9"/>
    <w:rsid w:val="F7CF49F2"/>
    <w:rsid w:val="F7D713BC"/>
    <w:rsid w:val="F7EF256E"/>
    <w:rsid w:val="F7FBC1DC"/>
    <w:rsid w:val="F7FECA53"/>
    <w:rsid w:val="F7FF35EB"/>
    <w:rsid w:val="F7FF8524"/>
    <w:rsid w:val="F8FF1ED1"/>
    <w:rsid w:val="F9EA32C7"/>
    <w:rsid w:val="FABE45B7"/>
    <w:rsid w:val="FB7D319A"/>
    <w:rsid w:val="FB7FE531"/>
    <w:rsid w:val="FBD7EDD7"/>
    <w:rsid w:val="FBEFE931"/>
    <w:rsid w:val="FBF95F97"/>
    <w:rsid w:val="FBFFD632"/>
    <w:rsid w:val="FC7EDA18"/>
    <w:rsid w:val="FD34CBE6"/>
    <w:rsid w:val="FD5E18C2"/>
    <w:rsid w:val="FD836126"/>
    <w:rsid w:val="FDBF12B3"/>
    <w:rsid w:val="FDDD3B29"/>
    <w:rsid w:val="FDDE95EA"/>
    <w:rsid w:val="FE3A0C3E"/>
    <w:rsid w:val="FE7B471C"/>
    <w:rsid w:val="FE7F7D04"/>
    <w:rsid w:val="FE9D7A58"/>
    <w:rsid w:val="FEBC8CA6"/>
    <w:rsid w:val="FECDA5A1"/>
    <w:rsid w:val="FECEE683"/>
    <w:rsid w:val="FECF15F6"/>
    <w:rsid w:val="FEDFF6A9"/>
    <w:rsid w:val="FEFC5D6A"/>
    <w:rsid w:val="FF1FCE8C"/>
    <w:rsid w:val="FF5FA69C"/>
    <w:rsid w:val="FF771181"/>
    <w:rsid w:val="FF7F2E3B"/>
    <w:rsid w:val="FF9953F3"/>
    <w:rsid w:val="FFA6B437"/>
    <w:rsid w:val="FFA6B4B7"/>
    <w:rsid w:val="FFAC0867"/>
    <w:rsid w:val="FFB73C3E"/>
    <w:rsid w:val="FFB7B069"/>
    <w:rsid w:val="FFDB0603"/>
    <w:rsid w:val="FFDF2377"/>
    <w:rsid w:val="FFEE5B88"/>
    <w:rsid w:val="FFEF6C07"/>
    <w:rsid w:val="FFEFC11B"/>
    <w:rsid w:val="FFF5ACE2"/>
    <w:rsid w:val="FFF89604"/>
    <w:rsid w:val="FFFBF212"/>
    <w:rsid w:val="FFFC2FAD"/>
    <w:rsid w:val="FFFF2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next w:val="1"/>
    <w:link w:val="3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6">
    <w:name w:val="Normal Indent"/>
    <w:basedOn w:val="1"/>
    <w:next w:val="1"/>
    <w:qFormat/>
    <w:uiPriority w:val="0"/>
    <w:pPr>
      <w:suppressAutoHyphens/>
      <w:ind w:firstLine="420"/>
    </w:pPr>
    <w:rPr>
      <w:rFonts w:ascii="Calibri" w:hAnsi="Calibri" w:eastAsia="宋体" w:cs="Times New Roman"/>
      <w:szCs w:val="24"/>
    </w:rPr>
  </w:style>
  <w:style w:type="paragraph" w:styleId="7">
    <w:name w:val="caption"/>
    <w:basedOn w:val="1"/>
    <w:next w:val="1"/>
    <w:semiHidden/>
    <w:unhideWhenUsed/>
    <w:qFormat/>
    <w:uiPriority w:val="0"/>
    <w:rPr>
      <w:rFonts w:ascii="Arial" w:hAnsi="Arial" w:eastAsia="黑体"/>
      <w:sz w:val="20"/>
    </w:rPr>
  </w:style>
  <w:style w:type="paragraph" w:styleId="8">
    <w:name w:val="annotation text"/>
    <w:basedOn w:val="1"/>
    <w:qFormat/>
    <w:uiPriority w:val="0"/>
    <w:pPr>
      <w:jc w:val="left"/>
    </w:pPr>
  </w:style>
  <w:style w:type="paragraph" w:styleId="9">
    <w:name w:val="Body Text"/>
    <w:basedOn w:val="1"/>
    <w:next w:val="10"/>
    <w:qFormat/>
    <w:uiPriority w:val="0"/>
    <w:pPr>
      <w:spacing w:line="580" w:lineRule="exact"/>
      <w:jc w:val="center"/>
    </w:pPr>
    <w:rPr>
      <w:b/>
      <w:sz w:val="44"/>
    </w:rPr>
  </w:style>
  <w:style w:type="paragraph" w:customStyle="1" w:styleId="10">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1">
    <w:name w:val="Body Text Indent"/>
    <w:basedOn w:val="1"/>
    <w:next w:val="1"/>
    <w:qFormat/>
    <w:uiPriority w:val="0"/>
    <w:pPr>
      <w:spacing w:after="120" w:afterLines="0" w:afterAutospacing="0"/>
      <w:ind w:left="420" w:leftChars="200"/>
    </w:pPr>
  </w:style>
  <w:style w:type="paragraph" w:styleId="12">
    <w:name w:val="Plain Text"/>
    <w:next w:val="1"/>
    <w:qFormat/>
    <w:uiPriority w:val="0"/>
    <w:pPr>
      <w:widowControl w:val="0"/>
      <w:ind w:firstLine="640" w:firstLineChars="200"/>
      <w:jc w:val="both"/>
    </w:pPr>
    <w:rPr>
      <w:rFonts w:ascii="宋体" w:hAnsi="Courier New" w:eastAsia="宋体" w:cs="Times New Roman"/>
      <w:kern w:val="0"/>
      <w:sz w:val="20"/>
      <w:szCs w:val="21"/>
      <w:lang w:val="en-US" w:eastAsia="zh-CN" w:bidi="ar-SA"/>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footnote text"/>
    <w:basedOn w:val="1"/>
    <w:qFormat/>
    <w:uiPriority w:val="0"/>
    <w:pPr>
      <w:snapToGrid w:val="0"/>
      <w:jc w:val="left"/>
    </w:pPr>
    <w:rPr>
      <w:sz w:val="18"/>
    </w:rPr>
  </w:style>
  <w:style w:type="paragraph" w:styleId="16">
    <w:name w:val="toc 2"/>
    <w:basedOn w:val="1"/>
    <w:next w:val="1"/>
    <w:qFormat/>
    <w:uiPriority w:val="0"/>
    <w:pPr>
      <w:ind w:left="420" w:leftChars="200"/>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2"/>
    <w:basedOn w:val="11"/>
    <w:next w:val="1"/>
    <w:qFormat/>
    <w:uiPriority w:val="0"/>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FollowedHyperlink"/>
    <w:basedOn w:val="21"/>
    <w:qFormat/>
    <w:uiPriority w:val="0"/>
    <w:rPr>
      <w:color w:val="800080"/>
      <w:u w:val="single"/>
    </w:rPr>
  </w:style>
  <w:style w:type="character" w:styleId="24">
    <w:name w:val="Emphasis"/>
    <w:basedOn w:val="21"/>
    <w:qFormat/>
    <w:uiPriority w:val="0"/>
    <w:rPr>
      <w:i/>
    </w:rPr>
  </w:style>
  <w:style w:type="character" w:styleId="25">
    <w:name w:val="Hyperlink"/>
    <w:basedOn w:val="21"/>
    <w:qFormat/>
    <w:uiPriority w:val="0"/>
    <w:rPr>
      <w:color w:val="0000FF"/>
      <w:u w:val="single"/>
    </w:rPr>
  </w:style>
  <w:style w:type="character" w:styleId="26">
    <w:name w:val="footnote reference"/>
    <w:basedOn w:val="21"/>
    <w:qFormat/>
    <w:uiPriority w:val="0"/>
    <w:rPr>
      <w:vertAlign w:val="superscript"/>
    </w:rPr>
  </w:style>
  <w:style w:type="paragraph" w:customStyle="1" w:styleId="27">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28">
    <w:name w:val="No Spacing"/>
    <w:qFormat/>
    <w:uiPriority w:val="1"/>
    <w:pPr>
      <w:widowControl w:val="0"/>
      <w:spacing w:after="160" w:line="278" w:lineRule="auto"/>
      <w:jc w:val="both"/>
    </w:pPr>
    <w:rPr>
      <w:rFonts w:ascii="仿宋_GB2312" w:hAnsi="仿宋_GB2312" w:eastAsia="仿宋_GB2312" w:cstheme="minorBidi"/>
      <w:kern w:val="2"/>
      <w:sz w:val="32"/>
      <w:szCs w:val="24"/>
      <w:lang w:val="en-US" w:eastAsia="zh-CN" w:bidi="ar-SA"/>
      <w14:ligatures w14:val="standardContextual"/>
    </w:rPr>
  </w:style>
  <w:style w:type="paragraph" w:customStyle="1" w:styleId="29">
    <w:name w:val="WPSOffice手动目录 2"/>
    <w:qFormat/>
    <w:uiPriority w:val="0"/>
    <w:pPr>
      <w:ind w:left="200" w:leftChars="200"/>
    </w:pPr>
    <w:rPr>
      <w:rFonts w:ascii="等线" w:hAnsi="等线" w:eastAsia="等线" w:cs="Times New Roman"/>
      <w:sz w:val="21"/>
      <w:szCs w:val="22"/>
      <w:lang w:val="en-US" w:eastAsia="zh-CN" w:bidi="ar-SA"/>
    </w:rPr>
  </w:style>
  <w:style w:type="paragraph" w:customStyle="1" w:styleId="30">
    <w:name w:val="toc 11"/>
    <w:next w:val="1"/>
    <w:qFormat/>
    <w:uiPriority w:val="0"/>
    <w:pPr>
      <w:wordWrap w:val="0"/>
      <w:jc w:val="both"/>
    </w:pPr>
    <w:rPr>
      <w:rFonts w:ascii="Times New Roman" w:hAnsi="Times New Roman" w:eastAsia="宋体" w:cs="Times New Roman"/>
      <w:sz w:val="21"/>
      <w:szCs w:val="22"/>
      <w:lang w:val="en-US" w:eastAsia="zh-CN" w:bidi="ar-SA"/>
    </w:rPr>
  </w:style>
  <w:style w:type="character" w:customStyle="1" w:styleId="31">
    <w:name w:val="标题 2 Char"/>
    <w:link w:val="4"/>
    <w:qFormat/>
    <w:uiPriority w:val="0"/>
    <w:rPr>
      <w:rFonts w:ascii="Arial" w:hAnsi="Arial" w:eastAsia="黑体" w:cstheme="minorBidi"/>
      <w:b/>
      <w:kern w:val="2"/>
      <w:sz w:val="32"/>
      <w:szCs w:val="24"/>
      <w:lang w:val="en-US" w:eastAsia="zh-CN" w:bidi="ar-SA"/>
    </w:rPr>
  </w:style>
  <w:style w:type="character" w:customStyle="1" w:styleId="32">
    <w:name w:val="font41"/>
    <w:basedOn w:val="21"/>
    <w:qFormat/>
    <w:uiPriority w:val="0"/>
    <w:rPr>
      <w:rFonts w:hint="default" w:ascii="Times New Roman" w:hAnsi="Times New Roman" w:cs="Times New Roman"/>
      <w:color w:val="000000"/>
      <w:sz w:val="24"/>
      <w:szCs w:val="24"/>
      <w:u w:val="none"/>
    </w:rPr>
  </w:style>
  <w:style w:type="character" w:customStyle="1" w:styleId="33">
    <w:name w:val="font31"/>
    <w:basedOn w:val="21"/>
    <w:qFormat/>
    <w:uiPriority w:val="0"/>
    <w:rPr>
      <w:rFonts w:hint="eastAsia" w:ascii="宋体" w:hAnsi="宋体" w:eastAsia="宋体" w:cs="宋体"/>
      <w:color w:val="000000"/>
      <w:sz w:val="24"/>
      <w:szCs w:val="24"/>
      <w:u w:val="none"/>
    </w:rPr>
  </w:style>
  <w:style w:type="character" w:customStyle="1" w:styleId="34">
    <w:name w:val="font21"/>
    <w:basedOn w:val="21"/>
    <w:qFormat/>
    <w:uiPriority w:val="0"/>
    <w:rPr>
      <w:rFonts w:hint="eastAsia" w:ascii="宋体" w:hAnsi="宋体" w:eastAsia="宋体" w:cs="宋体"/>
      <w:color w:val="000000"/>
      <w:sz w:val="24"/>
      <w:szCs w:val="24"/>
      <w:u w:val="none"/>
    </w:rPr>
  </w:style>
  <w:style w:type="paragraph" w:customStyle="1" w:styleId="35">
    <w:name w:val=" Char Char Char Char"/>
    <w:basedOn w:val="1"/>
    <w:qFormat/>
    <w:uiPriority w:val="0"/>
    <w:pPr>
      <w:suppressAutoHyphens w:val="0"/>
      <w:spacing w:line="240" w:lineRule="auto"/>
      <w:ind w:firstLine="0"/>
      <w:textAlignment w:val="auto"/>
    </w:pPr>
    <w:rPr>
      <w:rFonts w:hint="default" w:ascii="宋体" w:hAnsi="宋体" w:eastAsia="宋体" w:cs="Courier New"/>
      <w:color w:val="auto"/>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30048</Words>
  <Characters>30604</Characters>
  <Lines>1</Lines>
  <Paragraphs>1</Paragraphs>
  <TotalTime>3</TotalTime>
  <ScaleCrop>false</ScaleCrop>
  <LinksUpToDate>false</LinksUpToDate>
  <CharactersWithSpaces>31333</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2025-08-08T06:37:00Z</dcterms:created>
  <dc:creator>XF</dc:creator>
  <cp:lastModifiedBy>李</cp:lastModifiedBy>
  <cp:lastPrinted>2026-05-14T11:21:00Z</cp:lastPrinted>
  <dcterms:modified xsi:type="dcterms:W3CDTF">2026-07-31T16:14:55Z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78FB4A83473C47AABE7706757068A669_13</vt:lpwstr>
  </property>
  <property fmtid="{D5CDD505-2E9C-101B-9397-08002B2CF9AE}" pid="4" name="KSOTemplateDocerSaveRecord">
    <vt:lpwstr>eyJoZGlkIjoiZWNjYzEyODFlNzAwNDFlMjA2ZTk5MGM0Y2NiNTEzYWQiLCJ1c2VySWQiOiI0NjExMDM3OTcifQ==</vt:lpwstr>
  </property>
</Properties>
</file>