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98A6C6">
      <w:pPr>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w:t>
      </w:r>
      <w:r>
        <w:rPr>
          <w:rFonts w:hint="eastAsia" w:ascii="方正小标宋简体" w:hAnsi="方正小标宋简体" w:eastAsia="方正小标宋简体" w:cs="方正小标宋简体"/>
          <w:bCs/>
          <w:color w:val="auto"/>
          <w:sz w:val="44"/>
          <w:szCs w:val="44"/>
          <w:highlight w:val="none"/>
        </w:rPr>
        <w:t>大兴区</w:t>
      </w:r>
      <w:r>
        <w:rPr>
          <w:rFonts w:hint="eastAsia" w:ascii="方正小标宋简体" w:hAnsi="方正小标宋简体" w:eastAsia="方正小标宋简体" w:cs="方正小标宋简体"/>
          <w:bCs/>
          <w:color w:val="auto"/>
          <w:sz w:val="44"/>
          <w:szCs w:val="44"/>
          <w:highlight w:val="none"/>
          <w:lang w:eastAsia="zh-CN"/>
        </w:rPr>
        <w:t>“</w:t>
      </w:r>
      <w:r>
        <w:rPr>
          <w:rFonts w:hint="eastAsia" w:ascii="方正小标宋简体" w:hAnsi="方正小标宋简体" w:eastAsia="方正小标宋简体" w:cs="方正小标宋简体"/>
          <w:bCs/>
          <w:color w:val="auto"/>
          <w:sz w:val="44"/>
          <w:szCs w:val="44"/>
          <w:highlight w:val="none"/>
          <w:lang w:val="en-US" w:eastAsia="zh-CN"/>
        </w:rPr>
        <w:t>十五五</w:t>
      </w:r>
      <w:r>
        <w:rPr>
          <w:rFonts w:hint="eastAsia" w:ascii="方正小标宋简体" w:hAnsi="方正小标宋简体" w:eastAsia="方正小标宋简体" w:cs="方正小标宋简体"/>
          <w:bCs/>
          <w:color w:val="auto"/>
          <w:sz w:val="44"/>
          <w:szCs w:val="44"/>
          <w:highlight w:val="none"/>
          <w:lang w:eastAsia="zh-CN"/>
        </w:rPr>
        <w:t>”</w:t>
      </w:r>
      <w:r>
        <w:rPr>
          <w:rFonts w:hint="eastAsia" w:ascii="方正小标宋简体" w:hAnsi="方正小标宋简体" w:eastAsia="方正小标宋简体" w:cs="方正小标宋简体"/>
          <w:bCs/>
          <w:color w:val="auto"/>
          <w:sz w:val="44"/>
          <w:szCs w:val="44"/>
          <w:highlight w:val="none"/>
          <w:lang w:val="en-US" w:eastAsia="zh-CN"/>
        </w:rPr>
        <w:t>时期城乡环境建设发展规划（征求意见稿）</w:t>
      </w:r>
      <w:r>
        <w:rPr>
          <w:rFonts w:hint="eastAsia" w:ascii="方正小标宋简体" w:hAnsi="方正小标宋简体" w:eastAsia="方正小标宋简体" w:cs="方正小标宋简体"/>
          <w:sz w:val="44"/>
          <w:szCs w:val="44"/>
          <w:lang w:eastAsia="zh-CN"/>
        </w:rPr>
        <w:t>》的起草说明</w:t>
      </w:r>
    </w:p>
    <w:p w14:paraId="13649C3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14:paraId="58DEC45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制定背景</w:t>
      </w:r>
    </w:p>
    <w:p w14:paraId="58A6F580">
      <w:pPr>
        <w:spacing w:line="560" w:lineRule="exact"/>
        <w:ind w:firstLine="640" w:firstLineChars="200"/>
        <w:jc w:val="both"/>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eastAsia="仿宋_GB2312" w:cs="仿宋_GB2312"/>
          <w:sz w:val="32"/>
          <w:szCs w:val="32"/>
          <w:lang w:val="en-US" w:eastAsia="zh-CN"/>
        </w:rPr>
        <w:t>为贯彻党的二十大和二十届历次全会精神及习近平总书记关于城市管理工作的重要论述，落实国家、市级相关工作部署，衔接《北京市“十五五”时期城市管理发展规划》与《北京市大兴区国民经济和社会发展第十五个五年规划纲要》，按照区委区政府“十五五”规划编制工作部署，紧紧围绕</w:t>
      </w:r>
      <w:r>
        <w:rPr>
          <w:rFonts w:hint="eastAsia" w:ascii="仿宋_GB2312" w:hAnsi="仿宋_GB2312" w:eastAsia="仿宋_GB2312" w:cs="仿宋_GB2312"/>
          <w:color w:val="000000" w:themeColor="text1"/>
          <w:sz w:val="32"/>
          <w:szCs w:val="32"/>
          <w14:textFill>
            <w14:solidFill>
              <w14:schemeClr w14:val="tx1"/>
            </w14:solidFill>
          </w14:textFill>
        </w:rPr>
        <w:t>北京市建设“国际一流的和谐宜居之都”的总体目标，深入落实大兴区“三区一门户”的功能定位，</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推动国门新城建设，全面改善城乡人居环境和区域整体形象，为首都南部打造功能完备、宜居宜业的高质量发展示范区筑牢环境基底，编制形成《大兴区“十五五”时期城乡环境建设发展规划（征求意见稿）》。</w:t>
      </w:r>
    </w:p>
    <w:p w14:paraId="1874C96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制定目标</w:t>
      </w:r>
    </w:p>
    <w:p w14:paraId="405CEB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仿宋_GB2312" w:cs="黑体"/>
          <w:sz w:val="32"/>
          <w:szCs w:val="32"/>
          <w:lang w:eastAsia="zh-CN"/>
        </w:rPr>
      </w:pPr>
      <w:r>
        <w:rPr>
          <w:rFonts w:hint="eastAsia" w:ascii="仿宋_GB2312" w:hAnsi="仿宋_GB2312" w:eastAsia="仿宋_GB2312" w:cs="仿宋_GB2312"/>
          <w:sz w:val="32"/>
          <w:szCs w:val="32"/>
          <w:lang w:val="en-US" w:eastAsia="zh-CN"/>
        </w:rPr>
        <w:t>通过巩固拓展城乡环境治理成效，全面提高城乡环境治理、建设、管理服务和保障水平，到“十五五”时期末，城市功能优化完善，环境品质综合提升，“6+5+3”产业发展基底夯实，持续满足人民群众对城市环境的新期待、新需求，初步形成人与自然和谐共生的现代化城乡发展格局。</w:t>
      </w:r>
    </w:p>
    <w:p w14:paraId="039C97D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主要内容</w:t>
      </w:r>
    </w:p>
    <w:p w14:paraId="35389730">
      <w:pPr>
        <w:spacing w:line="560" w:lineRule="exact"/>
        <w:ind w:firstLine="640" w:firstLineChars="200"/>
        <w:jc w:val="left"/>
        <w:rPr>
          <w:rFonts w:hint="eastAsia" w:ascii="仿宋_GB2312" w:hAnsi="宋体" w:eastAsia="仿宋_GB2312"/>
          <w:sz w:val="32"/>
          <w:szCs w:val="32"/>
          <w:highlight w:val="none"/>
          <w:lang w:val="en-US" w:eastAsia="zh-CN"/>
        </w:rPr>
      </w:pPr>
      <w:r>
        <w:rPr>
          <w:rFonts w:hint="eastAsia" w:ascii="仿宋_GB2312" w:hAnsi="宋体" w:eastAsia="仿宋_GB2312"/>
          <w:sz w:val="32"/>
          <w:szCs w:val="32"/>
          <w:highlight w:val="none"/>
          <w:lang w:val="en-US" w:eastAsia="zh-CN"/>
        </w:rPr>
        <w:t>《大兴区“十五五”时期城乡环境建设发展规划（征求意见稿）》包括五章内容：</w:t>
      </w:r>
    </w:p>
    <w:p w14:paraId="4EE4AB46">
      <w:pPr>
        <w:spacing w:line="560" w:lineRule="exact"/>
        <w:ind w:firstLine="643" w:firstLineChars="200"/>
        <w:jc w:val="left"/>
        <w:rPr>
          <w:rFonts w:hint="eastAsia" w:ascii="仿宋_GB2312" w:hAnsi="仿宋_GB2312" w:eastAsia="仿宋_GB2312" w:cs="仿宋_GB2312"/>
          <w:b w:val="0"/>
          <w:bCs w:val="0"/>
          <w:sz w:val="32"/>
          <w:szCs w:val="32"/>
          <w:lang w:val="en-US" w:eastAsia="zh-CN"/>
        </w:rPr>
      </w:pPr>
      <w:r>
        <w:rPr>
          <w:rFonts w:hint="eastAsia" w:ascii="仿宋_GB2312" w:hAnsi="宋体" w:eastAsia="仿宋_GB2312"/>
          <w:b/>
          <w:bCs/>
          <w:sz w:val="32"/>
          <w:szCs w:val="32"/>
          <w:highlight w:val="none"/>
          <w:lang w:val="en-US" w:eastAsia="zh-CN"/>
        </w:rPr>
        <w:t>第一章是发展基础，包括两个方面。一是</w:t>
      </w:r>
      <w:r>
        <w:rPr>
          <w:rFonts w:hint="eastAsia" w:ascii="仿宋_GB2312" w:hAnsi="仿宋_GB2312" w:eastAsia="仿宋_GB2312" w:cs="仿宋_GB2312"/>
          <w:b w:val="0"/>
          <w:bCs w:val="0"/>
          <w:sz w:val="32"/>
          <w:szCs w:val="32"/>
          <w:lang w:val="en-US" w:eastAsia="zh-CN"/>
        </w:rPr>
        <w:t>市容、生态、设施、秩序四大环境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治理成效显著，环境品质实现系统性提升。</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二是</w:t>
      </w:r>
      <w:r>
        <w:rPr>
          <w:rFonts w:hint="eastAsia" w:ascii="仿宋_GB2312" w:hAnsi="Times New Roman" w:eastAsia="仿宋_GB2312" w:cs="仿宋_GB2312"/>
          <w:b w:val="0"/>
          <w:bCs w:val="0"/>
          <w:sz w:val="32"/>
          <w:szCs w:val="32"/>
          <w:lang w:val="en-US" w:eastAsia="zh-CN"/>
        </w:rPr>
        <w:t>国门新城、</w:t>
      </w:r>
      <w:r>
        <w:rPr>
          <w:rFonts w:hint="eastAsia" w:ascii="仿宋_GB2312" w:hAnsi="仿宋_GB2312" w:eastAsia="仿宋_GB2312" w:cs="仿宋_GB2312"/>
          <w:color w:val="auto"/>
          <w:kern w:val="2"/>
          <w:sz w:val="32"/>
          <w:szCs w:val="32"/>
          <w:highlight w:val="none"/>
          <w:lang w:val="en-US" w:eastAsia="zh-CN" w:bidi="ar-SA"/>
        </w:rPr>
        <w:t>城乡结合部等重点区域实现环境蝶变，精细化、智慧化管理水平稳步提升</w:t>
      </w:r>
      <w:r>
        <w:rPr>
          <w:rFonts w:hint="eastAsia" w:ascii="仿宋_GB2312" w:hAnsi="仿宋_GB2312" w:eastAsia="仿宋_GB2312" w:cs="仿宋_GB2312"/>
          <w:b w:val="0"/>
          <w:bCs w:val="0"/>
          <w:sz w:val="32"/>
          <w:szCs w:val="32"/>
          <w:lang w:val="en-US" w:eastAsia="zh-CN"/>
        </w:rPr>
        <w:t>。</w:t>
      </w:r>
    </w:p>
    <w:p w14:paraId="6B4F114E">
      <w:pPr>
        <w:spacing w:line="560" w:lineRule="exact"/>
        <w:ind w:firstLine="643" w:firstLineChars="200"/>
        <w:jc w:val="left"/>
        <w:rPr>
          <w:rFonts w:hint="eastAsia" w:ascii="仿宋_GB2312" w:hAnsi="仿宋_GB2312" w:eastAsia="仿宋_GB2312"/>
          <w:sz w:val="32"/>
          <w:lang w:val="en-US" w:eastAsia="zh-CN"/>
          <w14:ligatures w14:val="standardContextual"/>
        </w:rPr>
      </w:pPr>
      <w:r>
        <w:rPr>
          <w:rFonts w:hint="eastAsia" w:ascii="仿宋_GB2312" w:hAnsi="仿宋_GB2312" w:eastAsia="仿宋_GB2312" w:cs="仿宋_GB2312"/>
          <w:b/>
          <w:bCs/>
          <w:sz w:val="32"/>
          <w:szCs w:val="32"/>
          <w:lang w:val="en-US" w:eastAsia="zh-CN"/>
        </w:rPr>
        <w:t>第二章是形势分析，包括两个方面。一是</w:t>
      </w:r>
      <w:r>
        <w:rPr>
          <w:rFonts w:hint="eastAsia" w:ascii="仿宋_GB2312" w:hAnsi="仿宋_GB2312" w:eastAsia="仿宋_GB2312" w:cs="仿宋_GB2312"/>
          <w:b w:val="0"/>
          <w:bCs w:val="0"/>
          <w:sz w:val="32"/>
          <w:szCs w:val="32"/>
          <w:lang w:val="en-US" w:eastAsia="zh-CN"/>
        </w:rPr>
        <w:t>发展机遇，</w:t>
      </w:r>
      <w:r>
        <w:rPr>
          <w:rFonts w:hint="eastAsia" w:ascii="仿宋_GB2312" w:hAnsi="仿宋_GB2312" w:eastAsia="仿宋_GB2312"/>
          <w:sz w:val="32"/>
          <w:lang w:val="en-US" w:eastAsia="zh-CN"/>
          <w14:ligatures w14:val="standardContextual"/>
        </w:rPr>
        <w:t>京津冀协同发展为大兴城乡环境建设带来全新机遇；平原新城高质量发展为大兴区城乡环境提质升级带来了重要的政策机遇；大兴区区位优势得天独厚，叠加“6+5+3”现代化产业发展布局，共同构筑起推动城市环境品质全面升级的坚实基础。</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存在挑战，</w:t>
      </w:r>
      <w:r>
        <w:rPr>
          <w:rFonts w:hint="eastAsia" w:ascii="仿宋_GB2312" w:hAnsi="仿宋_GB2312" w:eastAsia="仿宋_GB2312"/>
          <w:sz w:val="32"/>
          <w:lang w:val="en-US" w:eastAsia="zh-CN"/>
          <w14:ligatures w14:val="standardContextual"/>
        </w:rPr>
        <w:t>中心主城整体品质不高，城乡结合部及农村地区仍是环境治理薄弱环节，城乡环境精细化治理水平仍有待进一步提升。</w:t>
      </w:r>
    </w:p>
    <w:p w14:paraId="36727BD7">
      <w:pPr>
        <w:spacing w:line="560" w:lineRule="exact"/>
        <w:ind w:firstLine="643" w:firstLineChars="20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b/>
          <w:bCs/>
          <w:sz w:val="32"/>
          <w:lang w:val="en-US" w:eastAsia="zh-CN"/>
          <w14:ligatures w14:val="standardContextual"/>
        </w:rPr>
        <w:t>第三章是总体要求，包括三个方面。一是</w:t>
      </w:r>
      <w:r>
        <w:rPr>
          <w:rFonts w:hint="eastAsia" w:ascii="仿宋_GB2312" w:hAnsi="仿宋_GB2312" w:eastAsia="仿宋_GB2312"/>
          <w:b w:val="0"/>
          <w:bCs w:val="0"/>
          <w:sz w:val="32"/>
          <w:lang w:val="en-US" w:eastAsia="zh-CN"/>
          <w14:ligatures w14:val="standardContextual"/>
        </w:rPr>
        <w:t>指导思想，</w:t>
      </w:r>
      <w:r>
        <w:rPr>
          <w:rFonts w:hint="eastAsia" w:ascii="仿宋_GB2312" w:hAnsi="仿宋_GB2312" w:eastAsia="仿宋_GB2312"/>
          <w:sz w:val="32"/>
          <w:lang w:val="en-US" w:eastAsia="zh-CN"/>
          <w14:ligatures w14:val="standardContextual"/>
        </w:rPr>
        <w:t>贯彻落实国家和北京市总体要求，</w:t>
      </w:r>
      <w:r>
        <w:rPr>
          <w:rFonts w:hint="eastAsia" w:ascii="仿宋_GB2312" w:hAnsi="仿宋_GB2312" w:eastAsia="仿宋_GB2312" w:cs="仿宋_GB2312"/>
          <w:sz w:val="32"/>
          <w:szCs w:val="32"/>
          <w:lang w:val="en-US" w:eastAsia="zh-CN"/>
        </w:rPr>
        <w:t>锚定“三区一门户”功能定位，坚持城市内涵式高质量发展，落实区委区政府</w:t>
      </w:r>
      <w:r>
        <w:rPr>
          <w:rFonts w:hint="eastAsia" w:ascii="仿宋_GB2312" w:hAnsi="仿宋_GB2312" w:eastAsia="仿宋_GB2312"/>
          <w:sz w:val="32"/>
          <w:lang w:val="en-US" w:eastAsia="zh-CN"/>
          <w14:ligatures w14:val="standardContextual"/>
        </w:rPr>
        <w:t>关于“深化推动‘6+5+3’产业空间布局、系统打造‘中心主城+美丽乡村+特色小城镇’城乡发展格局”的部署安排</w:t>
      </w:r>
      <w:r>
        <w:rPr>
          <w:rFonts w:hint="eastAsia" w:ascii="仿宋_GB2312" w:hAnsi="仿宋_GB2312" w:eastAsia="仿宋_GB2312" w:cs="仿宋_GB2312"/>
          <w:sz w:val="32"/>
          <w:szCs w:val="32"/>
          <w:lang w:val="en-US" w:eastAsia="zh-CN"/>
        </w:rPr>
        <w:t>，打造与首都南部发展新高地相匹配的现代化城乡环境。</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基本原则，即坚持人民至上、坚持系统观念、坚持智慧创新、坚持绿色低碳、坚持多元共治。</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发展目标，提出</w:t>
      </w:r>
      <w:r>
        <w:rPr>
          <w:rFonts w:hint="eastAsia" w:ascii="仿宋_GB2312" w:hAnsi="仿宋_GB2312" w:eastAsia="仿宋_GB2312"/>
          <w:sz w:val="32"/>
          <w:lang w:val="en-US" w:eastAsia="zh-CN"/>
          <w14:ligatures w14:val="standardContextual"/>
        </w:rPr>
        <w:t>四个“新”，</w:t>
      </w:r>
      <w:r>
        <w:rPr>
          <w:rFonts w:hint="eastAsia" w:ascii="仿宋_GB2312" w:hAnsi="仿宋_GB2312" w:eastAsia="仿宋_GB2312" w:cs="仿宋_GB2312"/>
          <w:b w:val="0"/>
          <w:bCs w:val="0"/>
          <w:sz w:val="32"/>
          <w:szCs w:val="32"/>
          <w:lang w:val="en-US" w:eastAsia="zh-CN"/>
        </w:rPr>
        <w:t>城市环境面貌再上新台阶，城市环境面貌实现整体性跃升；美丽大兴建设铺开新画卷，生态系统服务功能显著增强；环境建设布局实现新跨越，重点区域环境形象品质显著提升；环境管理水平取得新提升，现代化环境治理体系持续健全。</w:t>
      </w:r>
    </w:p>
    <w:p w14:paraId="24D652E1">
      <w:pPr>
        <w:spacing w:line="560" w:lineRule="exact"/>
        <w:ind w:firstLine="643" w:firstLineChars="200"/>
        <w:jc w:val="left"/>
        <w:rPr>
          <w:rFonts w:hint="eastAsia" w:ascii="仿宋_GB2312" w:hAnsi="宋体" w:eastAsia="仿宋_GB2312"/>
          <w:sz w:val="32"/>
          <w:szCs w:val="32"/>
          <w:highlight w:val="none"/>
          <w:lang w:val="en-US" w:eastAsia="zh-CN"/>
        </w:rPr>
      </w:pPr>
      <w:r>
        <w:rPr>
          <w:rFonts w:hint="eastAsia" w:ascii="仿宋_GB2312" w:hAnsi="仿宋_GB2312" w:eastAsia="仿宋_GB2312" w:cs="仿宋_GB2312"/>
          <w:b/>
          <w:bCs/>
          <w:sz w:val="32"/>
          <w:szCs w:val="32"/>
          <w:lang w:val="en-US" w:eastAsia="zh-CN"/>
        </w:rPr>
        <w:t>第四章是重点任务，包括六个方面。一是</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精细治理市容环境，统筹环境卫生、户外广告、智慧照明、架空线治理四大专项，全维度提升城市风貌质感。</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二是</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提升全域生态品质，构建“一轴、一心、一环、两带”绿色空间网络，持续深化大气、水、土壤污染防治，筑牢区域生态安全屏障。</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三是</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夯实城市设施韧性，推进固体废物分类治理、城市家具集约化、地下管线升级、排水防涝整治、交通设施优化，强化城市运行支撑能力。</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四是</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长效管控环境秩序，以“精治、共治、法治”为核心，融合行政执法、智慧治理、网格化管理，健全多元参与的长效治理体系。</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五是</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赋能产业发展环境，紧扣“6+5+3”产业布局，分类施策提升六大产业功能区、五大产业集聚区、三大发展新片区环境品质，以环境升级支撑产业高质量发展。</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六是</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提升综合保障效能，深化人居环境整治、补齐城乡薄弱区域短板、强化重大活动环境保障，推动全域环境均衡提质。</w:t>
      </w:r>
    </w:p>
    <w:p w14:paraId="42423631">
      <w:pPr>
        <w:spacing w:line="560" w:lineRule="exact"/>
        <w:ind w:firstLine="643" w:firstLineChars="200"/>
        <w:jc w:val="left"/>
      </w:pPr>
      <w:r>
        <w:rPr>
          <w:rFonts w:hint="eastAsia" w:ascii="仿宋_GB2312" w:hAnsi="仿宋_GB2312" w:eastAsia="仿宋_GB2312"/>
          <w:b/>
          <w:bCs/>
          <w:sz w:val="32"/>
          <w:lang w:val="en-US" w:eastAsia="zh-CN"/>
          <w14:ligatures w14:val="standardContextual"/>
        </w:rPr>
        <w:t>第五章是保障措施。</w:t>
      </w:r>
      <w:r>
        <w:rPr>
          <w:rFonts w:hint="eastAsia" w:ascii="仿宋_GB2312" w:hAnsi="仿宋_GB2312" w:eastAsia="仿宋_GB2312"/>
          <w:sz w:val="32"/>
          <w:lang w:val="en-US" w:eastAsia="zh-CN"/>
          <w14:ligatures w14:val="standardContextual"/>
        </w:rPr>
        <w:t>从组织领导、资金保障、公众参与、科技支撑四个维度构建保障机制，确保各项任务可落地、可督察、可考核。</w:t>
      </w:r>
      <w:bookmarkStart w:id="0" w:name="_GoBack"/>
      <w:bookmarkEnd w:id="0"/>
    </w:p>
    <w:sectPr>
      <w:footerReference r:id="rId3" w:type="default"/>
      <w:pgSz w:w="11906" w:h="16838"/>
      <w:pgMar w:top="2154" w:right="1417" w:bottom="2041"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D752F">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DFF75B">
                          <w:pPr>
                            <w:pStyle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6DFF75B">
                    <w:pPr>
                      <w:pStyle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521D52"/>
    <w:multiLevelType w:val="singleLevel"/>
    <w:tmpl w:val="DF521D5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427E5"/>
    <w:rsid w:val="031A67DB"/>
    <w:rsid w:val="037C6FB6"/>
    <w:rsid w:val="03A72764"/>
    <w:rsid w:val="03E219EE"/>
    <w:rsid w:val="03F31506"/>
    <w:rsid w:val="044E0A8D"/>
    <w:rsid w:val="051C683A"/>
    <w:rsid w:val="05263B5D"/>
    <w:rsid w:val="05DB654C"/>
    <w:rsid w:val="063F6C84"/>
    <w:rsid w:val="0733430F"/>
    <w:rsid w:val="07E71F8A"/>
    <w:rsid w:val="082F4AD6"/>
    <w:rsid w:val="094B5D5D"/>
    <w:rsid w:val="09622C8A"/>
    <w:rsid w:val="0A7B4003"/>
    <w:rsid w:val="0A813571"/>
    <w:rsid w:val="0B371341"/>
    <w:rsid w:val="0B832C7E"/>
    <w:rsid w:val="0CB35073"/>
    <w:rsid w:val="0DA25D4B"/>
    <w:rsid w:val="0E236E8B"/>
    <w:rsid w:val="0E6A6868"/>
    <w:rsid w:val="0F9B7DE0"/>
    <w:rsid w:val="0FA175EE"/>
    <w:rsid w:val="1180307B"/>
    <w:rsid w:val="11DA36A8"/>
    <w:rsid w:val="11E84674"/>
    <w:rsid w:val="129E4D32"/>
    <w:rsid w:val="12F9465F"/>
    <w:rsid w:val="13370CE3"/>
    <w:rsid w:val="1428182F"/>
    <w:rsid w:val="1437578D"/>
    <w:rsid w:val="143D057B"/>
    <w:rsid w:val="14553B17"/>
    <w:rsid w:val="14E24405"/>
    <w:rsid w:val="17920BDE"/>
    <w:rsid w:val="1796247C"/>
    <w:rsid w:val="182F467F"/>
    <w:rsid w:val="19191C06"/>
    <w:rsid w:val="19983002"/>
    <w:rsid w:val="1A467D8D"/>
    <w:rsid w:val="1A51768B"/>
    <w:rsid w:val="1AA46F5C"/>
    <w:rsid w:val="1AF06347"/>
    <w:rsid w:val="1B16140A"/>
    <w:rsid w:val="1B593EEC"/>
    <w:rsid w:val="1B642891"/>
    <w:rsid w:val="1BB90E2F"/>
    <w:rsid w:val="1D214EDE"/>
    <w:rsid w:val="1D7A639C"/>
    <w:rsid w:val="1E2527AC"/>
    <w:rsid w:val="1EA23DFC"/>
    <w:rsid w:val="1EEB7551"/>
    <w:rsid w:val="20D3029D"/>
    <w:rsid w:val="21AE2AB8"/>
    <w:rsid w:val="2204302B"/>
    <w:rsid w:val="2208666C"/>
    <w:rsid w:val="221768AF"/>
    <w:rsid w:val="224A458F"/>
    <w:rsid w:val="2275010B"/>
    <w:rsid w:val="26E34DC9"/>
    <w:rsid w:val="271A6988"/>
    <w:rsid w:val="27381396"/>
    <w:rsid w:val="28A035CF"/>
    <w:rsid w:val="294066EC"/>
    <w:rsid w:val="2B2F47A6"/>
    <w:rsid w:val="2B367DA6"/>
    <w:rsid w:val="2B89604B"/>
    <w:rsid w:val="2CE37ABA"/>
    <w:rsid w:val="2CF811BB"/>
    <w:rsid w:val="2D1531B6"/>
    <w:rsid w:val="2DBC1FA3"/>
    <w:rsid w:val="2E474078"/>
    <w:rsid w:val="2F6A44C2"/>
    <w:rsid w:val="30E1618E"/>
    <w:rsid w:val="31306953"/>
    <w:rsid w:val="31BC4D7D"/>
    <w:rsid w:val="31C95593"/>
    <w:rsid w:val="34FA62E8"/>
    <w:rsid w:val="35C310BC"/>
    <w:rsid w:val="36774FC2"/>
    <w:rsid w:val="380C7E9D"/>
    <w:rsid w:val="38C5334F"/>
    <w:rsid w:val="38FA0D59"/>
    <w:rsid w:val="39474BFE"/>
    <w:rsid w:val="39904B26"/>
    <w:rsid w:val="3B2F3D42"/>
    <w:rsid w:val="3B4E6A46"/>
    <w:rsid w:val="3DF24BCA"/>
    <w:rsid w:val="3E371A14"/>
    <w:rsid w:val="3E4660FB"/>
    <w:rsid w:val="3E4C3F9D"/>
    <w:rsid w:val="3EA80B63"/>
    <w:rsid w:val="3EF142B8"/>
    <w:rsid w:val="3F197922"/>
    <w:rsid w:val="3F3506BF"/>
    <w:rsid w:val="3F9309E2"/>
    <w:rsid w:val="40B70936"/>
    <w:rsid w:val="428C42F8"/>
    <w:rsid w:val="43136EE9"/>
    <w:rsid w:val="43593067"/>
    <w:rsid w:val="43DE2931"/>
    <w:rsid w:val="43E91A02"/>
    <w:rsid w:val="452151CC"/>
    <w:rsid w:val="454A606C"/>
    <w:rsid w:val="45A57BAB"/>
    <w:rsid w:val="46A460B4"/>
    <w:rsid w:val="47071E40"/>
    <w:rsid w:val="472B7988"/>
    <w:rsid w:val="47D625B3"/>
    <w:rsid w:val="488F72FE"/>
    <w:rsid w:val="49271519"/>
    <w:rsid w:val="49E329DE"/>
    <w:rsid w:val="4AA566E8"/>
    <w:rsid w:val="4B524331"/>
    <w:rsid w:val="4C197FCF"/>
    <w:rsid w:val="4C1D70EF"/>
    <w:rsid w:val="4CC225BD"/>
    <w:rsid w:val="4CCA439B"/>
    <w:rsid w:val="4D3006A2"/>
    <w:rsid w:val="4DC335C9"/>
    <w:rsid w:val="4E7F0D6A"/>
    <w:rsid w:val="4EBE0818"/>
    <w:rsid w:val="4F495A4B"/>
    <w:rsid w:val="4F711D1E"/>
    <w:rsid w:val="4FF12464"/>
    <w:rsid w:val="4FFF120E"/>
    <w:rsid w:val="50242014"/>
    <w:rsid w:val="514B417F"/>
    <w:rsid w:val="51ED6B61"/>
    <w:rsid w:val="528079D5"/>
    <w:rsid w:val="52E97D3F"/>
    <w:rsid w:val="5371346F"/>
    <w:rsid w:val="539B439B"/>
    <w:rsid w:val="54260108"/>
    <w:rsid w:val="54DE520B"/>
    <w:rsid w:val="55741D63"/>
    <w:rsid w:val="56101070"/>
    <w:rsid w:val="56C105BC"/>
    <w:rsid w:val="592573B7"/>
    <w:rsid w:val="5B4256B7"/>
    <w:rsid w:val="5B457332"/>
    <w:rsid w:val="5BA506CF"/>
    <w:rsid w:val="5C01561F"/>
    <w:rsid w:val="5C1904F2"/>
    <w:rsid w:val="5C901728"/>
    <w:rsid w:val="5D6D0B56"/>
    <w:rsid w:val="5DB449D7"/>
    <w:rsid w:val="5E8A398A"/>
    <w:rsid w:val="607F434B"/>
    <w:rsid w:val="60974590"/>
    <w:rsid w:val="60AD570E"/>
    <w:rsid w:val="60D801D1"/>
    <w:rsid w:val="617C6CF0"/>
    <w:rsid w:val="61F41CE9"/>
    <w:rsid w:val="63685240"/>
    <w:rsid w:val="63D27965"/>
    <w:rsid w:val="63DD630A"/>
    <w:rsid w:val="642B066E"/>
    <w:rsid w:val="66415276"/>
    <w:rsid w:val="66862210"/>
    <w:rsid w:val="678E0047"/>
    <w:rsid w:val="67C47F0C"/>
    <w:rsid w:val="69212C09"/>
    <w:rsid w:val="6A425452"/>
    <w:rsid w:val="6A7A3035"/>
    <w:rsid w:val="6ABA55F7"/>
    <w:rsid w:val="6BA208B3"/>
    <w:rsid w:val="6BFC1AEE"/>
    <w:rsid w:val="6C195A52"/>
    <w:rsid w:val="6DA82D3D"/>
    <w:rsid w:val="6EC46A44"/>
    <w:rsid w:val="708244C1"/>
    <w:rsid w:val="71031AA6"/>
    <w:rsid w:val="711C5F38"/>
    <w:rsid w:val="717007BD"/>
    <w:rsid w:val="71B763EC"/>
    <w:rsid w:val="73261A7B"/>
    <w:rsid w:val="74E76FE8"/>
    <w:rsid w:val="751F49D4"/>
    <w:rsid w:val="781E5C64"/>
    <w:rsid w:val="78300CA6"/>
    <w:rsid w:val="785C1A9B"/>
    <w:rsid w:val="7BB37C24"/>
    <w:rsid w:val="7D4A26D8"/>
    <w:rsid w:val="7E730A6A"/>
    <w:rsid w:val="7FE561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2">
    <w:name w:val="heading 4"/>
    <w:basedOn w:val="1"/>
    <w:next w:val="1"/>
    <w:unhideWhenUsed/>
    <w:qFormat/>
    <w:uiPriority w:val="0"/>
    <w:pPr>
      <w:keepNext/>
      <w:keepLines/>
      <w:widowControl w:val="0"/>
      <w:spacing w:before="280" w:after="290" w:line="376" w:lineRule="auto"/>
      <w:jc w:val="both"/>
      <w:outlineLvl w:val="3"/>
    </w:pPr>
    <w:rPr>
      <w:rFonts w:ascii="Cambria" w:hAnsi="Cambria" w:eastAsia="宋体" w:cs="Times New Roman"/>
      <w:bCs/>
      <w:kern w:val="2"/>
      <w:sz w:val="21"/>
      <w:szCs w:val="28"/>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1481</Words>
  <Characters>1497</Characters>
  <Lines>0</Lines>
  <Paragraphs>0</Paragraphs>
  <TotalTime>23</TotalTime>
  <ScaleCrop>false</ScaleCrop>
  <LinksUpToDate>false</LinksUpToDate>
  <CharactersWithSpaces>1497</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2026-07-28T06:12:00Z</dcterms:created>
  <dc:creator>liujiao</dc:creator>
  <cp:lastModifiedBy>Zhang Q</cp:lastModifiedBy>
  <dcterms:modified xsi:type="dcterms:W3CDTF">2026-07-29T07:54:18Z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eyJoZGlkIjoiYjg1NTQ0NzFjZGVkMDdjNTc3ZTMxNWMwYzViZjJiNGQiLCJ1c2VySWQiOiIyMDk4MTc0MiJ9</vt:lpwstr>
  </property>
  <property fmtid="{D5CDD505-2E9C-101B-9397-08002B2CF9AE}" pid="4" name="ICV">
    <vt:lpwstr>E10D328B3C5E4DCF813CE2D6B4870A96_12</vt:lpwstr>
  </property>
</Properties>
</file>