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2F582">
      <w:pPr>
        <w:spacing w:line="560" w:lineRule="exact"/>
        <w:rPr>
          <w:rFonts w:hint="eastAsia" w:ascii="楷体_GB2312" w:hAnsi="楷体_GB2312" w:eastAsia="楷体_GB2312"/>
          <w:b/>
          <w:bCs/>
          <w:szCs w:val="32"/>
        </w:rPr>
      </w:pPr>
      <w:r>
        <w:rPr>
          <w:rFonts w:hint="eastAsia" w:ascii="楷体_GB2312" w:hAnsi="楷体_GB2312" w:eastAsia="楷体_GB2312"/>
          <w:bCs/>
          <w:szCs w:val="32"/>
        </w:rPr>
        <w:t>北京市石景山区“十五五”一般专项规划</w:t>
      </w:r>
    </w:p>
    <w:p w14:paraId="5941035C">
      <w:pPr>
        <w:spacing w:line="560" w:lineRule="exact"/>
        <w:ind w:firstLine="640" w:firstLineChars="200"/>
        <w:contextualSpacing/>
        <w:jc w:val="center"/>
        <w:rPr>
          <w:rFonts w:hint="eastAsia" w:ascii="楷体_GB2312" w:hAnsi="楷体_GB2312" w:eastAsia="楷体_GB2312" w:cs="楷体_GB2312"/>
          <w:szCs w:val="32"/>
        </w:rPr>
      </w:pPr>
    </w:p>
    <w:p w14:paraId="59E32FFD">
      <w:pPr>
        <w:spacing w:line="560" w:lineRule="exact"/>
        <w:ind w:firstLine="640" w:firstLineChars="200"/>
        <w:contextualSpacing/>
        <w:jc w:val="center"/>
        <w:rPr>
          <w:rFonts w:ascii="Times" w:hAnsi="Times" w:eastAsia="方正小标宋简体"/>
          <w:szCs w:val="44"/>
        </w:rPr>
      </w:pPr>
    </w:p>
    <w:p w14:paraId="3FE2844C">
      <w:pPr>
        <w:spacing w:line="560" w:lineRule="exact"/>
        <w:ind w:firstLine="640" w:firstLineChars="200"/>
        <w:contextualSpacing/>
        <w:jc w:val="center"/>
        <w:rPr>
          <w:rFonts w:ascii="Times" w:hAnsi="Times" w:eastAsia="方正小标宋简体"/>
          <w:szCs w:val="44"/>
        </w:rPr>
      </w:pPr>
    </w:p>
    <w:p w14:paraId="5EE7AB3C">
      <w:pPr>
        <w:spacing w:line="560" w:lineRule="exact"/>
        <w:ind w:firstLine="640" w:firstLineChars="200"/>
        <w:contextualSpacing/>
        <w:jc w:val="center"/>
        <w:rPr>
          <w:rFonts w:ascii="Times" w:hAnsi="Times" w:eastAsia="方正小标宋简体"/>
          <w:szCs w:val="44"/>
        </w:rPr>
      </w:pPr>
    </w:p>
    <w:p w14:paraId="186AE324">
      <w:pPr>
        <w:spacing w:line="560" w:lineRule="exact"/>
        <w:ind w:firstLine="640" w:firstLineChars="200"/>
        <w:contextualSpacing/>
        <w:jc w:val="center"/>
        <w:rPr>
          <w:rFonts w:ascii="Times" w:hAnsi="Times" w:eastAsia="方正小标宋简体"/>
          <w:szCs w:val="44"/>
        </w:rPr>
      </w:pPr>
    </w:p>
    <w:p w14:paraId="4F78ECA4">
      <w:pPr>
        <w:spacing w:line="560" w:lineRule="exact"/>
        <w:ind w:firstLine="640" w:firstLineChars="200"/>
        <w:contextualSpacing/>
        <w:jc w:val="center"/>
        <w:rPr>
          <w:rFonts w:ascii="Times" w:hAnsi="Times" w:eastAsia="方正小标宋简体"/>
          <w:szCs w:val="44"/>
        </w:rPr>
      </w:pPr>
    </w:p>
    <w:p w14:paraId="187F37C8">
      <w:pPr>
        <w:spacing w:line="560" w:lineRule="exact"/>
        <w:contextualSpacing/>
        <w:jc w:val="center"/>
        <w:rPr>
          <w:rFonts w:ascii="Times" w:hAnsi="Times" w:eastAsia="方正小标宋简体"/>
          <w:sz w:val="52"/>
          <w:szCs w:val="52"/>
        </w:rPr>
      </w:pPr>
      <w:r>
        <w:rPr>
          <w:rFonts w:hint="eastAsia" w:ascii="Times" w:hAnsi="Times" w:eastAsia="方正小标宋简体"/>
          <w:sz w:val="52"/>
          <w:szCs w:val="52"/>
        </w:rPr>
        <w:t>石景山区“十五五”时期</w:t>
      </w:r>
    </w:p>
    <w:p w14:paraId="658DE3D8">
      <w:pPr>
        <w:spacing w:line="560" w:lineRule="exact"/>
        <w:contextualSpacing/>
        <w:jc w:val="center"/>
        <w:rPr>
          <w:rFonts w:ascii="Times" w:hAnsi="Times" w:eastAsia="方正小标宋简体"/>
          <w:sz w:val="52"/>
          <w:szCs w:val="52"/>
        </w:rPr>
      </w:pPr>
      <w:r>
        <w:rPr>
          <w:rFonts w:hint="eastAsia" w:ascii="Times" w:hAnsi="Times" w:eastAsia="方正小标宋简体"/>
          <w:sz w:val="52"/>
          <w:szCs w:val="52"/>
        </w:rPr>
        <w:t>妇女儿童发展规划（</w:t>
      </w:r>
      <w:r>
        <w:rPr>
          <w:rFonts w:hint="eastAsia" w:ascii="Times" w:hAnsi="Times" w:eastAsia="方正小标宋简体"/>
          <w:sz w:val="52"/>
          <w:szCs w:val="52"/>
          <w:lang w:eastAsia="zh-CN"/>
        </w:rPr>
        <w:t>征求意见稿</w:t>
      </w:r>
      <w:r>
        <w:rPr>
          <w:rFonts w:hint="eastAsia" w:ascii="Times" w:hAnsi="Times" w:eastAsia="方正小标宋简体"/>
          <w:sz w:val="52"/>
          <w:szCs w:val="52"/>
        </w:rPr>
        <w:t>）</w:t>
      </w:r>
    </w:p>
    <w:p w14:paraId="2AB216F0">
      <w:pPr>
        <w:tabs>
          <w:tab w:val="left" w:pos="0"/>
        </w:tabs>
        <w:spacing w:after="120" w:afterLines="50" w:line="560" w:lineRule="exact"/>
        <w:ind w:firstLine="640" w:firstLineChars="200"/>
        <w:contextualSpacing/>
        <w:jc w:val="center"/>
        <w:rPr>
          <w:rFonts w:hint="eastAsia" w:ascii="楷体_GB2312" w:hAnsi="楷体" w:eastAsia="楷体_GB2312"/>
          <w:szCs w:val="36"/>
        </w:rPr>
      </w:pPr>
    </w:p>
    <w:p w14:paraId="7E4D6651">
      <w:pPr>
        <w:tabs>
          <w:tab w:val="left" w:pos="0"/>
        </w:tabs>
        <w:spacing w:after="120" w:afterLines="50" w:line="560" w:lineRule="exact"/>
        <w:ind w:firstLine="640" w:firstLineChars="200"/>
        <w:contextualSpacing/>
        <w:jc w:val="center"/>
        <w:rPr>
          <w:rFonts w:hint="eastAsia" w:ascii="楷体_GB2312" w:hAnsi="楷体" w:eastAsia="楷体_GB2312"/>
          <w:szCs w:val="36"/>
        </w:rPr>
      </w:pPr>
    </w:p>
    <w:p w14:paraId="0EB7F7DF">
      <w:pPr>
        <w:tabs>
          <w:tab w:val="left" w:pos="0"/>
        </w:tabs>
        <w:spacing w:after="120" w:afterLines="50" w:line="560" w:lineRule="exact"/>
        <w:ind w:firstLine="640" w:firstLineChars="200"/>
        <w:contextualSpacing/>
        <w:jc w:val="center"/>
        <w:rPr>
          <w:rFonts w:ascii="Times" w:hAnsi="Times" w:eastAsia="黑体"/>
          <w:szCs w:val="36"/>
        </w:rPr>
      </w:pPr>
    </w:p>
    <w:p w14:paraId="5EA9C137">
      <w:pPr>
        <w:tabs>
          <w:tab w:val="left" w:pos="0"/>
        </w:tabs>
        <w:spacing w:after="120" w:afterLines="50" w:line="560" w:lineRule="exact"/>
        <w:ind w:firstLine="640" w:firstLineChars="200"/>
        <w:contextualSpacing/>
        <w:jc w:val="center"/>
        <w:rPr>
          <w:rFonts w:ascii="Times" w:hAnsi="Times" w:eastAsia="黑体"/>
          <w:szCs w:val="36"/>
        </w:rPr>
      </w:pPr>
    </w:p>
    <w:p w14:paraId="3C15C6BE">
      <w:pPr>
        <w:tabs>
          <w:tab w:val="left" w:pos="0"/>
        </w:tabs>
        <w:spacing w:after="120" w:afterLines="50" w:line="560" w:lineRule="exact"/>
        <w:ind w:firstLine="640" w:firstLineChars="200"/>
        <w:contextualSpacing/>
        <w:jc w:val="center"/>
        <w:rPr>
          <w:rFonts w:ascii="Times" w:hAnsi="Times" w:eastAsia="黑体"/>
          <w:szCs w:val="36"/>
        </w:rPr>
      </w:pPr>
    </w:p>
    <w:p w14:paraId="682D8145">
      <w:pPr>
        <w:tabs>
          <w:tab w:val="left" w:pos="0"/>
        </w:tabs>
        <w:spacing w:after="120" w:afterLines="50" w:line="560" w:lineRule="exact"/>
        <w:ind w:firstLine="640" w:firstLineChars="200"/>
        <w:contextualSpacing/>
        <w:jc w:val="center"/>
        <w:rPr>
          <w:rFonts w:ascii="Times" w:hAnsi="Times" w:eastAsia="黑体"/>
          <w:szCs w:val="36"/>
        </w:rPr>
      </w:pPr>
    </w:p>
    <w:p w14:paraId="62D46657">
      <w:pPr>
        <w:tabs>
          <w:tab w:val="left" w:pos="0"/>
        </w:tabs>
        <w:spacing w:after="120" w:afterLines="50" w:line="560" w:lineRule="exact"/>
        <w:ind w:firstLine="640" w:firstLineChars="200"/>
        <w:contextualSpacing/>
        <w:jc w:val="center"/>
        <w:rPr>
          <w:rFonts w:ascii="Times" w:hAnsi="Times" w:eastAsia="黑体"/>
          <w:szCs w:val="36"/>
        </w:rPr>
      </w:pPr>
    </w:p>
    <w:p w14:paraId="4111CF05">
      <w:pPr>
        <w:tabs>
          <w:tab w:val="left" w:pos="0"/>
        </w:tabs>
        <w:spacing w:after="120" w:afterLines="50" w:line="560" w:lineRule="exact"/>
        <w:ind w:firstLine="640" w:firstLineChars="200"/>
        <w:contextualSpacing/>
        <w:jc w:val="center"/>
        <w:rPr>
          <w:rFonts w:ascii="Times" w:hAnsi="Times" w:eastAsia="黑体"/>
          <w:szCs w:val="36"/>
        </w:rPr>
      </w:pPr>
    </w:p>
    <w:p w14:paraId="78C60F3F">
      <w:pPr>
        <w:tabs>
          <w:tab w:val="left" w:pos="0"/>
        </w:tabs>
        <w:spacing w:after="120" w:afterLines="50" w:line="560" w:lineRule="exact"/>
        <w:ind w:firstLine="640" w:firstLineChars="200"/>
        <w:contextualSpacing/>
        <w:jc w:val="center"/>
        <w:rPr>
          <w:rFonts w:ascii="Times" w:hAnsi="Times" w:eastAsia="黑体"/>
          <w:szCs w:val="36"/>
        </w:rPr>
      </w:pPr>
    </w:p>
    <w:p w14:paraId="19E02FD4">
      <w:pPr>
        <w:tabs>
          <w:tab w:val="left" w:pos="0"/>
        </w:tabs>
        <w:spacing w:after="120" w:afterLines="50" w:line="560" w:lineRule="exact"/>
        <w:ind w:firstLine="640" w:firstLineChars="200"/>
        <w:contextualSpacing/>
        <w:jc w:val="center"/>
        <w:rPr>
          <w:rFonts w:ascii="Times" w:hAnsi="Times" w:eastAsia="黑体"/>
          <w:szCs w:val="36"/>
        </w:rPr>
      </w:pPr>
    </w:p>
    <w:p w14:paraId="0B2BA1A2">
      <w:pPr>
        <w:tabs>
          <w:tab w:val="left" w:pos="0"/>
        </w:tabs>
        <w:spacing w:after="120" w:afterLines="50" w:line="560" w:lineRule="exact"/>
        <w:contextualSpacing/>
        <w:jc w:val="center"/>
        <w:rPr>
          <w:rFonts w:ascii="Times" w:hAnsi="Times" w:eastAsia="黑体"/>
          <w:szCs w:val="32"/>
        </w:rPr>
      </w:pPr>
      <w:r>
        <w:rPr>
          <w:rFonts w:hint="eastAsia" w:ascii="Times" w:hAnsi="Times" w:eastAsia="黑体"/>
          <w:szCs w:val="32"/>
        </w:rPr>
        <w:t>北京市石景山区妇女儿童工作委员会</w:t>
      </w:r>
    </w:p>
    <w:p w14:paraId="71DEAC82">
      <w:pPr>
        <w:tabs>
          <w:tab w:val="left" w:pos="0"/>
        </w:tabs>
        <w:spacing w:after="120" w:afterLines="50" w:line="560" w:lineRule="exact"/>
        <w:contextualSpacing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2026年7月</w:t>
      </w:r>
    </w:p>
    <w:p w14:paraId="0F272D73">
      <w:pPr>
        <w:tabs>
          <w:tab w:val="left" w:pos="5378"/>
        </w:tabs>
        <w:spacing w:line="560" w:lineRule="exact"/>
        <w:jc w:val="left"/>
        <w:rPr>
          <w:lang w:val="zh-CN"/>
        </w:rPr>
      </w:pPr>
    </w:p>
    <w:p w14:paraId="0163C0D7">
      <w:pPr>
        <w:rPr>
          <w:lang w:val="zh-CN"/>
        </w:rPr>
      </w:pPr>
    </w:p>
    <w:p w14:paraId="2C7B3273">
      <w:pPr>
        <w:pStyle w:val="2"/>
        <w:rPr>
          <w:lang w:val="zh-CN"/>
        </w:rPr>
      </w:pPr>
    </w:p>
    <w:p w14:paraId="07CF1868">
      <w:pPr>
        <w:rPr>
          <w:lang w:val="zh-CN"/>
        </w:rPr>
        <w:sectPr>
          <w:footerReference r:id="rId6" w:type="first"/>
          <w:footerReference r:id="rId5" w:type="default"/>
          <w:pgSz w:w="11906" w:h="16838"/>
          <w:pgMar w:top="2098" w:right="1474" w:bottom="1985" w:left="1588" w:header="709" w:footer="709" w:gutter="0"/>
          <w:pgNumType w:fmt="decimal"/>
          <w:cols w:space="720" w:num="1"/>
          <w:docGrid w:linePitch="435" w:charSpace="0"/>
        </w:sectPr>
      </w:pPr>
    </w:p>
    <w:sdt>
      <w:sdtPr>
        <w:rPr>
          <w:rFonts w:hint="eastAsia" w:ascii="黑体" w:hAnsi="黑体" w:eastAsia="黑体" w:cs="黑体"/>
          <w:szCs w:val="32"/>
        </w:rPr>
        <w:id w:val="147477287"/>
      </w:sdtPr>
      <w:sdtEndPr>
        <w:rPr>
          <w:rFonts w:hint="eastAsia" w:ascii="宋体" w:hAnsi="宋体" w:eastAsia="宋体" w:cs="Times New Roman"/>
          <w:sz w:val="21"/>
          <w:szCs w:val="24"/>
        </w:rPr>
      </w:sdtEndPr>
      <w:sdtContent>
        <w:p w14:paraId="249CD2F4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after="0" w:line="240" w:lineRule="auto"/>
            <w:jc w:val="center"/>
            <w:textAlignment w:val="auto"/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pPr>
          <w:r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  <w:t>目录</w:t>
          </w:r>
        </w:p>
        <w:p w14:paraId="26771F89"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TOC \o "1-9"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_Toc19805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bCs/>
              <w:kern w:val="44"/>
              <w:szCs w:val="32"/>
            </w:rPr>
            <w:t>一、总体要求</w:t>
          </w:r>
          <w:r>
            <w:tab/>
          </w:r>
          <w:r>
            <w:fldChar w:fldCharType="begin"/>
          </w:r>
          <w:r>
            <w:instrText xml:space="preserve"> PAGEREF _Toc19805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678B4FE7"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 HYPERLINK \l _Toc9486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bCs/>
              <w:kern w:val="44"/>
              <w:szCs w:val="32"/>
            </w:rPr>
            <w:t>二、促进妇女全面发展的重点任务</w:t>
          </w:r>
          <w:r>
            <w:tab/>
          </w:r>
          <w:r>
            <w:fldChar w:fldCharType="begin"/>
          </w:r>
          <w:r>
            <w:instrText xml:space="preserve"> PAGEREF _Toc9486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A8052B4"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 HYPERLINK \l _Toc3489 </w:instrText>
          </w:r>
          <w:r>
            <w:fldChar w:fldCharType="separate"/>
          </w:r>
          <w:r>
            <w:rPr>
              <w:rFonts w:hint="eastAsia" w:ascii="楷体_GB2312" w:hAnsi="楷体_GB2312" w:eastAsia="楷体_GB2312" w:cs="楷体_GB2312"/>
              <w:bCs/>
              <w:szCs w:val="32"/>
            </w:rPr>
            <w:t>（一）优化妇女全生命周期健康服务体系</w:t>
          </w:r>
          <w:r>
            <w:tab/>
          </w:r>
          <w:r>
            <w:fldChar w:fldCharType="begin"/>
          </w:r>
          <w:r>
            <w:instrText xml:space="preserve"> PAGEREF _Toc3489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4596164"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 HYPERLINK \l _Toc6756 </w:instrText>
          </w:r>
          <w:r>
            <w:fldChar w:fldCharType="separate"/>
          </w:r>
          <w:r>
            <w:rPr>
              <w:rFonts w:hint="eastAsia" w:ascii="楷体_GB2312" w:hAnsi="楷体_GB2312" w:eastAsia="楷体_GB2312" w:cs="楷体_GB2312"/>
              <w:bCs/>
              <w:szCs w:val="32"/>
            </w:rPr>
            <w:t>（二）高质量教育一体化贯通</w:t>
          </w:r>
          <w:r>
            <w:tab/>
          </w:r>
          <w:r>
            <w:fldChar w:fldCharType="begin"/>
          </w:r>
          <w:r>
            <w:instrText xml:space="preserve"> PAGEREF _Toc6756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197F5D9"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 HYPERLINK \l _Toc8280 </w:instrText>
          </w:r>
          <w:r>
            <w:fldChar w:fldCharType="separate"/>
          </w:r>
          <w:r>
            <w:rPr>
              <w:rFonts w:hint="eastAsia" w:ascii="楷体_GB2312" w:hAnsi="楷体_GB2312" w:eastAsia="楷体_GB2312" w:cs="楷体_GB2312"/>
              <w:bCs w:val="0"/>
            </w:rPr>
            <w:t>（三）</w:t>
          </w:r>
          <w:r>
            <w:rPr>
              <w:rFonts w:hint="eastAsia" w:ascii="楷体_GB2312" w:hAnsi="楷体_GB2312" w:eastAsia="楷体_GB2312" w:cs="楷体_GB2312"/>
              <w:bCs w:val="0"/>
              <w:lang w:eastAsia="zh-CN"/>
            </w:rPr>
            <w:t>推动妇女高质量充分就业</w:t>
          </w:r>
          <w:r>
            <w:tab/>
          </w:r>
          <w:r>
            <w:rPr>
              <w:rFonts w:hint="eastAsia"/>
              <w:lang w:val="en-US" w:eastAsia="zh-CN"/>
            </w:rPr>
            <w:t>5</w:t>
          </w:r>
          <w:r>
            <w:fldChar w:fldCharType="end"/>
          </w:r>
        </w:p>
        <w:p w14:paraId="35AD88BE"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 HYPERLINK \l _Toc19129 </w:instrText>
          </w:r>
          <w:r>
            <w:fldChar w:fldCharType="separate"/>
          </w:r>
          <w:r>
            <w:rPr>
              <w:rFonts w:hint="eastAsia" w:ascii="楷体_GB2312" w:hAnsi="楷体_GB2312" w:eastAsia="楷体_GB2312" w:cs="楷体_GB2312"/>
              <w:bCs w:val="0"/>
            </w:rPr>
            <w:t>（四）扎实提升妇女参政议政水平</w:t>
          </w:r>
          <w:r>
            <w:tab/>
          </w:r>
          <w:r>
            <w:fldChar w:fldCharType="begin"/>
          </w:r>
          <w:r>
            <w:instrText xml:space="preserve"> PAGEREF _Toc19129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459726B"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 HYPERLINK \l _Toc5132 </w:instrText>
          </w:r>
          <w:r>
            <w:fldChar w:fldCharType="separate"/>
          </w:r>
          <w:r>
            <w:rPr>
              <w:rFonts w:hint="eastAsia" w:ascii="楷体_GB2312" w:hAnsi="楷体_GB2312" w:eastAsia="楷体_GB2312" w:cs="楷体_GB2312"/>
              <w:bCs w:val="0"/>
            </w:rPr>
            <w:t>（五）推动多层次社会保障体系高质量、可持续发展</w:t>
          </w:r>
          <w:r>
            <w:tab/>
          </w:r>
          <w:r>
            <w:fldChar w:fldCharType="begin"/>
          </w:r>
          <w:r>
            <w:instrText xml:space="preserve"> PAGEREF _Toc5132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9B9B966"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 HYPERLINK \l _Toc10014 </w:instrText>
          </w:r>
          <w:r>
            <w:fldChar w:fldCharType="separate"/>
          </w:r>
          <w:r>
            <w:rPr>
              <w:rFonts w:hint="eastAsia" w:ascii="楷体_GB2312" w:hAnsi="楷体_GB2312" w:eastAsia="楷体_GB2312" w:cs="楷体_GB2312"/>
              <w:bCs w:val="0"/>
            </w:rPr>
            <w:t>（六）强化家庭支持力度</w:t>
          </w:r>
          <w:r>
            <w:tab/>
          </w:r>
          <w:r>
            <w:fldChar w:fldCharType="begin"/>
          </w:r>
          <w:r>
            <w:instrText xml:space="preserve"> PAGEREF _Toc10014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09557D8B"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 HYPERLINK \l _Toc1913 </w:instrText>
          </w:r>
          <w:r>
            <w:fldChar w:fldCharType="separate"/>
          </w:r>
          <w:r>
            <w:rPr>
              <w:rFonts w:hint="eastAsia" w:ascii="楷体_GB2312" w:hAnsi="楷体_GB2312" w:eastAsia="楷体_GB2312" w:cs="楷体_GB2312"/>
              <w:bCs w:val="0"/>
            </w:rPr>
            <w:t>（七）打造性别平等的社会环境</w:t>
          </w:r>
          <w:r>
            <w:tab/>
          </w:r>
          <w:r>
            <w:fldChar w:fldCharType="begin"/>
          </w:r>
          <w:r>
            <w:instrText xml:space="preserve"> PAGEREF _Toc1913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3DFCFEDA"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 HYPERLINK \l _Toc9633 </w:instrText>
          </w:r>
          <w:r>
            <w:fldChar w:fldCharType="separate"/>
          </w:r>
          <w:r>
            <w:rPr>
              <w:rFonts w:ascii="楷体_GB2312" w:hAnsi="楷体_GB2312" w:eastAsia="楷体_GB2312" w:cs="楷体_GB2312"/>
              <w:bCs w:val="0"/>
            </w:rPr>
            <w:t>（八）</w:t>
          </w:r>
          <w:r>
            <w:rPr>
              <w:rFonts w:hint="eastAsia" w:ascii="楷体_GB2312" w:hAnsi="楷体_GB2312" w:eastAsia="楷体_GB2312" w:cs="楷体_GB2312"/>
              <w:bCs w:val="0"/>
            </w:rPr>
            <w:t>完善保障妇女合法权益的政策机制</w:t>
          </w:r>
          <w:r>
            <w:tab/>
          </w:r>
          <w:r>
            <w:fldChar w:fldCharType="begin"/>
          </w:r>
          <w:r>
            <w:instrText xml:space="preserve"> PAGEREF _Toc9633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48137096"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 HYPERLINK \l _Toc10669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bCs/>
              <w:kern w:val="44"/>
              <w:szCs w:val="32"/>
            </w:rPr>
            <w:t>三、保障儿童优先发展的重点任务</w:t>
          </w:r>
          <w:r>
            <w:tab/>
          </w:r>
          <w:r>
            <w:fldChar w:fldCharType="begin"/>
          </w:r>
          <w:r>
            <w:instrText xml:space="preserve"> PAGEREF _Toc10669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59CF8727"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 HYPERLINK \l _Toc28014 </w:instrText>
          </w:r>
          <w:r>
            <w:fldChar w:fldCharType="separate"/>
          </w:r>
          <w:r>
            <w:rPr>
              <w:rFonts w:hint="eastAsia" w:ascii="楷体_GB2312" w:hAnsi="楷体_GB2312" w:eastAsia="楷体_GB2312" w:cs="楷体_GB2312"/>
              <w:bCs/>
              <w:szCs w:val="32"/>
            </w:rPr>
            <w:t>（一）完善儿童健康服务体系</w:t>
          </w:r>
          <w:r>
            <w:tab/>
          </w:r>
          <w:r>
            <w:fldChar w:fldCharType="begin"/>
          </w:r>
          <w:r>
            <w:instrText xml:space="preserve"> PAGEREF _Toc28014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711E234C"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 HYPERLINK \l _Toc12335 </w:instrText>
          </w:r>
          <w:r>
            <w:fldChar w:fldCharType="separate"/>
          </w:r>
          <w:r>
            <w:rPr>
              <w:rFonts w:hint="eastAsia" w:ascii="楷体_GB2312" w:hAnsi="楷体_GB2312" w:eastAsia="楷体_GB2312" w:cs="楷体_GB2312"/>
            </w:rPr>
            <w:t>（二）打造全方位立体安全防护网</w:t>
          </w:r>
          <w:r>
            <w:tab/>
          </w:r>
          <w:r>
            <w:fldChar w:fldCharType="begin"/>
          </w:r>
          <w:r>
            <w:instrText xml:space="preserve"> PAGEREF _Toc12335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F442F68"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 HYPERLINK \l _Toc1230 </w:instrText>
          </w:r>
          <w:r>
            <w:fldChar w:fldCharType="separate"/>
          </w:r>
          <w:r>
            <w:rPr>
              <w:rFonts w:hint="eastAsia" w:ascii="楷体_GB2312" w:hAnsi="楷体_GB2312" w:eastAsia="楷体_GB2312" w:cs="楷体_GB2312"/>
              <w:bCs/>
              <w:szCs w:val="32"/>
            </w:rPr>
            <w:t>（三）构建普惠优质教育体系</w:t>
          </w:r>
          <w:r>
            <w:tab/>
          </w:r>
          <w:r>
            <w:fldChar w:fldCharType="begin"/>
          </w:r>
          <w:r>
            <w:instrText xml:space="preserve"> PAGEREF _Toc1230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15089253"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 HYPERLINK \l _Toc7039 </w:instrText>
          </w:r>
          <w:r>
            <w:fldChar w:fldCharType="separate"/>
          </w:r>
          <w:r>
            <w:rPr>
              <w:rFonts w:ascii="楷体_GB2312" w:hAnsi="楷体_GB2312" w:eastAsia="楷体_GB2312" w:cs="楷体_GB2312"/>
              <w:bCs w:val="0"/>
            </w:rPr>
            <w:t>（四）落实落细</w:t>
          </w:r>
          <w:r>
            <w:rPr>
              <w:rFonts w:hint="eastAsia" w:ascii="楷体_GB2312" w:hAnsi="楷体_GB2312" w:eastAsia="楷体_GB2312" w:cs="楷体_GB2312"/>
              <w:bCs w:val="0"/>
            </w:rPr>
            <w:t>儿童</w:t>
          </w:r>
          <w:r>
            <w:rPr>
              <w:rFonts w:ascii="楷体_GB2312" w:hAnsi="楷体_GB2312" w:eastAsia="楷体_GB2312" w:cs="楷体_GB2312"/>
              <w:bCs w:val="0"/>
            </w:rPr>
            <w:t>福利政策</w:t>
          </w:r>
          <w:r>
            <w:tab/>
          </w:r>
          <w:r>
            <w:fldChar w:fldCharType="begin"/>
          </w:r>
          <w:r>
            <w:instrText xml:space="preserve"> PAGEREF _Toc7039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57AAC9A5"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 HYPERLINK \l _Toc6197 </w:instrText>
          </w:r>
          <w:r>
            <w:fldChar w:fldCharType="separate"/>
          </w:r>
          <w:r>
            <w:rPr>
              <w:rFonts w:ascii="楷体_GB2312" w:hAnsi="楷体_GB2312" w:eastAsia="楷体_GB2312" w:cs="楷体_GB2312"/>
              <w:bCs w:val="0"/>
            </w:rPr>
            <w:t>（五）深化家庭支持体系建设</w:t>
          </w:r>
          <w:r>
            <w:tab/>
          </w:r>
          <w:r>
            <w:fldChar w:fldCharType="begin"/>
          </w:r>
          <w:r>
            <w:instrText xml:space="preserve"> PAGEREF _Toc6197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101DD8D4"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 HYPERLINK \l _Toc9317 </w:instrText>
          </w:r>
          <w:r>
            <w:fldChar w:fldCharType="separate"/>
          </w:r>
          <w:r>
            <w:rPr>
              <w:rFonts w:ascii="楷体_GB2312" w:hAnsi="楷体_GB2312" w:eastAsia="楷体_GB2312" w:cs="楷体_GB2312"/>
              <w:bCs w:val="0"/>
            </w:rPr>
            <w:t>（六）</w:t>
          </w:r>
          <w:r>
            <w:rPr>
              <w:rFonts w:hint="eastAsia" w:ascii="楷体_GB2312" w:hAnsi="楷体_GB2312" w:eastAsia="楷体_GB2312" w:cs="楷体_GB2312"/>
              <w:bCs w:val="0"/>
            </w:rPr>
            <w:t>推进</w:t>
          </w:r>
          <w:r>
            <w:rPr>
              <w:rFonts w:ascii="楷体_GB2312" w:hAnsi="楷体_GB2312" w:eastAsia="楷体_GB2312" w:cs="楷体_GB2312"/>
              <w:bCs w:val="0"/>
            </w:rPr>
            <w:t>儿童友好城市建设</w:t>
          </w:r>
          <w:r>
            <w:tab/>
          </w:r>
          <w:r>
            <w:fldChar w:fldCharType="begin"/>
          </w:r>
          <w:r>
            <w:instrText xml:space="preserve"> PAGEREF _Toc9317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1944B1B0"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 HYPERLINK \l _Toc27339 </w:instrText>
          </w:r>
          <w:r>
            <w:fldChar w:fldCharType="separate"/>
          </w:r>
          <w:r>
            <w:rPr>
              <w:rFonts w:ascii="楷体_GB2312" w:hAnsi="楷体_GB2312" w:eastAsia="楷体_GB2312" w:cs="楷体_GB2312"/>
              <w:bCs w:val="0"/>
            </w:rPr>
            <w:t>（七）优化儿童法</w:t>
          </w:r>
          <w:r>
            <w:rPr>
              <w:rFonts w:hint="eastAsia" w:ascii="楷体_GB2312" w:hAnsi="楷体_GB2312" w:eastAsia="楷体_GB2312" w:cs="楷体_GB2312"/>
              <w:bCs w:val="0"/>
              <w:lang w:eastAsia="zh-CN"/>
            </w:rPr>
            <w:t>治</w:t>
          </w:r>
          <w:r>
            <w:rPr>
              <w:rFonts w:ascii="楷体_GB2312" w:hAnsi="楷体_GB2312" w:eastAsia="楷体_GB2312" w:cs="楷体_GB2312"/>
              <w:bCs w:val="0"/>
            </w:rPr>
            <w:t>环境</w:t>
          </w:r>
          <w:r>
            <w:tab/>
          </w:r>
          <w:r>
            <w:fldChar w:fldCharType="begin"/>
          </w:r>
          <w:r>
            <w:instrText xml:space="preserve"> PAGEREF _Toc27339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60355E61"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789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begin"/>
          </w:r>
          <w:r>
            <w:instrText xml:space="preserve"> HYPERLINK \l _Toc16619 </w:instrText>
          </w:r>
          <w:r>
            <w:fldChar w:fldCharType="separate"/>
          </w:r>
          <w:r>
            <w:rPr>
              <w:rFonts w:ascii="黑体" w:hAnsi="黑体" w:eastAsia="黑体" w:cs="黑体"/>
              <w:bCs w:val="0"/>
            </w:rPr>
            <w:t>四、</w:t>
          </w:r>
          <w:r>
            <w:rPr>
              <w:rFonts w:hint="eastAsia" w:ascii="黑体" w:hAnsi="黑体" w:eastAsia="黑体" w:cs="黑体"/>
              <w:bCs w:val="0"/>
            </w:rPr>
            <w:t>规划</w:t>
          </w:r>
          <w:r>
            <w:rPr>
              <w:rFonts w:ascii="黑体" w:hAnsi="黑体" w:eastAsia="黑体" w:cs="黑体"/>
              <w:bCs w:val="0"/>
            </w:rPr>
            <w:t>实施</w:t>
          </w:r>
          <w:r>
            <w:rPr>
              <w:rFonts w:hint="eastAsia" w:ascii="黑体" w:hAnsi="黑体" w:eastAsia="黑体" w:cs="黑体"/>
              <w:bCs w:val="0"/>
            </w:rPr>
            <w:t>保障</w:t>
          </w:r>
          <w:r>
            <w:tab/>
          </w:r>
          <w:r>
            <w:fldChar w:fldCharType="begin"/>
          </w:r>
          <w:r>
            <w:instrText xml:space="preserve"> PAGEREF _Toc16619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3A99F8BA">
          <w:pPr>
            <w:pStyle w:val="2"/>
            <w:keepNext w:val="0"/>
            <w:keepLines w:val="0"/>
            <w:pageBreakBefore w:val="0"/>
            <w:widowControl w:val="0"/>
            <w:tabs>
              <w:tab w:val="left" w:pos="698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fldChar w:fldCharType="end"/>
          </w:r>
          <w:r>
            <w:rPr>
              <w:rFonts w:hint="eastAsia"/>
            </w:rPr>
            <w:tab/>
          </w:r>
        </w:p>
      </w:sdtContent>
    </w:sdt>
    <w:p w14:paraId="5E74D06E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  <w:sectPr>
          <w:footerReference r:id="rId7" w:type="default"/>
          <w:pgSz w:w="11850" w:h="16783"/>
          <w:pgMar w:top="2098" w:right="1474" w:bottom="1984" w:left="1587" w:header="720" w:footer="720" w:gutter="0"/>
          <w:pgNumType w:fmt="decimal" w:start="1"/>
          <w:cols w:space="0" w:num="1"/>
          <w:docGrid w:type="lines" w:linePitch="435" w:charSpace="0"/>
        </w:sectPr>
      </w:pPr>
    </w:p>
    <w:p w14:paraId="72F476AE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54F5AF18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04F8EDD9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081F48F1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54B8C8A1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675EDE6E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6B34E5D9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08928036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1560A0C9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393A9E7B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462AF54B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55A56D12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30CC4C26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2D9C233D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797BA65F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773517D0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05BED2F0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5B51BBE8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11C90235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39545C6B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0284C1C9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2D20EBBC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</w:p>
    <w:p w14:paraId="07FA97D6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  <w:sectPr>
          <w:footerReference r:id="rId8" w:type="default"/>
          <w:pgSz w:w="11850" w:h="16783"/>
          <w:pgMar w:top="2098" w:right="1474" w:bottom="1984" w:left="1587" w:header="720" w:footer="720" w:gutter="0"/>
          <w:pgNumType w:fmt="decimal" w:start="1"/>
          <w:cols w:space="0" w:num="1"/>
          <w:docGrid w:type="lines" w:linePitch="435" w:charSpace="0"/>
        </w:sectPr>
      </w:pPr>
    </w:p>
    <w:p w14:paraId="2910A0AD">
      <w:pPr>
        <w:numPr>
          <w:ilvl w:val="255"/>
          <w:numId w:val="0"/>
        </w:numPr>
        <w:adjustRightInd w:val="0"/>
        <w:spacing w:after="0" w:line="560" w:lineRule="exact"/>
        <w:ind w:firstLine="640" w:firstLineChars="200"/>
        <w:contextualSpacing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为促进妇女儿童全面发展，依法保障妇女儿童合法权益，进一步推动石景山区妇女儿童事业与经济社会同步协调发展，根据《北京市“十五五”时期妇女儿童发展规划》和《北京市石景山区国民经济和社会发展第十五个五年规划纲要》，结合石景山区妇女儿童发展实际，制定本规划。</w:t>
      </w:r>
    </w:p>
    <w:p w14:paraId="575ED5B2">
      <w:pPr>
        <w:pStyle w:val="44"/>
        <w:keepNext/>
        <w:keepLines/>
        <w:spacing w:after="0" w:line="560" w:lineRule="exact"/>
        <w:ind w:firstLine="640"/>
        <w:outlineLvl w:val="0"/>
      </w:pPr>
      <w:bookmarkStart w:id="0" w:name="_Toc19805"/>
      <w:bookmarkStart w:id="1" w:name="_Toc9066"/>
      <w:bookmarkStart w:id="2" w:name="_Toc25659"/>
      <w:r>
        <w:rPr>
          <w:rFonts w:hint="eastAsia" w:ascii="黑体" w:hAnsi="黑体" w:eastAsia="黑体" w:cs="黑体"/>
          <w:bCs/>
          <w:kern w:val="44"/>
          <w:szCs w:val="32"/>
        </w:rPr>
        <w:t>一、总体要求</w:t>
      </w:r>
      <w:bookmarkEnd w:id="0"/>
      <w:bookmarkEnd w:id="1"/>
      <w:bookmarkEnd w:id="2"/>
    </w:p>
    <w:p w14:paraId="5BA75AF8">
      <w:pPr>
        <w:snapToGrid w:val="0"/>
        <w:spacing w:after="0" w:line="560" w:lineRule="exact"/>
        <w:ind w:firstLine="600"/>
        <w:rPr>
          <w:rFonts w:ascii="Times" w:hAnsi="Times"/>
          <w:color w:val="000000" w:themeColor="text1"/>
          <w:w w:val="96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/>
          <w:color w:val="000000" w:themeColor="text1"/>
          <w14:textFill>
            <w14:solidFill>
              <w14:schemeClr w14:val="tx1"/>
            </w14:solidFill>
          </w14:textFill>
        </w:rPr>
        <w:t>坚持以习近平新时代中国特色社会主义思想为指导，深入贯彻党的二十大和二十届历次全会精神，</w:t>
      </w:r>
      <w:r>
        <w:rPr>
          <w:rFonts w:hint="eastAsia" w:ascii="Times" w:hAnsi="Times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深入贯彻</w:t>
      </w:r>
      <w:r>
        <w:rPr>
          <w:rFonts w:hint="eastAsia" w:ascii="仿宋_GB2312" w:hAnsi="仿宋_GB2312" w:cs="仿宋_GB2312"/>
          <w:szCs w:val="32"/>
        </w:rPr>
        <w:t>习近平总书记关于妇女儿童工作和家庭家教家风建设的重要论述。</w:t>
      </w:r>
      <w:r>
        <w:rPr>
          <w:rFonts w:hint="eastAsia" w:ascii="Times" w:hAnsi="Times"/>
          <w:color w:val="000000" w:themeColor="text1"/>
          <w14:textFill>
            <w14:solidFill>
              <w14:schemeClr w14:val="tx1"/>
            </w14:solidFill>
          </w14:textFill>
        </w:rPr>
        <w:t>坚持以人民为中心，</w:t>
      </w:r>
      <w:r>
        <w:rPr>
          <w:rFonts w:hint="eastAsia" w:ascii="Times" w:hAnsi="Times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在石景山区经济社会高质量发展进程中，</w:t>
      </w:r>
      <w:r>
        <w:rPr>
          <w:rFonts w:hint="eastAsia" w:ascii="Times" w:hAnsi="Times"/>
          <w:color w:val="000000" w:themeColor="text1"/>
          <w14:textFill>
            <w14:solidFill>
              <w14:schemeClr w14:val="tx1"/>
            </w14:solidFill>
          </w14:textFill>
        </w:rPr>
        <w:t>贯彻男女平等基本国策和儿童优先原则，不断完善促进妇女儿童全面发展的制度机制，切实保障妇女儿童合法权益，在更高水平上推动妇女儿童事业高质量发展</w:t>
      </w:r>
      <w:r>
        <w:rPr>
          <w:rFonts w:hint="eastAsia" w:ascii="Times" w:hAnsi="Times"/>
          <w:color w:val="000000" w:themeColor="text1"/>
          <w:w w:val="96"/>
          <w14:textFill>
            <w14:solidFill>
              <w14:schemeClr w14:val="tx1"/>
            </w14:solidFill>
          </w14:textFill>
        </w:rPr>
        <w:t>。</w:t>
      </w:r>
    </w:p>
    <w:p w14:paraId="5538144D">
      <w:pPr>
        <w:snapToGrid w:val="0"/>
        <w:spacing w:after="0" w:line="560" w:lineRule="exact"/>
        <w:ind w:firstLine="600"/>
        <w:rPr>
          <w:rFonts w:ascii="Times" w:hAnsi="Times"/>
        </w:rPr>
      </w:pPr>
      <w:r>
        <w:rPr>
          <w:rFonts w:hint="eastAsia" w:ascii="Times" w:hAnsi="Times"/>
        </w:rPr>
        <w:t>未来五年，石景山区将以满足人民日益增长的美好生活需要为根本目的，推动石景山区妇女儿童发展总体水平迈向更高台阶，力争走在全市前列。</w:t>
      </w:r>
    </w:p>
    <w:p w14:paraId="37622F3B">
      <w:pPr>
        <w:snapToGrid w:val="0"/>
        <w:spacing w:after="0" w:line="560" w:lineRule="exact"/>
        <w:ind w:firstLine="600"/>
        <w:rPr>
          <w:rFonts w:ascii="Times" w:hAnsi="Times"/>
        </w:rPr>
      </w:pPr>
      <w:r>
        <w:rPr>
          <w:rFonts w:hint="eastAsia" w:ascii="Times" w:hAnsi="Times"/>
        </w:rPr>
        <w:t>不断提高妇女儿童健康水平。完善妇女全生命周期健康服务，儿童近视得到有效控制，推广健康生活方式，不断提升儿童身心健康水平，妇女儿童体质健康进一步增强。</w:t>
      </w:r>
    </w:p>
    <w:p w14:paraId="7AA428AD">
      <w:pPr>
        <w:snapToGrid w:val="0"/>
        <w:spacing w:after="0" w:line="560" w:lineRule="exact"/>
        <w:ind w:firstLine="600"/>
        <w:rPr>
          <w:rFonts w:ascii="Times" w:hAnsi="Times"/>
        </w:rPr>
      </w:pPr>
      <w:r>
        <w:rPr>
          <w:rFonts w:hint="eastAsia" w:ascii="Times" w:hAnsi="Times"/>
        </w:rPr>
        <w:t>全面提升妇女儿童综合素质。提升妇女受教育水平</w:t>
      </w:r>
      <w:r>
        <w:rPr>
          <w:rFonts w:hint="eastAsia" w:ascii="Times" w:hAnsi="Times"/>
          <w:lang w:eastAsia="zh-CN"/>
        </w:rPr>
        <w:t>，女性高质量人才队伍不断壮大</w:t>
      </w:r>
      <w:r>
        <w:rPr>
          <w:rFonts w:hint="eastAsia" w:ascii="Times" w:hAnsi="Times"/>
        </w:rPr>
        <w:t>。不断提高儿童综合素质，儿童受教育水平和质量持续提升。</w:t>
      </w:r>
      <w:r>
        <w:rPr>
          <w:rFonts w:ascii="Times" w:hAnsi="Times"/>
        </w:rPr>
        <w:t xml:space="preserve"> </w:t>
      </w:r>
    </w:p>
    <w:p w14:paraId="5FFFC4D1">
      <w:pPr>
        <w:snapToGrid w:val="0"/>
        <w:spacing w:after="0" w:line="560" w:lineRule="exact"/>
        <w:ind w:firstLine="600"/>
        <w:rPr>
          <w:rFonts w:ascii="Times" w:hAnsi="Times"/>
        </w:rPr>
      </w:pPr>
      <w:r>
        <w:rPr>
          <w:rFonts w:hint="eastAsia" w:ascii="Times" w:hAnsi="Times"/>
        </w:rPr>
        <w:t>显著提升妇女参与经济发展的能力水平。促进平等就业，消除就业性别歧视，保障妇女职业全周期权益。优化妇女就业结构，提升就业质量。</w:t>
      </w:r>
    </w:p>
    <w:p w14:paraId="4E709CED">
      <w:pPr>
        <w:snapToGrid w:val="0"/>
        <w:spacing w:after="0" w:line="560" w:lineRule="exact"/>
        <w:ind w:firstLine="600"/>
        <w:rPr>
          <w:rFonts w:ascii="Times" w:hAnsi="Times"/>
        </w:rPr>
      </w:pPr>
      <w:r>
        <w:rPr>
          <w:rFonts w:hint="eastAsia" w:ascii="Times" w:hAnsi="Times"/>
        </w:rPr>
        <w:t>强化妇女在民主政治建设和基层社会治理中的作用。持续拓宽妇女参政议政渠道，完善女干部培养选拔机制，提升妇女参与决策管理、社会治理、国家和经济文化社会事务管理的水平。</w:t>
      </w:r>
    </w:p>
    <w:p w14:paraId="13F92B23">
      <w:pPr>
        <w:snapToGrid w:val="0"/>
        <w:spacing w:after="0" w:line="560" w:lineRule="exact"/>
        <w:ind w:firstLine="600"/>
        <w:rPr>
          <w:rFonts w:ascii="Times" w:hAnsi="Times"/>
        </w:rPr>
      </w:pPr>
      <w:r>
        <w:rPr>
          <w:rFonts w:hint="eastAsia" w:ascii="Times" w:hAnsi="Times"/>
        </w:rPr>
        <w:t>稳步提升妇女儿童社会保障水平。完善妇女社会保障和救助体系，生育保险功能进一步增强。儿童基本医疗保障水平持续巩固，儿童福利水平不断提升。</w:t>
      </w:r>
    </w:p>
    <w:p w14:paraId="237F1884">
      <w:pPr>
        <w:snapToGrid w:val="0"/>
        <w:spacing w:after="0" w:line="560" w:lineRule="exact"/>
        <w:ind w:firstLine="600"/>
        <w:rPr>
          <w:rFonts w:ascii="Times" w:hAnsi="Times"/>
        </w:rPr>
      </w:pPr>
      <w:r>
        <w:rPr>
          <w:rFonts w:hint="eastAsia" w:ascii="Times" w:hAnsi="Times"/>
        </w:rPr>
        <w:t>显著强化家庭发展能力。弘扬社会主义核心价值观，树立正确婚恋观、生育观和家庭观。完善生育支持和家庭支持政策，家庭养育教育功能持续增强，构建平等和谐亲子关系与家庭关系。</w:t>
      </w:r>
    </w:p>
    <w:p w14:paraId="03F6E4A9">
      <w:pPr>
        <w:snapToGrid w:val="0"/>
        <w:spacing w:after="0" w:line="560" w:lineRule="exact"/>
        <w:ind w:firstLine="600"/>
        <w:rPr>
          <w:rFonts w:ascii="Times" w:hAnsi="Times"/>
        </w:rPr>
      </w:pPr>
      <w:r>
        <w:rPr>
          <w:rFonts w:hint="eastAsia" w:ascii="Times" w:hAnsi="Times"/>
        </w:rPr>
        <w:t>更加有力保护儿童安全。完善儿童伤害防控、应急救助和儿童优先保护机制，加强儿童用品、校园周边、网络空间等重点领域安全治理，健全协同监管机制，压实儿童保护责任。</w:t>
      </w:r>
    </w:p>
    <w:p w14:paraId="6890036A">
      <w:pPr>
        <w:snapToGrid w:val="0"/>
        <w:spacing w:after="0" w:line="560" w:lineRule="exact"/>
        <w:ind w:firstLine="600"/>
        <w:rPr>
          <w:rFonts w:ascii="Times" w:hAnsi="Times"/>
        </w:rPr>
      </w:pPr>
      <w:r>
        <w:rPr>
          <w:rFonts w:hint="eastAsia" w:ascii="Times" w:hAnsi="Times"/>
        </w:rPr>
        <w:t>优化妇女儿童生存发展环境。推动性别平等和儿童友好理念融入公共政策、城市建设和基层治理。推动儿童友好城市建设，不断提高妇女儿童生活品质。</w:t>
      </w:r>
    </w:p>
    <w:p w14:paraId="1DE0DE5F">
      <w:pPr>
        <w:snapToGrid w:val="0"/>
        <w:spacing w:after="0" w:line="560" w:lineRule="exact"/>
        <w:ind w:firstLine="600"/>
        <w:rPr>
          <w:rFonts w:ascii="Times" w:hAnsi="Times"/>
        </w:rPr>
      </w:pPr>
      <w:r>
        <w:rPr>
          <w:rFonts w:hint="eastAsia" w:ascii="Times" w:hAnsi="Times"/>
        </w:rPr>
        <w:t>切实保障妇女儿童合法权益。健全妇女儿童权益保护制度，有效预防和严厉打击针对妇女儿童的违法犯罪行为，不断提升妇女儿童法治素养。</w:t>
      </w:r>
    </w:p>
    <w:tbl>
      <w:tblPr>
        <w:tblStyle w:val="19"/>
        <w:tblpPr w:leftFromText="180" w:rightFromText="180" w:vertAnchor="text" w:horzAnchor="page" w:tblpX="1426" w:tblpY="520"/>
        <w:tblOverlap w:val="never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5"/>
        <w:gridCol w:w="1033"/>
        <w:gridCol w:w="1321"/>
        <w:gridCol w:w="1163"/>
        <w:gridCol w:w="999"/>
        <w:gridCol w:w="1827"/>
      </w:tblGrid>
      <w:tr w14:paraId="4A45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18" w:type="dxa"/>
            <w:gridSpan w:val="6"/>
            <w:vAlign w:val="center"/>
          </w:tcPr>
          <w:p w14:paraId="1FCDAE92">
            <w:pPr>
              <w:pStyle w:val="2"/>
              <w:spacing w:line="24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专栏1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石景山区“十五五”时期妇女儿童发展主要指标</w:t>
            </w:r>
          </w:p>
        </w:tc>
      </w:tr>
      <w:tr w14:paraId="75B8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75" w:type="dxa"/>
            <w:vAlign w:val="center"/>
          </w:tcPr>
          <w:p w14:paraId="1BB90FDD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w w:val="90"/>
                <w:sz w:val="24"/>
                <w:szCs w:val="24"/>
              </w:rPr>
              <w:t>指  标</w:t>
            </w:r>
          </w:p>
        </w:tc>
        <w:tc>
          <w:tcPr>
            <w:tcW w:w="1033" w:type="dxa"/>
            <w:vAlign w:val="center"/>
          </w:tcPr>
          <w:p w14:paraId="231C21A5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2025年</w:t>
            </w:r>
          </w:p>
        </w:tc>
        <w:tc>
          <w:tcPr>
            <w:tcW w:w="1321" w:type="dxa"/>
            <w:vAlign w:val="center"/>
          </w:tcPr>
          <w:p w14:paraId="5B4BEB9A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2030年</w:t>
            </w:r>
          </w:p>
        </w:tc>
        <w:tc>
          <w:tcPr>
            <w:tcW w:w="1163" w:type="dxa"/>
            <w:vAlign w:val="center"/>
          </w:tcPr>
          <w:p w14:paraId="1107BA19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20"/>
                <w:sz w:val="24"/>
                <w:szCs w:val="24"/>
              </w:rPr>
              <w:t>年均增减（累计）</w:t>
            </w:r>
          </w:p>
        </w:tc>
        <w:tc>
          <w:tcPr>
            <w:tcW w:w="999" w:type="dxa"/>
            <w:vAlign w:val="center"/>
          </w:tcPr>
          <w:p w14:paraId="36F6F5B9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w w:val="90"/>
                <w:sz w:val="24"/>
                <w:szCs w:val="24"/>
              </w:rPr>
              <w:t>属  性</w:t>
            </w:r>
          </w:p>
        </w:tc>
        <w:tc>
          <w:tcPr>
            <w:tcW w:w="1827" w:type="dxa"/>
            <w:vAlign w:val="center"/>
          </w:tcPr>
          <w:p w14:paraId="2D42397D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w w:val="90"/>
                <w:sz w:val="24"/>
                <w:szCs w:val="24"/>
              </w:rPr>
              <w:t>衔接情况</w:t>
            </w:r>
          </w:p>
        </w:tc>
      </w:tr>
      <w:tr w14:paraId="2A60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5" w:type="dxa"/>
            <w:vAlign w:val="center"/>
          </w:tcPr>
          <w:p w14:paraId="3450B64F">
            <w:pPr>
              <w:pStyle w:val="2"/>
              <w:spacing w:line="240" w:lineRule="auto"/>
              <w:jc w:val="left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1.孕产妇死亡率（1/10万）</w:t>
            </w:r>
          </w:p>
        </w:tc>
        <w:tc>
          <w:tcPr>
            <w:tcW w:w="1033" w:type="dxa"/>
            <w:vAlign w:val="center"/>
          </w:tcPr>
          <w:p w14:paraId="7E2ADAE0">
            <w:pPr>
              <w:pStyle w:val="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w w:val="90"/>
                <w:sz w:val="24"/>
                <w:szCs w:val="24"/>
              </w:rPr>
              <w:t>31.9</w:t>
            </w:r>
            <w:r>
              <w:rPr>
                <w:rFonts w:hint="eastAsia" w:ascii="仿宋_GB2312" w:hAnsi="仿宋_GB2312" w:cs="仿宋_GB2312"/>
                <w:w w:val="9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21" w:type="dxa"/>
            <w:vAlign w:val="center"/>
          </w:tcPr>
          <w:p w14:paraId="4B467B19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国际先进水平</w:t>
            </w:r>
          </w:p>
        </w:tc>
        <w:tc>
          <w:tcPr>
            <w:tcW w:w="1163" w:type="dxa"/>
            <w:vAlign w:val="center"/>
          </w:tcPr>
          <w:p w14:paraId="21670BD3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999" w:type="dxa"/>
            <w:vAlign w:val="center"/>
          </w:tcPr>
          <w:p w14:paraId="51D18D0C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预期性</w:t>
            </w:r>
          </w:p>
        </w:tc>
        <w:tc>
          <w:tcPr>
            <w:tcW w:w="1827" w:type="dxa"/>
            <w:vAlign w:val="center"/>
          </w:tcPr>
          <w:p w14:paraId="0365F4F5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对标市规划</w:t>
            </w:r>
          </w:p>
        </w:tc>
      </w:tr>
      <w:tr w14:paraId="6B8C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5" w:type="dxa"/>
            <w:vAlign w:val="center"/>
          </w:tcPr>
          <w:p w14:paraId="4866847E">
            <w:pPr>
              <w:pStyle w:val="2"/>
              <w:spacing w:line="240" w:lineRule="auto"/>
              <w:jc w:val="left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2.婴儿死亡率（</w:t>
            </w:r>
            <w:r>
              <w:rPr>
                <w:rFonts w:ascii="仿宋_GB2312" w:hAnsi="仿宋_GB2312" w:cs="仿宋_GB2312"/>
                <w:spacing w:val="-20"/>
                <w:w w:val="90"/>
                <w:sz w:val="24"/>
                <w:szCs w:val="24"/>
              </w:rPr>
              <w:t>‰</w:t>
            </w: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）</w:t>
            </w:r>
          </w:p>
        </w:tc>
        <w:tc>
          <w:tcPr>
            <w:tcW w:w="1033" w:type="dxa"/>
            <w:vAlign w:val="center"/>
          </w:tcPr>
          <w:p w14:paraId="3648253F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1.28</w:t>
            </w:r>
          </w:p>
        </w:tc>
        <w:tc>
          <w:tcPr>
            <w:tcW w:w="1321" w:type="dxa"/>
            <w:vAlign w:val="center"/>
          </w:tcPr>
          <w:p w14:paraId="75E9CB36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国际先进水平</w:t>
            </w:r>
          </w:p>
        </w:tc>
        <w:tc>
          <w:tcPr>
            <w:tcW w:w="1163" w:type="dxa"/>
            <w:vAlign w:val="center"/>
          </w:tcPr>
          <w:p w14:paraId="68564DDE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999" w:type="dxa"/>
            <w:vAlign w:val="center"/>
          </w:tcPr>
          <w:p w14:paraId="50DDAF41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预期性</w:t>
            </w:r>
          </w:p>
        </w:tc>
        <w:tc>
          <w:tcPr>
            <w:tcW w:w="1827" w:type="dxa"/>
            <w:vAlign w:val="center"/>
          </w:tcPr>
          <w:p w14:paraId="3FBF4F4A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对标市规划</w:t>
            </w:r>
          </w:p>
        </w:tc>
      </w:tr>
      <w:tr w14:paraId="0766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5" w:type="dxa"/>
            <w:vAlign w:val="center"/>
          </w:tcPr>
          <w:p w14:paraId="1244DC59">
            <w:pPr>
              <w:pStyle w:val="2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pacing w:val="-20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3.生育友好医院</w:t>
            </w: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  <w:lang w:eastAsia="zh-CN"/>
              </w:rPr>
              <w:t>数量（个）</w:t>
            </w:r>
          </w:p>
        </w:tc>
        <w:tc>
          <w:tcPr>
            <w:tcW w:w="1033" w:type="dxa"/>
            <w:vAlign w:val="center"/>
          </w:tcPr>
          <w:p w14:paraId="2AEE7806">
            <w:pPr>
              <w:pStyle w:val="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1" w:type="dxa"/>
            <w:vAlign w:val="center"/>
          </w:tcPr>
          <w:p w14:paraId="3D71BAC6">
            <w:pPr>
              <w:pStyle w:val="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63" w:type="dxa"/>
            <w:vAlign w:val="center"/>
          </w:tcPr>
          <w:p w14:paraId="147E1F4D"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99" w:type="dxa"/>
            <w:vAlign w:val="center"/>
          </w:tcPr>
          <w:p w14:paraId="2F62260D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预期性</w:t>
            </w:r>
          </w:p>
        </w:tc>
        <w:tc>
          <w:tcPr>
            <w:tcW w:w="1827" w:type="dxa"/>
            <w:vAlign w:val="center"/>
          </w:tcPr>
          <w:p w14:paraId="47B2F7D9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对标</w:t>
            </w: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专项规划</w:t>
            </w:r>
          </w:p>
        </w:tc>
      </w:tr>
      <w:tr w14:paraId="2F89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5" w:type="dxa"/>
            <w:vAlign w:val="center"/>
          </w:tcPr>
          <w:p w14:paraId="1B780A8C">
            <w:pPr>
              <w:pStyle w:val="2"/>
              <w:spacing w:line="240" w:lineRule="auto"/>
              <w:jc w:val="left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4.3岁以下婴幼儿入托率（%）</w:t>
            </w:r>
          </w:p>
        </w:tc>
        <w:tc>
          <w:tcPr>
            <w:tcW w:w="1033" w:type="dxa"/>
            <w:vAlign w:val="center"/>
          </w:tcPr>
          <w:p w14:paraId="22DB9C76"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21" w:type="dxa"/>
            <w:vAlign w:val="center"/>
          </w:tcPr>
          <w:p w14:paraId="65FDB114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5左右</w:t>
            </w:r>
          </w:p>
        </w:tc>
        <w:tc>
          <w:tcPr>
            <w:tcW w:w="1163" w:type="dxa"/>
            <w:vAlign w:val="center"/>
          </w:tcPr>
          <w:p w14:paraId="4414078C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[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]</w:t>
            </w:r>
          </w:p>
        </w:tc>
        <w:tc>
          <w:tcPr>
            <w:tcW w:w="999" w:type="dxa"/>
            <w:vAlign w:val="center"/>
          </w:tcPr>
          <w:p w14:paraId="1A5E026E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预期性</w:t>
            </w:r>
          </w:p>
        </w:tc>
        <w:tc>
          <w:tcPr>
            <w:tcW w:w="1827" w:type="dxa"/>
            <w:vAlign w:val="center"/>
          </w:tcPr>
          <w:p w14:paraId="7C31AB6C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对标区纲要</w:t>
            </w:r>
          </w:p>
        </w:tc>
      </w:tr>
      <w:tr w14:paraId="4307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5" w:type="dxa"/>
            <w:vAlign w:val="center"/>
          </w:tcPr>
          <w:p w14:paraId="1D3F9200">
            <w:pPr>
              <w:pStyle w:val="2"/>
              <w:spacing w:line="240" w:lineRule="auto"/>
              <w:jc w:val="left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5.女性就业人员占全部就业人员比例（%）</w:t>
            </w:r>
          </w:p>
        </w:tc>
        <w:tc>
          <w:tcPr>
            <w:tcW w:w="1033" w:type="dxa"/>
            <w:vAlign w:val="center"/>
          </w:tcPr>
          <w:p w14:paraId="70BC880C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40.79</w:t>
            </w:r>
          </w:p>
        </w:tc>
        <w:tc>
          <w:tcPr>
            <w:tcW w:w="1321" w:type="dxa"/>
            <w:vAlign w:val="center"/>
          </w:tcPr>
          <w:p w14:paraId="1FB2A00F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45左右</w:t>
            </w:r>
          </w:p>
        </w:tc>
        <w:tc>
          <w:tcPr>
            <w:tcW w:w="1163" w:type="dxa"/>
            <w:vAlign w:val="center"/>
          </w:tcPr>
          <w:p w14:paraId="1361A7FD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999" w:type="dxa"/>
            <w:vAlign w:val="center"/>
          </w:tcPr>
          <w:p w14:paraId="17BDF1E7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预期性</w:t>
            </w:r>
          </w:p>
        </w:tc>
        <w:tc>
          <w:tcPr>
            <w:tcW w:w="1827" w:type="dxa"/>
            <w:vAlign w:val="center"/>
          </w:tcPr>
          <w:p w14:paraId="7387A981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对标市规划</w:t>
            </w:r>
          </w:p>
        </w:tc>
      </w:tr>
      <w:tr w14:paraId="378D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5" w:type="dxa"/>
            <w:vAlign w:val="center"/>
          </w:tcPr>
          <w:p w14:paraId="2D33D061">
            <w:pPr>
              <w:pStyle w:val="2"/>
              <w:spacing w:line="240" w:lineRule="auto"/>
              <w:jc w:val="left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.中小学生近视率（%）</w:t>
            </w:r>
          </w:p>
        </w:tc>
        <w:tc>
          <w:tcPr>
            <w:tcW w:w="1033" w:type="dxa"/>
            <w:vAlign w:val="center"/>
          </w:tcPr>
          <w:p w14:paraId="79AD0F8D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1321" w:type="dxa"/>
            <w:vAlign w:val="center"/>
          </w:tcPr>
          <w:p w14:paraId="4A1C127D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逐年降低</w:t>
            </w:r>
          </w:p>
        </w:tc>
        <w:tc>
          <w:tcPr>
            <w:tcW w:w="1163" w:type="dxa"/>
            <w:vAlign w:val="center"/>
          </w:tcPr>
          <w:p w14:paraId="0443A8B1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999" w:type="dxa"/>
            <w:vAlign w:val="center"/>
          </w:tcPr>
          <w:p w14:paraId="795394CA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预期性</w:t>
            </w:r>
          </w:p>
        </w:tc>
        <w:tc>
          <w:tcPr>
            <w:tcW w:w="1827" w:type="dxa"/>
            <w:vAlign w:val="center"/>
          </w:tcPr>
          <w:p w14:paraId="40001388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对标市规划</w:t>
            </w:r>
          </w:p>
        </w:tc>
      </w:tr>
      <w:tr w14:paraId="5086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5" w:type="dxa"/>
            <w:vAlign w:val="center"/>
          </w:tcPr>
          <w:p w14:paraId="28C88A98">
            <w:pPr>
              <w:pStyle w:val="2"/>
              <w:spacing w:line="240" w:lineRule="auto"/>
              <w:jc w:val="left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.中小学生体质健康测试达标优良率（%）</w:t>
            </w:r>
          </w:p>
        </w:tc>
        <w:tc>
          <w:tcPr>
            <w:tcW w:w="1033" w:type="dxa"/>
            <w:vAlign w:val="center"/>
          </w:tcPr>
          <w:p w14:paraId="638D9823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83.9</w:t>
            </w:r>
          </w:p>
        </w:tc>
        <w:tc>
          <w:tcPr>
            <w:tcW w:w="1321" w:type="dxa"/>
            <w:vAlign w:val="center"/>
          </w:tcPr>
          <w:p w14:paraId="68A58B10">
            <w:pPr>
              <w:pStyle w:val="2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  <w:lang w:eastAsia="zh-CN"/>
              </w:rPr>
              <w:t>达市级要求</w:t>
            </w:r>
          </w:p>
        </w:tc>
        <w:tc>
          <w:tcPr>
            <w:tcW w:w="1163" w:type="dxa"/>
            <w:vAlign w:val="center"/>
          </w:tcPr>
          <w:p w14:paraId="0F32F8D4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999" w:type="dxa"/>
            <w:vAlign w:val="center"/>
          </w:tcPr>
          <w:p w14:paraId="3F9FE569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预期性</w:t>
            </w:r>
          </w:p>
        </w:tc>
        <w:tc>
          <w:tcPr>
            <w:tcW w:w="1827" w:type="dxa"/>
            <w:vAlign w:val="center"/>
          </w:tcPr>
          <w:p w14:paraId="43012C10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对标市规划</w:t>
            </w:r>
          </w:p>
        </w:tc>
      </w:tr>
      <w:tr w14:paraId="33F7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5" w:type="dxa"/>
            <w:vAlign w:val="center"/>
          </w:tcPr>
          <w:p w14:paraId="276041F3">
            <w:pPr>
              <w:pStyle w:val="2"/>
              <w:spacing w:line="240" w:lineRule="auto"/>
              <w:jc w:val="left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.药品</w:t>
            </w: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  <w:lang w:eastAsia="zh-CN"/>
              </w:rPr>
              <w:t>（含儿童药品）</w:t>
            </w: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抽检合格率（%）</w:t>
            </w:r>
          </w:p>
        </w:tc>
        <w:tc>
          <w:tcPr>
            <w:tcW w:w="1033" w:type="dxa"/>
            <w:vAlign w:val="center"/>
          </w:tcPr>
          <w:p w14:paraId="0DBE5665">
            <w:pPr>
              <w:pStyle w:val="2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99.6</w:t>
            </w:r>
          </w:p>
        </w:tc>
        <w:tc>
          <w:tcPr>
            <w:tcW w:w="1321" w:type="dxa"/>
            <w:vAlign w:val="center"/>
          </w:tcPr>
          <w:p w14:paraId="29619B9A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&gt;99</w:t>
            </w:r>
          </w:p>
        </w:tc>
        <w:tc>
          <w:tcPr>
            <w:tcW w:w="1163" w:type="dxa"/>
            <w:vAlign w:val="center"/>
          </w:tcPr>
          <w:p w14:paraId="280D165B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999" w:type="dxa"/>
            <w:vAlign w:val="center"/>
          </w:tcPr>
          <w:p w14:paraId="215C4489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预期性</w:t>
            </w:r>
          </w:p>
        </w:tc>
        <w:tc>
          <w:tcPr>
            <w:tcW w:w="1827" w:type="dxa"/>
            <w:vAlign w:val="center"/>
          </w:tcPr>
          <w:p w14:paraId="7F9BA818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对标市规划</w:t>
            </w:r>
          </w:p>
        </w:tc>
      </w:tr>
      <w:tr w14:paraId="1EB0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975" w:type="dxa"/>
            <w:vAlign w:val="center"/>
          </w:tcPr>
          <w:p w14:paraId="4278393F">
            <w:pPr>
              <w:pStyle w:val="2"/>
              <w:spacing w:line="240" w:lineRule="auto"/>
              <w:jc w:val="left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.事实无人抚养儿童生活费保障标准（元）</w:t>
            </w:r>
          </w:p>
        </w:tc>
        <w:tc>
          <w:tcPr>
            <w:tcW w:w="1033" w:type="dxa"/>
            <w:vAlign w:val="center"/>
          </w:tcPr>
          <w:p w14:paraId="7F8A322A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2850</w:t>
            </w:r>
          </w:p>
        </w:tc>
        <w:tc>
          <w:tcPr>
            <w:tcW w:w="1321" w:type="dxa"/>
            <w:vAlign w:val="center"/>
          </w:tcPr>
          <w:p w14:paraId="6B5110EE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稳步提高</w:t>
            </w:r>
          </w:p>
        </w:tc>
        <w:tc>
          <w:tcPr>
            <w:tcW w:w="1163" w:type="dxa"/>
            <w:vAlign w:val="center"/>
          </w:tcPr>
          <w:p w14:paraId="6CB1925C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-</w:t>
            </w:r>
          </w:p>
        </w:tc>
        <w:tc>
          <w:tcPr>
            <w:tcW w:w="999" w:type="dxa"/>
            <w:vAlign w:val="center"/>
          </w:tcPr>
          <w:p w14:paraId="666D2ADD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预期性</w:t>
            </w:r>
          </w:p>
        </w:tc>
        <w:tc>
          <w:tcPr>
            <w:tcW w:w="1827" w:type="dxa"/>
            <w:vAlign w:val="center"/>
          </w:tcPr>
          <w:p w14:paraId="20F45572">
            <w:pPr>
              <w:pStyle w:val="2"/>
              <w:spacing w:line="240" w:lineRule="auto"/>
              <w:jc w:val="center"/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w w:val="90"/>
                <w:sz w:val="24"/>
                <w:szCs w:val="24"/>
              </w:rPr>
              <w:t>对标市规划</w:t>
            </w:r>
          </w:p>
        </w:tc>
      </w:tr>
    </w:tbl>
    <w:p w14:paraId="453E1C78">
      <w:pPr>
        <w:keepNext/>
        <w:keepLines/>
        <w:spacing w:after="0"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44"/>
          <w:szCs w:val="32"/>
        </w:rPr>
      </w:pPr>
      <w:bookmarkStart w:id="3" w:name="_Toc24750"/>
      <w:bookmarkStart w:id="4" w:name="_Toc21424"/>
      <w:bookmarkStart w:id="5" w:name="_Toc9486"/>
      <w:r>
        <w:rPr>
          <w:rFonts w:hint="eastAsia" w:ascii="黑体" w:hAnsi="黑体" w:eastAsia="黑体" w:cs="黑体"/>
          <w:bCs/>
          <w:kern w:val="44"/>
          <w:szCs w:val="32"/>
        </w:rPr>
        <w:t>二、促进妇女全面发展的重点任务</w:t>
      </w:r>
      <w:bookmarkEnd w:id="3"/>
      <w:bookmarkEnd w:id="4"/>
      <w:bookmarkEnd w:id="5"/>
    </w:p>
    <w:p w14:paraId="25CF89CD">
      <w:pPr>
        <w:keepNext/>
        <w:keepLines/>
        <w:spacing w:after="0" w:line="560" w:lineRule="exact"/>
        <w:ind w:firstLine="640" w:firstLineChars="200"/>
        <w:outlineLvl w:val="1"/>
        <w:rPr>
          <w:rFonts w:hint="eastAsia" w:ascii="仿宋_GB2312" w:hAnsi="仿宋_GB2312" w:cs="仿宋_GB2312"/>
          <w:szCs w:val="32"/>
        </w:rPr>
      </w:pPr>
      <w:bookmarkStart w:id="6" w:name="_Toc3489"/>
      <w:bookmarkStart w:id="7" w:name="_Toc669"/>
      <w:bookmarkStart w:id="8" w:name="_Toc3465"/>
      <w:r>
        <w:rPr>
          <w:rFonts w:hint="eastAsia" w:ascii="楷体_GB2312" w:hAnsi="楷体_GB2312" w:eastAsia="楷体_GB2312" w:cs="楷体_GB2312"/>
          <w:bCs/>
          <w:szCs w:val="32"/>
        </w:rPr>
        <w:t>（一）优化妇女全生命周期健康服务体系</w:t>
      </w:r>
      <w:bookmarkEnd w:id="6"/>
      <w:bookmarkEnd w:id="7"/>
      <w:bookmarkEnd w:id="8"/>
    </w:p>
    <w:p w14:paraId="194A8009">
      <w:pPr>
        <w:spacing w:after="0" w:line="560" w:lineRule="exact"/>
        <w:ind w:firstLine="643" w:firstLineChars="200"/>
      </w:pPr>
      <w:r>
        <w:rPr>
          <w:rFonts w:hint="eastAsia" w:ascii="仿宋_GB2312" w:hAnsi="仿宋_GB2312" w:cs="仿宋_GB2312"/>
          <w:b/>
          <w:bCs/>
        </w:rPr>
        <w:t>1.</w:t>
      </w:r>
      <w:r>
        <w:rPr>
          <w:rFonts w:hint="eastAsia" w:ascii="仿宋_GB2312" w:hAnsi="仿宋_GB2312" w:cs="仿宋_GB2312"/>
          <w:b/>
          <w:bCs/>
          <w:szCs w:val="32"/>
        </w:rPr>
        <w:t>加强妇女健康服务体系建设。</w:t>
      </w:r>
      <w:r>
        <w:t>打造以</w:t>
      </w:r>
      <w:r>
        <w:rPr>
          <w:rFonts w:hint="eastAsia"/>
        </w:rPr>
        <w:t>北京市石景山区</w:t>
      </w:r>
      <w:r>
        <w:t>妇幼保健</w:t>
      </w:r>
      <w:r>
        <w:rPr>
          <w:rFonts w:hint="eastAsia"/>
        </w:rPr>
        <w:t>院</w:t>
      </w:r>
      <w:r>
        <w:t>为核心，区域</w:t>
      </w:r>
      <w:r>
        <w:rPr>
          <w:rFonts w:hint="eastAsia"/>
        </w:rPr>
        <w:t>三级综合</w:t>
      </w:r>
      <w:r>
        <w:t>医院为支撑，社区卫生服务中心为基础的妇幼健康服务</w:t>
      </w:r>
      <w:r>
        <w:rPr>
          <w:rFonts w:hint="eastAsia"/>
        </w:rPr>
        <w:t>体系。</w:t>
      </w:r>
      <w:r>
        <w:t>依托新建社区卫生服务中心，织密基层妇幼健康服务网络。深化医校联动、医体融合、医企合作</w:t>
      </w:r>
      <w:r>
        <w:rPr>
          <w:rFonts w:hint="eastAsia"/>
        </w:rPr>
        <w:t>。</w:t>
      </w:r>
    </w:p>
    <w:p w14:paraId="470E0C91">
      <w:pPr>
        <w:spacing w:after="0" w:line="560" w:lineRule="exact"/>
        <w:ind w:firstLine="643" w:firstLineChars="200"/>
      </w:pPr>
      <w:r>
        <w:rPr>
          <w:rFonts w:hint="eastAsia" w:ascii="仿宋_GB2312" w:hAnsi="仿宋_GB2312" w:cs="仿宋_GB2312"/>
          <w:b/>
          <w:bCs/>
        </w:rPr>
        <w:t>2.</w:t>
      </w:r>
      <w:r>
        <w:rPr>
          <w:rFonts w:hint="eastAsia" w:ascii="仿宋_GB2312" w:hAnsi="仿宋_GB2312" w:cs="仿宋_GB2312"/>
          <w:b/>
          <w:bCs/>
          <w:szCs w:val="32"/>
        </w:rPr>
        <w:t>强化孕产安全保障和生殖健康服务。</w:t>
      </w:r>
      <w:r>
        <w:rPr>
          <w:rFonts w:hint="eastAsia" w:ascii="仿宋_GB2312" w:hAnsi="仿宋_GB2312" w:cs="仿宋_GB2312"/>
        </w:rPr>
        <w:t>深入实施母婴安全行动提升计划，建立多渠道监测预警机制，优化高危孕产妇全程服务。推广“医疗机构+社区+家庭”三位一体专病服务模式。建设生殖健康专家工作室及特色门诊，开展女性生育力评估、预警与保护。深化早孕关爱服务，推广孕前指导、孕期保健、产后康复一体化服务模式。</w:t>
      </w:r>
    </w:p>
    <w:p w14:paraId="075077BE">
      <w:pPr>
        <w:spacing w:after="0" w:line="560" w:lineRule="exact"/>
        <w:ind w:firstLine="643" w:firstLineChars="200"/>
      </w:pPr>
      <w:r>
        <w:rPr>
          <w:rFonts w:hint="eastAsia" w:ascii="仿宋_GB2312" w:hAnsi="仿宋_GB2312" w:cs="仿宋_GB2312"/>
          <w:b/>
          <w:bCs/>
        </w:rPr>
        <w:t>3.推进</w:t>
      </w:r>
      <w:r>
        <w:rPr>
          <w:rFonts w:hint="eastAsia" w:ascii="仿宋_GB2312" w:hAnsi="仿宋_GB2312" w:cs="仿宋_GB2312"/>
          <w:b/>
          <w:bCs/>
          <w:szCs w:val="32"/>
        </w:rPr>
        <w:t>传染病母婴阻断与重大疾病防治。</w:t>
      </w:r>
      <w:r>
        <w:rPr>
          <w:rFonts w:hint="eastAsia" w:ascii="仿宋_GB2312" w:hAnsi="仿宋_GB2312" w:cs="仿宋_GB2312"/>
        </w:rPr>
        <w:t>全面落实预防艾滋病、梅毒和乙肝母婴传播综合干预措施。</w:t>
      </w:r>
      <w:r>
        <w:rPr>
          <w:rFonts w:hint="eastAsia" w:ascii="仿宋_GB2312" w:hAnsi="仿宋_GB2312" w:cs="仿宋_GB2312"/>
          <w:szCs w:val="32"/>
        </w:rPr>
        <w:t>深入推进加速消除宫颈癌行动，落实适龄女性HPV疫苗免费接种工作，</w:t>
      </w:r>
      <w:r>
        <w:rPr>
          <w:rFonts w:hint="eastAsia" w:ascii="仿宋_GB2312" w:hAnsi="仿宋_GB2312" w:cs="仿宋_GB2312"/>
        </w:rPr>
        <w:t>构建疫苗接种、筛查、诊治相衔接的宫颈癌三级综合防治模式。</w:t>
      </w:r>
      <w:r>
        <w:rPr>
          <w:rFonts w:hint="eastAsia" w:ascii="仿宋_GB2312" w:hAnsi="仿宋_GB2312" w:cs="仿宋_GB2312"/>
          <w:szCs w:val="32"/>
        </w:rPr>
        <w:t>优化子宫内膜癌筛查策略。</w:t>
      </w:r>
    </w:p>
    <w:p w14:paraId="22731931">
      <w:pPr>
        <w:numPr>
          <w:ilvl w:val="255"/>
          <w:numId w:val="0"/>
        </w:numPr>
        <w:spacing w:after="0" w:line="560" w:lineRule="exact"/>
        <w:ind w:firstLine="643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b/>
        </w:rPr>
        <w:t>4.全方位提升妇女身心健康。</w:t>
      </w:r>
      <w:r>
        <w:rPr>
          <w:rFonts w:hint="eastAsia"/>
        </w:rPr>
        <w:t>加强妇女</w:t>
      </w:r>
      <w:r>
        <w:rPr>
          <w:rFonts w:hint="eastAsia" w:ascii="仿宋_GB2312" w:hAnsi="仿宋_GB2312" w:cs="仿宋_GB2312"/>
        </w:rPr>
        <w:t>心理健康宣传教育和常态化监测。</w:t>
      </w:r>
      <w:r>
        <w:rPr>
          <w:rFonts w:hint="eastAsia"/>
        </w:rPr>
        <w:t>健全社会心理服务体系和危机干预机制，</w:t>
      </w:r>
      <w:r>
        <w:rPr>
          <w:rFonts w:hint="eastAsia" w:ascii="仿宋_GB2312" w:hAnsi="仿宋_GB2312" w:cs="仿宋_GB2312"/>
        </w:rPr>
        <w:t>完善医疗机构心理门诊设置。推动妇女健康教育进社区、进家庭、进学校、进企业，居民健康素养水平达到50%。开展女性“营养+运动+健康”专项服务。</w:t>
      </w:r>
    </w:p>
    <w:p w14:paraId="3878C545">
      <w:pPr>
        <w:keepNext/>
        <w:keepLines/>
        <w:spacing w:after="0" w:line="56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bCs/>
          <w:szCs w:val="32"/>
        </w:rPr>
      </w:pPr>
      <w:bookmarkStart w:id="9" w:name="_Toc24651"/>
      <w:bookmarkStart w:id="10" w:name="_Toc6756"/>
      <w:bookmarkStart w:id="11" w:name="_Toc18113"/>
      <w:r>
        <w:rPr>
          <w:rFonts w:hint="eastAsia" w:ascii="楷体_GB2312" w:hAnsi="楷体_GB2312" w:eastAsia="楷体_GB2312" w:cs="楷体_GB2312"/>
          <w:bCs/>
          <w:szCs w:val="32"/>
        </w:rPr>
        <w:t>（二）高质量教育一体化贯通</w:t>
      </w:r>
      <w:bookmarkEnd w:id="9"/>
      <w:bookmarkEnd w:id="10"/>
      <w:bookmarkEnd w:id="11"/>
    </w:p>
    <w:p w14:paraId="5E5CF987">
      <w:pPr>
        <w:snapToGrid w:val="0"/>
        <w:spacing w:after="0" w:line="560" w:lineRule="exact"/>
        <w:ind w:firstLine="643" w:firstLineChars="200"/>
        <w:rPr>
          <w:rFonts w:hint="eastAsia" w:ascii="仿宋_GB2312" w:hAnsi="仿宋_GB2312" w:cs="仿宋_GB2312"/>
          <w:szCs w:val="32"/>
        </w:rPr>
      </w:pPr>
      <w:r>
        <w:rPr>
          <w:rFonts w:ascii="仿宋_GB2312" w:hAnsi="仿宋_GB2312"/>
          <w:b/>
          <w:bCs/>
        </w:rPr>
        <w:t>1.</w:t>
      </w:r>
      <w:r>
        <w:rPr>
          <w:rFonts w:hint="eastAsia" w:ascii="仿宋_GB2312" w:hAnsi="仿宋_GB2312" w:cs="仿宋_GB2312"/>
          <w:b/>
          <w:bCs/>
          <w:szCs w:val="32"/>
        </w:rPr>
        <w:t>强化思想政治引领和性别平等教育。</w:t>
      </w:r>
      <w:r>
        <w:rPr>
          <w:rFonts w:hint="eastAsia" w:ascii="仿宋_GB2312" w:hAnsi="仿宋_GB2312"/>
        </w:rPr>
        <w:t>坚持不懈用</w:t>
      </w:r>
      <w:r>
        <w:rPr>
          <w:rFonts w:hint="eastAsia" w:ascii="仿宋_GB2312" w:hAnsi="仿宋_GB2312" w:cs="仿宋_GB2312"/>
          <w:szCs w:val="32"/>
        </w:rPr>
        <w:t>习近平新时代中国特色社会主义思想凝心铸魂，引导妇女坚定理想信念，厚植爱党爱国情怀。深化“巾帼心向党”引领行动，开展“出彩女声”巾帼宣讲，凝聚奋进共识，不断夯实妇女群众听党话、跟党走的思想根基。将性别平等理念贯穿于教育政策全过程。</w:t>
      </w:r>
    </w:p>
    <w:p w14:paraId="65BE01D1">
      <w:pPr>
        <w:widowControl/>
        <w:spacing w:after="0" w:line="560" w:lineRule="exact"/>
        <w:ind w:firstLine="643" w:firstLineChars="2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2.保障女性受教育水平。</w:t>
      </w:r>
      <w:r>
        <w:rPr>
          <w:rFonts w:hint="eastAsia" w:ascii="仿宋_GB2312" w:hAnsi="仿宋_GB2312" w:cs="仿宋_GB2312"/>
          <w:szCs w:val="32"/>
        </w:rPr>
        <w:t>发展与区域产业布局相适应的现代职业教育，切实提高职业教育质量和吸引力。拓宽职普融通女生成长成才通道，建设综合高中，高质量实施“专科人才培养改革试点项目”。加快普通高中教育资源供给，有序推动东南部、中部、北部学区高中学位扩容建设。</w:t>
      </w:r>
    </w:p>
    <w:p w14:paraId="23EC376F">
      <w:pPr>
        <w:widowControl/>
        <w:spacing w:after="0" w:line="560" w:lineRule="exact"/>
        <w:ind w:firstLine="643" w:firstLineChars="200"/>
        <w:jc w:val="left"/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szCs w:val="32"/>
        </w:rPr>
        <w:t>3.培养重点领域女性创新人才。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实施“景贤计划2.0”，在政策、服务等方面给予女性人才支持和倾斜。优化女科技工作者发展环境，完善女性科技人才库，引导女性为区“2+5+4”现代化产业体系作出贡献。加强社区教育“三级网络体系”和“润学石景山”全民终身教育平台建设，</w:t>
      </w:r>
      <w:r>
        <w:rPr>
          <w:rFonts w:hint="eastAsia" w:ascii="仿宋_GB2312" w:hAns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实施女性人才成长赋能行动，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强化数字技能</w:t>
      </w:r>
      <w:r>
        <w:rPr>
          <w:rFonts w:hint="eastAsia" w:ascii="仿宋_GB2312" w:hAns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与实践，提高女性数字素养和科学素养。</w:t>
      </w:r>
    </w:p>
    <w:p w14:paraId="4DAFB0CC">
      <w:pPr>
        <w:pStyle w:val="4"/>
        <w:spacing w:before="0" w:after="0"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</w:rPr>
      </w:pPr>
      <w:bookmarkStart w:id="12" w:name="_Toc19136"/>
      <w:bookmarkStart w:id="13" w:name="_Toc10364"/>
      <w:bookmarkStart w:id="14" w:name="_Toc8280"/>
      <w:r>
        <w:rPr>
          <w:rFonts w:hint="eastAsia" w:ascii="楷体_GB2312" w:hAnsi="楷体_GB2312" w:eastAsia="楷体_GB2312" w:cs="楷体_GB2312"/>
          <w:b w:val="0"/>
          <w:bCs w:val="0"/>
          <w:color w:val="000000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lang w:eastAsia="zh-CN"/>
        </w:rPr>
        <w:t>推动妇女高质量充分就业</w:t>
      </w:r>
      <w:bookmarkEnd w:id="12"/>
      <w:bookmarkEnd w:id="13"/>
      <w:bookmarkEnd w:id="14"/>
    </w:p>
    <w:p w14:paraId="12E66A4F">
      <w:pPr>
        <w:spacing w:after="0" w:line="560" w:lineRule="exact"/>
        <w:ind w:firstLine="643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b/>
          <w:bCs/>
        </w:rPr>
        <w:t>1.加大妇女就业创业支持力度。</w:t>
      </w:r>
      <w:r>
        <w:rPr>
          <w:rFonts w:hint="eastAsia" w:ascii="仿宋_GB2312" w:hAnsi="仿宋_GB2312" w:cs="仿宋_GB2312"/>
        </w:rPr>
        <w:t>实施就业岗位开发专项计划，加强产业和就业协同，积极培育适合女性的新职业、新岗位。实施巾帼就业创业促进行动。女性就业人员占全部就业人员比例达到45%左右。提升就业服务数智化水平，为女性提供精准就业服务。</w:t>
      </w:r>
    </w:p>
    <w:p w14:paraId="1FA9C04F">
      <w:pPr>
        <w:spacing w:after="0" w:line="560" w:lineRule="exact"/>
        <w:ind w:firstLine="643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b/>
          <w:bCs/>
        </w:rPr>
        <w:t>2.强</w:t>
      </w:r>
      <w:r>
        <w:rPr>
          <w:rFonts w:hint="eastAsia" w:ascii="仿宋_GB2312" w:hAnsi="仿宋_GB2312" w:cs="仿宋_GB2312"/>
          <w:b/>
        </w:rPr>
        <w:t>化妇女职业技能培训。</w:t>
      </w:r>
      <w:r>
        <w:rPr>
          <w:rFonts w:ascii="仿宋_GB2312" w:hAnsi="仿宋_GB2312" w:cs="仿宋_GB2312"/>
        </w:rPr>
        <w:t>加强人工智能通识及应用培训，帮助妇女应对新兴技术对就业的影响。提升女性从业人员职业技能水平，推动高级专业技术人员中女性比例达到40%以上，逐步提高高技能人才中女性比例。</w:t>
      </w:r>
    </w:p>
    <w:p w14:paraId="2AA10579">
      <w:pPr>
        <w:spacing w:after="0" w:line="560" w:lineRule="exact"/>
        <w:ind w:firstLine="643" w:firstLineChars="200"/>
        <w:rPr>
          <w:rFonts w:hint="eastAsia" w:ascii="仿宋_GB2312" w:hAnsi="仿宋_GB2312" w:cs="仿宋_GB2312"/>
          <w:lang w:val="en"/>
        </w:rPr>
      </w:pPr>
      <w:r>
        <w:rPr>
          <w:rFonts w:ascii="仿宋_GB2312" w:hAnsi="仿宋_GB2312" w:cs="仿宋_GB2312"/>
          <w:b/>
          <w:bCs/>
        </w:rPr>
        <w:t>3</w:t>
      </w:r>
      <w:r>
        <w:rPr>
          <w:rFonts w:ascii="仿宋_GB2312" w:hAnsi="仿宋_GB2312" w:cs="仿宋_GB2312"/>
          <w:b/>
          <w:bCs/>
          <w:lang w:val="en"/>
        </w:rPr>
        <w:t>.</w:t>
      </w:r>
      <w:r>
        <w:rPr>
          <w:rFonts w:hint="eastAsia" w:ascii="仿宋_GB2312" w:hAnsi="仿宋_GB2312" w:cs="仿宋_GB2312"/>
          <w:b/>
          <w:bCs/>
        </w:rPr>
        <w:t>保障妇女</w:t>
      </w:r>
      <w:r>
        <w:rPr>
          <w:rFonts w:hint="eastAsia" w:ascii="仿宋_GB2312" w:hAnsi="仿宋_GB2312" w:cs="仿宋_GB2312"/>
          <w:b/>
          <w:bCs/>
          <w:lang w:val="en"/>
        </w:rPr>
        <w:t>劳动</w:t>
      </w:r>
      <w:r>
        <w:rPr>
          <w:rFonts w:hint="eastAsia" w:ascii="仿宋_GB2312" w:hAnsi="仿宋_GB2312" w:cs="仿宋_GB2312"/>
          <w:b/>
          <w:bCs/>
        </w:rPr>
        <w:t>权益</w:t>
      </w:r>
      <w:r>
        <w:rPr>
          <w:rFonts w:hint="eastAsia" w:ascii="仿宋_GB2312" w:hAnsi="仿宋_GB2312" w:cs="仿宋_GB2312"/>
          <w:b/>
          <w:bCs/>
          <w:lang w:val="en"/>
        </w:rPr>
        <w:t>。</w:t>
      </w:r>
      <w:r>
        <w:rPr>
          <w:rFonts w:ascii="仿宋_GB2312" w:hAnsi="仿宋_GB2312" w:cs="仿宋_GB2312"/>
        </w:rPr>
        <w:t>落实消除就业歧视的法规政策</w:t>
      </w:r>
      <w:r>
        <w:rPr>
          <w:rFonts w:hint="eastAsia" w:ascii="仿宋_GB2312" w:hAnsi="仿宋_GB2312" w:cs="仿宋_GB2312"/>
        </w:rPr>
        <w:t>，</w:t>
      </w:r>
      <w:r>
        <w:rPr>
          <w:rFonts w:ascii="仿宋_GB2312" w:hAnsi="仿宋_GB2312" w:cs="仿宋_GB2312"/>
        </w:rPr>
        <w:t>发挥劳动保障法律法规的监督作用。推动签订女职工权益保护专项集体合同。</w:t>
      </w:r>
      <w:r>
        <w:rPr>
          <w:rFonts w:hint="eastAsia" w:ascii="仿宋_GB2312" w:hAnsi="仿宋_GB2312" w:cs="仿宋_GB2312"/>
        </w:rPr>
        <w:t>加强对女职工权益的维护和监督。强化对残疾妇女的就业帮扶。</w:t>
      </w:r>
    </w:p>
    <w:p w14:paraId="7A7D2159">
      <w:pPr>
        <w:pStyle w:val="4"/>
        <w:spacing w:before="0" w:after="0"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bookmarkStart w:id="15" w:name="_Toc19129"/>
      <w:bookmarkStart w:id="16" w:name="_Toc22291"/>
      <w:bookmarkStart w:id="17" w:name="_Toc22037"/>
      <w:r>
        <w:rPr>
          <w:rFonts w:hint="eastAsia" w:ascii="楷体_GB2312" w:hAnsi="楷体_GB2312" w:eastAsia="楷体_GB2312" w:cs="楷体_GB2312"/>
          <w:b w:val="0"/>
          <w:bCs w:val="0"/>
          <w:color w:val="000000"/>
        </w:rPr>
        <w:t>（四）扎实提升妇女参政议政水平</w:t>
      </w:r>
      <w:bookmarkEnd w:id="15"/>
      <w:bookmarkEnd w:id="16"/>
      <w:bookmarkEnd w:id="17"/>
    </w:p>
    <w:p w14:paraId="5616D0E7">
      <w:pPr>
        <w:snapToGrid w:val="0"/>
        <w:spacing w:after="0" w:line="560" w:lineRule="exact"/>
        <w:ind w:firstLine="643" w:firstLineChars="200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b/>
          <w:color w:val="000000"/>
        </w:rPr>
        <w:t>1.加大妇女参与决策和管理支持力度。</w:t>
      </w:r>
      <w:r>
        <w:rPr>
          <w:rFonts w:hint="eastAsia"/>
          <w:bCs/>
          <w:color w:val="000000"/>
        </w:rPr>
        <w:t>不</w:t>
      </w:r>
      <w:r>
        <w:rPr>
          <w:rFonts w:hint="eastAsia" w:ascii="仿宋_GB2312" w:hAnsi="仿宋_GB2312" w:cs="仿宋_GB2312"/>
          <w:szCs w:val="32"/>
        </w:rPr>
        <w:t>断完善培养选拔干部的政策机制，为女干部参加教育培训、交流任职、挂职锻炼创造条件和机会。</w:t>
      </w:r>
      <w:r>
        <w:rPr>
          <w:rFonts w:hint="eastAsia" w:ascii="仿宋_GB2312" w:hAnsi="仿宋_GB2312" w:cs="仿宋_GB2312"/>
          <w:color w:val="000000"/>
          <w:szCs w:val="32"/>
        </w:rPr>
        <w:t>多层次、多形式、多渠道开展女性政治素养和领导能力提升教育培训。确保中共女党员、区党代会女代表、人大女代表、政协女委员比例保持稳定。</w:t>
      </w:r>
    </w:p>
    <w:p w14:paraId="37A06AEF">
      <w:pPr>
        <w:snapToGrid w:val="0"/>
        <w:spacing w:after="0"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lang w:eastAsia="zh-CN"/>
        </w:rPr>
      </w:pPr>
      <w:r>
        <w:rPr>
          <w:rFonts w:hint="eastAsia" w:ascii="仿宋_GB2312" w:hAnsi="仿宋_GB2312" w:cs="仿宋_GB2312"/>
          <w:b/>
          <w:color w:val="000000"/>
        </w:rPr>
        <w:t>2.加大女干部的选拔任用工作力度。</w:t>
      </w:r>
      <w:r>
        <w:rPr>
          <w:rFonts w:hint="eastAsia" w:ascii="仿宋_GB2312" w:hAnsi="仿宋_GB2312" w:cs="仿宋_GB2312"/>
          <w:szCs w:val="32"/>
        </w:rPr>
        <w:t>将培养和选拔女干部与领导班子、干部队伍建设统筹谋划，一体推进，对实</w:t>
      </w:r>
      <w:r>
        <w:rPr>
          <w:rFonts w:hint="eastAsia" w:ascii="仿宋_GB2312" w:hAnsi="仿宋_GB2312" w:cs="仿宋_GB2312"/>
          <w:color w:val="000000"/>
        </w:rPr>
        <w:t>绩突出、群众公认的优秀女干部大胆使用，区党政工作部门领导班</w:t>
      </w:r>
      <w:r>
        <w:rPr>
          <w:rFonts w:hint="eastAsia" w:ascii="仿宋_GB2312" w:hAnsi="仿宋_GB2312" w:cs="仿宋_GB2312"/>
          <w:color w:val="000000"/>
          <w:lang w:eastAsia="zh-CN"/>
        </w:rPr>
        <w:t>子</w:t>
      </w:r>
      <w:r>
        <w:rPr>
          <w:rFonts w:hint="eastAsia" w:ascii="仿宋_GB2312" w:hAnsi="仿宋_GB2312" w:cs="仿宋_GB2312"/>
          <w:color w:val="000000"/>
        </w:rPr>
        <w:t>中配备女干部的比例保持在一半以上，其中正职要有一定数量。</w:t>
      </w:r>
    </w:p>
    <w:p w14:paraId="2A280B59">
      <w:pPr>
        <w:spacing w:after="0" w:line="560" w:lineRule="exact"/>
        <w:ind w:firstLine="643" w:firstLineChars="200"/>
        <w:rPr>
          <w:rFonts w:hint="eastAsia" w:ascii="仿宋_GB2312" w:hAnsi="仿宋_GB2312" w:cs="仿宋_GB2312"/>
          <w:b/>
          <w:color w:val="000000"/>
        </w:rPr>
      </w:pPr>
      <w:r>
        <w:rPr>
          <w:rFonts w:hint="eastAsia" w:ascii="仿宋_GB2312" w:hAnsi="仿宋_GB2312" w:cs="仿宋_GB2312"/>
          <w:b/>
          <w:color w:val="000000"/>
        </w:rPr>
        <w:t>3.推动</w:t>
      </w:r>
      <w:r>
        <w:rPr>
          <w:rFonts w:hint="eastAsia"/>
          <w:b/>
          <w:color w:val="000000"/>
        </w:rPr>
        <w:t>女性广泛参与各领域的决策管理。</w:t>
      </w:r>
      <w:r>
        <w:rPr>
          <w:color w:val="000000"/>
        </w:rPr>
        <w:t>结合</w:t>
      </w:r>
      <w:r>
        <w:rPr>
          <w:color w:val="auto"/>
        </w:rPr>
        <w:t>区属国资国企</w:t>
      </w:r>
      <w:r>
        <w:rPr>
          <w:color w:val="000000"/>
        </w:rPr>
        <w:t>改革，稳步提高区属国有企业董事会成员中的女性比例</w:t>
      </w:r>
      <w:r>
        <w:rPr>
          <w:rFonts w:hint="eastAsia"/>
          <w:color w:val="000000"/>
        </w:rPr>
        <w:t>。注重选拔优秀女性进入事业单位领导班子。保持社区居民委员会成员中女性比例稳定，稳步提升社区“两委”成员中女性比例。培育壮大妇女社会组织力量。</w:t>
      </w:r>
    </w:p>
    <w:p w14:paraId="77DC9668">
      <w:pPr>
        <w:pStyle w:val="4"/>
        <w:spacing w:before="0" w:after="0"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bookmarkStart w:id="18" w:name="_Toc5132"/>
      <w:bookmarkStart w:id="19" w:name="_Toc9245"/>
      <w:bookmarkStart w:id="20" w:name="_Toc3192"/>
      <w:r>
        <w:rPr>
          <w:rFonts w:hint="eastAsia" w:ascii="楷体_GB2312" w:hAnsi="楷体_GB2312" w:eastAsia="楷体_GB2312" w:cs="楷体_GB2312"/>
          <w:b w:val="0"/>
          <w:bCs w:val="0"/>
          <w:color w:val="000000"/>
        </w:rPr>
        <w:t>（五）推动多层次社会保障体系高质量、可持续发展</w:t>
      </w:r>
      <w:bookmarkEnd w:id="18"/>
      <w:bookmarkEnd w:id="19"/>
      <w:bookmarkEnd w:id="20"/>
    </w:p>
    <w:p w14:paraId="465FD297">
      <w:pPr>
        <w:spacing w:after="0" w:line="560" w:lineRule="exact"/>
        <w:ind w:firstLine="643" w:firstLineChars="200"/>
        <w:rPr>
          <w:color w:val="000000"/>
        </w:rPr>
      </w:pPr>
      <w:r>
        <w:rPr>
          <w:rFonts w:hint="eastAsia" w:ascii="仿宋_GB2312" w:hAnsi="仿宋_GB2312" w:cs="仿宋_GB2312"/>
          <w:b/>
          <w:bCs/>
          <w:color w:val="000000"/>
        </w:rPr>
        <w:t>1.切实保障妇女平等享有社会保险权益。</w:t>
      </w:r>
      <w:r>
        <w:rPr>
          <w:color w:val="000000"/>
        </w:rPr>
        <w:t>持续提升城乡居民养老保险女性参保比例。</w:t>
      </w:r>
      <w:r>
        <w:rPr>
          <w:rFonts w:hint="eastAsia"/>
          <w:color w:val="000000"/>
        </w:rPr>
        <w:t>落实参加职工基本医疗保险的灵活就业人员、参加城乡居民基本医疗保险的未就业人员生育医疗费用保障措施。</w:t>
      </w:r>
    </w:p>
    <w:p w14:paraId="7E0AB70B">
      <w:pPr>
        <w:spacing w:after="0" w:line="560" w:lineRule="exact"/>
        <w:ind w:firstLine="643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</w:rPr>
        <w:t>2.优化养老服务和长期护理保险服务</w:t>
      </w:r>
      <w:r>
        <w:rPr>
          <w:rFonts w:hint="eastAsia" w:ascii="仿宋_GB2312" w:hAnsi="仿宋_GB2312" w:eastAsia="仿宋_GB2312" w:cs="仿宋_GB2312"/>
          <w:b/>
          <w:color w:val="000000"/>
        </w:rPr>
        <w:t>。</w:t>
      </w:r>
      <w:r>
        <w:rPr>
          <w:rFonts w:hint="eastAsia" w:ascii="仿宋_GB2312" w:hAnsi="仿宋_GB2312" w:cs="仿宋_GB2312"/>
          <w:color w:val="000000"/>
        </w:rPr>
        <w:t>健全养老服务网络，搭建智慧养老服务平台，加快健康旅游、康养医疗等产业布局。</w:t>
      </w:r>
      <w:r>
        <w:rPr>
          <w:rFonts w:hint="eastAsia" w:ascii="仿宋_GB2312" w:hAnsi="仿宋_GB2312" w:cs="仿宋_GB2312"/>
          <w:color w:val="000000"/>
          <w:lang w:eastAsia="zh-CN"/>
        </w:rPr>
        <w:t>持续深化长期护理保险制度试点，做好试点政策与北京市统一政策衔接，确保辖区长期护理保险参保待遇的连续性和制度平稳过渡。</w:t>
      </w:r>
      <w:r>
        <w:rPr>
          <w:rFonts w:hint="eastAsia" w:ascii="仿宋_GB2312" w:hAnsi="仿宋_GB2312" w:cs="仿宋_GB2312"/>
          <w:color w:val="000000"/>
        </w:rPr>
        <w:t>落实老年人能力评估和补贴发放机制。</w:t>
      </w:r>
    </w:p>
    <w:p w14:paraId="06D95F2C">
      <w:pPr>
        <w:spacing w:after="0" w:line="560" w:lineRule="exact"/>
        <w:ind w:firstLine="643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b/>
          <w:bCs/>
          <w:color w:val="000000"/>
        </w:rPr>
        <w:t>3.加强残疾妇女和困境妇女保障。</w:t>
      </w:r>
      <w:r>
        <w:rPr>
          <w:rFonts w:hint="eastAsia" w:ascii="仿宋_GB2312" w:hAnsi="仿宋_GB2312" w:cs="仿宋_GB2312"/>
          <w:color w:val="000000"/>
        </w:rPr>
        <w:t>加强困难残疾人生活补贴和重度残疾人护理补贴的精准管理，推进区残疾人职业康复中心二期建设。完善分层分类社会救助体系，拓展助困、助医等专项救助项目覆盖面，做好困境妇女救助帮扶，</w:t>
      </w:r>
      <w:r>
        <w:rPr>
          <w:rFonts w:hint="eastAsia" w:ascii="仿宋_GB2312" w:hAnsi="仿宋_GB2312" w:cs="仿宋_GB2312"/>
          <w:bCs/>
          <w:kern w:val="0"/>
          <w:szCs w:val="32"/>
        </w:rPr>
        <w:t>形成“物质+服务”综合救助模式。</w:t>
      </w:r>
    </w:p>
    <w:p w14:paraId="4A797A7A">
      <w:pPr>
        <w:pStyle w:val="4"/>
        <w:spacing w:before="0" w:after="0" w:line="560" w:lineRule="exact"/>
        <w:ind w:firstLine="640" w:firstLineChars="200"/>
        <w:rPr>
          <w:rFonts w:hint="eastAsia" w:ascii="楷体_GB2312" w:hAnsi="楷体_GB2312" w:eastAsia="楷体_GB2312" w:cs="楷体_GB2312"/>
        </w:rPr>
      </w:pPr>
      <w:bookmarkStart w:id="21" w:name="_Toc25821"/>
      <w:bookmarkStart w:id="22" w:name="_Toc10014"/>
      <w:bookmarkStart w:id="23" w:name="_Toc2046"/>
      <w:r>
        <w:rPr>
          <w:rFonts w:hint="eastAsia" w:ascii="楷体_GB2312" w:hAnsi="楷体_GB2312" w:eastAsia="楷体_GB2312" w:cs="楷体_GB2312"/>
          <w:b w:val="0"/>
          <w:bCs w:val="0"/>
          <w:color w:val="000000"/>
        </w:rPr>
        <w:t>（六）强化家庭支持力度</w:t>
      </w:r>
      <w:bookmarkEnd w:id="21"/>
      <w:bookmarkEnd w:id="22"/>
      <w:bookmarkEnd w:id="23"/>
    </w:p>
    <w:p w14:paraId="26F03591">
      <w:pPr>
        <w:snapToGrid w:val="0"/>
        <w:spacing w:after="0" w:line="560" w:lineRule="exact"/>
        <w:ind w:firstLine="643" w:firstLineChars="200"/>
        <w:rPr>
          <w:rFonts w:hint="eastAsia"/>
        </w:rPr>
      </w:pPr>
      <w:r>
        <w:rPr>
          <w:rFonts w:hint="eastAsia" w:ascii="仿宋_GB2312" w:hAnsi="仿宋_GB2312" w:cs="仿宋_GB2312"/>
          <w:b/>
          <w:color w:val="000000"/>
        </w:rPr>
        <w:t>1.树立新时代家庭观。</w:t>
      </w:r>
      <w:r>
        <w:rPr>
          <w:rFonts w:hint="eastAsia" w:ascii="仿宋_GB2312" w:hAnsi="仿宋_GB2312" w:cs="仿宋_GB2312"/>
          <w:color w:val="000000"/>
        </w:rPr>
        <w:t>倡导适龄婚育、优生优育，推动新时代婚恋观、生育观、家庭观深入人心，营造生育友好社会氛围。</w:t>
      </w:r>
      <w:r>
        <w:rPr>
          <w:rFonts w:hint="eastAsia" w:ascii="仿宋_GB2312" w:hAnsi="仿宋_GB2312" w:cs="仿宋_GB2312"/>
          <w:color w:val="000000"/>
          <w:lang w:val="en-US" w:eastAsia="zh-CN"/>
        </w:rPr>
        <w:t>深化</w:t>
      </w:r>
      <w:r>
        <w:rPr>
          <w:rFonts w:hint="eastAsia" w:ascii="仿宋_GB2312" w:hAnsi="仿宋_GB2312" w:cs="仿宋_GB2312"/>
          <w:color w:val="000000"/>
        </w:rPr>
        <w:t>家庭家教家风建设，开展</w:t>
      </w:r>
      <w:r>
        <w:rPr>
          <w:rFonts w:hint="eastAsia" w:ascii="仿宋_GB2312" w:hAnsi="仿宋_GB2312" w:cs="仿宋_GB2312"/>
          <w:color w:val="000000"/>
          <w:lang w:eastAsia="zh-CN"/>
        </w:rPr>
        <w:t>寻找</w:t>
      </w:r>
      <w:r>
        <w:rPr>
          <w:rFonts w:hint="eastAsia" w:ascii="仿宋_GB2312" w:hAnsi="仿宋_GB2312" w:cs="仿宋_GB2312"/>
          <w:color w:val="000000"/>
        </w:rPr>
        <w:t>“最美家庭”</w:t>
      </w:r>
      <w:r>
        <w:rPr>
          <w:rFonts w:hint="eastAsia" w:ascii="仿宋_GB2312" w:hAnsi="仿宋_GB2312" w:cs="仿宋_GB2312"/>
          <w:color w:val="000000"/>
          <w:lang w:eastAsia="zh-CN"/>
        </w:rPr>
        <w:t>“石家和美”</w:t>
      </w:r>
      <w:r>
        <w:rPr>
          <w:rFonts w:hint="eastAsia" w:ascii="仿宋_GB2312" w:hAnsi="仿宋_GB2312" w:cs="仿宋_GB2312"/>
          <w:color w:val="000000"/>
        </w:rPr>
        <w:t>等</w:t>
      </w:r>
      <w:r>
        <w:rPr>
          <w:rFonts w:hint="eastAsia" w:ascii="仿宋_GB2312" w:hAnsi="仿宋_GB2312" w:cs="仿宋_GB2312"/>
          <w:color w:val="000000"/>
          <w:lang w:eastAsia="zh-CN"/>
        </w:rPr>
        <w:t>活动，积极</w:t>
      </w:r>
      <w:r>
        <w:rPr>
          <w:rFonts w:hint="eastAsia" w:ascii="仿宋_GB2312" w:hAnsi="仿宋_GB2312" w:cs="仿宋_GB2312"/>
          <w:color w:val="000000"/>
        </w:rPr>
        <w:t>引导</w:t>
      </w:r>
      <w:r>
        <w:rPr>
          <w:rFonts w:hint="eastAsia" w:ascii="仿宋_GB2312" w:hAnsi="仿宋_GB2312" w:cs="仿宋_GB2312"/>
          <w:color w:val="000000"/>
          <w:lang w:eastAsia="zh-CN"/>
        </w:rPr>
        <w:t>家庭融入</w:t>
      </w:r>
      <w:r>
        <w:rPr>
          <w:rFonts w:hint="eastAsia" w:ascii="仿宋_GB2312" w:hAnsi="仿宋_GB2312" w:cs="仿宋_GB2312"/>
          <w:color w:val="000000"/>
        </w:rPr>
        <w:t>基层治理。</w:t>
      </w:r>
    </w:p>
    <w:tbl>
      <w:tblPr>
        <w:tblStyle w:val="19"/>
        <w:tblpPr w:leftFromText="180" w:rightFromText="180" w:vertAnchor="text" w:horzAnchor="page" w:tblpX="1599" w:tblpY="2302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2F256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080" w:type="dxa"/>
          </w:tcPr>
          <w:p w14:paraId="23CEEF1E">
            <w:pPr>
              <w:pStyle w:val="2"/>
              <w:spacing w:line="5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专栏2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强化生育友好支持服务</w:t>
            </w:r>
          </w:p>
        </w:tc>
      </w:tr>
      <w:tr w14:paraId="50C1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80" w:type="dxa"/>
          </w:tcPr>
          <w:p w14:paraId="431EC016">
            <w:pPr>
              <w:snapToGrid w:val="0"/>
              <w:spacing w:after="0" w:line="420" w:lineRule="exact"/>
              <w:ind w:firstLine="482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强化全方位生育支持。</w:t>
            </w:r>
            <w:r>
              <w:rPr>
                <w:rFonts w:hint="eastAsia" w:ascii="仿宋_GB2312" w:hAnsi="仿宋_GB2312" w:cs="仿宋_GB2312"/>
                <w:sz w:val="24"/>
              </w:rPr>
              <w:t>拓展生育全程优质服务供给。深入实施早孕关爱行动、孕育能力和出生缺陷防治提升计划。实施生育友好医院、儿童友好医院建设。提供养老托育、家政便民等多样化家庭服务，推进家政服务进社区，培育发展“互联网+家政”新模式。强化医育结合和科学育儿服务，推进区级医育结合指导中心建设。逐步推行免费学前教育，3岁以下婴幼儿入托率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z w:val="24"/>
              </w:rPr>
              <w:t>5%左右。</w:t>
            </w:r>
          </w:p>
          <w:p w14:paraId="0B63163D">
            <w:pPr>
              <w:spacing w:after="0" w:line="420" w:lineRule="exact"/>
              <w:ind w:firstLine="482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完善生育保险保障功能。</w:t>
            </w:r>
            <w:r>
              <w:rPr>
                <w:rFonts w:hint="eastAsia" w:ascii="仿宋_GB2312" w:hAnsi="仿宋_GB2312" w:cs="仿宋_GB2312"/>
                <w:sz w:val="24"/>
              </w:rPr>
              <w:t>全面贯彻生育保险政策，落实产假期间待遇、产检费用报销、分娩相关医疗费用等保障要求。做好本区领取失业保险金人员参加生育保险工作。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落实</w:t>
            </w:r>
            <w:r>
              <w:rPr>
                <w:rFonts w:hint="eastAsia" w:ascii="仿宋_GB2312" w:hAnsi="仿宋_GB2312" w:cs="仿宋_GB2312"/>
                <w:sz w:val="24"/>
              </w:rPr>
              <w:t>生育医疗费用结算机制，在定点医疗机构实现“一站式”结算。</w:t>
            </w:r>
          </w:p>
          <w:p w14:paraId="4DB0694A">
            <w:pPr>
              <w:spacing w:after="0" w:line="420" w:lineRule="exact"/>
              <w:ind w:firstLine="482" w:firstLineChars="200"/>
              <w:rPr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营造生育友好就业环境。</w:t>
            </w:r>
            <w:r>
              <w:rPr>
                <w:rFonts w:hint="eastAsia" w:ascii="仿宋_GB2312" w:hAnsi="仿宋_GB2312" w:cs="仿宋_GB2312"/>
                <w:sz w:val="24"/>
              </w:rPr>
              <w:t>完善生育支持与职场保障政策，将用人单位落实职工产假、生育假、育儿假等纳入劳动保障监察范围，发挥育儿补贴和个人所得税抵扣政策作用。打造母婴友好型企业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sz w:val="24"/>
              </w:rPr>
              <w:t>推广生育友好岗，为女性生育后返岗或再就业提供支持。</w:t>
            </w:r>
          </w:p>
        </w:tc>
      </w:tr>
    </w:tbl>
    <w:p w14:paraId="1D5E11F6">
      <w:pPr>
        <w:snapToGrid w:val="0"/>
        <w:spacing w:after="0" w:line="560" w:lineRule="exact"/>
        <w:ind w:firstLine="643" w:firstLineChars="200"/>
        <w:rPr>
          <w:rFonts w:hint="eastAsia" w:ascii="楷体_GB2312" w:hAnsi="楷体_GB2312" w:eastAsia="楷体_GB2312" w:cs="楷体_GB2312"/>
          <w:color w:val="000000"/>
        </w:rPr>
      </w:pPr>
      <w:r>
        <w:rPr>
          <w:rFonts w:ascii="仿宋_GB2312" w:hAnsi="仿宋_GB2312" w:cs="仿宋_GB2312"/>
          <w:b/>
          <w:color w:val="000000"/>
        </w:rPr>
        <w:t>2.</w:t>
      </w:r>
      <w:r>
        <w:rPr>
          <w:rFonts w:hint="eastAsia" w:ascii="仿宋_GB2312" w:hAnsi="仿宋_GB2312" w:cs="仿宋_GB2312"/>
          <w:b/>
          <w:color w:val="000000"/>
        </w:rPr>
        <w:t>发展</w:t>
      </w:r>
      <w:r>
        <w:rPr>
          <w:rFonts w:ascii="仿宋_GB2312" w:hAnsi="仿宋_GB2312" w:cs="仿宋_GB2312"/>
          <w:b/>
          <w:color w:val="000000"/>
        </w:rPr>
        <w:t>和谐</w:t>
      </w:r>
      <w:r>
        <w:rPr>
          <w:rFonts w:hint="eastAsia" w:ascii="仿宋_GB2312" w:hAnsi="仿宋_GB2312" w:cs="仿宋_GB2312"/>
          <w:b/>
          <w:color w:val="000000"/>
        </w:rPr>
        <w:t>健康的</w:t>
      </w:r>
      <w:r>
        <w:rPr>
          <w:rFonts w:ascii="仿宋_GB2312" w:hAnsi="仿宋_GB2312" w:cs="仿宋_GB2312"/>
          <w:b/>
          <w:color w:val="000000"/>
        </w:rPr>
        <w:t>婚姻</w:t>
      </w:r>
      <w:r>
        <w:rPr>
          <w:rFonts w:hint="eastAsia" w:ascii="仿宋_GB2312" w:hAnsi="仿宋_GB2312" w:cs="仿宋_GB2312"/>
          <w:b/>
          <w:color w:val="000000"/>
        </w:rPr>
        <w:t>家庭</w:t>
      </w:r>
      <w:r>
        <w:rPr>
          <w:rFonts w:ascii="仿宋_GB2312" w:hAnsi="仿宋_GB2312" w:cs="仿宋_GB2312"/>
          <w:b/>
          <w:color w:val="000000"/>
        </w:rPr>
        <w:t>关系。</w:t>
      </w:r>
      <w:r>
        <w:rPr>
          <w:rFonts w:hint="eastAsia" w:ascii="仿宋_GB2312" w:hAnsi="仿宋_GB2312" w:cs="仿宋_GB2312"/>
          <w:szCs w:val="32"/>
        </w:rPr>
        <w:t>开展婚姻家庭辅导和矛盾调解服务，加强婚姻家庭纠纷人民调解委员会规范化建设。推动夫妻平等参与家庭决策和家务分工。支持夫妻双方共同承担抚养、教育和保护儿童的责任。</w:t>
      </w:r>
      <w:bookmarkStart w:id="24" w:name="_Toc6880"/>
      <w:bookmarkStart w:id="25" w:name="_Toc15132"/>
    </w:p>
    <w:p w14:paraId="66D11FCC">
      <w:pPr>
        <w:pStyle w:val="4"/>
        <w:snapToGrid w:val="0"/>
        <w:spacing w:before="0" w:after="0"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</w:rPr>
      </w:pPr>
      <w:bookmarkStart w:id="26" w:name="_Toc1913"/>
      <w:r>
        <w:rPr>
          <w:rFonts w:hint="eastAsia" w:ascii="楷体_GB2312" w:hAnsi="楷体_GB2312" w:eastAsia="楷体_GB2312" w:cs="楷体_GB2312"/>
          <w:b w:val="0"/>
          <w:bCs w:val="0"/>
          <w:color w:val="000000"/>
        </w:rPr>
        <w:t>（七）打造性别平等的社会环境</w:t>
      </w:r>
      <w:bookmarkEnd w:id="24"/>
      <w:bookmarkEnd w:id="25"/>
      <w:bookmarkEnd w:id="26"/>
    </w:p>
    <w:p w14:paraId="0C5848AB">
      <w:pPr>
        <w:snapToGrid w:val="0"/>
        <w:spacing w:after="0" w:line="560" w:lineRule="exact"/>
        <w:ind w:firstLine="643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b/>
          <w:color w:val="000000"/>
        </w:rPr>
        <w:t>1.弘扬社会主义先进性别文化。</w:t>
      </w:r>
      <w:r>
        <w:rPr>
          <w:rFonts w:hint="eastAsia" w:ascii="仿宋_GB2312" w:hAnsi="仿宋_GB2312" w:cs="仿宋_GB2312"/>
          <w:color w:val="000000"/>
        </w:rPr>
        <w:t>全方位、多渠道、分众化开展男女平等基本国策宣传教育，使性别平等真正内化为全社会的文明共识和行为准则。加强媒介内容建设与传播秩序管理，强化性别平等价值观引领。推进男女平等、妇女发展等文化产品创作，宣传优秀妇女典型。</w:t>
      </w:r>
    </w:p>
    <w:p w14:paraId="3C7B5525">
      <w:pPr>
        <w:snapToGrid w:val="0"/>
        <w:spacing w:after="0" w:line="560" w:lineRule="exact"/>
        <w:ind w:firstLine="643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b/>
          <w:color w:val="000000"/>
        </w:rPr>
        <w:t>2</w:t>
      </w:r>
      <w:r>
        <w:rPr>
          <w:rFonts w:ascii="仿宋_GB2312" w:hAnsi="仿宋_GB2312" w:cs="仿宋_GB2312"/>
          <w:b/>
          <w:color w:val="000000"/>
        </w:rPr>
        <w:t>.</w:t>
      </w:r>
      <w:r>
        <w:rPr>
          <w:rFonts w:hint="eastAsia" w:ascii="仿宋_GB2312" w:hAnsi="仿宋_GB2312" w:cs="仿宋_GB2312"/>
          <w:b/>
          <w:color w:val="000000"/>
        </w:rPr>
        <w:t>丰富高质量</w:t>
      </w:r>
      <w:r>
        <w:rPr>
          <w:rFonts w:ascii="仿宋_GB2312" w:hAnsi="仿宋_GB2312" w:cs="仿宋_GB2312"/>
          <w:b/>
          <w:color w:val="000000"/>
        </w:rPr>
        <w:t>公共文化</w:t>
      </w:r>
      <w:r>
        <w:rPr>
          <w:rFonts w:hint="eastAsia" w:ascii="仿宋_GB2312" w:hAnsi="仿宋_GB2312" w:cs="仿宋_GB2312"/>
          <w:b/>
          <w:color w:val="000000"/>
        </w:rPr>
        <w:t>供给</w:t>
      </w:r>
      <w:r>
        <w:rPr>
          <w:rFonts w:ascii="仿宋_GB2312" w:hAnsi="仿宋_GB2312" w:cs="仿宋_GB2312"/>
          <w:b/>
          <w:color w:val="000000"/>
        </w:rPr>
        <w:t>。</w:t>
      </w:r>
      <w:r>
        <w:rPr>
          <w:rFonts w:hint="eastAsia" w:ascii="仿宋_GB2312" w:hAnsi="仿宋_GB2312" w:cs="仿宋_GB2312"/>
          <w:szCs w:val="32"/>
        </w:rPr>
        <w:t>深化数字技术与公共文化服务融合，</w:t>
      </w:r>
      <w:r>
        <w:rPr>
          <w:rFonts w:hint="eastAsia" w:ascii="仿宋_GB2312" w:hAnsi="仿宋_GB2312" w:cs="仿宋_GB2312"/>
          <w:color w:val="000000"/>
        </w:rPr>
        <w:t>优化“石景山文E”服务功能，</w:t>
      </w:r>
      <w:r>
        <w:rPr>
          <w:rFonts w:hint="eastAsia" w:ascii="仿宋_GB2312" w:hAnsi="仿宋_GB2312" w:cs="仿宋_GB2312"/>
          <w:szCs w:val="32"/>
        </w:rPr>
        <w:t>为妇女提供随时可及、形式多样的文化资源。</w:t>
      </w:r>
      <w:r>
        <w:rPr>
          <w:rFonts w:hint="eastAsia" w:ascii="仿宋_GB2312" w:hAnsi="仿宋_GB2312" w:cs="仿宋_GB2312"/>
          <w:color w:val="000000"/>
        </w:rPr>
        <w:t>全方位推动“文商旅体展”服务供给融合升级，依托区域重大展会、赛事活动等优势，拓展“旅游+”“赛事+”等新产品、新场景、新体验。</w:t>
      </w:r>
    </w:p>
    <w:p w14:paraId="209AC8E7">
      <w:pPr>
        <w:snapToGrid w:val="0"/>
        <w:spacing w:after="0" w:line="560" w:lineRule="exact"/>
        <w:ind w:firstLine="643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b/>
          <w:color w:val="000000"/>
        </w:rPr>
        <w:t>3</w:t>
      </w:r>
      <w:r>
        <w:rPr>
          <w:rFonts w:ascii="仿宋_GB2312" w:hAnsi="仿宋_GB2312" w:cs="仿宋_GB2312"/>
          <w:b/>
          <w:color w:val="000000"/>
        </w:rPr>
        <w:t>.加强妇女友好型公共服务设施建设</w:t>
      </w:r>
      <w:r>
        <w:rPr>
          <w:rFonts w:hint="eastAsia" w:ascii="仿宋_GB2312" w:hAnsi="仿宋_GB2312" w:cs="仿宋_GB2312"/>
          <w:b/>
          <w:color w:val="000000"/>
        </w:rPr>
        <w:t>和应急服务供给</w:t>
      </w:r>
      <w:r>
        <w:rPr>
          <w:rFonts w:ascii="仿宋_GB2312" w:hAnsi="仿宋_GB2312" w:cs="仿宋_GB2312"/>
          <w:b/>
          <w:color w:val="000000"/>
        </w:rPr>
        <w:t>。</w:t>
      </w:r>
      <w:r>
        <w:rPr>
          <w:rFonts w:hint="eastAsia" w:ascii="仿宋_GB2312" w:hAnsi="仿宋_GB2312" w:cs="仿宋_GB2312"/>
          <w:szCs w:val="32"/>
        </w:rPr>
        <w:t>落实公共场所母婴室、母婴服务区建设与运行标准，推进用人单位母婴室建设。</w:t>
      </w:r>
      <w:r>
        <w:rPr>
          <w:rFonts w:hint="eastAsia" w:ascii="仿宋_GB2312" w:hAnsi="仿宋_GB2312" w:cs="仿宋_GB2312"/>
          <w:color w:val="000000"/>
        </w:rPr>
        <w:t>推动大型商业网点、文化体育场馆等家庭卫生间建设，</w:t>
      </w:r>
      <w:r>
        <w:rPr>
          <w:rFonts w:ascii="仿宋_GB2312" w:hAnsi="仿宋_GB2312" w:cs="仿宋_GB2312"/>
          <w:color w:val="000000"/>
        </w:rPr>
        <w:t>推动</w:t>
      </w:r>
      <w:r>
        <w:rPr>
          <w:rFonts w:hint="eastAsia" w:ascii="仿宋_GB2312" w:hAnsi="仿宋_GB2312" w:cs="仿宋_GB2312"/>
          <w:color w:val="000000"/>
        </w:rPr>
        <w:t>男女</w:t>
      </w:r>
      <w:r>
        <w:rPr>
          <w:rFonts w:ascii="仿宋_GB2312" w:hAnsi="仿宋_GB2312" w:cs="仿宋_GB2312"/>
          <w:color w:val="000000"/>
        </w:rPr>
        <w:t>厕位</w:t>
      </w:r>
      <w:r>
        <w:rPr>
          <w:rFonts w:hint="eastAsia" w:ascii="仿宋_GB2312" w:hAnsi="仿宋_GB2312" w:cs="仿宋_GB2312"/>
          <w:color w:val="000000"/>
        </w:rPr>
        <w:t>比例设置</w:t>
      </w:r>
      <w:r>
        <w:rPr>
          <w:rFonts w:ascii="仿宋_GB2312" w:hAnsi="仿宋_GB2312" w:cs="仿宋_GB2312"/>
          <w:color w:val="000000"/>
        </w:rPr>
        <w:t>科学合理。健全突发事件应急物资储备和配置标准，</w:t>
      </w:r>
      <w:r>
        <w:rPr>
          <w:rFonts w:hint="eastAsia" w:ascii="仿宋_GB2312" w:hAnsi="仿宋_GB2312" w:cs="仿宋_GB2312"/>
          <w:color w:val="000000"/>
        </w:rPr>
        <w:t>优先保障妇女卫生清洁用品、孕产妇及婴幼儿用品等供给。</w:t>
      </w:r>
    </w:p>
    <w:p w14:paraId="3E997F70">
      <w:pPr>
        <w:snapToGrid w:val="0"/>
        <w:spacing w:after="0" w:line="560" w:lineRule="exact"/>
        <w:ind w:firstLine="643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b/>
          <w:color w:val="000000"/>
        </w:rPr>
        <w:t>4</w:t>
      </w:r>
      <w:r>
        <w:rPr>
          <w:rFonts w:ascii="仿宋_GB2312" w:hAnsi="仿宋_GB2312" w:cs="仿宋_GB2312"/>
          <w:b/>
          <w:color w:val="000000"/>
        </w:rPr>
        <w:t>.拓展妇女国际交流与合作平台。</w:t>
      </w:r>
      <w:r>
        <w:rPr>
          <w:rFonts w:hint="eastAsia" w:ascii="仿宋_GB2312" w:hAnsi="仿宋_GB2312" w:cs="仿宋_GB2312"/>
          <w:color w:val="000000"/>
        </w:rPr>
        <w:t>以</w:t>
      </w:r>
      <w:r>
        <w:rPr>
          <w:rFonts w:ascii="仿宋_GB2312" w:hAnsi="仿宋_GB2312" w:cs="仿宋_GB2312"/>
          <w:color w:val="000000"/>
        </w:rPr>
        <w:t>服贸会等国际开放平台</w:t>
      </w:r>
      <w:r>
        <w:rPr>
          <w:rFonts w:hint="eastAsia" w:ascii="仿宋_GB2312" w:hAnsi="仿宋_GB2312" w:cs="仿宋_GB2312"/>
          <w:color w:val="000000"/>
        </w:rPr>
        <w:t>为依托</w:t>
      </w:r>
      <w:r>
        <w:rPr>
          <w:rFonts w:ascii="仿宋_GB2312" w:hAnsi="仿宋_GB2312" w:cs="仿宋_GB2312"/>
          <w:color w:val="000000"/>
        </w:rPr>
        <w:t>，培育具有石景山区特色和文化底蕴的国际妇女交流项目，</w:t>
      </w:r>
      <w:r>
        <w:rPr>
          <w:rFonts w:hint="eastAsia" w:ascii="仿宋_GB2312" w:hAnsi="仿宋_GB2312" w:cs="仿宋_GB2312"/>
          <w:color w:val="000000"/>
        </w:rPr>
        <w:t>积极</w:t>
      </w:r>
      <w:r>
        <w:rPr>
          <w:rFonts w:ascii="仿宋_GB2312" w:hAnsi="仿宋_GB2312" w:cs="仿宋_GB2312"/>
          <w:color w:val="000000"/>
        </w:rPr>
        <w:t>拓展妇女对外交流渠道，支持妇女参与国际产业合作与文化交流，讲好</w:t>
      </w:r>
      <w:r>
        <w:rPr>
          <w:rFonts w:hint="eastAsia" w:ascii="仿宋_GB2312" w:hAnsi="仿宋_GB2312" w:cs="仿宋_GB2312"/>
          <w:color w:val="000000"/>
        </w:rPr>
        <w:t>石</w:t>
      </w:r>
      <w:r>
        <w:rPr>
          <w:rFonts w:ascii="仿宋_GB2312" w:hAnsi="仿宋_GB2312" w:cs="仿宋_GB2312"/>
          <w:color w:val="000000"/>
        </w:rPr>
        <w:t>景山女性故事。</w:t>
      </w:r>
    </w:p>
    <w:p w14:paraId="28162D6A">
      <w:pPr>
        <w:pStyle w:val="4"/>
        <w:snapToGrid w:val="0"/>
        <w:spacing w:before="0" w:after="0" w:line="560" w:lineRule="exact"/>
        <w:ind w:firstLine="640" w:firstLineChars="200"/>
        <w:rPr>
          <w:rFonts w:hint="eastAsia" w:eastAsia="楷体_GB2312"/>
          <w:b w:val="0"/>
          <w:bCs w:val="0"/>
        </w:rPr>
      </w:pPr>
      <w:bookmarkStart w:id="27" w:name="_Toc27504"/>
      <w:bookmarkStart w:id="28" w:name="_Toc9633"/>
      <w:bookmarkStart w:id="29" w:name="_Toc119"/>
      <w:r>
        <w:rPr>
          <w:rFonts w:ascii="楷体_GB2312" w:hAnsi="楷体_GB2312" w:eastAsia="楷体_GB2312" w:cs="楷体_GB2312"/>
          <w:b w:val="0"/>
          <w:bCs w:val="0"/>
          <w:color w:val="000000"/>
        </w:rPr>
        <w:t>（八）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</w:rPr>
        <w:t>完善保障妇女合法权益的政策机制</w:t>
      </w:r>
      <w:bookmarkEnd w:id="27"/>
      <w:bookmarkEnd w:id="28"/>
      <w:bookmarkEnd w:id="29"/>
    </w:p>
    <w:p w14:paraId="55F23119">
      <w:pPr>
        <w:snapToGrid w:val="0"/>
        <w:spacing w:after="0" w:line="560" w:lineRule="exact"/>
        <w:ind w:firstLine="643" w:firstLineChars="200"/>
        <w:rPr>
          <w:rFonts w:hint="eastAsia" w:ascii="仿宋_GB2312" w:hAnsi="仿宋_GB2312" w:cs="仿宋_GB2312"/>
          <w:color w:val="000000"/>
        </w:rPr>
      </w:pPr>
      <w:r>
        <w:rPr>
          <w:rFonts w:ascii="仿宋_GB2312" w:hAnsi="仿宋_GB2312" w:cs="仿宋_GB2312"/>
          <w:b/>
          <w:color w:val="000000"/>
        </w:rPr>
        <w:t>1</w:t>
      </w:r>
      <w:r>
        <w:rPr>
          <w:rFonts w:ascii="仿宋_GB2312" w:hAnsi="仿宋_GB2312" w:cs="仿宋_GB2312"/>
          <w:b/>
          <w:color w:val="000000"/>
          <w:highlight w:val="none"/>
        </w:rPr>
        <w:t>.</w:t>
      </w:r>
      <w:r>
        <w:rPr>
          <w:rFonts w:hint="eastAsia" w:ascii="仿宋_GB2312" w:hAnsi="仿宋_GB2312" w:cs="仿宋_GB2312"/>
          <w:b/>
          <w:color w:val="000000"/>
        </w:rPr>
        <w:t>保障</w:t>
      </w:r>
      <w:r>
        <w:rPr>
          <w:rFonts w:ascii="仿宋_GB2312" w:hAnsi="仿宋_GB2312" w:cs="仿宋_GB2312"/>
          <w:b/>
          <w:color w:val="000000"/>
        </w:rPr>
        <w:t>妇女</w:t>
      </w:r>
      <w:r>
        <w:rPr>
          <w:rFonts w:hint="eastAsia" w:ascii="仿宋_GB2312" w:hAnsi="仿宋_GB2312" w:cs="仿宋_GB2312"/>
          <w:b/>
          <w:color w:val="000000"/>
        </w:rPr>
        <w:t>合法</w:t>
      </w:r>
      <w:r>
        <w:rPr>
          <w:rFonts w:ascii="仿宋_GB2312" w:hAnsi="仿宋_GB2312" w:cs="仿宋_GB2312"/>
          <w:b/>
          <w:color w:val="000000"/>
        </w:rPr>
        <w:t>权益。</w:t>
      </w:r>
      <w:r>
        <w:rPr>
          <w:rFonts w:hint="eastAsia" w:ascii="仿宋_GB2312" w:hAnsi="仿宋_GB2312" w:cs="仿宋_GB2312"/>
          <w:color w:val="000000"/>
        </w:rPr>
        <w:t>落实涉及妇</w:t>
      </w:r>
      <w:r>
        <w:rPr>
          <w:rFonts w:ascii="仿宋_GB2312" w:hAnsi="仿宋_GB2312" w:cs="仿宋_GB2312"/>
          <w:color w:val="000000"/>
        </w:rPr>
        <w:t>女权益的法律法规与政策</w:t>
      </w:r>
      <w:r>
        <w:rPr>
          <w:rFonts w:hint="eastAsia" w:ascii="仿宋_GB2312" w:hAnsi="仿宋_GB2312" w:cs="仿宋_GB2312"/>
          <w:color w:val="000000"/>
        </w:rPr>
        <w:t>要</w:t>
      </w:r>
      <w:r>
        <w:rPr>
          <w:rFonts w:ascii="仿宋_GB2312" w:hAnsi="仿宋_GB2312" w:cs="仿宋_GB2312"/>
          <w:color w:val="000000"/>
        </w:rPr>
        <w:t>求。</w:t>
      </w:r>
      <w:r>
        <w:rPr>
          <w:rFonts w:hint="eastAsia" w:ascii="仿宋_GB2312" w:hAnsi="仿宋_GB2312" w:cs="仿宋_GB2312"/>
          <w:color w:val="000000"/>
        </w:rPr>
        <w:t>加强执法司法协作，完善案件线索移送、信息共享、联合调查、专业支持等工作机制，有效落实妇女权益保障检察公益诉讼制度。落实法规政策性别平等评估机制。完善法律咨询服务，普及法治宣传教育。</w:t>
      </w:r>
    </w:p>
    <w:p w14:paraId="2BF89041">
      <w:pPr>
        <w:snapToGrid w:val="0"/>
        <w:spacing w:after="0" w:line="560" w:lineRule="exact"/>
        <w:ind w:firstLine="643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b/>
          <w:color w:val="000000"/>
        </w:rPr>
        <w:t>2</w:t>
      </w:r>
      <w:r>
        <w:rPr>
          <w:rFonts w:ascii="仿宋_GB2312" w:hAnsi="仿宋_GB2312" w:cs="仿宋_GB2312"/>
          <w:b/>
          <w:color w:val="000000"/>
        </w:rPr>
        <w:t>.有效预防和严厉打击</w:t>
      </w:r>
      <w:r>
        <w:rPr>
          <w:rFonts w:hint="eastAsia" w:ascii="仿宋_GB2312" w:hAnsi="仿宋_GB2312" w:cs="仿宋_GB2312"/>
          <w:b/>
          <w:color w:val="000000"/>
        </w:rPr>
        <w:t>侵害</w:t>
      </w:r>
      <w:r>
        <w:rPr>
          <w:rFonts w:ascii="仿宋_GB2312" w:hAnsi="仿宋_GB2312" w:cs="仿宋_GB2312"/>
          <w:b/>
          <w:color w:val="000000"/>
        </w:rPr>
        <w:t>妇女权益的违法犯罪行为。</w:t>
      </w:r>
      <w:r>
        <w:rPr>
          <w:rFonts w:hint="eastAsia" w:ascii="仿宋_GB2312" w:hAnsi="仿宋_GB2312" w:cs="仿宋_GB2312"/>
          <w:color w:val="000000"/>
        </w:rPr>
        <w:t>严厉打击惩治虐待、拐卖、强奸、强制猥亵等严重侵害妇女权益的违法犯罪行为。深化预防和制止家庭暴力多部门合作机制，做好家庭暴力告诫书发放，强化人身安全保护令制度落实。深化网络空间安全综合治理，严厉打击网络暴力、网络婚恋诈骗、算法歧视等新兴侵害妇女权益行为。加大性骚扰的防治力度。</w:t>
      </w:r>
    </w:p>
    <w:p w14:paraId="0A1AFB28">
      <w:pPr>
        <w:snapToGrid w:val="0"/>
        <w:spacing w:after="0" w:line="560" w:lineRule="exact"/>
        <w:ind w:firstLine="643" w:firstLineChars="200"/>
      </w:pPr>
      <w:r>
        <w:rPr>
          <w:rFonts w:hint="eastAsia" w:ascii="仿宋_GB2312" w:hAnsi="仿宋_GB2312" w:cs="仿宋_GB2312"/>
          <w:b/>
          <w:color w:val="000000"/>
        </w:rPr>
        <w:t>3</w:t>
      </w:r>
      <w:r>
        <w:rPr>
          <w:rFonts w:ascii="仿宋_GB2312" w:hAnsi="仿宋_GB2312" w:cs="仿宋_GB2312"/>
          <w:b/>
          <w:color w:val="000000"/>
        </w:rPr>
        <w:t>.完善妇女维权服务与司法救助体系。</w:t>
      </w:r>
      <w:r>
        <w:rPr>
          <w:rFonts w:hint="eastAsia" w:ascii="仿宋_GB2312" w:hAnsi="仿宋_GB2312" w:cs="仿宋_GB2312"/>
          <w:color w:val="000000"/>
        </w:rPr>
        <w:t>健全完善法律援助沟通协调机制，畅通执法、司法办案环节法律援助申请渠道，依法</w:t>
      </w:r>
      <w:r>
        <w:rPr>
          <w:rFonts w:ascii="仿宋_GB2312" w:hAnsi="仿宋_GB2312" w:cs="仿宋_GB2312"/>
          <w:color w:val="000000"/>
        </w:rPr>
        <w:t>为困难妇女、遭受侵害妇女群体建立绿色通道和“一站式”服务。完善司法救助</w:t>
      </w:r>
      <w:r>
        <w:rPr>
          <w:rFonts w:hint="eastAsia" w:ascii="仿宋_GB2312" w:hAnsi="仿宋_GB2312" w:cs="仿宋_GB2312"/>
          <w:color w:val="000000"/>
        </w:rPr>
        <w:t>与社会救助的衔接</w:t>
      </w:r>
      <w:r>
        <w:rPr>
          <w:rFonts w:ascii="仿宋_GB2312" w:hAnsi="仿宋_GB2312" w:cs="仿宋_GB2312"/>
          <w:color w:val="000000"/>
        </w:rPr>
        <w:t>，</w:t>
      </w:r>
      <w:r>
        <w:rPr>
          <w:rFonts w:hint="eastAsia" w:ascii="仿宋_GB2312" w:hAnsi="仿宋_GB2312" w:cs="仿宋_GB2312"/>
          <w:color w:val="000000"/>
        </w:rPr>
        <w:t>针对司法案件中的</w:t>
      </w:r>
      <w:r>
        <w:rPr>
          <w:rFonts w:ascii="仿宋_GB2312" w:hAnsi="仿宋_GB2312" w:cs="仿宋_GB2312"/>
          <w:color w:val="000000"/>
        </w:rPr>
        <w:t>困难妇女，</w:t>
      </w:r>
      <w:r>
        <w:rPr>
          <w:rFonts w:hint="eastAsia" w:ascii="仿宋_GB2312" w:hAnsi="仿宋_GB2312" w:cs="仿宋_GB2312"/>
          <w:color w:val="000000"/>
        </w:rPr>
        <w:t>提供资金救助和</w:t>
      </w:r>
      <w:r>
        <w:rPr>
          <w:rFonts w:ascii="仿宋_GB2312" w:hAnsi="仿宋_GB2312" w:cs="仿宋_GB2312"/>
          <w:color w:val="000000"/>
        </w:rPr>
        <w:t>多元帮扶。</w:t>
      </w:r>
    </w:p>
    <w:p w14:paraId="230C37C6">
      <w:pPr>
        <w:snapToGrid w:val="0"/>
        <w:spacing w:after="0" w:line="560" w:lineRule="exact"/>
        <w:ind w:firstLine="643" w:firstLineChars="200"/>
        <w:rPr>
          <w:rFonts w:hint="eastAsia" w:ascii="仿宋_GB2312" w:hAnsi="仿宋_GB2312" w:cs="仿宋_GB2312"/>
          <w:b/>
          <w:color w:val="000000"/>
          <w:szCs w:val="32"/>
        </w:rPr>
      </w:pPr>
      <w:r>
        <w:rPr>
          <w:rFonts w:hint="eastAsia" w:ascii="仿宋_GB2312" w:hAnsi="仿宋_GB2312" w:cs="仿宋_GB2312"/>
          <w:b/>
          <w:color w:val="000000"/>
        </w:rPr>
        <w:t>4</w:t>
      </w:r>
      <w:r>
        <w:rPr>
          <w:rFonts w:ascii="仿宋_GB2312" w:hAnsi="仿宋_GB2312" w:cs="仿宋_GB2312"/>
          <w:b/>
          <w:color w:val="000000"/>
        </w:rPr>
        <w:t>.依法保障妇女婚姻家庭</w:t>
      </w:r>
      <w:r>
        <w:rPr>
          <w:rFonts w:hint="eastAsia" w:ascii="仿宋_GB2312" w:hAnsi="仿宋_GB2312" w:cs="仿宋_GB2312"/>
          <w:b/>
          <w:color w:val="000000"/>
        </w:rPr>
        <w:t>权益和</w:t>
      </w:r>
      <w:r>
        <w:rPr>
          <w:rFonts w:ascii="仿宋_GB2312" w:hAnsi="仿宋_GB2312" w:cs="仿宋_GB2312"/>
          <w:b/>
          <w:color w:val="000000"/>
        </w:rPr>
        <w:t>财产权益。</w:t>
      </w:r>
      <w:r>
        <w:rPr>
          <w:rFonts w:ascii="仿宋_GB2312" w:hAnsi="仿宋_GB2312" w:cs="仿宋_GB2312"/>
          <w:color w:val="000000"/>
        </w:rPr>
        <w:t>加大婚姻家庭</w:t>
      </w:r>
      <w:r>
        <w:rPr>
          <w:rFonts w:hint="eastAsia" w:ascii="仿宋_GB2312" w:hAnsi="仿宋_GB2312" w:cs="仿宋_GB2312"/>
          <w:color w:val="000000"/>
          <w:lang w:eastAsia="zh-CN"/>
        </w:rPr>
        <w:t>普法</w:t>
      </w:r>
      <w:r>
        <w:rPr>
          <w:rFonts w:ascii="仿宋_GB2312" w:hAnsi="仿宋_GB2312" w:cs="仿宋_GB2312"/>
          <w:color w:val="000000"/>
        </w:rPr>
        <w:t>宣传力度，</w:t>
      </w:r>
      <w:r>
        <w:rPr>
          <w:rFonts w:hint="eastAsia" w:ascii="仿宋_GB2312" w:hAnsi="仿宋_GB2312" w:cs="仿宋_GB2312"/>
          <w:color w:val="000000"/>
          <w:lang w:eastAsia="zh-CN"/>
        </w:rPr>
        <w:t>开展“巾帼维权</w:t>
      </w:r>
      <w:r>
        <w:rPr>
          <w:rFonts w:hint="eastAsia" w:ascii="仿宋_GB2312" w:hAnsi="仿宋_GB2312" w:cs="仿宋_GB2312"/>
          <w:color w:val="000000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/>
          <w:lang w:eastAsia="zh-CN"/>
        </w:rPr>
        <w:t>送法到家”活动。</w:t>
      </w:r>
      <w:r>
        <w:rPr>
          <w:rFonts w:ascii="仿宋_GB2312" w:hAnsi="仿宋_GB2312" w:cs="仿宋_GB2312"/>
          <w:color w:val="000000"/>
        </w:rPr>
        <w:t>推动夫妻财产公证、财产申报和分配制度的普及。</w:t>
      </w:r>
      <w:r>
        <w:rPr>
          <w:rFonts w:hint="eastAsia" w:ascii="仿宋_GB2312" w:hAnsi="仿宋_GB2312" w:cs="仿宋_GB2312"/>
          <w:color w:val="000000"/>
        </w:rPr>
        <w:t>认定和清偿夫妻共同债务时依法维护妇女合法权益。</w:t>
      </w:r>
      <w:r>
        <w:rPr>
          <w:rFonts w:ascii="仿宋_GB2312" w:hAnsi="仿宋_GB2312" w:cs="仿宋_GB2312"/>
          <w:color w:val="000000"/>
        </w:rPr>
        <w:t>保障妇女依法享有夫妻相互继承遗产、子女平等继承遗产的权利。保障年老、残疾、重病等生活困难的离婚妇女依法获得经济帮助。</w:t>
      </w:r>
    </w:p>
    <w:p w14:paraId="3E9C9CB8">
      <w:pPr>
        <w:snapToGrid w:val="0"/>
        <w:spacing w:after="0" w:line="560" w:lineRule="exact"/>
        <w:ind w:firstLine="640" w:firstLineChars="200"/>
        <w:outlineLvl w:val="0"/>
      </w:pPr>
      <w:bookmarkStart w:id="30" w:name="_Toc10669"/>
      <w:r>
        <w:rPr>
          <w:rFonts w:hint="eastAsia" w:ascii="黑体" w:hAnsi="黑体" w:eastAsia="黑体" w:cs="黑体"/>
          <w:bCs/>
          <w:kern w:val="44"/>
          <w:szCs w:val="32"/>
        </w:rPr>
        <w:t>三、保障儿童优先发展的重点任务</w:t>
      </w:r>
      <w:bookmarkEnd w:id="30"/>
    </w:p>
    <w:p w14:paraId="320B684D">
      <w:pPr>
        <w:keepNext/>
        <w:keepLines/>
        <w:spacing w:after="0" w:line="56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bCs/>
          <w:szCs w:val="32"/>
        </w:rPr>
      </w:pPr>
      <w:bookmarkStart w:id="31" w:name="_Toc28014"/>
      <w:bookmarkStart w:id="32" w:name="_Toc2972"/>
      <w:bookmarkStart w:id="33" w:name="_Toc10557"/>
      <w:r>
        <w:rPr>
          <w:rFonts w:hint="eastAsia" w:ascii="楷体_GB2312" w:hAnsi="楷体_GB2312" w:eastAsia="楷体_GB2312" w:cs="楷体_GB2312"/>
          <w:bCs/>
          <w:szCs w:val="32"/>
        </w:rPr>
        <w:t>（一）完善儿童健康服务体系</w:t>
      </w:r>
      <w:bookmarkEnd w:id="31"/>
      <w:bookmarkEnd w:id="32"/>
      <w:bookmarkEnd w:id="33"/>
    </w:p>
    <w:p w14:paraId="66277EF5">
      <w:pPr>
        <w:autoSpaceDE w:val="0"/>
        <w:autoSpaceDN w:val="0"/>
        <w:adjustRightInd w:val="0"/>
        <w:spacing w:after="0" w:line="560" w:lineRule="exact"/>
        <w:ind w:firstLine="643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1.优化儿童健康资源配置与服务网络。</w:t>
      </w:r>
      <w:r>
        <w:rPr>
          <w:rFonts w:hint="eastAsia"/>
        </w:rPr>
        <w:t>完善儿童健康服务网络，</w:t>
      </w:r>
      <w:r>
        <w:rPr>
          <w:rFonts w:hint="eastAsia" w:ascii="仿宋_GB2312" w:hAnsi="仿宋_GB2312" w:cs="仿宋_GB2312"/>
          <w:szCs w:val="32"/>
        </w:rPr>
        <w:t>统筹儿科资源均衡布局，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AI儿童应用场景向基层下沉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依托儿科医联体，促进优质医疗资源下沉，推动社区卫生服务中心儿科服务能力建设，开展儿童常见病、多发病的初诊和规范转诊服务。推进医疗机构适儿化改造，强化信息化建设，提升服务质效。</w:t>
      </w:r>
    </w:p>
    <w:p w14:paraId="34297A9C">
      <w:pPr>
        <w:adjustRightInd w:val="0"/>
        <w:spacing w:after="0" w:line="560" w:lineRule="exact"/>
        <w:ind w:firstLine="643" w:firstLineChars="200"/>
        <w:contextualSpacing/>
        <w:rPr>
          <w:color w:val="000000"/>
        </w:rPr>
      </w:pPr>
      <w:r>
        <w:rPr>
          <w:rFonts w:hint="eastAsia" w:ascii="仿宋_GB2312" w:hAnsi="仿宋_GB2312" w:cs="仿宋_GB2312"/>
          <w:b/>
          <w:bCs/>
          <w:szCs w:val="32"/>
        </w:rPr>
        <w:t>2</w:t>
      </w:r>
      <w:r>
        <w:rPr>
          <w:rFonts w:ascii="仿宋_GB2312" w:hAnsi="仿宋_GB2312" w:cs="仿宋_GB2312"/>
          <w:b/>
          <w:bCs/>
          <w:szCs w:val="32"/>
        </w:rPr>
        <w:t>.</w:t>
      </w:r>
      <w:r>
        <w:rPr>
          <w:rFonts w:hint="eastAsia" w:ascii="仿宋_GB2312" w:hAnsi="仿宋_GB2312" w:cs="仿宋_GB2312"/>
          <w:b/>
          <w:bCs/>
          <w:szCs w:val="32"/>
        </w:rPr>
        <w:t>强化新生儿和婴幼儿健康管理。</w:t>
      </w:r>
      <w:r>
        <w:rPr>
          <w:rFonts w:ascii="仿宋_GB2312" w:hAnsi="仿宋_GB2312" w:cs="仿宋_GB2312"/>
          <w:szCs w:val="32"/>
        </w:rPr>
        <w:t>健全危重新生儿救治与筛查随访机制，依托区域健康信息平台精细化管理，</w:t>
      </w:r>
      <w:r>
        <w:rPr>
          <w:rFonts w:hint="eastAsia" w:ascii="仿宋_GB2312" w:hAnsi="仿宋_GB2312" w:cs="仿宋_GB2312"/>
          <w:szCs w:val="32"/>
        </w:rPr>
        <w:t>推广新生儿早期基本保健</w:t>
      </w:r>
      <w:r>
        <w:rPr>
          <w:rFonts w:ascii="仿宋_GB2312" w:hAnsi="仿宋_GB2312" w:cs="仿宋_GB2312"/>
          <w:szCs w:val="32"/>
        </w:rPr>
        <w:t>服务</w:t>
      </w:r>
      <w:r>
        <w:rPr>
          <w:rFonts w:hint="eastAsia" w:ascii="仿宋_GB2312" w:hAnsi="仿宋_GB2312" w:cs="仿宋_GB2312"/>
          <w:szCs w:val="32"/>
        </w:rPr>
        <w:t>。实施早产攻坚行动，推进早产预防、救治、随访等全链条服务。</w:t>
      </w:r>
    </w:p>
    <w:p w14:paraId="12446408">
      <w:pPr>
        <w:adjustRightInd w:val="0"/>
        <w:spacing w:after="0" w:line="560" w:lineRule="exact"/>
        <w:ind w:firstLine="643" w:firstLineChars="200"/>
        <w:contextualSpacing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3.优化儿童健康服务</w:t>
      </w:r>
      <w:r>
        <w:rPr>
          <w:rFonts w:hint="eastAsia" w:ascii="仿宋_GB2312" w:hAnsi="仿宋_GB2312" w:cs="仿宋_GB2312"/>
          <w:b/>
          <w:bCs/>
          <w:szCs w:val="32"/>
          <w:lang w:eastAsia="zh-CN"/>
        </w:rPr>
        <w:t>和管理</w:t>
      </w:r>
      <w:r>
        <w:rPr>
          <w:rFonts w:hint="eastAsia" w:ascii="仿宋_GB2312" w:hAnsi="仿宋_GB2312" w:cs="仿宋_GB2312"/>
          <w:b/>
          <w:bCs/>
          <w:szCs w:val="32"/>
        </w:rPr>
        <w:t>。</w:t>
      </w:r>
      <w:r>
        <w:rPr>
          <w:rFonts w:hint="eastAsia" w:ascii="仿宋_GB2312" w:hAnsi="仿宋_GB2312" w:cs="仿宋_GB2312"/>
          <w:szCs w:val="32"/>
        </w:rPr>
        <w:t>完善覆盖儿童全周期健康服务体系，开设生长发育、心理行为等特色门诊，完善儿科高峰就诊调度机制。上好“能出汗”的体育课，确保中小学生每天综合体育活动时间不低于2小时。推进儿童青少年体重、视力、心理、骨骼、口腔“五健”促进行动。完善传染病监测预警和应急处置机制，加强儿童传染病防控，适龄儿童免疫规划疫苗接种率保持在90%以上。</w:t>
      </w:r>
    </w:p>
    <w:p w14:paraId="023EF802">
      <w:pPr>
        <w:adjustRightInd w:val="0"/>
        <w:spacing w:after="0" w:line="560" w:lineRule="exact"/>
        <w:ind w:firstLine="643" w:firstLineChars="200"/>
        <w:contextualSpacing/>
        <w:rPr>
          <w:rFonts w:hint="eastAsia" w:ascii="仿宋_GB2312" w:hAnsi="仿宋_GB2312" w:cs="仿宋_GB2312"/>
          <w:color w:val="FF0000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4.推进眼健康管理和近视综合防控。</w:t>
      </w:r>
      <w:r>
        <w:rPr>
          <w:rFonts w:hint="eastAsia" w:ascii="仿宋_GB2312" w:hAnsi="仿宋_GB2312" w:cs="仿宋_GB2312"/>
          <w:szCs w:val="32"/>
        </w:rPr>
        <w:t>开展学龄前儿童远视储备监测，开展0-6岁儿童屈光筛查。推进“健康校园”行动，开展视力筛查和干预。改善教室采光照明，规范课桌椅配置，落实“每天接触户外自然光不少于1小时”和“一日两次眼保健操”要求。加强用眼健康教育，指导家长和学生掌握科学用眼知识，控制儿童近视率。</w:t>
      </w:r>
    </w:p>
    <w:p w14:paraId="2F2CF059">
      <w:pPr>
        <w:spacing w:line="560" w:lineRule="exact"/>
        <w:ind w:firstLine="643" w:firstLineChars="200"/>
      </w:pPr>
      <w:r>
        <w:rPr>
          <w:rFonts w:ascii="仿宋_GB2312" w:hAnsi="仿宋_GB2312" w:cs="仿宋_GB2312"/>
          <w:b/>
          <w:bCs/>
          <w:szCs w:val="32"/>
        </w:rPr>
        <w:t>5.</w:t>
      </w:r>
      <w:r>
        <w:rPr>
          <w:rFonts w:hint="eastAsia" w:ascii="仿宋_GB2312" w:hAnsi="仿宋_GB2312" w:cs="仿宋_GB2312"/>
          <w:b/>
          <w:bCs/>
          <w:szCs w:val="32"/>
        </w:rPr>
        <w:t>提升儿童心理健康服务水平。</w:t>
      </w:r>
      <w:r>
        <w:rPr>
          <w:rFonts w:hint="eastAsia" w:ascii="仿宋_GB2312" w:hAnsi="仿宋_GB2312" w:cs="仿宋_GB2312"/>
          <w:szCs w:val="32"/>
        </w:rPr>
        <w:t>构建“家校社医”四位一体的心理健康服务模式。</w:t>
      </w:r>
      <w:r>
        <w:rPr>
          <w:rFonts w:hint="eastAsia"/>
        </w:rPr>
        <w:t>加强儿童心理行为发育监测和健康指导，</w:t>
      </w:r>
      <w:r>
        <w:rPr>
          <w:rFonts w:hint="eastAsia" w:ascii="仿宋_GB2312" w:hAnsi="仿宋_GB2312" w:cs="仿宋_GB2312"/>
          <w:szCs w:val="32"/>
        </w:rPr>
        <w:t>引导家长关注孩子心理健康，提高识别和干预能力。通过同伴支持、体育锻炼疏解心理压力，每所学校至少配备1名专职心理教师，</w:t>
      </w:r>
      <w:r>
        <w:rPr>
          <w:rFonts w:hint="eastAsia" w:ascii="仿宋_GB2312" w:hAnsi="仿宋_GB2312" w:cs="仿宋_GB2312"/>
          <w:color w:val="000000"/>
        </w:rPr>
        <w:t>每年为四年级及以上学生开展1次心理健康监测。</w:t>
      </w:r>
      <w:r>
        <w:rPr>
          <w:rFonts w:hint="eastAsia" w:ascii="仿宋_GB2312" w:hAnsi="仿宋_GB2312" w:cs="仿宋_GB2312"/>
          <w:szCs w:val="32"/>
        </w:rPr>
        <w:t>落实医教协同机制，实现“学校初筛-医院诊断-社区康复”的闭环管理。</w:t>
      </w:r>
    </w:p>
    <w:p w14:paraId="0BD670E2">
      <w:pPr>
        <w:adjustRightInd w:val="0"/>
        <w:spacing w:after="0" w:line="560" w:lineRule="exact"/>
        <w:ind w:firstLine="640" w:firstLineChars="200"/>
        <w:contextualSpacing/>
        <w:outlineLvl w:val="1"/>
        <w:rPr>
          <w:rFonts w:hint="eastAsia" w:ascii="楷体_GB2312" w:hAnsi="楷体_GB2312" w:eastAsia="楷体_GB2312" w:cs="楷体_GB2312"/>
          <w:color w:val="000000"/>
        </w:rPr>
      </w:pPr>
      <w:bookmarkStart w:id="34" w:name="_Toc12335"/>
      <w:r>
        <w:rPr>
          <w:rFonts w:hint="eastAsia" w:ascii="楷体_GB2312" w:hAnsi="楷体_GB2312" w:eastAsia="楷体_GB2312" w:cs="楷体_GB2312"/>
          <w:color w:val="000000"/>
        </w:rPr>
        <w:t>（二）打造全方位立体安全防护网</w:t>
      </w:r>
      <w:bookmarkEnd w:id="34"/>
    </w:p>
    <w:p w14:paraId="6C3A9A08">
      <w:pPr>
        <w:adjustRightInd w:val="0"/>
        <w:spacing w:after="0" w:line="560" w:lineRule="exact"/>
        <w:ind w:firstLine="643" w:firstLineChars="200"/>
        <w:contextualSpacing/>
        <w:rPr>
          <w:color w:val="000000"/>
        </w:rPr>
      </w:pPr>
      <w:r>
        <w:rPr>
          <w:rFonts w:hint="eastAsia"/>
          <w:b/>
          <w:bCs/>
          <w:color w:val="000000"/>
        </w:rPr>
        <w:t>健全儿童安全保护工作机制。</w:t>
      </w:r>
      <w:r>
        <w:rPr>
          <w:rFonts w:hint="eastAsia"/>
          <w:color w:val="000000"/>
        </w:rPr>
        <w:t>坚持最有利于未成年人原则，强化部门协同与信息共享，构建家庭、学校、社会协同共育的服务体系，营造儿童安全环境，筑牢儿童健康成长的安全防护屏障。</w:t>
      </w:r>
    </w:p>
    <w:tbl>
      <w:tblPr>
        <w:tblStyle w:val="19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9"/>
      </w:tblGrid>
      <w:tr w14:paraId="20C7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9" w:type="dxa"/>
          </w:tcPr>
          <w:p w14:paraId="06E2BFC9">
            <w:pPr>
              <w:pStyle w:val="2"/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专栏3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构建儿童安全保护网络</w:t>
            </w:r>
          </w:p>
        </w:tc>
      </w:tr>
      <w:tr w14:paraId="722E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779" w:type="dxa"/>
          </w:tcPr>
          <w:p w14:paraId="76B970B2">
            <w:pPr>
              <w:snapToGrid w:val="0"/>
              <w:spacing w:after="0" w:line="420" w:lineRule="exact"/>
              <w:ind w:firstLine="482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完善儿童伤害防控体系。</w:t>
            </w:r>
            <w:r>
              <w:rPr>
                <w:rFonts w:hint="eastAsia" w:ascii="仿宋_GB2312" w:hAnsi="仿宋_GB2312" w:cs="仿宋_GB2312"/>
                <w:sz w:val="24"/>
              </w:rPr>
              <w:t>建立和完善监测评估系统。加大儿童伤害防控领域执法力度。推广儿童伤害防控适宜技术，加强物理防护设施和警示标识设置。为受伤害儿童提供及时有效救助，减少儿童因伤害所致死亡和残疾。落实儿童优先应急响应机制。推动学校、社区等定期开展宣传培训和应急演练,提升儿童安全防范意识和自我保护能力。</w:t>
            </w:r>
          </w:p>
          <w:p w14:paraId="694F7B3A">
            <w:pPr>
              <w:snapToGrid w:val="0"/>
              <w:spacing w:after="0" w:line="420" w:lineRule="exact"/>
              <w:ind w:firstLine="482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加强儿童专用消费品质量安全监管。</w:t>
            </w:r>
            <w:r>
              <w:rPr>
                <w:rFonts w:hint="eastAsia" w:ascii="仿宋_GB2312" w:hAnsi="仿宋_GB2312" w:cs="仿宋_GB2312"/>
                <w:sz w:val="24"/>
              </w:rPr>
              <w:t>加大生产、流通领域检查力度，强化监督抽查和风险监测以及儿童用品3C认证监管，严厉打击制售假冒伪劣儿童和学生用品等违法行为。实施大宗食材采购放心工程。保障药品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（含儿童药品）</w:t>
            </w:r>
            <w:r>
              <w:rPr>
                <w:rFonts w:hint="eastAsia" w:ascii="仿宋_GB2312" w:hAnsi="仿宋_GB2312" w:cs="仿宋_GB2312"/>
                <w:sz w:val="24"/>
              </w:rPr>
              <w:t>抽检合格率保持在99%以上。</w:t>
            </w:r>
          </w:p>
          <w:p w14:paraId="2AF1E5FC">
            <w:pPr>
              <w:snapToGrid w:val="0"/>
              <w:spacing w:after="0" w:line="420" w:lineRule="exact"/>
              <w:ind w:firstLine="482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深化平安校园建设与周边环境治理。</w:t>
            </w:r>
            <w:r>
              <w:rPr>
                <w:rFonts w:hint="eastAsia" w:ascii="仿宋_GB2312" w:hAnsi="仿宋_GB2312" w:cs="仿宋_GB2312"/>
                <w:sz w:val="24"/>
              </w:rPr>
              <w:t>持续推进“平安校园”标准化建设。开展“护校安园”专项行动。以“一校一案”供餐模式守住食品安全。建设“安心通学路”，优化上下学交通组织。</w:t>
            </w:r>
          </w:p>
          <w:p w14:paraId="1FAC50B1">
            <w:pPr>
              <w:snapToGrid w:val="0"/>
              <w:spacing w:after="0" w:line="420" w:lineRule="exact"/>
              <w:ind w:firstLine="482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强化重点领域治理。</w:t>
            </w:r>
            <w:r>
              <w:rPr>
                <w:rFonts w:hint="eastAsia" w:ascii="仿宋_GB2312" w:hAnsi="仿宋_GB2312" w:cs="仿宋_GB2312"/>
                <w:sz w:val="24"/>
              </w:rPr>
              <w:t>构建多部门协同监管体系，深入推进“护苗”行动，加强对台球馆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、剧本娱乐</w:t>
            </w:r>
            <w:r>
              <w:rPr>
                <w:rFonts w:hint="eastAsia" w:ascii="仿宋_GB2312" w:hAnsi="仿宋_GB2312" w:cs="仿宋_GB2312"/>
                <w:sz w:val="24"/>
              </w:rPr>
              <w:t>等重点场所的日常巡查和执法检查。推动经营者严格落实身份核验和未成年人保护责任。开展“清朗”专项行动。</w:t>
            </w:r>
          </w:p>
          <w:p w14:paraId="0108DE89">
            <w:pPr>
              <w:snapToGrid w:val="0"/>
              <w:spacing w:after="0" w:line="420" w:lineRule="exact"/>
              <w:ind w:firstLine="482" w:firstLineChars="200"/>
              <w:rPr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深化未成年人网络保护。</w:t>
            </w:r>
            <w:r>
              <w:rPr>
                <w:rFonts w:hint="eastAsia" w:ascii="仿宋_GB2312" w:hAnsi="仿宋_GB2312" w:cs="仿宋_GB2312"/>
                <w:sz w:val="24"/>
              </w:rPr>
              <w:t>健全完善未成年人网络保护合规制度，强化未成年人常用环节、版块的管理，采用人工智能技术过滤不良信息。健全时长设置，落实“未成年人模式”，优化推送休息提醒等防沉迷功能。普及网络素养教育，守住网络伦理底线，提升网络防范意识和能力。</w:t>
            </w:r>
          </w:p>
        </w:tc>
      </w:tr>
    </w:tbl>
    <w:p w14:paraId="6200BC23">
      <w:pPr>
        <w:keepNext/>
        <w:keepLines/>
        <w:spacing w:after="0" w:line="56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bCs/>
          <w:szCs w:val="32"/>
        </w:rPr>
      </w:pPr>
      <w:bookmarkStart w:id="35" w:name="_Toc1230"/>
      <w:bookmarkStart w:id="36" w:name="_Toc4343"/>
      <w:bookmarkStart w:id="37" w:name="_Toc11540"/>
      <w:r>
        <w:rPr>
          <w:rFonts w:hint="eastAsia" w:ascii="楷体_GB2312" w:hAnsi="楷体_GB2312" w:eastAsia="楷体_GB2312" w:cs="楷体_GB2312"/>
          <w:bCs/>
          <w:szCs w:val="32"/>
        </w:rPr>
        <w:t>（三）构建普惠优质教育体系</w:t>
      </w:r>
      <w:bookmarkEnd w:id="35"/>
      <w:bookmarkEnd w:id="36"/>
      <w:bookmarkEnd w:id="37"/>
    </w:p>
    <w:p w14:paraId="5DA75A55">
      <w:pPr>
        <w:snapToGrid w:val="0"/>
        <w:spacing w:after="0" w:line="560" w:lineRule="exact"/>
        <w:ind w:firstLine="643" w:firstLineChars="200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1.实施新时代立德树人工程。</w:t>
      </w:r>
      <w:r>
        <w:rPr>
          <w:rFonts w:hint="eastAsia" w:ascii="仿宋_GB2312" w:hAnsi="仿宋_GB2312" w:cs="仿宋_GB2312"/>
          <w:bCs/>
          <w:szCs w:val="32"/>
        </w:rPr>
        <w:t>坚持用习近平新时代中国特色社会主义思想培根铸魂，</w:t>
      </w:r>
      <w:r>
        <w:rPr>
          <w:rFonts w:hint="eastAsia" w:ascii="仿宋_GB2312" w:hAnsi="仿宋_GB2312" w:cs="仿宋_GB2312"/>
          <w:szCs w:val="32"/>
        </w:rPr>
        <w:t>深化“大思政课”一体化建设，深挖活用工业遗存、冬奥遗产，打造“景行思政”实践课程体系。实施美育浸润行动，帮助学生在校学习掌握1-2项艺术特长</w:t>
      </w:r>
      <w:r>
        <w:rPr>
          <w:rFonts w:hint="eastAsia" w:ascii="仿宋_GB2312" w:hAnsi="仿宋_GB2312" w:cs="仿宋_GB2312"/>
          <w:kern w:val="0"/>
          <w:szCs w:val="32"/>
        </w:rPr>
        <w:t>。</w:t>
      </w:r>
    </w:p>
    <w:p w14:paraId="266CB26B">
      <w:pPr>
        <w:spacing w:after="0" w:line="560" w:lineRule="exact"/>
        <w:ind w:firstLine="643" w:firstLineChars="200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2.促进学前教育普及普惠和托幼一体化发展。</w:t>
      </w:r>
      <w:r>
        <w:rPr>
          <w:rFonts w:hint="eastAsia" w:ascii="仿宋_GB2312" w:hAnsi="仿宋_GB2312" w:cs="仿宋_GB2312"/>
          <w:bCs/>
          <w:szCs w:val="32"/>
        </w:rPr>
        <w:t>稳步增加公办幼儿园学位供给，继续</w:t>
      </w:r>
      <w:r>
        <w:rPr>
          <w:rFonts w:hint="eastAsia" w:ascii="仿宋_GB2312" w:hAnsi="仿宋_GB2312" w:cs="仿宋_GB2312"/>
          <w:bCs/>
          <w:szCs w:val="32"/>
          <w:lang w:eastAsia="zh-CN"/>
        </w:rPr>
        <w:t>落实</w:t>
      </w:r>
      <w:r>
        <w:rPr>
          <w:rFonts w:hint="eastAsia" w:ascii="仿宋_GB2312" w:hAnsi="仿宋_GB2312" w:cs="仿宋_GB2312"/>
          <w:bCs/>
          <w:szCs w:val="32"/>
        </w:rPr>
        <w:t>普惠性幼儿园扶持和免费学前教育相关政策，扩大普惠托幼服务供给。构建托幼一体化服务体系，不断优化托位供给布局。健全托幼资源动态调配机制，提升</w:t>
      </w:r>
      <w:r>
        <w:rPr>
          <w:rFonts w:hint="eastAsia" w:ascii="仿宋_GB2312" w:hAnsi="仿宋_GB2312" w:cs="仿宋_GB2312"/>
          <w:bCs/>
          <w:szCs w:val="32"/>
          <w:lang w:val="en"/>
        </w:rPr>
        <w:t>适龄儿童入园率和普惠率。</w:t>
      </w:r>
      <w:r>
        <w:rPr>
          <w:rFonts w:hint="eastAsia" w:ascii="仿宋_GB2312" w:hAnsi="仿宋_GB2312" w:cs="仿宋_GB2312"/>
          <w:bCs/>
          <w:szCs w:val="32"/>
        </w:rPr>
        <w:t>深化保育教育改革</w:t>
      </w:r>
      <w:r>
        <w:rPr>
          <w:rFonts w:hint="eastAsia" w:ascii="仿宋_GB2312" w:hAnsi="仿宋_GB2312" w:cs="仿宋_GB2312"/>
          <w:kern w:val="0"/>
          <w:szCs w:val="32"/>
        </w:rPr>
        <w:t>。</w:t>
      </w:r>
    </w:p>
    <w:p w14:paraId="3E55FB5A">
      <w:pPr>
        <w:spacing w:after="0" w:line="560" w:lineRule="exact"/>
        <w:ind w:firstLine="643" w:firstLineChars="200"/>
        <w:rPr>
          <w:rFonts w:hint="eastAsia"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3.全力办强办优基础教育。</w:t>
      </w:r>
      <w:r>
        <w:rPr>
          <w:rFonts w:hint="eastAsia" w:ascii="仿宋_GB2312" w:hAnsi="仿宋_GB2312" w:cs="仿宋_GB2312"/>
          <w:kern w:val="0"/>
          <w:szCs w:val="32"/>
        </w:rPr>
        <w:t>巩固义务教育优质均衡发展区创建成果，实施小规模学校资源整合“优校”工程，推动义务教育向“常态优质”提升。分类支持高中学校实现“一校一品牌、一校一特色”的办学格局，深化科学高中建设。构建适配各学段学位综合调配机制，高起点建设首钢东南区、琅山苗圃、衙门口等配套学校，新增中小学学位4500个。统筹推进“双减”和教育质量提升。</w:t>
      </w:r>
    </w:p>
    <w:p w14:paraId="4DA0AB40">
      <w:pPr>
        <w:snapToGrid w:val="0"/>
        <w:spacing w:after="0" w:line="560" w:lineRule="exact"/>
        <w:ind w:firstLine="620" w:firstLineChars="193"/>
        <w:rPr>
          <w:rFonts w:hint="eastAsia" w:ascii="仿宋_GB2312" w:hAnsi="仿宋_GB2312" w:cs="仿宋_GB2312"/>
          <w:b/>
          <w:bCs/>
          <w:color w:val="000000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Cs w:val="32"/>
        </w:rPr>
        <w:t>4.构建中小学人工智能和科学</w:t>
      </w:r>
      <w:r>
        <w:rPr>
          <w:rFonts w:ascii="仿宋_GB2312" w:hAnsi="仿宋_GB2312" w:cs="仿宋_GB2312"/>
          <w:b/>
          <w:bCs/>
          <w:color w:val="000000"/>
          <w:szCs w:val="32"/>
        </w:rPr>
        <w:t>素养</w:t>
      </w:r>
      <w:r>
        <w:rPr>
          <w:rFonts w:hint="eastAsia" w:ascii="仿宋_GB2312" w:hAnsi="仿宋_GB2312" w:cs="仿宋_GB2312"/>
          <w:b/>
          <w:bCs/>
          <w:color w:val="000000"/>
          <w:szCs w:val="32"/>
        </w:rPr>
        <w:t>教育体系。</w:t>
      </w:r>
      <w:r>
        <w:rPr>
          <w:rFonts w:hint="eastAsia" w:ascii="仿宋_GB2312" w:hAnsi="仿宋_GB2312" w:cs="仿宋_GB2312"/>
          <w:bCs/>
          <w:color w:val="000000"/>
          <w:szCs w:val="32"/>
        </w:rPr>
        <w:t>实施教育数字化战略，建设10所区级人工智能教育基地校，打造4所具有全市影响力的人工智能教育标杆校</w:t>
      </w:r>
      <w:r>
        <w:rPr>
          <w:rFonts w:hint="eastAsia" w:ascii="仿宋_GB2312" w:hAnsi="仿宋_GB2312" w:cs="仿宋_GB2312"/>
          <w:kern w:val="0"/>
        </w:rPr>
        <w:t>。</w:t>
      </w:r>
      <w:r>
        <w:rPr>
          <w:rFonts w:hint="eastAsia" w:ascii="仿宋_GB2312" w:hAnsi="仿宋_GB2312" w:cs="仿宋_GB2312"/>
          <w:szCs w:val="32"/>
        </w:rPr>
        <w:t>完善集团直升、“1+3”人才培养项目等人才长链条贯通培养模式，扩增</w:t>
      </w:r>
      <w:r>
        <w:rPr>
          <w:rFonts w:hint="eastAsia" w:ascii="Segoe UI" w:hAnsi="Segoe UI"/>
          <w:color w:val="000000"/>
        </w:rPr>
        <w:t>高中学位。</w:t>
      </w:r>
      <w:r>
        <w:rPr>
          <w:rFonts w:ascii="Segoe UI" w:hAnsi="Segoe UI" w:cs="Segoe UI"/>
          <w:color w:val="000000"/>
        </w:rPr>
        <w:t>发挥教育集团品牌优势与引领作用</w:t>
      </w:r>
      <w:r>
        <w:rPr>
          <w:rFonts w:hint="eastAsia" w:ascii="Segoe UI" w:hAnsi="Segoe UI" w:cs="Segoe UI"/>
          <w:color w:val="000000"/>
        </w:rPr>
        <w:t>，优化办学样态与评价机制</w:t>
      </w:r>
      <w:r>
        <w:rPr>
          <w:rFonts w:ascii="Segoe UI" w:hAnsi="Segoe UI" w:cs="Segoe UI"/>
          <w:color w:val="000000"/>
        </w:rPr>
        <w:t>。</w:t>
      </w:r>
    </w:p>
    <w:p w14:paraId="47150869">
      <w:pPr>
        <w:snapToGrid w:val="0"/>
        <w:spacing w:after="0" w:line="560" w:lineRule="exact"/>
        <w:ind w:firstLine="620" w:firstLineChars="193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5.深化职普融通和普特融合。</w:t>
      </w:r>
      <w:r>
        <w:rPr>
          <w:rFonts w:hint="eastAsia" w:ascii="仿宋_GB2312" w:hAnsi="仿宋_GB2312" w:cs="仿宋_GB2312"/>
          <w:bCs/>
          <w:kern w:val="0"/>
        </w:rPr>
        <w:t>推进全国科学教育实验区建设，构建跨领域</w:t>
      </w:r>
      <w:r>
        <w:rPr>
          <w:rFonts w:hint="eastAsia" w:ascii="仿宋_GB2312" w:hAnsi="仿宋_GB2312" w:cs="仿宋_GB2312"/>
          <w:bCs/>
          <w:kern w:val="0"/>
          <w:lang w:eastAsia="zh-CN"/>
        </w:rPr>
        <w:t>、</w:t>
      </w:r>
      <w:r>
        <w:rPr>
          <w:rFonts w:hint="eastAsia" w:ascii="仿宋_GB2312" w:hAnsi="仿宋_GB2312" w:cs="仿宋_GB2312"/>
          <w:bCs/>
          <w:kern w:val="0"/>
        </w:rPr>
        <w:t>跨部门</w:t>
      </w:r>
      <w:r>
        <w:rPr>
          <w:rFonts w:hint="eastAsia" w:ascii="仿宋_GB2312" w:hAnsi="仿宋_GB2312" w:cs="仿宋_GB2312"/>
          <w:bCs/>
          <w:kern w:val="0"/>
          <w:lang w:eastAsia="zh-CN"/>
        </w:rPr>
        <w:t>、</w:t>
      </w:r>
      <w:r>
        <w:rPr>
          <w:rFonts w:hint="eastAsia" w:ascii="仿宋_GB2312" w:hAnsi="仿宋_GB2312" w:cs="仿宋_GB2312"/>
          <w:bCs/>
          <w:kern w:val="0"/>
        </w:rPr>
        <w:t>跨学段的科学教育共同体。打造科学实践活动示范基地。</w:t>
      </w:r>
      <w:r>
        <w:rPr>
          <w:rFonts w:hint="eastAsia" w:ascii="仿宋_GB2312" w:hAnsi="仿宋_GB2312" w:cs="仿宋_GB2312"/>
          <w:bCs/>
          <w:szCs w:val="32"/>
        </w:rPr>
        <w:t>建设综合高中，推进“专科人才培养改革试点项目”。</w:t>
      </w:r>
      <w:r>
        <w:rPr>
          <w:rFonts w:ascii="仿宋_GB2312" w:hAnsi="仿宋_GB2312" w:cs="仿宋_GB2312"/>
          <w:szCs w:val="32"/>
        </w:rPr>
        <w:t>加强普特融合</w:t>
      </w:r>
      <w:r>
        <w:rPr>
          <w:rFonts w:hint="eastAsia" w:ascii="仿宋_GB2312" w:hAnsi="仿宋_GB2312" w:cs="仿宋_GB2312"/>
          <w:szCs w:val="32"/>
        </w:rPr>
        <w:t>，健全</w:t>
      </w:r>
      <w:r>
        <w:rPr>
          <w:rFonts w:ascii="仿宋_GB2312" w:hAnsi="仿宋_GB2312" w:cs="仿宋_GB2312"/>
          <w:szCs w:val="32"/>
        </w:rPr>
        <w:t>随班就读</w:t>
      </w:r>
      <w:r>
        <w:rPr>
          <w:rFonts w:hint="eastAsia" w:ascii="仿宋_GB2312" w:hAnsi="仿宋_GB2312" w:cs="仿宋_GB2312"/>
          <w:szCs w:val="32"/>
        </w:rPr>
        <w:t>支持</w:t>
      </w:r>
      <w:r>
        <w:rPr>
          <w:rFonts w:ascii="仿宋_GB2312" w:hAnsi="仿宋_GB2312" w:cs="仿宋_GB2312"/>
          <w:szCs w:val="32"/>
        </w:rPr>
        <w:t>保障体系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hint="eastAsia" w:ascii="仿宋_GB2312" w:hAnsi="仿宋_GB2312"/>
        </w:rPr>
        <w:t>优先安排残疾儿童就近入学，</w:t>
      </w:r>
      <w:r>
        <w:rPr>
          <w:rFonts w:hint="eastAsia" w:ascii="仿宋_GB2312" w:hAnsi="仿宋_GB2312" w:cs="仿宋_GB2312"/>
          <w:szCs w:val="32"/>
        </w:rPr>
        <w:t>推进十五年制</w:t>
      </w:r>
      <w:r>
        <w:rPr>
          <w:rFonts w:hint="eastAsia" w:ascii="仿宋_GB2312" w:hAnsi="仿宋_GB2312" w:cs="仿宋_GB2312"/>
          <w:szCs w:val="32"/>
          <w:lang w:eastAsia="zh-CN"/>
        </w:rPr>
        <w:t>特殊</w:t>
      </w:r>
      <w:r>
        <w:rPr>
          <w:rFonts w:hint="eastAsia" w:ascii="仿宋_GB2312" w:hAnsi="仿宋_GB2312" w:cs="仿宋_GB2312"/>
          <w:szCs w:val="32"/>
        </w:rPr>
        <w:t>教</w:t>
      </w:r>
      <w:r>
        <w:rPr>
          <w:rFonts w:hint="eastAsia" w:ascii="仿宋_GB2312" w:hAnsi="仿宋_GB2312" w:cs="仿宋_GB2312"/>
          <w:szCs w:val="32"/>
          <w:lang w:eastAsia="zh-CN"/>
        </w:rPr>
        <w:t>育</w:t>
      </w:r>
      <w:r>
        <w:rPr>
          <w:rFonts w:hint="eastAsia" w:ascii="仿宋_GB2312" w:hAnsi="仿宋_GB2312" w:cs="仿宋_GB2312"/>
          <w:szCs w:val="32"/>
        </w:rPr>
        <w:t>学校建设。</w:t>
      </w:r>
    </w:p>
    <w:p w14:paraId="6B6F0245">
      <w:pPr>
        <w:snapToGrid w:val="0"/>
        <w:spacing w:after="0" w:line="560" w:lineRule="exact"/>
        <w:ind w:firstLine="620" w:firstLineChars="193"/>
        <w:rPr>
          <w:rFonts w:hint="eastAsia"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b/>
          <w:bCs/>
          <w:kern w:val="0"/>
        </w:rPr>
        <w:t>6</w:t>
      </w:r>
      <w:r>
        <w:rPr>
          <w:rFonts w:ascii="仿宋_GB2312" w:hAnsi="仿宋_GB2312" w:cs="仿宋_GB2312"/>
          <w:b/>
          <w:bCs/>
          <w:kern w:val="0"/>
        </w:rPr>
        <w:t>.</w:t>
      </w:r>
      <w:r>
        <w:rPr>
          <w:rFonts w:hint="eastAsia" w:ascii="仿宋_GB2312" w:hAnsi="仿宋_GB2312" w:cs="仿宋_GB2312"/>
          <w:b/>
          <w:bCs/>
          <w:kern w:val="0"/>
        </w:rPr>
        <w:t>加强</w:t>
      </w:r>
      <w:r>
        <w:rPr>
          <w:rFonts w:ascii="仿宋_GB2312" w:hAnsi="仿宋_GB2312" w:cs="仿宋_GB2312"/>
          <w:b/>
          <w:bCs/>
          <w:kern w:val="0"/>
        </w:rPr>
        <w:t>家校社协同育人</w:t>
      </w:r>
      <w:r>
        <w:rPr>
          <w:rFonts w:hint="eastAsia" w:ascii="仿宋_GB2312" w:hAnsi="仿宋_GB2312"/>
          <w:b/>
          <w:kern w:val="0"/>
        </w:rPr>
        <w:t>。</w:t>
      </w:r>
      <w:r>
        <w:rPr>
          <w:rFonts w:hint="eastAsia" w:ascii="仿宋_GB2312" w:hAnsi="仿宋_GB2312"/>
          <w:kern w:val="0"/>
        </w:rPr>
        <w:t>强化学校主导、家庭尽责、社会参与的协同育人工作机制，建设</w:t>
      </w:r>
      <w:r>
        <w:rPr>
          <w:rFonts w:ascii="仿宋_GB2312" w:hAnsi="仿宋_GB2312" w:cs="仿宋_GB2312"/>
          <w:kern w:val="0"/>
        </w:rPr>
        <w:t>家校社协同育人“教联体”</w:t>
      </w:r>
      <w:r>
        <w:rPr>
          <w:rFonts w:hint="eastAsia" w:ascii="仿宋_GB2312" w:hAnsi="仿宋_GB2312" w:cs="仿宋_GB2312"/>
          <w:kern w:val="0"/>
        </w:rPr>
        <w:t>。构建馆校协同、医教互促、体教互融、家校互动、社教同频、警校同步的协同机制。</w:t>
      </w:r>
      <w:r>
        <w:rPr>
          <w:rFonts w:ascii="仿宋_GB2312" w:hAnsi="仿宋_GB2312" w:cs="仿宋_GB2312"/>
          <w:color w:val="000000"/>
        </w:rPr>
        <w:t>加强</w:t>
      </w:r>
      <w:r>
        <w:rPr>
          <w:rFonts w:hint="eastAsia" w:ascii="仿宋_GB2312" w:hAnsi="仿宋_GB2312" w:cs="仿宋_GB2312"/>
          <w:color w:val="000000"/>
        </w:rPr>
        <w:t>家庭教育</w:t>
      </w:r>
      <w:r>
        <w:rPr>
          <w:rFonts w:ascii="仿宋_GB2312" w:hAnsi="仿宋_GB2312" w:cs="仿宋_GB2312"/>
          <w:color w:val="000000"/>
        </w:rPr>
        <w:t>指导机构、家长学校和家校社共育咨询室建设</w:t>
      </w:r>
      <w:r>
        <w:rPr>
          <w:rFonts w:hint="eastAsia" w:ascii="仿宋_GB2312" w:hAnsi="仿宋_GB2312" w:cs="仿宋_GB2312"/>
          <w:kern w:val="0"/>
        </w:rPr>
        <w:t>。统筹社会资源，拓宽校外教育内容和形式。</w:t>
      </w:r>
    </w:p>
    <w:p w14:paraId="11696BAA">
      <w:pPr>
        <w:pStyle w:val="4"/>
        <w:spacing w:before="0" w:after="0" w:line="560" w:lineRule="exact"/>
        <w:ind w:firstLine="640" w:firstLineChars="200"/>
        <w:rPr>
          <w:rFonts w:hint="eastAsia" w:ascii="仿宋_GB2312" w:hAnsi="仿宋_GB2312" w:cs="仿宋_GB2312"/>
          <w:color w:val="000000"/>
        </w:rPr>
      </w:pPr>
      <w:bookmarkStart w:id="38" w:name="_Toc7039"/>
      <w:bookmarkStart w:id="39" w:name="_Toc10134"/>
      <w:bookmarkStart w:id="40" w:name="_Toc16999"/>
      <w:r>
        <w:rPr>
          <w:rFonts w:ascii="楷体_GB2312" w:hAnsi="楷体_GB2312" w:eastAsia="楷体_GB2312" w:cs="楷体_GB2312"/>
          <w:b w:val="0"/>
          <w:bCs w:val="0"/>
          <w:color w:val="000000"/>
        </w:rPr>
        <w:t>（四）落实落细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</w:rPr>
        <w:t>儿童</w:t>
      </w:r>
      <w:r>
        <w:rPr>
          <w:rFonts w:ascii="楷体_GB2312" w:hAnsi="楷体_GB2312" w:eastAsia="楷体_GB2312" w:cs="楷体_GB2312"/>
          <w:b w:val="0"/>
          <w:bCs w:val="0"/>
          <w:color w:val="000000"/>
        </w:rPr>
        <w:t>福利政策</w:t>
      </w:r>
      <w:bookmarkEnd w:id="38"/>
      <w:bookmarkEnd w:id="39"/>
      <w:bookmarkEnd w:id="40"/>
    </w:p>
    <w:p w14:paraId="2B08692D">
      <w:pPr>
        <w:snapToGrid w:val="0"/>
        <w:spacing w:after="0" w:line="560" w:lineRule="exact"/>
        <w:ind w:firstLine="620" w:firstLineChars="193"/>
      </w:pPr>
      <w:r>
        <w:rPr>
          <w:rFonts w:hint="eastAsia" w:ascii="仿宋_GB2312" w:hAnsi="仿宋_GB2312" w:cs="仿宋_GB2312"/>
          <w:b/>
          <w:color w:val="000000"/>
        </w:rPr>
        <w:t>1</w:t>
      </w:r>
      <w:r>
        <w:rPr>
          <w:rFonts w:ascii="仿宋_GB2312" w:hAnsi="仿宋_GB2312" w:cs="仿宋_GB2312"/>
          <w:b/>
          <w:color w:val="000000"/>
        </w:rPr>
        <w:t>.巩固</w:t>
      </w:r>
      <w:r>
        <w:rPr>
          <w:rFonts w:hint="eastAsia" w:ascii="仿宋_GB2312" w:hAnsi="仿宋_GB2312" w:cs="仿宋_GB2312"/>
          <w:b/>
          <w:color w:val="000000"/>
        </w:rPr>
        <w:t>和</w:t>
      </w:r>
      <w:r>
        <w:rPr>
          <w:rFonts w:ascii="仿宋_GB2312" w:hAnsi="仿宋_GB2312" w:cs="仿宋_GB2312"/>
          <w:b/>
          <w:color w:val="000000"/>
        </w:rPr>
        <w:t>提升儿童基本医疗保障水平。</w:t>
      </w:r>
      <w:r>
        <w:rPr>
          <w:rFonts w:ascii="仿宋_GB2312" w:hAnsi="仿宋_GB2312" w:cs="仿宋_GB2312"/>
          <w:color w:val="000000"/>
        </w:rPr>
        <w:t>优化参保服务流程</w:t>
      </w:r>
      <w:r>
        <w:rPr>
          <w:rFonts w:hint="eastAsia" w:ascii="仿宋_GB2312" w:hAnsi="仿宋_GB2312" w:cs="仿宋_GB2312"/>
          <w:color w:val="000000"/>
        </w:rPr>
        <w:t>，落实重特大疾病医疗保险和救助制度，强化基本医疗保险、大病保险、医疗救助的</w:t>
      </w:r>
      <w:r>
        <w:rPr>
          <w:rFonts w:ascii="仿宋_GB2312" w:hAnsi="仿宋_GB2312" w:cs="仿宋_GB2312"/>
          <w:color w:val="000000"/>
        </w:rPr>
        <w:t>多层次保障</w:t>
      </w:r>
      <w:r>
        <w:rPr>
          <w:rFonts w:hint="eastAsia" w:ascii="仿宋_GB2312" w:hAnsi="仿宋_GB2312" w:cs="仿宋_GB2312"/>
          <w:color w:val="000000"/>
        </w:rPr>
        <w:t>功能</w:t>
      </w:r>
      <w:r>
        <w:rPr>
          <w:rFonts w:ascii="仿宋_GB2312" w:hAnsi="仿宋_GB2312" w:cs="仿宋_GB2312"/>
          <w:color w:val="000000"/>
        </w:rPr>
        <w:t>。</w:t>
      </w:r>
      <w:r>
        <w:rPr>
          <w:rFonts w:hint="eastAsia" w:ascii="仿宋_GB2312" w:hAnsi="仿宋_GB2312" w:cs="仿宋_GB2312"/>
          <w:color w:val="000000"/>
        </w:rPr>
        <w:t>积极落实儿童医疗保障</w:t>
      </w:r>
      <w:r>
        <w:rPr>
          <w:rFonts w:ascii="仿宋_GB2312" w:hAnsi="仿宋_GB2312" w:cs="仿宋_GB2312"/>
          <w:color w:val="000000"/>
        </w:rPr>
        <w:t>待遇</w:t>
      </w:r>
      <w:r>
        <w:rPr>
          <w:rFonts w:hint="eastAsia" w:ascii="仿宋_GB2312" w:hAnsi="仿宋_GB2312" w:cs="仿宋_GB2312"/>
          <w:color w:val="000000"/>
        </w:rPr>
        <w:t>和报销水平</w:t>
      </w:r>
      <w:r>
        <w:rPr>
          <w:rFonts w:ascii="仿宋_GB2312" w:hAnsi="仿宋_GB2312" w:cs="仿宋_GB2312"/>
          <w:color w:val="000000"/>
        </w:rPr>
        <w:t>。</w:t>
      </w:r>
    </w:p>
    <w:p w14:paraId="0260F325">
      <w:pPr>
        <w:snapToGrid w:val="0"/>
        <w:spacing w:after="0" w:line="560" w:lineRule="exact"/>
        <w:ind w:firstLine="620" w:firstLineChars="193"/>
        <w:rPr>
          <w:rFonts w:hint="eastAsia"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b/>
          <w:color w:val="000000"/>
        </w:rPr>
        <w:t>2.加强特殊儿童群体精准帮扶。</w:t>
      </w:r>
      <w:r>
        <w:rPr>
          <w:rFonts w:hint="eastAsia" w:ascii="仿宋_GB2312" w:hAnsi="仿宋_GB2312" w:cs="仿宋_GB2312"/>
          <w:color w:val="000000"/>
        </w:rPr>
        <w:t>完善困境儿童福利保障体系</w:t>
      </w:r>
      <w:r>
        <w:rPr>
          <w:rFonts w:ascii="仿宋_GB2312" w:hAnsi="仿宋_GB2312" w:cs="仿宋_GB2312"/>
          <w:color w:val="000000"/>
        </w:rPr>
        <w:t>。</w:t>
      </w:r>
      <w:r>
        <w:rPr>
          <w:rFonts w:hint="eastAsia" w:ascii="仿宋_GB2312" w:hAnsi="仿宋_GB2312" w:cs="仿宋_GB2312"/>
          <w:color w:val="000000"/>
        </w:rPr>
        <w:t>落实流动儿童在居住地享有关爱服务清单。推进残疾儿童康复救助，实现</w:t>
      </w:r>
      <w:r>
        <w:rPr>
          <w:rFonts w:ascii="仿宋_GB2312" w:hAnsi="仿宋_GB2312" w:cs="仿宋_GB2312"/>
          <w:color w:val="000000"/>
        </w:rPr>
        <w:t>新生儿残疾“筛查－确诊－转介－康复”衔接</w:t>
      </w:r>
      <w:r>
        <w:rPr>
          <w:rFonts w:hint="eastAsia" w:ascii="仿宋_GB2312" w:hAnsi="仿宋_GB2312" w:cs="仿宋_GB2312"/>
          <w:color w:val="000000"/>
        </w:rPr>
        <w:t>。深化“爱心妈妈”关爱服务</w:t>
      </w:r>
      <w:r>
        <w:rPr>
          <w:rFonts w:ascii="仿宋_GB2312" w:hAnsi="仿宋_GB2312" w:cs="仿宋_GB2312"/>
          <w:color w:val="000000"/>
        </w:rPr>
        <w:t>。</w:t>
      </w:r>
    </w:p>
    <w:p w14:paraId="66C1B45C">
      <w:pPr>
        <w:snapToGrid w:val="0"/>
        <w:spacing w:after="0" w:line="560" w:lineRule="exact"/>
        <w:ind w:firstLine="620" w:firstLineChars="193"/>
      </w:pPr>
      <w:r>
        <w:rPr>
          <w:rFonts w:hint="eastAsia" w:ascii="仿宋_GB2312" w:hAnsi="仿宋_GB2312" w:cs="仿宋_GB2312"/>
          <w:b/>
          <w:color w:val="000000"/>
        </w:rPr>
        <w:t>3.夯实儿童福利服务基础。</w:t>
      </w:r>
      <w:r>
        <w:rPr>
          <w:rFonts w:hint="eastAsia" w:ascii="仿宋_GB2312" w:hAnsi="仿宋_GB2312" w:cs="仿宋_GB2312"/>
          <w:color w:val="000000"/>
        </w:rPr>
        <w:t>推动儿童福利机构向未成年人救助保护机构转型，做好未成年人相关兜底保障、救助关爱等工作，实现街道儿童督导员、社区儿童主任配置全覆盖。</w:t>
      </w:r>
    </w:p>
    <w:p w14:paraId="55C4A366">
      <w:pPr>
        <w:pStyle w:val="4"/>
        <w:spacing w:before="0" w:after="0"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000000"/>
        </w:rPr>
      </w:pPr>
      <w:bookmarkStart w:id="41" w:name="_Toc22057"/>
      <w:bookmarkStart w:id="42" w:name="_Toc6197"/>
      <w:bookmarkStart w:id="43" w:name="_Toc24199"/>
      <w:r>
        <w:rPr>
          <w:rFonts w:ascii="楷体_GB2312" w:hAnsi="楷体_GB2312" w:eastAsia="楷体_GB2312" w:cs="楷体_GB2312"/>
          <w:b w:val="0"/>
          <w:bCs w:val="0"/>
          <w:color w:val="000000"/>
        </w:rPr>
        <w:t>（五）深化家庭支持体系建设</w:t>
      </w:r>
      <w:bookmarkEnd w:id="41"/>
      <w:bookmarkEnd w:id="42"/>
      <w:bookmarkEnd w:id="43"/>
    </w:p>
    <w:p w14:paraId="6AA13011">
      <w:pPr>
        <w:spacing w:after="0" w:line="560" w:lineRule="exact"/>
        <w:ind w:firstLine="643" w:firstLineChars="200"/>
        <w:rPr>
          <w:rFonts w:hint="eastAsia" w:ascii="仿宋_GB2312" w:hAnsi="仿宋_GB2312" w:cs="仿宋_GB2312"/>
          <w:color w:val="000000"/>
          <w:sz w:val="32"/>
        </w:rPr>
      </w:pPr>
      <w:r>
        <w:rPr>
          <w:rFonts w:ascii="仿宋_GB2312" w:hAnsi="仿宋_GB2312" w:cs="仿宋_GB2312"/>
          <w:b/>
          <w:color w:val="000000"/>
        </w:rPr>
        <w:t>1.发挥家庭的立德树人作用。</w:t>
      </w:r>
      <w:r>
        <w:rPr>
          <w:rFonts w:hint="eastAsia" w:ascii="仿宋_GB2312" w:hAnsi="仿宋_GB2312" w:cs="仿宋_GB2312"/>
          <w:color w:val="000000"/>
          <w:lang w:eastAsia="zh-CN"/>
        </w:rPr>
        <w:t>坚持</w:t>
      </w:r>
      <w:r>
        <w:rPr>
          <w:rFonts w:hint="eastAsia" w:ascii="仿宋_GB2312" w:hAnsi="仿宋_GB2312" w:cs="仿宋_GB2312"/>
          <w:color w:val="000000"/>
        </w:rPr>
        <w:t>以儿童思想道德建设为核心，把立德树人</w:t>
      </w:r>
      <w:r>
        <w:rPr>
          <w:rFonts w:hint="eastAsia" w:ascii="仿宋_GB2312" w:hAnsi="仿宋_GB2312" w:cs="仿宋_GB2312"/>
          <w:color w:val="000000"/>
          <w:lang w:eastAsia="zh-CN"/>
        </w:rPr>
        <w:t>融入家庭教育</w:t>
      </w:r>
      <w:r>
        <w:rPr>
          <w:rFonts w:hint="eastAsia" w:ascii="仿宋_GB2312" w:hAnsi="仿宋_GB2312" w:cs="仿宋_GB2312"/>
          <w:color w:val="000000"/>
        </w:rPr>
        <w:t>全过程，</w:t>
      </w:r>
      <w:r>
        <w:rPr>
          <w:rFonts w:hint="eastAsia" w:ascii="仿宋_GB2312" w:hAnsi="仿宋_GB2312" w:cs="仿宋_GB2312"/>
          <w:color w:val="000000"/>
          <w:lang w:val="en-US" w:eastAsia="zh-CN"/>
        </w:rPr>
        <w:t>以优良家教家风培育道德品行。</w:t>
      </w:r>
      <w:r>
        <w:rPr>
          <w:rFonts w:hint="eastAsia" w:ascii="仿宋_GB2312" w:hAnsi="仿宋_GB2312" w:cs="仿宋_GB2312"/>
          <w:color w:val="000000"/>
        </w:rPr>
        <w:t>推动家风建设与新时代文明实践</w:t>
      </w:r>
      <w:r>
        <w:rPr>
          <w:rFonts w:hint="eastAsia" w:ascii="仿宋_GB2312" w:hAnsi="仿宋_GB2312" w:cs="仿宋_GB2312"/>
          <w:color w:val="000000"/>
          <w:lang w:eastAsia="zh-CN"/>
        </w:rPr>
        <w:t>紧密结合，着力</w:t>
      </w:r>
      <w:r>
        <w:rPr>
          <w:rFonts w:hint="eastAsia" w:ascii="仿宋_GB2312" w:hAnsi="仿宋_GB2312" w:cs="仿宋_GB2312"/>
          <w:color w:val="000000"/>
          <w:lang w:val="en-US" w:eastAsia="zh-CN"/>
        </w:rPr>
        <w:t>培养儿童成长为爱国守法、诚实守信、勤学善思、友善互助的时代新人</w:t>
      </w:r>
      <w:r>
        <w:rPr>
          <w:rFonts w:hint="eastAsia" w:ascii="仿宋_GB2312" w:hAnsi="仿宋_GB2312" w:cs="仿宋_GB2312"/>
          <w:color w:val="000000"/>
        </w:rPr>
        <w:t>。</w:t>
      </w:r>
    </w:p>
    <w:p w14:paraId="1A3762A3">
      <w:pPr>
        <w:spacing w:after="0" w:line="560" w:lineRule="exact"/>
        <w:ind w:firstLine="643" w:firstLineChars="200"/>
        <w:rPr>
          <w:rFonts w:hint="eastAsia" w:ascii="仿宋_GB2312" w:hAnsi="仿宋_GB2312" w:cs="仿宋_GB2312"/>
          <w:color w:val="000000"/>
        </w:rPr>
      </w:pPr>
      <w:r>
        <w:rPr>
          <w:rFonts w:ascii="仿宋_GB2312" w:hAnsi="仿宋_GB2312" w:cs="仿宋_GB2312"/>
          <w:b/>
          <w:color w:val="000000"/>
        </w:rPr>
        <w:t>2.深化科学育儿理念。</w:t>
      </w:r>
      <w:r>
        <w:rPr>
          <w:rFonts w:ascii="仿宋_GB2312" w:hAnsi="仿宋_GB2312" w:cs="仿宋_GB2312"/>
          <w:color w:val="000000"/>
        </w:rPr>
        <w:t>推动家庭教育指导服务纳入基本公共服务范畴</w:t>
      </w:r>
      <w:r>
        <w:rPr>
          <w:rFonts w:hint="eastAsia" w:ascii="仿宋_GB2312" w:hAnsi="仿宋_GB2312" w:cs="仿宋_GB2312"/>
          <w:color w:val="000000"/>
        </w:rPr>
        <w:t>，深化</w:t>
      </w:r>
      <w:r>
        <w:rPr>
          <w:rFonts w:hint="eastAsia" w:ascii="仿宋_GB2312" w:hAnsi="仿宋_GB2312" w:cs="仿宋_GB2312"/>
          <w:color w:val="000000"/>
          <w:lang w:eastAsia="zh-CN"/>
        </w:rPr>
        <w:t>“</w:t>
      </w:r>
      <w:r>
        <w:rPr>
          <w:rFonts w:hint="eastAsia" w:ascii="仿宋_GB2312" w:hAnsi="仿宋_GB2312" w:cs="仿宋_GB2312"/>
          <w:color w:val="000000"/>
        </w:rPr>
        <w:t>113N</w:t>
      </w:r>
      <w:r>
        <w:rPr>
          <w:rFonts w:hint="eastAsia" w:ascii="仿宋_GB2312" w:hAnsi="仿宋_GB2312" w:cs="仿宋_GB2312"/>
          <w:color w:val="000000"/>
          <w:lang w:eastAsia="zh-CN"/>
        </w:rPr>
        <w:t>”</w:t>
      </w:r>
      <w:r>
        <w:rPr>
          <w:rFonts w:hint="eastAsia" w:ascii="仿宋_GB2312" w:hAnsi="仿宋_GB2312" w:cs="仿宋_GB2312"/>
          <w:color w:val="000000"/>
        </w:rPr>
        <w:t>家庭教育指导服务体系。</w:t>
      </w:r>
      <w:r>
        <w:rPr>
          <w:rFonts w:ascii="仿宋_GB2312" w:hAnsi="仿宋_GB2312" w:cs="仿宋_GB2312"/>
          <w:color w:val="000000"/>
        </w:rPr>
        <w:t>构建科学育儿体系，</w:t>
      </w:r>
      <w:r>
        <w:rPr>
          <w:rFonts w:hint="eastAsia" w:ascii="仿宋_GB2312" w:hAnsi="仿宋_GB2312" w:cs="仿宋_GB2312"/>
          <w:color w:val="000000"/>
        </w:rPr>
        <w:t>优化</w:t>
      </w:r>
      <w:r>
        <w:rPr>
          <w:rFonts w:ascii="仿宋_GB2312" w:hAnsi="仿宋_GB2312" w:cs="仿宋_GB2312"/>
          <w:color w:val="000000"/>
        </w:rPr>
        <w:t>区级托育综合服务</w:t>
      </w:r>
      <w:r>
        <w:rPr>
          <w:rFonts w:hint="eastAsia" w:ascii="仿宋_GB2312" w:hAnsi="仿宋_GB2312" w:cs="仿宋_GB2312"/>
          <w:color w:val="000000"/>
        </w:rPr>
        <w:t>中心、</w:t>
      </w:r>
      <w:r>
        <w:rPr>
          <w:rFonts w:ascii="仿宋_GB2312" w:hAnsi="仿宋_GB2312" w:cs="仿宋_GB2312"/>
          <w:color w:val="000000"/>
        </w:rPr>
        <w:t>医育结合指导中心</w:t>
      </w:r>
      <w:r>
        <w:rPr>
          <w:rFonts w:hint="eastAsia" w:ascii="仿宋_GB2312" w:hAnsi="仿宋_GB2312" w:cs="仿宋_GB2312"/>
          <w:color w:val="000000"/>
        </w:rPr>
        <w:t>。普及科学育儿知识，开展婴幼儿养育和照护宣传。</w:t>
      </w:r>
      <w:r>
        <w:rPr>
          <w:rFonts w:ascii="仿宋_GB2312" w:hAnsi="仿宋_GB2312" w:cs="仿宋_GB2312"/>
          <w:color w:val="000000"/>
        </w:rPr>
        <w:t>推广分龄育儿指导、家庭课程和线上线下结合的培训实践活动，</w:t>
      </w:r>
      <w:r>
        <w:rPr>
          <w:rFonts w:hint="eastAsia" w:ascii="仿宋_GB2312" w:hAnsi="仿宋_GB2312" w:cs="仿宋_GB2312"/>
          <w:color w:val="000000"/>
        </w:rPr>
        <w:t>提升家长科学育儿意识和能力</w:t>
      </w:r>
      <w:r>
        <w:rPr>
          <w:rFonts w:ascii="仿宋_GB2312" w:hAnsi="仿宋_GB2312" w:cs="仿宋_GB2312"/>
          <w:color w:val="000000"/>
        </w:rPr>
        <w:t>。</w:t>
      </w:r>
    </w:p>
    <w:p w14:paraId="12306C7D">
      <w:pPr>
        <w:spacing w:after="0" w:line="560" w:lineRule="exact"/>
        <w:ind w:firstLine="643" w:firstLineChars="200"/>
      </w:pPr>
      <w:r>
        <w:rPr>
          <w:rFonts w:ascii="仿宋_GB2312" w:hAnsi="仿宋_GB2312" w:cs="仿宋_GB2312"/>
          <w:b/>
          <w:color w:val="000000"/>
        </w:rPr>
        <w:t>3.提升家庭监护能力</w:t>
      </w:r>
      <w:r>
        <w:rPr>
          <w:rFonts w:hint="eastAsia" w:ascii="仿宋_GB2312" w:hAnsi="仿宋_GB2312" w:cs="仿宋_GB2312"/>
          <w:b/>
          <w:color w:val="000000"/>
        </w:rPr>
        <w:t>。</w:t>
      </w:r>
      <w:r>
        <w:rPr>
          <w:rFonts w:ascii="仿宋_GB2312" w:hAnsi="仿宋_GB2312" w:cs="仿宋_GB2312"/>
          <w:color w:val="000000"/>
        </w:rPr>
        <w:t>落实以家庭监护为主、国家监护为辅和兜底</w:t>
      </w:r>
      <w:r>
        <w:rPr>
          <w:rFonts w:hint="eastAsia" w:ascii="仿宋_GB2312" w:hAnsi="仿宋_GB2312" w:cs="仿宋_GB2312"/>
          <w:color w:val="000000"/>
          <w:lang w:eastAsia="zh-CN"/>
        </w:rPr>
        <w:t>、社会监护为补充</w:t>
      </w:r>
      <w:r>
        <w:rPr>
          <w:rFonts w:ascii="仿宋_GB2312" w:hAnsi="仿宋_GB2312" w:cs="仿宋_GB2312"/>
          <w:color w:val="000000"/>
        </w:rPr>
        <w:t>的未成年人监护体系</w:t>
      </w:r>
      <w:r>
        <w:rPr>
          <w:rFonts w:hint="eastAsia" w:ascii="仿宋_GB2312" w:hAnsi="仿宋_GB2312" w:cs="仿宋_GB2312"/>
          <w:color w:val="000000"/>
        </w:rPr>
        <w:t>。</w:t>
      </w:r>
      <w:r>
        <w:rPr>
          <w:rFonts w:ascii="仿宋_GB2312" w:hAnsi="仿宋_GB2312" w:cs="仿宋_GB2312"/>
          <w:color w:val="000000"/>
        </w:rPr>
        <w:t>加强</w:t>
      </w:r>
      <w:r>
        <w:rPr>
          <w:rFonts w:hint="eastAsia" w:ascii="仿宋_GB2312" w:hAnsi="仿宋_GB2312" w:cs="仿宋_GB2312"/>
          <w:color w:val="000000"/>
        </w:rPr>
        <w:t>监护训诫制度实施，增强家庭教育指导令和</w:t>
      </w:r>
      <w:r>
        <w:rPr>
          <w:rFonts w:ascii="仿宋_GB2312" w:hAnsi="仿宋_GB2312" w:cs="仿宋_GB2312"/>
          <w:color w:val="000000"/>
        </w:rPr>
        <w:t>督促监护令</w:t>
      </w:r>
      <w:r>
        <w:rPr>
          <w:rFonts w:hint="eastAsia" w:ascii="仿宋_GB2312" w:hAnsi="仿宋_GB2312" w:cs="仿宋_GB2312"/>
          <w:color w:val="000000"/>
        </w:rPr>
        <w:t>的执行</w:t>
      </w:r>
      <w:r>
        <w:rPr>
          <w:rFonts w:ascii="仿宋_GB2312" w:hAnsi="仿宋_GB2312" w:cs="仿宋_GB2312"/>
          <w:color w:val="000000"/>
        </w:rPr>
        <w:t>效力</w:t>
      </w:r>
      <w:r>
        <w:rPr>
          <w:rFonts w:hint="eastAsia" w:ascii="仿宋_GB2312" w:hAnsi="仿宋_GB2312" w:cs="仿宋_GB2312"/>
          <w:color w:val="000000"/>
        </w:rPr>
        <w:t>。落实《北京市未成年人家庭监护能力评估办法》，</w:t>
      </w:r>
      <w:r>
        <w:rPr>
          <w:rFonts w:ascii="仿宋_GB2312" w:hAnsi="仿宋_GB2312" w:cs="仿宋_GB2312"/>
          <w:color w:val="000000"/>
        </w:rPr>
        <w:t>切实履行对家庭监护的监督和支持。</w:t>
      </w:r>
    </w:p>
    <w:p w14:paraId="7DD03E57">
      <w:pPr>
        <w:spacing w:after="0" w:line="560" w:lineRule="exact"/>
        <w:ind w:firstLine="643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b/>
          <w:bCs/>
          <w:color w:val="000000"/>
        </w:rPr>
        <w:t>4.提高亲子互动和家庭关系质量。</w:t>
      </w:r>
      <w:r>
        <w:rPr>
          <w:rFonts w:ascii="仿宋_GB2312" w:hAnsi="仿宋_GB2312" w:cs="仿宋_GB2312"/>
          <w:color w:val="000000"/>
        </w:rPr>
        <w:t>引导家长尊重儿童主体地位和</w:t>
      </w:r>
      <w:r>
        <w:rPr>
          <w:rFonts w:hint="eastAsia" w:ascii="仿宋_GB2312" w:hAnsi="仿宋_GB2312" w:cs="仿宋_GB2312"/>
          <w:color w:val="000000"/>
        </w:rPr>
        <w:t>家庭事务参与</w:t>
      </w:r>
      <w:r>
        <w:rPr>
          <w:rFonts w:ascii="仿宋_GB2312" w:hAnsi="仿宋_GB2312" w:cs="仿宋_GB2312"/>
          <w:color w:val="000000"/>
        </w:rPr>
        <w:t>权利</w:t>
      </w:r>
      <w:r>
        <w:rPr>
          <w:rFonts w:hint="eastAsia" w:ascii="仿宋_GB2312" w:hAnsi="仿宋_GB2312" w:cs="仿宋_GB2312"/>
          <w:color w:val="000000"/>
        </w:rPr>
        <w:t>，构建</w:t>
      </w:r>
      <w:r>
        <w:rPr>
          <w:rFonts w:ascii="仿宋_GB2312" w:hAnsi="仿宋_GB2312" w:cs="仿宋_GB2312"/>
          <w:color w:val="000000"/>
        </w:rPr>
        <w:t>互信互动的亲子关系</w:t>
      </w:r>
      <w:r>
        <w:rPr>
          <w:rFonts w:hint="eastAsia" w:ascii="仿宋_GB2312" w:hAnsi="仿宋_GB2312" w:cs="仿宋_GB2312"/>
          <w:color w:val="000000"/>
        </w:rPr>
        <w:t>。推广</w:t>
      </w:r>
      <w:r>
        <w:rPr>
          <w:rFonts w:ascii="仿宋_GB2312" w:hAnsi="仿宋_GB2312" w:cs="仿宋_GB2312"/>
          <w:color w:val="000000"/>
        </w:rPr>
        <w:t>“倾听一刻钟，阅读半小时，活动一小时”</w:t>
      </w:r>
      <w:r>
        <w:rPr>
          <w:rFonts w:hint="eastAsia" w:ascii="仿宋_GB2312" w:hAnsi="仿宋_GB2312" w:cs="仿宋_GB2312"/>
          <w:color w:val="000000"/>
        </w:rPr>
        <w:t>亲子活动</w:t>
      </w:r>
      <w:r>
        <w:rPr>
          <w:rFonts w:ascii="仿宋_GB2312" w:hAnsi="仿宋_GB2312" w:cs="仿宋_GB2312"/>
          <w:color w:val="000000"/>
        </w:rPr>
        <w:t>。优化儿童成长家庭环境，指导家长增进亲子交流、缓解育儿焦虑、增加高质量陪伴。</w:t>
      </w:r>
    </w:p>
    <w:p w14:paraId="3C76AFEE">
      <w:pPr>
        <w:pStyle w:val="4"/>
        <w:spacing w:before="0" w:after="0" w:line="560" w:lineRule="exact"/>
        <w:ind w:firstLine="640" w:firstLineChars="200"/>
        <w:rPr>
          <w:rFonts w:hint="eastAsia"/>
          <w:b w:val="0"/>
          <w:bCs w:val="0"/>
        </w:rPr>
      </w:pPr>
      <w:bookmarkStart w:id="44" w:name="_Toc9317"/>
      <w:bookmarkStart w:id="45" w:name="_Toc23736"/>
      <w:bookmarkStart w:id="46" w:name="_Toc7387"/>
      <w:r>
        <w:rPr>
          <w:rFonts w:ascii="楷体_GB2312" w:hAnsi="楷体_GB2312" w:eastAsia="楷体_GB2312" w:cs="楷体_GB2312"/>
          <w:b w:val="0"/>
          <w:bCs w:val="0"/>
          <w:color w:val="000000"/>
        </w:rPr>
        <w:t>（六）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</w:rPr>
        <w:t>推进</w:t>
      </w:r>
      <w:r>
        <w:rPr>
          <w:rFonts w:ascii="楷体_GB2312" w:hAnsi="楷体_GB2312" w:eastAsia="楷体_GB2312" w:cs="楷体_GB2312"/>
          <w:b w:val="0"/>
          <w:bCs w:val="0"/>
          <w:color w:val="000000"/>
        </w:rPr>
        <w:t>儿童友好城市建设</w:t>
      </w:r>
      <w:bookmarkEnd w:id="44"/>
      <w:bookmarkEnd w:id="45"/>
      <w:bookmarkEnd w:id="46"/>
    </w:p>
    <w:p w14:paraId="1D985B42">
      <w:pPr>
        <w:spacing w:after="0" w:line="560" w:lineRule="exact"/>
        <w:ind w:firstLine="643" w:firstLineChars="200"/>
        <w:jc w:val="left"/>
      </w:pPr>
      <w:r>
        <w:rPr>
          <w:rFonts w:ascii="仿宋_GB2312" w:hAnsi="仿宋_GB2312" w:cs="仿宋_GB2312"/>
          <w:b/>
          <w:color w:val="000000" w:themeColor="text1"/>
          <w14:textFill>
            <w14:solidFill>
              <w14:schemeClr w14:val="tx1"/>
            </w14:solidFill>
          </w14:textFill>
        </w:rPr>
        <w:t>推动儿童优先制度化落实。</w:t>
      </w:r>
      <w:r>
        <w:rPr>
          <w:rFonts w:hint="eastAsia" w:ascii="仿宋_GB2312" w:hAnsi="仿宋_GB2312" w:cs="仿宋_GB2312"/>
          <w:color w:val="000000"/>
        </w:rPr>
        <w:t>坚持</w:t>
      </w:r>
      <w:r>
        <w:rPr>
          <w:rFonts w:ascii="仿宋_GB2312" w:hAnsi="仿宋_GB2312" w:cs="仿宋_GB2312"/>
          <w:color w:val="000000"/>
        </w:rPr>
        <w:t>“儿童优先”</w:t>
      </w:r>
      <w:r>
        <w:rPr>
          <w:rFonts w:hint="eastAsia" w:ascii="仿宋_GB2312" w:hAnsi="仿宋_GB2312" w:cs="仿宋_GB2312"/>
          <w:color w:val="000000"/>
        </w:rPr>
        <w:t>原则</w:t>
      </w:r>
      <w:r>
        <w:rPr>
          <w:rFonts w:ascii="仿宋_GB2312" w:hAnsi="仿宋_GB2312" w:cs="仿宋_GB2312"/>
          <w:color w:val="000000"/>
        </w:rPr>
        <w:t>，把儿童的利益和需求纳入城市治理</w:t>
      </w:r>
      <w:r>
        <w:rPr>
          <w:rFonts w:hint="eastAsia" w:ascii="仿宋_GB2312" w:hAnsi="仿宋_GB2312" w:cs="仿宋_GB2312"/>
          <w:color w:val="000000"/>
        </w:rPr>
        <w:t>、</w:t>
      </w:r>
      <w:r>
        <w:rPr>
          <w:rFonts w:ascii="仿宋_GB2312" w:hAnsi="仿宋_GB2312" w:cs="仿宋_GB2312"/>
          <w:color w:val="000000"/>
        </w:rPr>
        <w:t>顶层设计</w:t>
      </w:r>
      <w:r>
        <w:rPr>
          <w:rFonts w:hint="eastAsia" w:ascii="仿宋_GB2312" w:hAnsi="仿宋_GB2312" w:cs="仿宋_GB2312"/>
          <w:color w:val="000000"/>
        </w:rPr>
        <w:t>和重大规划中，</w:t>
      </w:r>
      <w:r>
        <w:rPr>
          <w:rFonts w:ascii="仿宋_GB2312" w:hAnsi="仿宋_GB2312" w:cs="仿宋_GB2312"/>
          <w:color w:val="000000"/>
        </w:rPr>
        <w:t>健全儿童友好城市建设标准体系，推动教育、医疗、交通等领域配套</w:t>
      </w:r>
      <w:r>
        <w:rPr>
          <w:rFonts w:hint="eastAsia" w:ascii="仿宋_GB2312" w:hAnsi="仿宋_GB2312" w:cs="仿宋_GB2312"/>
          <w:color w:val="000000"/>
        </w:rPr>
        <w:t>政策落地</w:t>
      </w:r>
      <w:r>
        <w:rPr>
          <w:rFonts w:ascii="仿宋_GB2312" w:hAnsi="仿宋_GB2312" w:cs="仿宋_GB2312"/>
          <w:color w:val="000000"/>
        </w:rPr>
        <w:t>，</w:t>
      </w:r>
      <w:r>
        <w:rPr>
          <w:rFonts w:hint="eastAsia" w:ascii="仿宋_GB2312" w:hAnsi="仿宋_GB2312" w:cs="仿宋_GB2312"/>
          <w:color w:val="000000"/>
        </w:rPr>
        <w:t>搭建多元、开放、动态的共建平台，全程保障儿童权利</w:t>
      </w:r>
      <w:r>
        <w:rPr>
          <w:rFonts w:ascii="仿宋_GB2312" w:hAnsi="仿宋_GB2312" w:cs="仿宋_GB2312"/>
          <w:color w:val="000000"/>
        </w:rPr>
        <w:t>。</w:t>
      </w:r>
    </w:p>
    <w:tbl>
      <w:tblPr>
        <w:tblStyle w:val="19"/>
        <w:tblW w:w="9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5"/>
      </w:tblGrid>
      <w:tr w14:paraId="6E54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005" w:type="dxa"/>
            <w:vAlign w:val="center"/>
          </w:tcPr>
          <w:p w14:paraId="4A484C65">
            <w:pPr>
              <w:pStyle w:val="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专栏4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推进儿童友好建设</w:t>
            </w:r>
          </w:p>
        </w:tc>
      </w:tr>
      <w:tr w14:paraId="4C8A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5" w:type="dxa"/>
          </w:tcPr>
          <w:p w14:paraId="5D66E48F">
            <w:pPr>
              <w:spacing w:after="0" w:line="240" w:lineRule="auto"/>
              <w:ind w:left="0" w:leftChars="0" w:right="0" w:rightChars="0" w:firstLine="482" w:firstLineChars="20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  <w:t>推进公共设施适儿化改造。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用“1米高度看城市”儿童视角统筹公共设施、公园绿地等适儿化改造，打造“游戏角落”等微空间。围绕学校等高频活动区域，划定儿童慢行区，增设安全标识等基础设施。推进公共场所</w:t>
            </w:r>
            <w:bookmarkStart w:id="53" w:name="_GoBack"/>
            <w:bookmarkEnd w:id="53"/>
            <w:r>
              <w:rPr>
                <w:rFonts w:hint="eastAsia" w:ascii="仿宋_GB2312" w:hAnsi="仿宋_GB2312" w:cs="仿宋_GB2312"/>
                <w:color w:val="000000"/>
                <w:sz w:val="24"/>
              </w:rPr>
              <w:t>家庭卫生间、育婴室建设。</w:t>
            </w:r>
          </w:p>
          <w:p w14:paraId="34C1B569">
            <w:pPr>
              <w:spacing w:after="0" w:line="240" w:lineRule="auto"/>
              <w:ind w:left="0" w:leftChars="0" w:right="0" w:rightChars="0" w:firstLine="482" w:firstLineChars="20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推进儿童友好街区、社区建设。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完善儿童活动场所布局，拓展街区、社区儿童游戏空间和运动空间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。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推广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“街区+”“社区+”模式，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依托街角微空间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，合理设置“儿童游戏角”“街头运动场”等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童趣活动场景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。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建好用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好党群服务中心、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家长学校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等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，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打造多样化服务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业态。</w:t>
            </w:r>
          </w:p>
          <w:p w14:paraId="2B25A4DA">
            <w:pPr>
              <w:spacing w:after="0" w:line="240" w:lineRule="auto"/>
              <w:ind w:left="0" w:leftChars="0" w:right="0" w:rightChars="0" w:firstLine="482" w:firstLineChars="20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b/>
                <w:color w:val="000000"/>
                <w:sz w:val="24"/>
              </w:rPr>
              <w:t>丰富儿童文化供给与数字服务。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加强校外教育实践基地建设，推动博物馆等公共场所向儿童免费开放。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融合数字技术打造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数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字文化资源。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推进“书香石景山”建设，拓展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儿童阅读空间和互动式体验项目。织密“区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—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街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道—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社区”三级公共文化设施网络，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拓展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“小而美、小而精”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新型公共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文化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空间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。</w:t>
            </w:r>
          </w:p>
          <w:p w14:paraId="5042E425">
            <w:pPr>
              <w:spacing w:after="0" w:line="240" w:lineRule="auto"/>
              <w:ind w:left="0" w:leftChars="0" w:right="0" w:rightChars="0" w:firstLine="482" w:firstLineChars="200"/>
              <w:rPr>
                <w:sz w:val="24"/>
              </w:rPr>
            </w:pPr>
            <w:r>
              <w:rPr>
                <w:rFonts w:ascii="仿宋_GB2312" w:hAnsi="仿宋_GB2312" w:cs="仿宋_GB2312"/>
                <w:b/>
                <w:color w:val="000000"/>
                <w:sz w:val="24"/>
              </w:rPr>
              <w:t>推进绿色校园与绿色活动场所建设。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践行绿色发展理念，推进绿色建材应用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与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建筑建设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，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推进花园城市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建设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，将绿色低碳理念融入儿童日常学习与生活。</w:t>
            </w:r>
          </w:p>
          <w:p w14:paraId="34A19F0B">
            <w:pPr>
              <w:spacing w:after="0" w:line="240" w:lineRule="auto"/>
              <w:ind w:left="0" w:leftChars="0" w:right="0" w:rightChars="0" w:firstLine="482" w:firstLineChars="200"/>
              <w:rPr>
                <w:sz w:val="28"/>
                <w:szCs w:val="28"/>
              </w:rPr>
            </w:pPr>
            <w:r>
              <w:rPr>
                <w:rFonts w:ascii="仿宋_GB2312" w:hAnsi="仿宋_GB2312" w:cs="仿宋_GB2312"/>
                <w:b/>
                <w:color w:val="000000"/>
                <w:sz w:val="24"/>
              </w:rPr>
              <w:t>优化儿童社会参与</w:t>
            </w: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和国际交流</w:t>
            </w:r>
            <w:r>
              <w:rPr>
                <w:rFonts w:ascii="仿宋_GB2312" w:hAnsi="仿宋_GB2312" w:cs="仿宋_GB2312"/>
                <w:b/>
                <w:color w:val="000000"/>
                <w:sz w:val="24"/>
              </w:rPr>
              <w:t>。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畅通儿童建言渠道，鼓励儿童积极参与社会事务和公共生活。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建立儿童观察团，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丰富参与平台，开展实践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性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活动，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引导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儿童参与社区治理、社会公益等。加强儿童领域国际与区域交流合作，培养具有开放胸怀与国际视野的现代公民。</w:t>
            </w:r>
          </w:p>
        </w:tc>
      </w:tr>
    </w:tbl>
    <w:p w14:paraId="4D9EDA12">
      <w:pPr>
        <w:pStyle w:val="4"/>
        <w:spacing w:before="0" w:after="0" w:line="560" w:lineRule="exact"/>
        <w:ind w:firstLine="640" w:firstLineChars="200"/>
        <w:rPr>
          <w:rFonts w:hint="eastAsia"/>
          <w:b w:val="0"/>
          <w:bCs w:val="0"/>
        </w:rPr>
      </w:pPr>
      <w:bookmarkStart w:id="47" w:name="_Toc32454"/>
      <w:bookmarkStart w:id="48" w:name="_Toc27339"/>
      <w:bookmarkStart w:id="49" w:name="_Toc2897"/>
      <w:r>
        <w:rPr>
          <w:rFonts w:ascii="楷体_GB2312" w:hAnsi="楷体_GB2312" w:eastAsia="楷体_GB2312" w:cs="楷体_GB2312"/>
          <w:b w:val="0"/>
          <w:bCs w:val="0"/>
          <w:color w:val="000000"/>
        </w:rPr>
        <w:t>（七）优化儿童法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lang w:eastAsia="zh-CN"/>
        </w:rPr>
        <w:t>治</w:t>
      </w:r>
      <w:r>
        <w:rPr>
          <w:rFonts w:ascii="楷体_GB2312" w:hAnsi="楷体_GB2312" w:eastAsia="楷体_GB2312" w:cs="楷体_GB2312"/>
          <w:b w:val="0"/>
          <w:bCs w:val="0"/>
          <w:color w:val="000000"/>
        </w:rPr>
        <w:t>环境</w:t>
      </w:r>
      <w:bookmarkEnd w:id="47"/>
      <w:bookmarkEnd w:id="48"/>
      <w:bookmarkEnd w:id="49"/>
    </w:p>
    <w:p w14:paraId="35054023">
      <w:pPr>
        <w:spacing w:after="0" w:line="560" w:lineRule="exact"/>
        <w:ind w:firstLine="643" w:firstLineChars="200"/>
      </w:pPr>
      <w:r>
        <w:rPr>
          <w:rFonts w:ascii="仿宋_GB2312" w:hAnsi="仿宋_GB2312" w:cs="仿宋_GB2312"/>
          <w:b/>
          <w:color w:val="000000"/>
        </w:rPr>
        <w:t>1.健全儿童保护政策</w:t>
      </w:r>
      <w:r>
        <w:rPr>
          <w:rFonts w:hint="eastAsia" w:ascii="仿宋_GB2312" w:hAnsi="仿宋_GB2312" w:cs="仿宋_GB2312"/>
          <w:b/>
          <w:color w:val="000000"/>
        </w:rPr>
        <w:t>制度</w:t>
      </w:r>
      <w:r>
        <w:rPr>
          <w:rFonts w:ascii="仿宋_GB2312" w:hAnsi="仿宋_GB2312" w:cs="仿宋_GB2312"/>
          <w:b/>
          <w:color w:val="000000"/>
        </w:rPr>
        <w:t>体系。</w:t>
      </w:r>
      <w:r>
        <w:rPr>
          <w:rFonts w:ascii="仿宋_GB2312" w:hAnsi="仿宋_GB2312" w:cs="仿宋_GB2312"/>
          <w:color w:val="000000"/>
        </w:rPr>
        <w:t>以儿童利益最大化为核心，推动未成年人保护</w:t>
      </w:r>
      <w:r>
        <w:rPr>
          <w:rFonts w:hint="eastAsia" w:ascii="仿宋_GB2312" w:hAnsi="仿宋_GB2312" w:cs="仿宋_GB2312"/>
          <w:color w:val="000000"/>
        </w:rPr>
        <w:t>、网络空间治理</w:t>
      </w:r>
      <w:r>
        <w:rPr>
          <w:rFonts w:ascii="仿宋_GB2312" w:hAnsi="仿宋_GB2312" w:cs="仿宋_GB2312"/>
          <w:color w:val="000000"/>
        </w:rPr>
        <w:t>等相关法律法规落地落实，</w:t>
      </w:r>
      <w:r>
        <w:rPr>
          <w:rFonts w:hint="eastAsia" w:ascii="仿宋_GB2312" w:hAnsi="仿宋_GB2312" w:cs="仿宋_GB2312"/>
          <w:color w:val="000000"/>
        </w:rPr>
        <w:t>一体推进源头预防、分级矫治、依法惩处、综合治理。</w:t>
      </w:r>
      <w:r>
        <w:rPr>
          <w:rFonts w:hint="eastAsia" w:ascii="仿宋_GB2312" w:hAnsi="仿宋_GB2312" w:cs="仿宋_GB2312"/>
          <w:kern w:val="0"/>
          <w:szCs w:val="32"/>
          <w:lang w:bidi="ar"/>
        </w:rPr>
        <w:t>完善“一站式”办理机制，扩充涉未成年人案件“专人专办”队伍。强化诉讼监督，</w:t>
      </w:r>
      <w:r>
        <w:rPr>
          <w:rFonts w:hint="eastAsia" w:ascii="仿宋_GB2312"/>
          <w:szCs w:val="32"/>
        </w:rPr>
        <w:t>推进社会治安综合</w:t>
      </w:r>
      <w:r>
        <w:rPr>
          <w:rFonts w:hint="eastAsia" w:ascii="仿宋_GB2312" w:hAnsi="仿宋_GB2312" w:cs="仿宋_GB2312"/>
          <w:kern w:val="0"/>
          <w:szCs w:val="32"/>
          <w:lang w:bidi="ar"/>
        </w:rPr>
        <w:t>治理中心规范化、数智化建设。</w:t>
      </w:r>
    </w:p>
    <w:p w14:paraId="270160AA">
      <w:pPr>
        <w:spacing w:after="0" w:line="560" w:lineRule="exact"/>
        <w:ind w:firstLine="643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b/>
          <w:color w:val="000000"/>
        </w:rPr>
        <w:t>2.</w:t>
      </w:r>
      <w:r>
        <w:rPr>
          <w:rFonts w:ascii="仿宋_GB2312" w:hAnsi="仿宋_GB2312" w:cs="仿宋_GB2312"/>
          <w:b/>
          <w:color w:val="000000"/>
        </w:rPr>
        <w:t>预防和严厉惩处针对未成年人的违法犯罪行为。</w:t>
      </w:r>
      <w:r>
        <w:rPr>
          <w:rFonts w:ascii="仿宋_GB2312" w:hAnsi="仿宋_GB2312" w:cs="仿宋_GB2312"/>
          <w:color w:val="000000"/>
        </w:rPr>
        <w:t>全面落实强制报告制度</w:t>
      </w:r>
      <w:r>
        <w:rPr>
          <w:rFonts w:hint="eastAsia" w:ascii="仿宋_GB2312" w:hAnsi="仿宋_GB2312" w:cs="仿宋_GB2312"/>
          <w:color w:val="000000"/>
        </w:rPr>
        <w:t>，落实</w:t>
      </w:r>
      <w:r>
        <w:rPr>
          <w:rFonts w:ascii="仿宋_GB2312" w:hAnsi="仿宋_GB2312" w:cs="仿宋_GB2312"/>
          <w:color w:val="000000"/>
        </w:rPr>
        <w:t>未成年人“发现</w:t>
      </w:r>
      <w:r>
        <w:rPr>
          <w:rFonts w:hint="eastAsia" w:ascii="仿宋_GB2312" w:hAnsi="仿宋_GB2312" w:cs="仿宋_GB2312"/>
          <w:color w:val="000000"/>
        </w:rPr>
        <w:t>—报告—</w:t>
      </w:r>
      <w:r>
        <w:rPr>
          <w:rFonts w:ascii="仿宋_GB2312" w:hAnsi="仿宋_GB2312" w:cs="仿宋_GB2312"/>
          <w:color w:val="000000"/>
        </w:rPr>
        <w:t>干预</w:t>
      </w:r>
      <w:r>
        <w:rPr>
          <w:rFonts w:hint="eastAsia" w:ascii="仿宋_GB2312" w:hAnsi="仿宋_GB2312" w:cs="仿宋_GB2312"/>
          <w:color w:val="000000"/>
        </w:rPr>
        <w:t>—</w:t>
      </w:r>
      <w:r>
        <w:rPr>
          <w:rFonts w:ascii="仿宋_GB2312" w:hAnsi="仿宋_GB2312" w:cs="仿宋_GB2312"/>
          <w:color w:val="000000"/>
        </w:rPr>
        <w:t>帮扶”全流程管理机制</w:t>
      </w:r>
      <w:r>
        <w:rPr>
          <w:rFonts w:hint="eastAsia" w:ascii="仿宋_GB2312" w:hAnsi="仿宋_GB2312" w:cs="仿宋_GB2312"/>
          <w:color w:val="000000"/>
        </w:rPr>
        <w:t>。</w:t>
      </w:r>
      <w:r>
        <w:rPr>
          <w:rFonts w:ascii="仿宋_GB2312" w:hAnsi="仿宋_GB2312" w:cs="仿宋_GB2312"/>
          <w:color w:val="000000"/>
        </w:rPr>
        <w:t>落实密切接触未成年人行业入职查询制度和从业禁止制度</w:t>
      </w:r>
      <w:r>
        <w:rPr>
          <w:rFonts w:hint="eastAsia" w:ascii="仿宋_GB2312" w:hAnsi="仿宋_GB2312" w:cs="仿宋_GB2312"/>
          <w:color w:val="000000"/>
        </w:rPr>
        <w:t>。</w:t>
      </w:r>
      <w:r>
        <w:rPr>
          <w:rFonts w:ascii="仿宋_GB2312" w:hAnsi="仿宋_GB2312" w:cs="仿宋_GB2312"/>
          <w:color w:val="000000"/>
        </w:rPr>
        <w:t>对性侵等</w:t>
      </w:r>
      <w:r>
        <w:rPr>
          <w:rFonts w:hint="eastAsia" w:ascii="仿宋_GB2312" w:hAnsi="仿宋_GB2312" w:cs="仿宋_GB2312"/>
          <w:color w:val="000000"/>
        </w:rPr>
        <w:t>侵害</w:t>
      </w:r>
      <w:r>
        <w:rPr>
          <w:rFonts w:ascii="仿宋_GB2312" w:hAnsi="仿宋_GB2312" w:cs="仿宋_GB2312"/>
          <w:color w:val="000000"/>
        </w:rPr>
        <w:t>行为坚持“零容忍”。</w:t>
      </w:r>
    </w:p>
    <w:p w14:paraId="0EAA0C33">
      <w:pPr>
        <w:spacing w:after="0" w:line="560" w:lineRule="exact"/>
        <w:ind w:firstLine="643" w:firstLineChars="200"/>
        <w:rPr>
          <w:rFonts w:hint="eastAsia" w:ascii="仿宋_GB2312" w:hAnsi="仿宋_GB2312" w:cs="仿宋_GB2312"/>
          <w:color w:val="000000"/>
        </w:rPr>
      </w:pPr>
      <w:r>
        <w:rPr>
          <w:rFonts w:ascii="仿宋_GB2312" w:hAnsi="仿宋_GB2312" w:cs="仿宋_GB2312"/>
          <w:b/>
          <w:color w:val="000000"/>
        </w:rPr>
        <w:t>3.加强涉未成年人</w:t>
      </w:r>
      <w:r>
        <w:rPr>
          <w:rFonts w:hint="eastAsia" w:ascii="仿宋_GB2312" w:hAnsi="仿宋_GB2312" w:cs="仿宋_GB2312"/>
          <w:b/>
          <w:color w:val="000000"/>
        </w:rPr>
        <w:t>违法</w:t>
      </w:r>
      <w:r>
        <w:rPr>
          <w:rFonts w:ascii="仿宋_GB2312" w:hAnsi="仿宋_GB2312" w:cs="仿宋_GB2312"/>
          <w:b/>
          <w:color w:val="000000"/>
        </w:rPr>
        <w:t>犯罪预防和惩治。</w:t>
      </w:r>
      <w:r>
        <w:rPr>
          <w:rFonts w:ascii="仿宋_GB2312" w:hAnsi="仿宋_GB2312" w:cs="仿宋_GB2312"/>
          <w:bCs/>
          <w:color w:val="000000"/>
        </w:rPr>
        <w:t>统筹</w:t>
      </w:r>
      <w:r>
        <w:rPr>
          <w:rFonts w:hint="eastAsia" w:ascii="仿宋_GB2312" w:hAnsi="仿宋_GB2312" w:cs="仿宋_GB2312"/>
          <w:bCs/>
          <w:color w:val="000000"/>
        </w:rPr>
        <w:t>推进</w:t>
      </w:r>
      <w:r>
        <w:rPr>
          <w:rFonts w:ascii="仿宋_GB2312" w:hAnsi="仿宋_GB2312" w:cs="仿宋_GB2312"/>
          <w:bCs/>
          <w:color w:val="000000"/>
        </w:rPr>
        <w:t>涉未成年人网络犯罪惩治与罪错行为</w:t>
      </w:r>
      <w:r>
        <w:rPr>
          <w:rFonts w:hint="eastAsia" w:ascii="仿宋_GB2312" w:hAnsi="仿宋_GB2312" w:cs="仿宋_GB2312"/>
          <w:bCs/>
          <w:color w:val="000000"/>
        </w:rPr>
        <w:t>分层</w:t>
      </w:r>
      <w:r>
        <w:rPr>
          <w:rFonts w:ascii="仿宋_GB2312" w:hAnsi="仿宋_GB2312" w:cs="仿宋_GB2312"/>
          <w:bCs/>
          <w:color w:val="000000"/>
        </w:rPr>
        <w:t>干预。</w:t>
      </w:r>
      <w:r>
        <w:rPr>
          <w:rFonts w:hint="eastAsia" w:ascii="仿宋_GB2312" w:hAnsi="仿宋_GB2312" w:cs="仿宋_GB2312"/>
          <w:color w:val="000000"/>
        </w:rPr>
        <w:t>整治</w:t>
      </w:r>
      <w:r>
        <w:rPr>
          <w:rFonts w:ascii="仿宋_GB2312" w:hAnsi="仿宋_GB2312" w:cs="仿宋_GB2312"/>
          <w:color w:val="000000"/>
        </w:rPr>
        <w:t>网络欺凌、隔空猥亵</w:t>
      </w:r>
      <w:r>
        <w:rPr>
          <w:rFonts w:hint="eastAsia" w:ascii="仿宋_GB2312" w:hAnsi="仿宋_GB2312" w:cs="仿宋_GB2312"/>
          <w:color w:val="000000"/>
        </w:rPr>
        <w:t>等问题。深化专门教育和专门矫治教育工作机制。强化</w:t>
      </w:r>
      <w:r>
        <w:rPr>
          <w:rFonts w:ascii="仿宋_GB2312" w:hAnsi="仿宋_GB2312" w:cs="仿宋_GB2312"/>
          <w:color w:val="000000"/>
        </w:rPr>
        <w:t>跨部门协同治理，对违规平台实施动态信用惩戒。</w:t>
      </w:r>
      <w:r>
        <w:rPr>
          <w:rFonts w:hint="eastAsia" w:ascii="仿宋_GB2312" w:hAnsi="仿宋_GB2312" w:cs="仿宋_GB2312"/>
          <w:color w:val="000000"/>
        </w:rPr>
        <w:t>深化家校社司联动的法治教育与心理干预，坚持惩教结合，精准帮扶涉案未成年人。</w:t>
      </w:r>
    </w:p>
    <w:p w14:paraId="40573E9D">
      <w:pPr>
        <w:spacing w:after="0" w:line="560" w:lineRule="exact"/>
        <w:ind w:firstLine="643" w:firstLineChars="200"/>
        <w:rPr>
          <w:rFonts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b/>
          <w:color w:val="000000"/>
        </w:rPr>
        <w:t>4</w:t>
      </w:r>
      <w:r>
        <w:rPr>
          <w:rFonts w:ascii="仿宋_GB2312" w:hAnsi="仿宋_GB2312" w:cs="仿宋_GB2312"/>
          <w:b/>
          <w:color w:val="000000"/>
        </w:rPr>
        <w:t>.推进儿童</w:t>
      </w:r>
      <w:r>
        <w:rPr>
          <w:rFonts w:hint="eastAsia" w:ascii="仿宋_GB2312" w:hAnsi="仿宋_GB2312" w:cs="仿宋_GB2312"/>
          <w:b/>
          <w:color w:val="000000"/>
        </w:rPr>
        <w:t>法律援助、司法救助与司法</w:t>
      </w:r>
      <w:r>
        <w:rPr>
          <w:rFonts w:ascii="仿宋_GB2312" w:hAnsi="仿宋_GB2312" w:cs="仿宋_GB2312"/>
          <w:b/>
          <w:color w:val="000000"/>
        </w:rPr>
        <w:t>友好化改革。</w:t>
      </w:r>
      <w:r>
        <w:rPr>
          <w:rFonts w:hint="eastAsia" w:ascii="仿宋_GB2312" w:hAnsi="仿宋_GB2312" w:cs="仿宋_GB2312"/>
          <w:color w:val="000000"/>
        </w:rPr>
        <w:t>建立</w:t>
      </w:r>
      <w:r>
        <w:rPr>
          <w:rFonts w:ascii="仿宋_GB2312" w:hAnsi="仿宋_GB2312" w:cs="仿宋_GB2312"/>
          <w:color w:val="000000"/>
        </w:rPr>
        <w:t>符合儿童身心发展的审判、检察</w:t>
      </w:r>
      <w:r>
        <w:rPr>
          <w:rFonts w:hint="eastAsia" w:ascii="仿宋_GB2312" w:hAnsi="仿宋_GB2312" w:cs="仿宋_GB2312"/>
          <w:color w:val="000000"/>
        </w:rPr>
        <w:t>、侦查</w:t>
      </w:r>
      <w:r>
        <w:rPr>
          <w:rFonts w:ascii="仿宋_GB2312" w:hAnsi="仿宋_GB2312" w:cs="仿宋_GB2312"/>
          <w:color w:val="000000"/>
        </w:rPr>
        <w:t>程序，推广“一站式”询问、取证和保护</w:t>
      </w:r>
      <w:r>
        <w:rPr>
          <w:rFonts w:hint="eastAsia" w:ascii="仿宋_GB2312" w:hAnsi="仿宋_GB2312" w:cs="仿宋_GB2312"/>
          <w:color w:val="000000"/>
        </w:rPr>
        <w:t>模式。通过检察机关法律监督落实未成年人特殊司法制度，对被侵害未成年人提供必要的心理干预、经济救助、转学安置等保护措施。通过支持起诉、公益诉讼检察等途径保障未成年人合法权益。</w:t>
      </w:r>
    </w:p>
    <w:p w14:paraId="3584C6E2">
      <w:pPr>
        <w:spacing w:after="0" w:line="560" w:lineRule="exact"/>
        <w:ind w:firstLine="643" w:firstLineChars="200"/>
      </w:pPr>
      <w:r>
        <w:rPr>
          <w:rFonts w:hint="eastAsia" w:ascii="仿宋_GB2312" w:hAnsi="仿宋_GB2312" w:cs="仿宋_GB2312"/>
          <w:b/>
          <w:color w:val="000000"/>
        </w:rPr>
        <w:t>5</w:t>
      </w:r>
      <w:r>
        <w:rPr>
          <w:rFonts w:ascii="仿宋_GB2312" w:hAnsi="仿宋_GB2312" w:cs="仿宋_GB2312"/>
          <w:b/>
          <w:color w:val="000000"/>
        </w:rPr>
        <w:t>.</w:t>
      </w:r>
      <w:r>
        <w:rPr>
          <w:rFonts w:hint="eastAsia" w:ascii="仿宋_GB2312" w:hAnsi="仿宋_GB2312" w:cs="仿宋_GB2312"/>
          <w:b/>
          <w:color w:val="000000"/>
        </w:rPr>
        <w:t>深化</w:t>
      </w:r>
      <w:r>
        <w:rPr>
          <w:rFonts w:ascii="仿宋_GB2312" w:hAnsi="仿宋_GB2312" w:cs="仿宋_GB2312"/>
          <w:b/>
          <w:color w:val="000000"/>
        </w:rPr>
        <w:t>普法</w:t>
      </w:r>
      <w:r>
        <w:rPr>
          <w:rFonts w:hint="eastAsia" w:ascii="仿宋_GB2312" w:hAnsi="仿宋_GB2312" w:cs="仿宋_GB2312"/>
          <w:b/>
          <w:color w:val="000000"/>
        </w:rPr>
        <w:t>宣传</w:t>
      </w:r>
      <w:r>
        <w:rPr>
          <w:rFonts w:ascii="仿宋_GB2312" w:hAnsi="仿宋_GB2312" w:cs="仿宋_GB2312"/>
          <w:b/>
          <w:color w:val="000000"/>
        </w:rPr>
        <w:t>教育。</w:t>
      </w:r>
      <w:r>
        <w:rPr>
          <w:rFonts w:hint="eastAsia" w:ascii="仿宋_GB2312" w:hAnsi="仿宋_GB2312" w:cs="仿宋_GB2312"/>
          <w:color w:val="000000"/>
        </w:rPr>
        <w:t>丰富普法宣传教育内容和</w:t>
      </w:r>
      <w:r>
        <w:rPr>
          <w:rFonts w:ascii="仿宋_GB2312" w:hAnsi="仿宋_GB2312" w:cs="仿宋_GB2312"/>
          <w:color w:val="000000"/>
        </w:rPr>
        <w:t>形式</w:t>
      </w:r>
      <w:r>
        <w:rPr>
          <w:rFonts w:hint="eastAsia" w:ascii="仿宋_GB2312" w:hAnsi="仿宋_GB2312" w:cs="仿宋_GB2312"/>
          <w:color w:val="000000"/>
        </w:rPr>
        <w:t>，</w:t>
      </w:r>
      <w:r>
        <w:rPr>
          <w:rFonts w:ascii="仿宋_GB2312" w:hAnsi="仿宋_GB2312" w:cs="仿宋_GB2312"/>
          <w:color w:val="000000"/>
        </w:rPr>
        <w:t>将法治教育</w:t>
      </w:r>
      <w:r>
        <w:rPr>
          <w:rFonts w:hint="eastAsia" w:ascii="仿宋_GB2312" w:hAnsi="仿宋_GB2312" w:cs="仿宋_GB2312"/>
          <w:color w:val="000000"/>
        </w:rPr>
        <w:t>和课程教育相结合，配强法治副校长，推进区青少年法治教育实践基地建设。</w:t>
      </w:r>
    </w:p>
    <w:p w14:paraId="09AC0ABF">
      <w:pPr>
        <w:pStyle w:val="3"/>
        <w:spacing w:before="0" w:after="0" w:line="560" w:lineRule="exact"/>
        <w:ind w:firstLine="640" w:firstLineChars="200"/>
        <w:rPr>
          <w:b w:val="0"/>
          <w:bCs w:val="0"/>
          <w:sz w:val="32"/>
        </w:rPr>
      </w:pPr>
      <w:bookmarkStart w:id="50" w:name="_Toc24322"/>
      <w:bookmarkStart w:id="51" w:name="_Toc29102"/>
      <w:bookmarkStart w:id="52" w:name="_Toc16619"/>
      <w:r>
        <w:rPr>
          <w:rFonts w:ascii="黑体" w:hAnsi="黑体" w:eastAsia="黑体" w:cs="黑体"/>
          <w:b w:val="0"/>
          <w:bCs w:val="0"/>
          <w:color w:val="000000"/>
          <w:sz w:val="32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</w:rPr>
        <w:t>规划</w:t>
      </w:r>
      <w:r>
        <w:rPr>
          <w:rFonts w:ascii="黑体" w:hAnsi="黑体" w:eastAsia="黑体" w:cs="黑体"/>
          <w:b w:val="0"/>
          <w:bCs w:val="0"/>
          <w:color w:val="000000"/>
          <w:sz w:val="32"/>
        </w:rPr>
        <w:t>实施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</w:rPr>
        <w:t>保障</w:t>
      </w:r>
      <w:bookmarkEnd w:id="50"/>
      <w:bookmarkEnd w:id="51"/>
      <w:bookmarkEnd w:id="52"/>
    </w:p>
    <w:p w14:paraId="16E75900">
      <w:pPr>
        <w:snapToGrid w:val="0"/>
        <w:spacing w:after="0" w:line="560" w:lineRule="exact"/>
        <w:ind w:firstLine="640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color w:val="000000"/>
        </w:rPr>
        <w:t>坚持党的全面领导，完善落实党委领导、政府主责、妇儿工委协调、多部门合作、全社会参与的规划实施工作机制。区妇儿工委各成员单位结合工作职责，按照任务分工，制定实施方案并落实相关目标任务。加强规划实施情况的年度监测、中期评估和总结评估，做好分析研判。加强妇女儿童发展经费支持，动员社会力量多渠道筹集资源。加大宣传力度，营造良好社会氛围。</w:t>
      </w:r>
    </w:p>
    <w:p w14:paraId="2BFB9A5B">
      <w:pPr>
        <w:snapToGrid w:val="0"/>
        <w:spacing w:after="0" w:line="560" w:lineRule="exact"/>
        <w:ind w:firstLine="640" w:firstLineChars="200"/>
        <w:outlineLvl w:val="0"/>
        <w:rPr>
          <w:rFonts w:ascii="黑体" w:hAnsi="黑体" w:eastAsia="黑体" w:cs="黑体"/>
          <w:bCs/>
          <w:kern w:val="44"/>
          <w:szCs w:val="32"/>
        </w:rPr>
      </w:pPr>
    </w:p>
    <w:p w14:paraId="12598A4F">
      <w:pPr>
        <w:pStyle w:val="2"/>
        <w:rPr>
          <w:rFonts w:ascii="黑体" w:hAnsi="黑体" w:eastAsia="黑体" w:cs="黑体"/>
          <w:bCs/>
          <w:kern w:val="44"/>
          <w:szCs w:val="32"/>
        </w:rPr>
      </w:pPr>
    </w:p>
    <w:p w14:paraId="479A0130">
      <w:pPr>
        <w:rPr>
          <w:rFonts w:ascii="黑体" w:hAnsi="黑体" w:eastAsia="黑体" w:cs="黑体"/>
          <w:bCs/>
          <w:kern w:val="44"/>
          <w:szCs w:val="32"/>
        </w:rPr>
      </w:pPr>
    </w:p>
    <w:p w14:paraId="02310D01">
      <w:pPr>
        <w:rPr>
          <w:rFonts w:ascii="黑体" w:hAnsi="黑体" w:eastAsia="黑体" w:cs="黑体"/>
          <w:bCs/>
          <w:kern w:val="44"/>
          <w:szCs w:val="32"/>
        </w:rPr>
      </w:pPr>
    </w:p>
    <w:p w14:paraId="7B33F516">
      <w:pPr>
        <w:pStyle w:val="2"/>
        <w:rPr>
          <w:rFonts w:ascii="黑体" w:hAnsi="黑体" w:eastAsia="黑体" w:cs="黑体"/>
          <w:bCs/>
          <w:kern w:val="44"/>
          <w:szCs w:val="32"/>
        </w:rPr>
      </w:pPr>
    </w:p>
    <w:p w14:paraId="2458E6AE">
      <w:pPr>
        <w:rPr>
          <w:rFonts w:hint="eastAsia" w:ascii="黑体" w:hAnsi="黑体" w:eastAsia="黑体" w:cs="黑体"/>
          <w:bCs/>
          <w:kern w:val="44"/>
          <w:szCs w:val="32"/>
        </w:rPr>
      </w:pPr>
    </w:p>
    <w:sectPr>
      <w:footerReference r:id="rId9" w:type="default"/>
      <w:pgSz w:w="11850" w:h="16783"/>
      <w:pgMar w:top="2098" w:right="1474" w:bottom="1984" w:left="1587" w:header="720" w:footer="720" w:gutter="0"/>
      <w:pgNumType w:fmt="decimal" w:start="1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803050406030204"/>
    <w:charset w:val="00"/>
    <w:family w:val="roman"/>
    <w:pitch w:val="default"/>
    <w:sig w:usb0="E00006FF" w:usb1="4000045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2000019F" w:csb1="4F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94533">
    <w:pPr>
      <w:pStyle w:val="12"/>
      <w:jc w:val="center"/>
      <w:rPr>
        <w:rFonts w:hint="eastAsia"/>
        <w:sz w:val="28"/>
        <w:szCs w:val="28"/>
      </w:rPr>
    </w:pPr>
  </w:p>
  <w:p w14:paraId="4F32A394">
    <w:pPr>
      <w:pStyle w:val="1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D9343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37490" cy="280670"/>
              <wp:effectExtent l="0" t="0" r="3810" b="11430"/>
              <wp:wrapNone/>
              <wp:docPr id="1" name="00003b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7490" cy="280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4F183">
                          <w:pPr>
                            <w:pStyle w:val="12"/>
                            <w:rPr>
                              <w:rFonts w:hint="eastAsia" w:eastAsia="仿宋_GB231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00003b" o:spid="_x0000_s1026" o:spt="202" type="#_x0000_t202" style="position:absolute;left:0pt;margin-top:0pt;height:22.1pt;width:18.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RX0AP0gAAAAMBAAAPAAAAAAAA&#10;AAEAIAAAACIAAABkcnMvZG93bnJldi54bWxQSwECFAAUAAAACACHTuJA88Ecxt8BAADNAwAADgAA&#10;AAAAAAABACAAAAAh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D4F183">
                    <w:pPr>
                      <w:pStyle w:val="12"/>
                      <w:rPr>
                        <w:rFonts w:hint="eastAsia" w:eastAsia="仿宋_GB231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19AB1">
    <w:pPr>
      <w:pStyle w:val="12"/>
      <w:jc w:val="center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26280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3P1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J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v9z9d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E26280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EC697B">
    <w:pPr>
      <w:pStyle w:val="12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6F4C4">
    <w:pPr>
      <w:pStyle w:val="12"/>
      <w:jc w:val="center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C6F42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qnbYsAgAAVQ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JMrTWD9H1INFXGjfmRZNM5x7HEbWbelU/IIPgR/ini7iijYQHi/NprPZGC4O37ABfvZ0&#10;3Tof3gujSDRy6lC9JCo7bn3oQoeQmE2bTS1lqqDUpMnp9dur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6qdt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EC6F42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191A133">
    <w:pPr>
      <w:pStyle w:val="12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A6189">
    <w:pPr>
      <w:pStyle w:val="12"/>
      <w:jc w:val="center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0C03C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70C03C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479D0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XbD4sAgAAVQ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pdsP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8479D0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5C10AB7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218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1A"/>
    <w:rsid w:val="000018AF"/>
    <w:rsid w:val="000035C9"/>
    <w:rsid w:val="0000463A"/>
    <w:rsid w:val="00006BD0"/>
    <w:rsid w:val="00006CAA"/>
    <w:rsid w:val="000076B6"/>
    <w:rsid w:val="00007E00"/>
    <w:rsid w:val="00013658"/>
    <w:rsid w:val="00015072"/>
    <w:rsid w:val="00015F16"/>
    <w:rsid w:val="00017EBB"/>
    <w:rsid w:val="00021311"/>
    <w:rsid w:val="00024099"/>
    <w:rsid w:val="00026C0F"/>
    <w:rsid w:val="00031169"/>
    <w:rsid w:val="00036CA8"/>
    <w:rsid w:val="00037441"/>
    <w:rsid w:val="0003754C"/>
    <w:rsid w:val="00037F47"/>
    <w:rsid w:val="00040E81"/>
    <w:rsid w:val="000510E0"/>
    <w:rsid w:val="0005129B"/>
    <w:rsid w:val="00052268"/>
    <w:rsid w:val="000533F9"/>
    <w:rsid w:val="0005430C"/>
    <w:rsid w:val="0005518F"/>
    <w:rsid w:val="00055EB3"/>
    <w:rsid w:val="000579CE"/>
    <w:rsid w:val="00063E6F"/>
    <w:rsid w:val="00064E35"/>
    <w:rsid w:val="000669CA"/>
    <w:rsid w:val="0006789D"/>
    <w:rsid w:val="00067BE2"/>
    <w:rsid w:val="00070D00"/>
    <w:rsid w:val="00070D2A"/>
    <w:rsid w:val="00072AFA"/>
    <w:rsid w:val="000750F7"/>
    <w:rsid w:val="00082FF9"/>
    <w:rsid w:val="0008463D"/>
    <w:rsid w:val="000A6388"/>
    <w:rsid w:val="000B11FA"/>
    <w:rsid w:val="000B320C"/>
    <w:rsid w:val="000C1F7F"/>
    <w:rsid w:val="000C2CDF"/>
    <w:rsid w:val="000C7E6A"/>
    <w:rsid w:val="000D0BAE"/>
    <w:rsid w:val="000D34E5"/>
    <w:rsid w:val="000D3700"/>
    <w:rsid w:val="000D6D69"/>
    <w:rsid w:val="000D7EA8"/>
    <w:rsid w:val="000E2C66"/>
    <w:rsid w:val="000E3D7F"/>
    <w:rsid w:val="000E4CED"/>
    <w:rsid w:val="000F0082"/>
    <w:rsid w:val="000F287A"/>
    <w:rsid w:val="001012A9"/>
    <w:rsid w:val="00105FE3"/>
    <w:rsid w:val="001106CE"/>
    <w:rsid w:val="001148FD"/>
    <w:rsid w:val="00114E81"/>
    <w:rsid w:val="00120EAD"/>
    <w:rsid w:val="00127120"/>
    <w:rsid w:val="00127EF2"/>
    <w:rsid w:val="00133A10"/>
    <w:rsid w:val="00141F6D"/>
    <w:rsid w:val="001507B2"/>
    <w:rsid w:val="001569FD"/>
    <w:rsid w:val="001626C7"/>
    <w:rsid w:val="00170D66"/>
    <w:rsid w:val="00172D18"/>
    <w:rsid w:val="00177152"/>
    <w:rsid w:val="00186701"/>
    <w:rsid w:val="0019004A"/>
    <w:rsid w:val="001913D6"/>
    <w:rsid w:val="00191E77"/>
    <w:rsid w:val="001932BB"/>
    <w:rsid w:val="00195571"/>
    <w:rsid w:val="001963A3"/>
    <w:rsid w:val="00197B04"/>
    <w:rsid w:val="001A0C19"/>
    <w:rsid w:val="001A0FA5"/>
    <w:rsid w:val="001A1BC8"/>
    <w:rsid w:val="001A1C30"/>
    <w:rsid w:val="001A2FDC"/>
    <w:rsid w:val="001A301B"/>
    <w:rsid w:val="001A3694"/>
    <w:rsid w:val="001A3C9B"/>
    <w:rsid w:val="001A5456"/>
    <w:rsid w:val="001A6653"/>
    <w:rsid w:val="001B0D53"/>
    <w:rsid w:val="001B4FB0"/>
    <w:rsid w:val="001B59D4"/>
    <w:rsid w:val="001B7D86"/>
    <w:rsid w:val="001C3954"/>
    <w:rsid w:val="001D3024"/>
    <w:rsid w:val="001D35F5"/>
    <w:rsid w:val="001D3AAF"/>
    <w:rsid w:val="001D5DD4"/>
    <w:rsid w:val="001D6A94"/>
    <w:rsid w:val="001D7800"/>
    <w:rsid w:val="001D7B78"/>
    <w:rsid w:val="001E4F09"/>
    <w:rsid w:val="001F01FE"/>
    <w:rsid w:val="00202C9A"/>
    <w:rsid w:val="00205582"/>
    <w:rsid w:val="0021153A"/>
    <w:rsid w:val="00211915"/>
    <w:rsid w:val="00211ADE"/>
    <w:rsid w:val="00216C0C"/>
    <w:rsid w:val="002228D3"/>
    <w:rsid w:val="00222FD9"/>
    <w:rsid w:val="002237C6"/>
    <w:rsid w:val="00225001"/>
    <w:rsid w:val="00230487"/>
    <w:rsid w:val="00232C52"/>
    <w:rsid w:val="0023427B"/>
    <w:rsid w:val="00241375"/>
    <w:rsid w:val="002415A5"/>
    <w:rsid w:val="00247BAE"/>
    <w:rsid w:val="002500BD"/>
    <w:rsid w:val="0025218C"/>
    <w:rsid w:val="0025489E"/>
    <w:rsid w:val="002608D0"/>
    <w:rsid w:val="00270336"/>
    <w:rsid w:val="00270874"/>
    <w:rsid w:val="0027246A"/>
    <w:rsid w:val="002758E5"/>
    <w:rsid w:val="00275CA0"/>
    <w:rsid w:val="00280AA0"/>
    <w:rsid w:val="00282BC0"/>
    <w:rsid w:val="00282E8A"/>
    <w:rsid w:val="00283869"/>
    <w:rsid w:val="0029136B"/>
    <w:rsid w:val="002921FE"/>
    <w:rsid w:val="00294116"/>
    <w:rsid w:val="002A016A"/>
    <w:rsid w:val="002A2EC2"/>
    <w:rsid w:val="002A33C5"/>
    <w:rsid w:val="002A691D"/>
    <w:rsid w:val="002B022D"/>
    <w:rsid w:val="002B08CC"/>
    <w:rsid w:val="002B0D5B"/>
    <w:rsid w:val="002B3CD8"/>
    <w:rsid w:val="002B61F8"/>
    <w:rsid w:val="002C04A0"/>
    <w:rsid w:val="002C2645"/>
    <w:rsid w:val="002D0434"/>
    <w:rsid w:val="002D10CA"/>
    <w:rsid w:val="002D5A63"/>
    <w:rsid w:val="002D71AC"/>
    <w:rsid w:val="002D74D3"/>
    <w:rsid w:val="002E2D3B"/>
    <w:rsid w:val="002E2F05"/>
    <w:rsid w:val="002E547E"/>
    <w:rsid w:val="002E5FD6"/>
    <w:rsid w:val="002E648A"/>
    <w:rsid w:val="002F1622"/>
    <w:rsid w:val="002F3306"/>
    <w:rsid w:val="002F36B5"/>
    <w:rsid w:val="002F59A5"/>
    <w:rsid w:val="00301443"/>
    <w:rsid w:val="00301EFE"/>
    <w:rsid w:val="0030591B"/>
    <w:rsid w:val="00313806"/>
    <w:rsid w:val="0031523D"/>
    <w:rsid w:val="003165DF"/>
    <w:rsid w:val="00317B6F"/>
    <w:rsid w:val="00326064"/>
    <w:rsid w:val="00330375"/>
    <w:rsid w:val="00336BED"/>
    <w:rsid w:val="00337B0B"/>
    <w:rsid w:val="00341990"/>
    <w:rsid w:val="00350CF6"/>
    <w:rsid w:val="00352045"/>
    <w:rsid w:val="003536C7"/>
    <w:rsid w:val="00357219"/>
    <w:rsid w:val="003577BE"/>
    <w:rsid w:val="003579A2"/>
    <w:rsid w:val="00360A6B"/>
    <w:rsid w:val="00363AA1"/>
    <w:rsid w:val="00370775"/>
    <w:rsid w:val="00370F04"/>
    <w:rsid w:val="003710FD"/>
    <w:rsid w:val="0037525F"/>
    <w:rsid w:val="0037583C"/>
    <w:rsid w:val="00381738"/>
    <w:rsid w:val="00381C98"/>
    <w:rsid w:val="0038246E"/>
    <w:rsid w:val="00383539"/>
    <w:rsid w:val="003846C5"/>
    <w:rsid w:val="00385E80"/>
    <w:rsid w:val="00391926"/>
    <w:rsid w:val="00391F4A"/>
    <w:rsid w:val="003922E5"/>
    <w:rsid w:val="00395903"/>
    <w:rsid w:val="0039627D"/>
    <w:rsid w:val="0039796A"/>
    <w:rsid w:val="003A048D"/>
    <w:rsid w:val="003A08E1"/>
    <w:rsid w:val="003B7FDA"/>
    <w:rsid w:val="003C4C3B"/>
    <w:rsid w:val="003D2CB9"/>
    <w:rsid w:val="003D3090"/>
    <w:rsid w:val="003D4C28"/>
    <w:rsid w:val="003D6335"/>
    <w:rsid w:val="003D75B5"/>
    <w:rsid w:val="003E13A1"/>
    <w:rsid w:val="003E1BBC"/>
    <w:rsid w:val="003E2C54"/>
    <w:rsid w:val="003E3223"/>
    <w:rsid w:val="003E3C97"/>
    <w:rsid w:val="003E46B8"/>
    <w:rsid w:val="003E4B3E"/>
    <w:rsid w:val="003E679F"/>
    <w:rsid w:val="003F016F"/>
    <w:rsid w:val="003F1B0A"/>
    <w:rsid w:val="00400298"/>
    <w:rsid w:val="00402060"/>
    <w:rsid w:val="0040211E"/>
    <w:rsid w:val="00403A2C"/>
    <w:rsid w:val="00406092"/>
    <w:rsid w:val="00414F61"/>
    <w:rsid w:val="004160D4"/>
    <w:rsid w:val="00417B24"/>
    <w:rsid w:val="0042676E"/>
    <w:rsid w:val="0043045A"/>
    <w:rsid w:val="0043704C"/>
    <w:rsid w:val="00444A22"/>
    <w:rsid w:val="00445708"/>
    <w:rsid w:val="00451180"/>
    <w:rsid w:val="0045371F"/>
    <w:rsid w:val="004560D1"/>
    <w:rsid w:val="0045704A"/>
    <w:rsid w:val="00461882"/>
    <w:rsid w:val="00463AF8"/>
    <w:rsid w:val="00463F64"/>
    <w:rsid w:val="00464D16"/>
    <w:rsid w:val="00465B8A"/>
    <w:rsid w:val="00477E03"/>
    <w:rsid w:val="00480040"/>
    <w:rsid w:val="00480335"/>
    <w:rsid w:val="00485260"/>
    <w:rsid w:val="00486C1D"/>
    <w:rsid w:val="004948FA"/>
    <w:rsid w:val="00495D44"/>
    <w:rsid w:val="00497BFC"/>
    <w:rsid w:val="004B4F72"/>
    <w:rsid w:val="004B6152"/>
    <w:rsid w:val="004C0C15"/>
    <w:rsid w:val="004C194D"/>
    <w:rsid w:val="004C437C"/>
    <w:rsid w:val="004C4914"/>
    <w:rsid w:val="004C69C3"/>
    <w:rsid w:val="004C6B99"/>
    <w:rsid w:val="004D0CF3"/>
    <w:rsid w:val="004D268F"/>
    <w:rsid w:val="004D3061"/>
    <w:rsid w:val="004E22B7"/>
    <w:rsid w:val="004E27CB"/>
    <w:rsid w:val="004E30F2"/>
    <w:rsid w:val="004E5C97"/>
    <w:rsid w:val="004E761F"/>
    <w:rsid w:val="004F2B41"/>
    <w:rsid w:val="004F6823"/>
    <w:rsid w:val="004F7106"/>
    <w:rsid w:val="004F7FE0"/>
    <w:rsid w:val="00502040"/>
    <w:rsid w:val="0050409C"/>
    <w:rsid w:val="00506A03"/>
    <w:rsid w:val="00511BCD"/>
    <w:rsid w:val="005163D5"/>
    <w:rsid w:val="00517478"/>
    <w:rsid w:val="00517A26"/>
    <w:rsid w:val="005240EE"/>
    <w:rsid w:val="005256C0"/>
    <w:rsid w:val="00527AC6"/>
    <w:rsid w:val="00531EA8"/>
    <w:rsid w:val="00532340"/>
    <w:rsid w:val="00534DCF"/>
    <w:rsid w:val="00536FAA"/>
    <w:rsid w:val="005420A6"/>
    <w:rsid w:val="005537FE"/>
    <w:rsid w:val="00557B15"/>
    <w:rsid w:val="00564714"/>
    <w:rsid w:val="00570D77"/>
    <w:rsid w:val="0057285B"/>
    <w:rsid w:val="0057682C"/>
    <w:rsid w:val="005774FC"/>
    <w:rsid w:val="00580718"/>
    <w:rsid w:val="00580F47"/>
    <w:rsid w:val="005829CF"/>
    <w:rsid w:val="00592DA6"/>
    <w:rsid w:val="00594574"/>
    <w:rsid w:val="005968E7"/>
    <w:rsid w:val="005A041E"/>
    <w:rsid w:val="005A182D"/>
    <w:rsid w:val="005B1261"/>
    <w:rsid w:val="005B38EC"/>
    <w:rsid w:val="005B402D"/>
    <w:rsid w:val="005B54CB"/>
    <w:rsid w:val="005C0EC8"/>
    <w:rsid w:val="005C195B"/>
    <w:rsid w:val="005C1C01"/>
    <w:rsid w:val="005C54A1"/>
    <w:rsid w:val="005C5F30"/>
    <w:rsid w:val="005D53AB"/>
    <w:rsid w:val="005D5715"/>
    <w:rsid w:val="005E0E18"/>
    <w:rsid w:val="005E10BF"/>
    <w:rsid w:val="005F118A"/>
    <w:rsid w:val="005F1315"/>
    <w:rsid w:val="005F2B96"/>
    <w:rsid w:val="005F539E"/>
    <w:rsid w:val="005F6516"/>
    <w:rsid w:val="005F77F3"/>
    <w:rsid w:val="00600FCB"/>
    <w:rsid w:val="00602C24"/>
    <w:rsid w:val="006049D1"/>
    <w:rsid w:val="00612844"/>
    <w:rsid w:val="00612D7A"/>
    <w:rsid w:val="006135ED"/>
    <w:rsid w:val="00615696"/>
    <w:rsid w:val="006229D8"/>
    <w:rsid w:val="00623053"/>
    <w:rsid w:val="006234DF"/>
    <w:rsid w:val="00625C84"/>
    <w:rsid w:val="00630221"/>
    <w:rsid w:val="00631060"/>
    <w:rsid w:val="00632547"/>
    <w:rsid w:val="006360D8"/>
    <w:rsid w:val="00636753"/>
    <w:rsid w:val="006368BF"/>
    <w:rsid w:val="00636B09"/>
    <w:rsid w:val="006407EA"/>
    <w:rsid w:val="00642108"/>
    <w:rsid w:val="00643240"/>
    <w:rsid w:val="00643CC7"/>
    <w:rsid w:val="00644EA1"/>
    <w:rsid w:val="006457E2"/>
    <w:rsid w:val="00645FC1"/>
    <w:rsid w:val="00646E7B"/>
    <w:rsid w:val="0065138B"/>
    <w:rsid w:val="00660461"/>
    <w:rsid w:val="00661EDC"/>
    <w:rsid w:val="0066498B"/>
    <w:rsid w:val="00664CCB"/>
    <w:rsid w:val="00666039"/>
    <w:rsid w:val="00666748"/>
    <w:rsid w:val="00670FAE"/>
    <w:rsid w:val="006711DC"/>
    <w:rsid w:val="00671CCA"/>
    <w:rsid w:val="00672652"/>
    <w:rsid w:val="0067340D"/>
    <w:rsid w:val="00677FE6"/>
    <w:rsid w:val="00680CB2"/>
    <w:rsid w:val="00691B79"/>
    <w:rsid w:val="006932D2"/>
    <w:rsid w:val="0069388A"/>
    <w:rsid w:val="00693979"/>
    <w:rsid w:val="00695679"/>
    <w:rsid w:val="00695E61"/>
    <w:rsid w:val="00697551"/>
    <w:rsid w:val="00697ACC"/>
    <w:rsid w:val="006A0A75"/>
    <w:rsid w:val="006A1E62"/>
    <w:rsid w:val="006A3546"/>
    <w:rsid w:val="006A3AC2"/>
    <w:rsid w:val="006A5701"/>
    <w:rsid w:val="006B6DD4"/>
    <w:rsid w:val="006B7A8A"/>
    <w:rsid w:val="006C1C36"/>
    <w:rsid w:val="006C2EAB"/>
    <w:rsid w:val="006C32B1"/>
    <w:rsid w:val="006C39CE"/>
    <w:rsid w:val="006D2100"/>
    <w:rsid w:val="006D2101"/>
    <w:rsid w:val="006D26B6"/>
    <w:rsid w:val="006D2F58"/>
    <w:rsid w:val="006D48ED"/>
    <w:rsid w:val="006D7B35"/>
    <w:rsid w:val="006E0118"/>
    <w:rsid w:val="006E0841"/>
    <w:rsid w:val="006E0A5F"/>
    <w:rsid w:val="006E3EA8"/>
    <w:rsid w:val="006E4FD7"/>
    <w:rsid w:val="006F05D3"/>
    <w:rsid w:val="006F1388"/>
    <w:rsid w:val="006F1414"/>
    <w:rsid w:val="006F26E9"/>
    <w:rsid w:val="006F30F4"/>
    <w:rsid w:val="006F4D83"/>
    <w:rsid w:val="006F5C71"/>
    <w:rsid w:val="006F66BB"/>
    <w:rsid w:val="00702F60"/>
    <w:rsid w:val="00705BF9"/>
    <w:rsid w:val="00706969"/>
    <w:rsid w:val="0070796D"/>
    <w:rsid w:val="00710763"/>
    <w:rsid w:val="007130B8"/>
    <w:rsid w:val="00716C8C"/>
    <w:rsid w:val="007217F4"/>
    <w:rsid w:val="00721ED4"/>
    <w:rsid w:val="00722772"/>
    <w:rsid w:val="00722BBD"/>
    <w:rsid w:val="00725287"/>
    <w:rsid w:val="00725812"/>
    <w:rsid w:val="00730CD3"/>
    <w:rsid w:val="00730F9C"/>
    <w:rsid w:val="00731C64"/>
    <w:rsid w:val="00734F0C"/>
    <w:rsid w:val="0073627C"/>
    <w:rsid w:val="007413BB"/>
    <w:rsid w:val="007418BC"/>
    <w:rsid w:val="00741F71"/>
    <w:rsid w:val="00742C11"/>
    <w:rsid w:val="007513B3"/>
    <w:rsid w:val="00752BFD"/>
    <w:rsid w:val="00753EAA"/>
    <w:rsid w:val="00755BA3"/>
    <w:rsid w:val="007603E0"/>
    <w:rsid w:val="00766812"/>
    <w:rsid w:val="00770BCB"/>
    <w:rsid w:val="00772DB0"/>
    <w:rsid w:val="00775B58"/>
    <w:rsid w:val="00777B60"/>
    <w:rsid w:val="00790569"/>
    <w:rsid w:val="00790B1F"/>
    <w:rsid w:val="0079400C"/>
    <w:rsid w:val="007A0D31"/>
    <w:rsid w:val="007A36B4"/>
    <w:rsid w:val="007A3DD4"/>
    <w:rsid w:val="007A5970"/>
    <w:rsid w:val="007B02B5"/>
    <w:rsid w:val="007B1996"/>
    <w:rsid w:val="007B5331"/>
    <w:rsid w:val="007B6B2A"/>
    <w:rsid w:val="007C08F6"/>
    <w:rsid w:val="007C2554"/>
    <w:rsid w:val="007C37FE"/>
    <w:rsid w:val="007C56A5"/>
    <w:rsid w:val="007C5A6C"/>
    <w:rsid w:val="007C68EB"/>
    <w:rsid w:val="007D156C"/>
    <w:rsid w:val="007D34D8"/>
    <w:rsid w:val="007D79A0"/>
    <w:rsid w:val="007E1B40"/>
    <w:rsid w:val="007E3791"/>
    <w:rsid w:val="007E4E8D"/>
    <w:rsid w:val="007E5A7E"/>
    <w:rsid w:val="007E6183"/>
    <w:rsid w:val="007E66C5"/>
    <w:rsid w:val="007F1F12"/>
    <w:rsid w:val="007F5FEE"/>
    <w:rsid w:val="00800EA8"/>
    <w:rsid w:val="00803040"/>
    <w:rsid w:val="00805564"/>
    <w:rsid w:val="00805D86"/>
    <w:rsid w:val="0080646B"/>
    <w:rsid w:val="00807781"/>
    <w:rsid w:val="00810D6B"/>
    <w:rsid w:val="008136C9"/>
    <w:rsid w:val="00816767"/>
    <w:rsid w:val="00817372"/>
    <w:rsid w:val="008235B7"/>
    <w:rsid w:val="00825121"/>
    <w:rsid w:val="00826956"/>
    <w:rsid w:val="00826C4C"/>
    <w:rsid w:val="00830C5D"/>
    <w:rsid w:val="00833FC5"/>
    <w:rsid w:val="0084068D"/>
    <w:rsid w:val="008439A2"/>
    <w:rsid w:val="008443D6"/>
    <w:rsid w:val="00847382"/>
    <w:rsid w:val="008500F6"/>
    <w:rsid w:val="008505F0"/>
    <w:rsid w:val="008524D5"/>
    <w:rsid w:val="0085506B"/>
    <w:rsid w:val="00861BAC"/>
    <w:rsid w:val="00865EEF"/>
    <w:rsid w:val="00866989"/>
    <w:rsid w:val="00870583"/>
    <w:rsid w:val="00870BDC"/>
    <w:rsid w:val="00872B3F"/>
    <w:rsid w:val="008745D2"/>
    <w:rsid w:val="00874DF7"/>
    <w:rsid w:val="008770EF"/>
    <w:rsid w:val="00882959"/>
    <w:rsid w:val="008830A8"/>
    <w:rsid w:val="0088361D"/>
    <w:rsid w:val="008853F2"/>
    <w:rsid w:val="00885432"/>
    <w:rsid w:val="00885525"/>
    <w:rsid w:val="0088571F"/>
    <w:rsid w:val="00885DB5"/>
    <w:rsid w:val="008A2D72"/>
    <w:rsid w:val="008A623B"/>
    <w:rsid w:val="008A6F56"/>
    <w:rsid w:val="008A7DCF"/>
    <w:rsid w:val="008B0EDF"/>
    <w:rsid w:val="008B493C"/>
    <w:rsid w:val="008B5625"/>
    <w:rsid w:val="008B6AF3"/>
    <w:rsid w:val="008B79FE"/>
    <w:rsid w:val="008C1FD9"/>
    <w:rsid w:val="008C249A"/>
    <w:rsid w:val="008C24EE"/>
    <w:rsid w:val="008C4F62"/>
    <w:rsid w:val="008D10D2"/>
    <w:rsid w:val="008D5C0B"/>
    <w:rsid w:val="008D65C9"/>
    <w:rsid w:val="008E204F"/>
    <w:rsid w:val="008F180D"/>
    <w:rsid w:val="008F28E1"/>
    <w:rsid w:val="008F45EC"/>
    <w:rsid w:val="008F76CD"/>
    <w:rsid w:val="009011FB"/>
    <w:rsid w:val="009032E6"/>
    <w:rsid w:val="009064E9"/>
    <w:rsid w:val="00911251"/>
    <w:rsid w:val="0091287A"/>
    <w:rsid w:val="00913D97"/>
    <w:rsid w:val="009162D0"/>
    <w:rsid w:val="0091733F"/>
    <w:rsid w:val="0092389E"/>
    <w:rsid w:val="00923A88"/>
    <w:rsid w:val="0092430A"/>
    <w:rsid w:val="0092617C"/>
    <w:rsid w:val="00927E26"/>
    <w:rsid w:val="00933617"/>
    <w:rsid w:val="00934869"/>
    <w:rsid w:val="009368FB"/>
    <w:rsid w:val="00940E54"/>
    <w:rsid w:val="00941A5D"/>
    <w:rsid w:val="00942193"/>
    <w:rsid w:val="0094572B"/>
    <w:rsid w:val="00950024"/>
    <w:rsid w:val="009508E0"/>
    <w:rsid w:val="009553B6"/>
    <w:rsid w:val="009556F1"/>
    <w:rsid w:val="00956BC2"/>
    <w:rsid w:val="00956CB8"/>
    <w:rsid w:val="009578E5"/>
    <w:rsid w:val="00961A06"/>
    <w:rsid w:val="009628EE"/>
    <w:rsid w:val="00962980"/>
    <w:rsid w:val="009656E1"/>
    <w:rsid w:val="00970518"/>
    <w:rsid w:val="00970E1A"/>
    <w:rsid w:val="0097349E"/>
    <w:rsid w:val="00973E6D"/>
    <w:rsid w:val="0098127A"/>
    <w:rsid w:val="00981C5A"/>
    <w:rsid w:val="00985145"/>
    <w:rsid w:val="00990034"/>
    <w:rsid w:val="00990ABB"/>
    <w:rsid w:val="00993611"/>
    <w:rsid w:val="009A137A"/>
    <w:rsid w:val="009A28C0"/>
    <w:rsid w:val="009A3E8B"/>
    <w:rsid w:val="009A4479"/>
    <w:rsid w:val="009B1731"/>
    <w:rsid w:val="009B3DBF"/>
    <w:rsid w:val="009B474A"/>
    <w:rsid w:val="009B616D"/>
    <w:rsid w:val="009C1101"/>
    <w:rsid w:val="009C4A81"/>
    <w:rsid w:val="009C7F2A"/>
    <w:rsid w:val="009D234D"/>
    <w:rsid w:val="009D32DB"/>
    <w:rsid w:val="009D48CF"/>
    <w:rsid w:val="009D54DB"/>
    <w:rsid w:val="009D5F1D"/>
    <w:rsid w:val="009D64DE"/>
    <w:rsid w:val="009E00BC"/>
    <w:rsid w:val="009E098E"/>
    <w:rsid w:val="009E2159"/>
    <w:rsid w:val="009E4D8C"/>
    <w:rsid w:val="009F2915"/>
    <w:rsid w:val="009F5102"/>
    <w:rsid w:val="009F540D"/>
    <w:rsid w:val="00A00B27"/>
    <w:rsid w:val="00A019D5"/>
    <w:rsid w:val="00A03540"/>
    <w:rsid w:val="00A06023"/>
    <w:rsid w:val="00A07A67"/>
    <w:rsid w:val="00A105EF"/>
    <w:rsid w:val="00A1553C"/>
    <w:rsid w:val="00A205AD"/>
    <w:rsid w:val="00A23453"/>
    <w:rsid w:val="00A23DC5"/>
    <w:rsid w:val="00A24267"/>
    <w:rsid w:val="00A309BB"/>
    <w:rsid w:val="00A30D6E"/>
    <w:rsid w:val="00A33E63"/>
    <w:rsid w:val="00A404DC"/>
    <w:rsid w:val="00A41599"/>
    <w:rsid w:val="00A416AD"/>
    <w:rsid w:val="00A434C2"/>
    <w:rsid w:val="00A43AC4"/>
    <w:rsid w:val="00A52283"/>
    <w:rsid w:val="00A540C8"/>
    <w:rsid w:val="00A54A8A"/>
    <w:rsid w:val="00A5697E"/>
    <w:rsid w:val="00A619D8"/>
    <w:rsid w:val="00A67197"/>
    <w:rsid w:val="00A7181D"/>
    <w:rsid w:val="00A74F33"/>
    <w:rsid w:val="00A80DF1"/>
    <w:rsid w:val="00A81F14"/>
    <w:rsid w:val="00A84FE4"/>
    <w:rsid w:val="00A85468"/>
    <w:rsid w:val="00A85EA6"/>
    <w:rsid w:val="00A86F7D"/>
    <w:rsid w:val="00A8738F"/>
    <w:rsid w:val="00A87457"/>
    <w:rsid w:val="00A93721"/>
    <w:rsid w:val="00A93D43"/>
    <w:rsid w:val="00A9409F"/>
    <w:rsid w:val="00A942FB"/>
    <w:rsid w:val="00A954EB"/>
    <w:rsid w:val="00A9683F"/>
    <w:rsid w:val="00AA1F1F"/>
    <w:rsid w:val="00AA25E2"/>
    <w:rsid w:val="00AA580A"/>
    <w:rsid w:val="00AB0A06"/>
    <w:rsid w:val="00AB79B2"/>
    <w:rsid w:val="00AC1F68"/>
    <w:rsid w:val="00AD08CC"/>
    <w:rsid w:val="00AD41AD"/>
    <w:rsid w:val="00AD42AD"/>
    <w:rsid w:val="00AD46C4"/>
    <w:rsid w:val="00AD4C02"/>
    <w:rsid w:val="00AD4EA1"/>
    <w:rsid w:val="00AD573A"/>
    <w:rsid w:val="00AD5A17"/>
    <w:rsid w:val="00AD5BF0"/>
    <w:rsid w:val="00AD7660"/>
    <w:rsid w:val="00AE045B"/>
    <w:rsid w:val="00AE24C0"/>
    <w:rsid w:val="00AE4753"/>
    <w:rsid w:val="00AF7D5B"/>
    <w:rsid w:val="00B004F0"/>
    <w:rsid w:val="00B02D7D"/>
    <w:rsid w:val="00B03624"/>
    <w:rsid w:val="00B07858"/>
    <w:rsid w:val="00B1088E"/>
    <w:rsid w:val="00B12CB5"/>
    <w:rsid w:val="00B2075E"/>
    <w:rsid w:val="00B21006"/>
    <w:rsid w:val="00B21F5D"/>
    <w:rsid w:val="00B252B1"/>
    <w:rsid w:val="00B354F9"/>
    <w:rsid w:val="00B37208"/>
    <w:rsid w:val="00B41FBB"/>
    <w:rsid w:val="00B43596"/>
    <w:rsid w:val="00B43EE7"/>
    <w:rsid w:val="00B4668D"/>
    <w:rsid w:val="00B52A4C"/>
    <w:rsid w:val="00B53E37"/>
    <w:rsid w:val="00B548CD"/>
    <w:rsid w:val="00B5528C"/>
    <w:rsid w:val="00B55468"/>
    <w:rsid w:val="00B6080A"/>
    <w:rsid w:val="00B620D6"/>
    <w:rsid w:val="00B6212B"/>
    <w:rsid w:val="00B63EB0"/>
    <w:rsid w:val="00B648C3"/>
    <w:rsid w:val="00B64B55"/>
    <w:rsid w:val="00B74EBF"/>
    <w:rsid w:val="00B914B0"/>
    <w:rsid w:val="00B96D37"/>
    <w:rsid w:val="00BA0781"/>
    <w:rsid w:val="00BA1E1F"/>
    <w:rsid w:val="00BA21C6"/>
    <w:rsid w:val="00BA2CED"/>
    <w:rsid w:val="00BA2D89"/>
    <w:rsid w:val="00BA5FB8"/>
    <w:rsid w:val="00BA792B"/>
    <w:rsid w:val="00BB0BD2"/>
    <w:rsid w:val="00BB2199"/>
    <w:rsid w:val="00BB3FA4"/>
    <w:rsid w:val="00BB562B"/>
    <w:rsid w:val="00BB7FAB"/>
    <w:rsid w:val="00BC49F5"/>
    <w:rsid w:val="00BD16CD"/>
    <w:rsid w:val="00BD2E98"/>
    <w:rsid w:val="00BD5D29"/>
    <w:rsid w:val="00BD6E27"/>
    <w:rsid w:val="00BE18AD"/>
    <w:rsid w:val="00BE22F5"/>
    <w:rsid w:val="00BE3A93"/>
    <w:rsid w:val="00BE5E61"/>
    <w:rsid w:val="00BE790F"/>
    <w:rsid w:val="00BE7E03"/>
    <w:rsid w:val="00BF1088"/>
    <w:rsid w:val="00BF114C"/>
    <w:rsid w:val="00BF15BA"/>
    <w:rsid w:val="00BF3B7A"/>
    <w:rsid w:val="00C00B97"/>
    <w:rsid w:val="00C03AFB"/>
    <w:rsid w:val="00C061DB"/>
    <w:rsid w:val="00C0787D"/>
    <w:rsid w:val="00C12DC1"/>
    <w:rsid w:val="00C150EC"/>
    <w:rsid w:val="00C27D94"/>
    <w:rsid w:val="00C30CEA"/>
    <w:rsid w:val="00C310BD"/>
    <w:rsid w:val="00C32504"/>
    <w:rsid w:val="00C32DD8"/>
    <w:rsid w:val="00C32E60"/>
    <w:rsid w:val="00C33AF6"/>
    <w:rsid w:val="00C36B78"/>
    <w:rsid w:val="00C37717"/>
    <w:rsid w:val="00C42641"/>
    <w:rsid w:val="00C4426B"/>
    <w:rsid w:val="00C4522D"/>
    <w:rsid w:val="00C504F1"/>
    <w:rsid w:val="00C54976"/>
    <w:rsid w:val="00C56776"/>
    <w:rsid w:val="00C60C2B"/>
    <w:rsid w:val="00C6301B"/>
    <w:rsid w:val="00C71920"/>
    <w:rsid w:val="00C77838"/>
    <w:rsid w:val="00C83F15"/>
    <w:rsid w:val="00C86056"/>
    <w:rsid w:val="00C94E15"/>
    <w:rsid w:val="00CA1AE4"/>
    <w:rsid w:val="00CA3F7D"/>
    <w:rsid w:val="00CA7776"/>
    <w:rsid w:val="00CB3613"/>
    <w:rsid w:val="00CB3E99"/>
    <w:rsid w:val="00CB5829"/>
    <w:rsid w:val="00CB5AC3"/>
    <w:rsid w:val="00CC21D9"/>
    <w:rsid w:val="00CC3477"/>
    <w:rsid w:val="00CC7D6A"/>
    <w:rsid w:val="00CD18B8"/>
    <w:rsid w:val="00CD4C92"/>
    <w:rsid w:val="00CD4F37"/>
    <w:rsid w:val="00CE3A8D"/>
    <w:rsid w:val="00CE6BC1"/>
    <w:rsid w:val="00CE7DCB"/>
    <w:rsid w:val="00CF2B90"/>
    <w:rsid w:val="00CF319A"/>
    <w:rsid w:val="00CF54E9"/>
    <w:rsid w:val="00CF6B37"/>
    <w:rsid w:val="00D037B5"/>
    <w:rsid w:val="00D054EB"/>
    <w:rsid w:val="00D06793"/>
    <w:rsid w:val="00D06829"/>
    <w:rsid w:val="00D13655"/>
    <w:rsid w:val="00D224F2"/>
    <w:rsid w:val="00D30CE6"/>
    <w:rsid w:val="00D31080"/>
    <w:rsid w:val="00D3496B"/>
    <w:rsid w:val="00D34FA3"/>
    <w:rsid w:val="00D358B6"/>
    <w:rsid w:val="00D37602"/>
    <w:rsid w:val="00D40E22"/>
    <w:rsid w:val="00D47E99"/>
    <w:rsid w:val="00D52A86"/>
    <w:rsid w:val="00D53DB9"/>
    <w:rsid w:val="00D61A1D"/>
    <w:rsid w:val="00D62178"/>
    <w:rsid w:val="00D62818"/>
    <w:rsid w:val="00D6376C"/>
    <w:rsid w:val="00D662BE"/>
    <w:rsid w:val="00D6725E"/>
    <w:rsid w:val="00D676AF"/>
    <w:rsid w:val="00D700BA"/>
    <w:rsid w:val="00D7295C"/>
    <w:rsid w:val="00D75E05"/>
    <w:rsid w:val="00D77E39"/>
    <w:rsid w:val="00D828DD"/>
    <w:rsid w:val="00D855BF"/>
    <w:rsid w:val="00D90948"/>
    <w:rsid w:val="00D91410"/>
    <w:rsid w:val="00DA2C13"/>
    <w:rsid w:val="00DB0DB8"/>
    <w:rsid w:val="00DC26D6"/>
    <w:rsid w:val="00DC7A9C"/>
    <w:rsid w:val="00DD0A5E"/>
    <w:rsid w:val="00DD2B9A"/>
    <w:rsid w:val="00DD2E99"/>
    <w:rsid w:val="00DD42A3"/>
    <w:rsid w:val="00DD5D26"/>
    <w:rsid w:val="00DD648E"/>
    <w:rsid w:val="00DE20AF"/>
    <w:rsid w:val="00DE7294"/>
    <w:rsid w:val="00DF22BA"/>
    <w:rsid w:val="00DF33D7"/>
    <w:rsid w:val="00DF46A3"/>
    <w:rsid w:val="00DF487A"/>
    <w:rsid w:val="00DF6B40"/>
    <w:rsid w:val="00E0386B"/>
    <w:rsid w:val="00E10E40"/>
    <w:rsid w:val="00E16804"/>
    <w:rsid w:val="00E240B6"/>
    <w:rsid w:val="00E30359"/>
    <w:rsid w:val="00E33819"/>
    <w:rsid w:val="00E34C8C"/>
    <w:rsid w:val="00E36A52"/>
    <w:rsid w:val="00E36BFF"/>
    <w:rsid w:val="00E5114B"/>
    <w:rsid w:val="00E55F03"/>
    <w:rsid w:val="00E57FBD"/>
    <w:rsid w:val="00E64B88"/>
    <w:rsid w:val="00E64C3C"/>
    <w:rsid w:val="00E653CB"/>
    <w:rsid w:val="00E65616"/>
    <w:rsid w:val="00E65B11"/>
    <w:rsid w:val="00E72237"/>
    <w:rsid w:val="00E73820"/>
    <w:rsid w:val="00E8054B"/>
    <w:rsid w:val="00E81714"/>
    <w:rsid w:val="00E82BC4"/>
    <w:rsid w:val="00E876D1"/>
    <w:rsid w:val="00E90E47"/>
    <w:rsid w:val="00E911D1"/>
    <w:rsid w:val="00E92B54"/>
    <w:rsid w:val="00E960B9"/>
    <w:rsid w:val="00E9760D"/>
    <w:rsid w:val="00E97EE9"/>
    <w:rsid w:val="00EA259A"/>
    <w:rsid w:val="00EA55E9"/>
    <w:rsid w:val="00EB7BC3"/>
    <w:rsid w:val="00EC3EC9"/>
    <w:rsid w:val="00EC494F"/>
    <w:rsid w:val="00EC5119"/>
    <w:rsid w:val="00ED0D20"/>
    <w:rsid w:val="00ED37AC"/>
    <w:rsid w:val="00EE1486"/>
    <w:rsid w:val="00EE1B9F"/>
    <w:rsid w:val="00EE640E"/>
    <w:rsid w:val="00EE6F8E"/>
    <w:rsid w:val="00EE7D04"/>
    <w:rsid w:val="00EF322E"/>
    <w:rsid w:val="00EF5A08"/>
    <w:rsid w:val="00EF7BCF"/>
    <w:rsid w:val="00F03BE1"/>
    <w:rsid w:val="00F04B64"/>
    <w:rsid w:val="00F07849"/>
    <w:rsid w:val="00F113EB"/>
    <w:rsid w:val="00F15CCC"/>
    <w:rsid w:val="00F20ACF"/>
    <w:rsid w:val="00F2208F"/>
    <w:rsid w:val="00F22923"/>
    <w:rsid w:val="00F27B57"/>
    <w:rsid w:val="00F330C5"/>
    <w:rsid w:val="00F3674C"/>
    <w:rsid w:val="00F369F5"/>
    <w:rsid w:val="00F37EA9"/>
    <w:rsid w:val="00F4054B"/>
    <w:rsid w:val="00F47929"/>
    <w:rsid w:val="00F526C3"/>
    <w:rsid w:val="00F60DE8"/>
    <w:rsid w:val="00F64813"/>
    <w:rsid w:val="00F73DAE"/>
    <w:rsid w:val="00F74B41"/>
    <w:rsid w:val="00F83C46"/>
    <w:rsid w:val="00F862FF"/>
    <w:rsid w:val="00F91FAC"/>
    <w:rsid w:val="00F94291"/>
    <w:rsid w:val="00F9479A"/>
    <w:rsid w:val="00F94A89"/>
    <w:rsid w:val="00FA064C"/>
    <w:rsid w:val="00FA2A66"/>
    <w:rsid w:val="00FA3385"/>
    <w:rsid w:val="00FA426B"/>
    <w:rsid w:val="00FA4690"/>
    <w:rsid w:val="00FA47D9"/>
    <w:rsid w:val="00FB0F4B"/>
    <w:rsid w:val="00FB48C6"/>
    <w:rsid w:val="00FC06CB"/>
    <w:rsid w:val="00FC1A57"/>
    <w:rsid w:val="00FC2626"/>
    <w:rsid w:val="00FD1E9B"/>
    <w:rsid w:val="00FD2795"/>
    <w:rsid w:val="00FD4A08"/>
    <w:rsid w:val="00FE0721"/>
    <w:rsid w:val="00FE1341"/>
    <w:rsid w:val="00FE3656"/>
    <w:rsid w:val="00FF1C32"/>
    <w:rsid w:val="00FF3098"/>
    <w:rsid w:val="00FF5A04"/>
    <w:rsid w:val="00FF5BE0"/>
    <w:rsid w:val="010E4B5E"/>
    <w:rsid w:val="01A32F86"/>
    <w:rsid w:val="01C11EA9"/>
    <w:rsid w:val="02160B93"/>
    <w:rsid w:val="02F1017F"/>
    <w:rsid w:val="03402DA9"/>
    <w:rsid w:val="03633253"/>
    <w:rsid w:val="03B53766"/>
    <w:rsid w:val="06192B8B"/>
    <w:rsid w:val="069755E3"/>
    <w:rsid w:val="069B514E"/>
    <w:rsid w:val="06A275FA"/>
    <w:rsid w:val="07BD595E"/>
    <w:rsid w:val="08A66F7C"/>
    <w:rsid w:val="08C42F39"/>
    <w:rsid w:val="08D86F1C"/>
    <w:rsid w:val="09572537"/>
    <w:rsid w:val="09C93892"/>
    <w:rsid w:val="0AE17928"/>
    <w:rsid w:val="0B04224A"/>
    <w:rsid w:val="0C6220D3"/>
    <w:rsid w:val="0D7F04AB"/>
    <w:rsid w:val="0F7A2B1C"/>
    <w:rsid w:val="0FFE02A2"/>
    <w:rsid w:val="0FFF4A68"/>
    <w:rsid w:val="11812CB3"/>
    <w:rsid w:val="1284607E"/>
    <w:rsid w:val="132F730D"/>
    <w:rsid w:val="14BC7865"/>
    <w:rsid w:val="15303853"/>
    <w:rsid w:val="15A362A2"/>
    <w:rsid w:val="161410E3"/>
    <w:rsid w:val="16290A26"/>
    <w:rsid w:val="165F3A10"/>
    <w:rsid w:val="16FC5DC9"/>
    <w:rsid w:val="182918A0"/>
    <w:rsid w:val="1961074C"/>
    <w:rsid w:val="19920113"/>
    <w:rsid w:val="199724DC"/>
    <w:rsid w:val="1AA22754"/>
    <w:rsid w:val="1B0E226A"/>
    <w:rsid w:val="1B0F6BCC"/>
    <w:rsid w:val="1B8F6759"/>
    <w:rsid w:val="1B974A72"/>
    <w:rsid w:val="1EC86CBA"/>
    <w:rsid w:val="1F610942"/>
    <w:rsid w:val="1F7F6B53"/>
    <w:rsid w:val="1FB13DD9"/>
    <w:rsid w:val="20882C35"/>
    <w:rsid w:val="20893663"/>
    <w:rsid w:val="20AA5D22"/>
    <w:rsid w:val="20C8431E"/>
    <w:rsid w:val="211D41C7"/>
    <w:rsid w:val="21523913"/>
    <w:rsid w:val="221918F3"/>
    <w:rsid w:val="22B73D28"/>
    <w:rsid w:val="23FF9202"/>
    <w:rsid w:val="24017E80"/>
    <w:rsid w:val="252D1DC5"/>
    <w:rsid w:val="26EA1A68"/>
    <w:rsid w:val="26FC10A2"/>
    <w:rsid w:val="278C0970"/>
    <w:rsid w:val="27EE2CBB"/>
    <w:rsid w:val="293014D9"/>
    <w:rsid w:val="299A4761"/>
    <w:rsid w:val="29AE78B8"/>
    <w:rsid w:val="29D47CDA"/>
    <w:rsid w:val="2A623A09"/>
    <w:rsid w:val="2E004F2F"/>
    <w:rsid w:val="2EB304E5"/>
    <w:rsid w:val="2F3796F6"/>
    <w:rsid w:val="2F7D7247"/>
    <w:rsid w:val="30666BC3"/>
    <w:rsid w:val="316442D2"/>
    <w:rsid w:val="31C40D70"/>
    <w:rsid w:val="31C53D03"/>
    <w:rsid w:val="31F724A4"/>
    <w:rsid w:val="32386CAC"/>
    <w:rsid w:val="33720960"/>
    <w:rsid w:val="33C155BF"/>
    <w:rsid w:val="33C6172F"/>
    <w:rsid w:val="33F3455B"/>
    <w:rsid w:val="3482405C"/>
    <w:rsid w:val="349E48A8"/>
    <w:rsid w:val="34D06FEF"/>
    <w:rsid w:val="35614CD7"/>
    <w:rsid w:val="36A75443"/>
    <w:rsid w:val="36D22A71"/>
    <w:rsid w:val="3768398D"/>
    <w:rsid w:val="377B2910"/>
    <w:rsid w:val="383019B9"/>
    <w:rsid w:val="39106BAB"/>
    <w:rsid w:val="391F21F9"/>
    <w:rsid w:val="39DE1CBC"/>
    <w:rsid w:val="3AFA8FBE"/>
    <w:rsid w:val="3B8220C1"/>
    <w:rsid w:val="3BA37C78"/>
    <w:rsid w:val="3C1E1092"/>
    <w:rsid w:val="3CBA04CC"/>
    <w:rsid w:val="3CC257B9"/>
    <w:rsid w:val="3CCE14C7"/>
    <w:rsid w:val="3EC3581A"/>
    <w:rsid w:val="3FA124CA"/>
    <w:rsid w:val="3FED907E"/>
    <w:rsid w:val="3FFF4968"/>
    <w:rsid w:val="40824D40"/>
    <w:rsid w:val="40DB7C12"/>
    <w:rsid w:val="42506844"/>
    <w:rsid w:val="43313499"/>
    <w:rsid w:val="437F9495"/>
    <w:rsid w:val="43A318F9"/>
    <w:rsid w:val="43A412D0"/>
    <w:rsid w:val="43CF2C50"/>
    <w:rsid w:val="44240C8C"/>
    <w:rsid w:val="44C3306A"/>
    <w:rsid w:val="4535183F"/>
    <w:rsid w:val="4737661B"/>
    <w:rsid w:val="47B108FC"/>
    <w:rsid w:val="47EF51D3"/>
    <w:rsid w:val="48114DCF"/>
    <w:rsid w:val="48DC23BE"/>
    <w:rsid w:val="49330515"/>
    <w:rsid w:val="49662CDD"/>
    <w:rsid w:val="49E251F4"/>
    <w:rsid w:val="4A780032"/>
    <w:rsid w:val="4A7C3C1B"/>
    <w:rsid w:val="4B996F95"/>
    <w:rsid w:val="4BED4059"/>
    <w:rsid w:val="4C013919"/>
    <w:rsid w:val="4C311379"/>
    <w:rsid w:val="4C3F4FE6"/>
    <w:rsid w:val="4D90637B"/>
    <w:rsid w:val="4EB304BB"/>
    <w:rsid w:val="4EDC0EB0"/>
    <w:rsid w:val="4F366E5E"/>
    <w:rsid w:val="4F3C791D"/>
    <w:rsid w:val="4FD414FB"/>
    <w:rsid w:val="4FE25EDE"/>
    <w:rsid w:val="4FFF65BD"/>
    <w:rsid w:val="5004522D"/>
    <w:rsid w:val="5185148C"/>
    <w:rsid w:val="52045C37"/>
    <w:rsid w:val="52EF4B5B"/>
    <w:rsid w:val="537859EE"/>
    <w:rsid w:val="538E11F4"/>
    <w:rsid w:val="53B0503A"/>
    <w:rsid w:val="53FF34A9"/>
    <w:rsid w:val="54D50C36"/>
    <w:rsid w:val="563A1391"/>
    <w:rsid w:val="56BABF45"/>
    <w:rsid w:val="56CB5C57"/>
    <w:rsid w:val="56DE7BFC"/>
    <w:rsid w:val="575F533F"/>
    <w:rsid w:val="5834262F"/>
    <w:rsid w:val="59422965"/>
    <w:rsid w:val="598804FE"/>
    <w:rsid w:val="5AA8242D"/>
    <w:rsid w:val="5AC9337E"/>
    <w:rsid w:val="5AF42C51"/>
    <w:rsid w:val="5BA961F2"/>
    <w:rsid w:val="5C04773A"/>
    <w:rsid w:val="5CB7CEDC"/>
    <w:rsid w:val="5CBF490A"/>
    <w:rsid w:val="5CD9E24D"/>
    <w:rsid w:val="5D296A7D"/>
    <w:rsid w:val="5D3F6A37"/>
    <w:rsid w:val="5DEF2E8D"/>
    <w:rsid w:val="5E9FD17A"/>
    <w:rsid w:val="5ECD1F0F"/>
    <w:rsid w:val="5EE9168F"/>
    <w:rsid w:val="5F1451D5"/>
    <w:rsid w:val="5F927A8A"/>
    <w:rsid w:val="5FBC3DF2"/>
    <w:rsid w:val="5FDD71FE"/>
    <w:rsid w:val="5FDFBEC0"/>
    <w:rsid w:val="5FFA2570"/>
    <w:rsid w:val="601C6B27"/>
    <w:rsid w:val="6044597A"/>
    <w:rsid w:val="60CA1BA3"/>
    <w:rsid w:val="61A24D5C"/>
    <w:rsid w:val="62045554"/>
    <w:rsid w:val="62693A7D"/>
    <w:rsid w:val="62D90A27"/>
    <w:rsid w:val="62DB448B"/>
    <w:rsid w:val="62E73F07"/>
    <w:rsid w:val="63577FBD"/>
    <w:rsid w:val="635B6BD3"/>
    <w:rsid w:val="64501A6A"/>
    <w:rsid w:val="64B92BE9"/>
    <w:rsid w:val="64C62562"/>
    <w:rsid w:val="64D30459"/>
    <w:rsid w:val="64D43B88"/>
    <w:rsid w:val="663318B3"/>
    <w:rsid w:val="67540DBC"/>
    <w:rsid w:val="67BB26A7"/>
    <w:rsid w:val="67D2452C"/>
    <w:rsid w:val="67DF219F"/>
    <w:rsid w:val="67DF976E"/>
    <w:rsid w:val="67E07CDF"/>
    <w:rsid w:val="67FD8DAB"/>
    <w:rsid w:val="67FDC4AB"/>
    <w:rsid w:val="67FF2DC3"/>
    <w:rsid w:val="68243697"/>
    <w:rsid w:val="68287555"/>
    <w:rsid w:val="68360C4D"/>
    <w:rsid w:val="68571BA1"/>
    <w:rsid w:val="68F6A042"/>
    <w:rsid w:val="696C085C"/>
    <w:rsid w:val="6B2DC6FB"/>
    <w:rsid w:val="6B3B6CAE"/>
    <w:rsid w:val="6B5F4CCE"/>
    <w:rsid w:val="6B905AC3"/>
    <w:rsid w:val="6BC272FB"/>
    <w:rsid w:val="6BC53E9D"/>
    <w:rsid w:val="6C381DB6"/>
    <w:rsid w:val="6C653C44"/>
    <w:rsid w:val="6CD47F4D"/>
    <w:rsid w:val="6E1F7F5D"/>
    <w:rsid w:val="6EAE2B7C"/>
    <w:rsid w:val="6EF3FE81"/>
    <w:rsid w:val="6F1CFA25"/>
    <w:rsid w:val="6F7728B4"/>
    <w:rsid w:val="6F77D2B8"/>
    <w:rsid w:val="6FE9E800"/>
    <w:rsid w:val="6FFC9F44"/>
    <w:rsid w:val="720B1948"/>
    <w:rsid w:val="72A66A7D"/>
    <w:rsid w:val="72E777F2"/>
    <w:rsid w:val="7325039B"/>
    <w:rsid w:val="73850799"/>
    <w:rsid w:val="73BF09A0"/>
    <w:rsid w:val="75991B63"/>
    <w:rsid w:val="76797676"/>
    <w:rsid w:val="769155D7"/>
    <w:rsid w:val="76BE469E"/>
    <w:rsid w:val="76BF54E7"/>
    <w:rsid w:val="76D7A2FA"/>
    <w:rsid w:val="76F3B697"/>
    <w:rsid w:val="76FF1A96"/>
    <w:rsid w:val="776A0419"/>
    <w:rsid w:val="7788B51A"/>
    <w:rsid w:val="77A50BC6"/>
    <w:rsid w:val="77BDBDC4"/>
    <w:rsid w:val="78E23734"/>
    <w:rsid w:val="78FD0E00"/>
    <w:rsid w:val="79BA678B"/>
    <w:rsid w:val="79F789C3"/>
    <w:rsid w:val="7A120D8A"/>
    <w:rsid w:val="7AB032AC"/>
    <w:rsid w:val="7BD14874"/>
    <w:rsid w:val="7BFB74A5"/>
    <w:rsid w:val="7BFE0952"/>
    <w:rsid w:val="7CDF2CF8"/>
    <w:rsid w:val="7CE12FA9"/>
    <w:rsid w:val="7D54592B"/>
    <w:rsid w:val="7D7F8B80"/>
    <w:rsid w:val="7D866AAB"/>
    <w:rsid w:val="7DEED02D"/>
    <w:rsid w:val="7DEF1667"/>
    <w:rsid w:val="7E6D545E"/>
    <w:rsid w:val="7E732CE4"/>
    <w:rsid w:val="7EDFD353"/>
    <w:rsid w:val="7EE065EA"/>
    <w:rsid w:val="7EEB7B56"/>
    <w:rsid w:val="7EF673FF"/>
    <w:rsid w:val="7F3464B4"/>
    <w:rsid w:val="7F769302"/>
    <w:rsid w:val="7F926F3D"/>
    <w:rsid w:val="7FB71C9E"/>
    <w:rsid w:val="7FDE089C"/>
    <w:rsid w:val="7FEBC3C3"/>
    <w:rsid w:val="7FEE2490"/>
    <w:rsid w:val="7FEF8F6F"/>
    <w:rsid w:val="7FF05DEF"/>
    <w:rsid w:val="7FFBAF2C"/>
    <w:rsid w:val="7FFCFA55"/>
    <w:rsid w:val="7FFE28D6"/>
    <w:rsid w:val="82BE07B7"/>
    <w:rsid w:val="8A8F8052"/>
    <w:rsid w:val="8EFD10C7"/>
    <w:rsid w:val="B5EEEA7D"/>
    <w:rsid w:val="B7FF663E"/>
    <w:rsid w:val="B9CF6836"/>
    <w:rsid w:val="BAFF3E87"/>
    <w:rsid w:val="BCAD0C03"/>
    <w:rsid w:val="BFDC8AEB"/>
    <w:rsid w:val="BFEFE3B7"/>
    <w:rsid w:val="CFBE5C0F"/>
    <w:rsid w:val="CFCBE1AA"/>
    <w:rsid w:val="DAD94B9E"/>
    <w:rsid w:val="DB3F3396"/>
    <w:rsid w:val="DB783A99"/>
    <w:rsid w:val="DFF6667D"/>
    <w:rsid w:val="EA7DEADD"/>
    <w:rsid w:val="EDE8A66F"/>
    <w:rsid w:val="EDFAD20A"/>
    <w:rsid w:val="EF7FC169"/>
    <w:rsid w:val="EFA7B3B3"/>
    <w:rsid w:val="EFEFB7D0"/>
    <w:rsid w:val="EFF3367F"/>
    <w:rsid w:val="EFFF4880"/>
    <w:rsid w:val="F3EE0FCD"/>
    <w:rsid w:val="F7D66040"/>
    <w:rsid w:val="F81EF0D6"/>
    <w:rsid w:val="F9C60185"/>
    <w:rsid w:val="FAF7BDB0"/>
    <w:rsid w:val="FAFF65AE"/>
    <w:rsid w:val="FAFFDF41"/>
    <w:rsid w:val="FBB3C0BA"/>
    <w:rsid w:val="FBE1623A"/>
    <w:rsid w:val="FDBF39FB"/>
    <w:rsid w:val="FEAF8B32"/>
    <w:rsid w:val="FEB93C07"/>
    <w:rsid w:val="FEFA09F1"/>
    <w:rsid w:val="FF1EA0B9"/>
    <w:rsid w:val="FF5B9415"/>
    <w:rsid w:val="FF6E711F"/>
    <w:rsid w:val="FF737A38"/>
    <w:rsid w:val="FF7F1A51"/>
    <w:rsid w:val="FF9D4831"/>
    <w:rsid w:val="FFB72A65"/>
    <w:rsid w:val="FFC7F4B1"/>
    <w:rsid w:val="FFDF5E20"/>
    <w:rsid w:val="FFE3895E"/>
    <w:rsid w:val="FFE7FEAC"/>
    <w:rsid w:val="FFEF7D2A"/>
    <w:rsid w:val="FFF7469E"/>
    <w:rsid w:val="FFFB487F"/>
    <w:rsid w:val="FFFD1F06"/>
    <w:rsid w:val="FFFF3E79"/>
    <w:rsid w:val="FFFFF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jc w:val="left"/>
      <w:outlineLvl w:val="2"/>
    </w:pPr>
    <w:rPr>
      <w:smallCaps/>
      <w:spacing w:val="5"/>
      <w:sz w:val="24"/>
    </w:rPr>
  </w:style>
  <w:style w:type="paragraph" w:styleId="6">
    <w:name w:val="heading 4"/>
    <w:basedOn w:val="1"/>
    <w:next w:val="1"/>
    <w:link w:val="4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7">
    <w:name w:val="annotation text"/>
    <w:basedOn w:val="1"/>
    <w:link w:val="27"/>
    <w:unhideWhenUsed/>
    <w:qFormat/>
    <w:uiPriority w:val="99"/>
    <w:pPr>
      <w:jc w:val="left"/>
    </w:pPr>
  </w:style>
  <w:style w:type="paragraph" w:styleId="8">
    <w:name w:val="Body Text"/>
    <w:basedOn w:val="1"/>
    <w:next w:val="9"/>
    <w:unhideWhenUsed/>
    <w:qFormat/>
    <w:uiPriority w:val="99"/>
    <w:pPr>
      <w:widowControl/>
      <w:spacing w:line="300" w:lineRule="atLeast"/>
      <w:jc w:val="center"/>
    </w:pPr>
    <w:rPr>
      <w:color w:val="000000"/>
      <w:sz w:val="44"/>
      <w:szCs w:val="20"/>
    </w:rPr>
  </w:style>
  <w:style w:type="paragraph" w:customStyle="1" w:styleId="9">
    <w:name w:val="toc 11"/>
    <w:next w:val="1"/>
    <w:qFormat/>
    <w:uiPriority w:val="0"/>
    <w:pPr>
      <w:wordWrap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0">
    <w:name w:val="Body Text Indent"/>
    <w:basedOn w:val="1"/>
    <w:next w:val="1"/>
    <w:link w:val="25"/>
    <w:qFormat/>
    <w:uiPriority w:val="0"/>
    <w:pPr>
      <w:spacing w:line="440" w:lineRule="exact"/>
      <w:ind w:firstLine="600" w:firstLineChars="200"/>
    </w:pPr>
    <w:rPr>
      <w:rFonts w:ascii="仿宋_GB2312" w:hAnsi="宋体"/>
      <w:sz w:val="30"/>
      <w:szCs w:val="32"/>
    </w:rPr>
  </w:style>
  <w:style w:type="paragraph" w:styleId="11">
    <w:name w:val="Balloon Text"/>
    <w:basedOn w:val="1"/>
    <w:link w:val="4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2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unhideWhenUsed/>
    <w:qFormat/>
    <w:uiPriority w:val="39"/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annotation subject"/>
    <w:basedOn w:val="7"/>
    <w:next w:val="7"/>
    <w:link w:val="26"/>
    <w:unhideWhenUsed/>
    <w:qFormat/>
    <w:uiPriority w:val="99"/>
    <w:rPr>
      <w:b/>
      <w:bCs/>
    </w:rPr>
  </w:style>
  <w:style w:type="paragraph" w:styleId="17">
    <w:name w:val="Body Text First Indent 2"/>
    <w:basedOn w:val="10"/>
    <w:next w:val="1"/>
    <w:qFormat/>
    <w:uiPriority w:val="0"/>
    <w:pPr>
      <w:ind w:firstLine="420"/>
    </w:p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annotation reference"/>
    <w:basedOn w:val="20"/>
    <w:unhideWhenUsed/>
    <w:qFormat/>
    <w:uiPriority w:val="99"/>
    <w:rPr>
      <w:sz w:val="21"/>
      <w:szCs w:val="21"/>
    </w:rPr>
  </w:style>
  <w:style w:type="character" w:customStyle="1" w:styleId="23">
    <w:name w:val="font01"/>
    <w:basedOn w:val="20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paragraph" w:customStyle="1" w:styleId="24">
    <w:name w:val="修订2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5">
    <w:name w:val="正文文本缩进 字符"/>
    <w:basedOn w:val="20"/>
    <w:link w:val="10"/>
    <w:qFormat/>
    <w:uiPriority w:val="0"/>
    <w:rPr>
      <w:rFonts w:ascii="仿宋_GB2312" w:hAnsi="宋体" w:eastAsia="仿宋_GB2312" w:cs="Times New Roman"/>
      <w:sz w:val="30"/>
      <w:szCs w:val="32"/>
    </w:rPr>
  </w:style>
  <w:style w:type="character" w:customStyle="1" w:styleId="26">
    <w:name w:val="批注主题 字符"/>
    <w:basedOn w:val="27"/>
    <w:link w:val="16"/>
    <w:semiHidden/>
    <w:qFormat/>
    <w:uiPriority w:val="99"/>
    <w:rPr>
      <w:rFonts w:ascii="Times New Roman" w:hAnsi="Times New Roman" w:eastAsia="仿宋_GB2312" w:cs="Times New Roman"/>
      <w:b/>
      <w:bCs/>
      <w:kern w:val="2"/>
      <w:sz w:val="32"/>
      <w:szCs w:val="24"/>
    </w:rPr>
  </w:style>
  <w:style w:type="character" w:customStyle="1" w:styleId="27">
    <w:name w:val="批注文字 字符"/>
    <w:basedOn w:val="20"/>
    <w:link w:val="7"/>
    <w:qFormat/>
    <w:uiPriority w:val="99"/>
    <w:rPr>
      <w:rFonts w:eastAsia="仿宋_GB2312"/>
      <w:kern w:val="2"/>
      <w:sz w:val="32"/>
      <w:szCs w:val="24"/>
    </w:rPr>
  </w:style>
  <w:style w:type="paragraph" w:customStyle="1" w:styleId="28">
    <w:name w:val="UserStyle_4"/>
    <w:link w:val="37"/>
    <w:qFormat/>
    <w:uiPriority w:val="0"/>
    <w:pPr>
      <w:widowControl w:val="0"/>
      <w:spacing w:after="160" w:line="278" w:lineRule="auto"/>
      <w:jc w:val="both"/>
      <w:textAlignment w:val="baseline"/>
    </w:pPr>
    <w:rPr>
      <w:rFonts w:ascii="Tahoma" w:hAnsi="Tahoma" w:eastAsia="仿宋_GB2312" w:cs="Times New Roman"/>
      <w:spacing w:val="-24"/>
      <w:kern w:val="2"/>
      <w:sz w:val="24"/>
      <w:szCs w:val="21"/>
      <w:lang w:val="en-US" w:eastAsia="zh-CN" w:bidi="ar-SA"/>
    </w:rPr>
  </w:style>
  <w:style w:type="paragraph" w:customStyle="1" w:styleId="29">
    <w:name w:val="修订3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30">
    <w:name w:val="标题 2 字符"/>
    <w:basedOn w:val="20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宋体"/>
      <w:bCs w:val="0"/>
      <w:color w:val="366091"/>
      <w:kern w:val="0"/>
      <w:sz w:val="32"/>
      <w:szCs w:val="32"/>
    </w:rPr>
  </w:style>
  <w:style w:type="paragraph" w:customStyle="1" w:styleId="32">
    <w:name w:val="TOC 标题2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宋体"/>
      <w:bCs w:val="0"/>
      <w:color w:val="366091"/>
      <w:kern w:val="0"/>
      <w:sz w:val="32"/>
      <w:szCs w:val="32"/>
    </w:rPr>
  </w:style>
  <w:style w:type="paragraph" w:customStyle="1" w:styleId="33">
    <w:name w:val="修订1"/>
    <w:hidden/>
    <w:semiHidden/>
    <w:qFormat/>
    <w:uiPriority w:val="99"/>
    <w:pPr>
      <w:spacing w:after="160" w:line="278" w:lineRule="auto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4">
    <w:name w:val="WPSOffice手动目录 1"/>
    <w:qFormat/>
    <w:uiPriority w:val="0"/>
    <w:pPr>
      <w:spacing w:after="160" w:line="278" w:lineRule="auto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5">
    <w:name w:val="列表段落1"/>
    <w:basedOn w:val="1"/>
    <w:qFormat/>
    <w:uiPriority w:val="99"/>
    <w:pPr>
      <w:ind w:firstLine="420" w:firstLineChars="200"/>
    </w:pPr>
  </w:style>
  <w:style w:type="character" w:customStyle="1" w:styleId="36">
    <w:name w:val="页脚 字符"/>
    <w:basedOn w:val="20"/>
    <w:link w:val="12"/>
    <w:qFormat/>
    <w:uiPriority w:val="99"/>
    <w:rPr>
      <w:sz w:val="18"/>
      <w:szCs w:val="18"/>
    </w:rPr>
  </w:style>
  <w:style w:type="character" w:customStyle="1" w:styleId="37">
    <w:name w:val="NormalCharacter"/>
    <w:link w:val="28"/>
    <w:semiHidden/>
    <w:qFormat/>
    <w:uiPriority w:val="0"/>
    <w:rPr>
      <w:rFonts w:ascii="Tahoma" w:hAnsi="Tahoma" w:eastAsia="仿宋_GB2312" w:cs="Times New Roman"/>
      <w:spacing w:val="-24"/>
      <w:kern w:val="2"/>
      <w:sz w:val="24"/>
      <w:szCs w:val="21"/>
      <w:lang w:val="en-US" w:eastAsia="zh-CN" w:bidi="ar-SA"/>
    </w:rPr>
  </w:style>
  <w:style w:type="character" w:customStyle="1" w:styleId="38">
    <w:name w:val="页脚 字符1"/>
    <w:basedOn w:val="20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39">
    <w:name w:val="标题 1 字符"/>
    <w:basedOn w:val="20"/>
    <w:link w:val="3"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customStyle="1" w:styleId="40">
    <w:name w:val="修订4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41">
    <w:name w:val="修订5"/>
    <w:hidden/>
    <w:unhideWhenUsed/>
    <w:qFormat/>
    <w:uiPriority w:val="99"/>
    <w:pPr>
      <w:spacing w:after="160" w:line="278" w:lineRule="auto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42">
    <w:name w:val="修订6"/>
    <w:hidden/>
    <w:semiHidden/>
    <w:qFormat/>
    <w:uiPriority w:val="99"/>
    <w:pPr>
      <w:spacing w:after="160" w:line="278" w:lineRule="auto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43">
    <w:name w:val="修订7"/>
    <w:hidden/>
    <w:semiHidden/>
    <w:qFormat/>
    <w:uiPriority w:val="99"/>
    <w:pPr>
      <w:spacing w:after="160" w:line="278" w:lineRule="auto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44">
    <w:name w:val="列表段落2"/>
    <w:basedOn w:val="1"/>
    <w:unhideWhenUsed/>
    <w:qFormat/>
    <w:uiPriority w:val="99"/>
    <w:pPr>
      <w:ind w:firstLine="420" w:firstLineChars="200"/>
    </w:pPr>
  </w:style>
  <w:style w:type="character" w:customStyle="1" w:styleId="45">
    <w:name w:val="标题 4 字符"/>
    <w:basedOn w:val="20"/>
    <w:link w:val="6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6">
    <w:name w:val="批注框文本 字符"/>
    <w:basedOn w:val="20"/>
    <w:link w:val="11"/>
    <w:semiHidden/>
    <w:qFormat/>
    <w:uiPriority w:val="99"/>
    <w:rPr>
      <w:rFonts w:eastAsia="仿宋_GB2312"/>
      <w:kern w:val="2"/>
      <w:sz w:val="18"/>
      <w:szCs w:val="18"/>
    </w:rPr>
  </w:style>
  <w:style w:type="paragraph" w:styleId="4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9891</Words>
  <Characters>10043</Characters>
  <Lines>294</Lines>
  <Paragraphs>221</Paragraphs>
  <TotalTime>7</TotalTime>
  <ScaleCrop>false</ScaleCrop>
  <LinksUpToDate>false</LinksUpToDate>
  <CharactersWithSpaces>10116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2026-07-08T19:03:00Z</dcterms:created>
  <dc:creator>files</dc:creator>
  <cp:lastModifiedBy>uos</cp:lastModifiedBy>
  <cp:lastPrinted>2026-07-24T00:25:00Z</cp:lastPrinted>
  <dcterms:modified xsi:type="dcterms:W3CDTF">2026-07-24T16:11:25Z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F7212C374CEF422AB01500476065CCF6_13</vt:lpwstr>
  </property>
  <property fmtid="{D5CDD505-2E9C-101B-9397-08002B2CF9AE}" pid="4" name="KSOTemplateDocerSaveRecord">
    <vt:lpwstr>eyJoZGlkIjoiYmY4MTg4NGUxNjQyOTI4N2M1MWEwYTU0NjhmNjYxN2IiLCJ1c2VySWQiOiI1NjAxNjI0NzUifQ==</vt:lpwstr>
  </property>
</Properties>
</file>