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5351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kern w:val="2"/>
          <w:sz w:val="44"/>
          <w:szCs w:val="44"/>
          <w:lang w:val="en-US" w:eastAsia="zh-CN" w:bidi="ar-SA"/>
          <w14:ligatures w14:val="standardContextual"/>
        </w:rPr>
      </w:pPr>
      <w:r>
        <w:rPr>
          <w:rFonts w:hint="eastAsia" w:ascii="方正小标宋简体" w:hAnsi="方正小标宋简体" w:eastAsia="方正小标宋简体" w:cs="方正小标宋简体"/>
          <w:kern w:val="2"/>
          <w:sz w:val="44"/>
          <w:szCs w:val="44"/>
          <w:lang w:val="en-US" w:eastAsia="zh-CN" w:bidi="ar-SA"/>
          <w14:ligatures w14:val="standardContextual"/>
        </w:rPr>
        <w:t>关于《房山区“十五五”时期中关村房山园发展规划（征求意见稿）》的起草说明</w:t>
      </w:r>
    </w:p>
    <w:p w14:paraId="0665D8E2">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p>
    <w:p w14:paraId="604395FE">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为深入贯彻落实国家、市、区关于“十五五”时期经济社会发展总体部署，紧抓京津冀协同发展、北京（京津冀）国际科技创新中心建设、中关村世界领先科技园区建设等重大机遇，系统谋划2026—2030年中关村房山园高质量发展任务，培育壮大新质生产力，中关村科技园区房山园管理委员会北京市房山区科技委员会牵头编制了《房山区“十五五”时期中关村房山园发展规划（征求意见稿）》。</w:t>
      </w:r>
    </w:p>
    <w:p w14:paraId="094717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kern w:val="2"/>
          <w:sz w:val="32"/>
          <w:szCs w:val="32"/>
          <w:lang w:val="en-US" w:eastAsia="zh-CN" w:bidi="ar-SA"/>
          <w14:ligatures w14:val="standardContextual"/>
        </w:rPr>
      </w:pPr>
      <w:bookmarkStart w:id="0" w:name="heading_0"/>
      <w:r>
        <w:rPr>
          <w:rFonts w:hint="eastAsia" w:ascii="黑体" w:hAnsi="黑体" w:eastAsia="黑体" w:cs="黑体"/>
          <w:kern w:val="2"/>
          <w:sz w:val="32"/>
          <w:szCs w:val="32"/>
          <w:lang w:val="en-US" w:eastAsia="zh-CN" w:bidi="ar-SA"/>
          <w14:ligatures w14:val="standardContextual"/>
        </w:rPr>
        <w:t>一、编制背景与必要性</w:t>
      </w:r>
      <w:bookmarkEnd w:id="0"/>
    </w:p>
    <w:p w14:paraId="1CD0241A">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十五五”时期是我国以科技创新催生新质生产力的关键阶段，科技创新与产业创新深度融合加速，构建现代化产业体系、培育壮大新质生产力、推进绿色低碳转型成为高质量发展的核心任务。北京正加快推进中关村世界领先科技园区建设，着力推动“三城一区”创新资源联动协同，引导各分园立足资源禀赋错位发展、特色突破，构建差异化、集群化、高端化的园区发展格局，对中关村房山园强化成果转化承载、培育特色产业集群、服务首都创新大局提出了更高要求。为促进“十五五”时期中关村房山园更好发挥科技创新核心载体、新质生产力培育主阵地、高精尖产业核心承载区的作用，支撑房山区科教融合文化名区、新质智造产业新城建设，编制本规划。</w:t>
      </w:r>
    </w:p>
    <w:p w14:paraId="2E4980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kern w:val="2"/>
          <w:sz w:val="32"/>
          <w:szCs w:val="32"/>
          <w:lang w:val="en-US" w:eastAsia="zh-CN" w:bidi="ar-SA"/>
          <w14:ligatures w14:val="standardContextual"/>
        </w:rPr>
      </w:pPr>
      <w:bookmarkStart w:id="1" w:name="heading_1"/>
      <w:r>
        <w:rPr>
          <w:rFonts w:hint="eastAsia" w:ascii="黑体" w:hAnsi="黑体" w:eastAsia="黑体" w:cs="黑体"/>
          <w:kern w:val="2"/>
          <w:sz w:val="32"/>
          <w:szCs w:val="32"/>
          <w:lang w:val="en-US" w:eastAsia="zh-CN" w:bidi="ar-SA"/>
          <w14:ligatures w14:val="standardContextual"/>
        </w:rPr>
        <w:t>二、编制依据</w:t>
      </w:r>
      <w:bookmarkEnd w:id="1"/>
    </w:p>
    <w:p w14:paraId="788221A9">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本次规划严格遵循《中华人民共和国国民经济和社会发展第十五个五年规划纲要》等国家层面规划部署，对标《北京城市总体规划（2016年-2035年）》《北京市国民经济和社会发展第十五个五年规划纲要》等市级文件，衔接《房山分区规划（国土空间规划）（2017年-2035年）》《北京市房山区国民经济和社会发展第十五个五年规划纲要》等区级规划，确保上下贯通、有效衔接。</w:t>
      </w:r>
    </w:p>
    <w:p w14:paraId="299AB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kern w:val="2"/>
          <w:sz w:val="32"/>
          <w:szCs w:val="32"/>
          <w:lang w:val="en-US" w:eastAsia="zh-CN" w:bidi="ar-SA"/>
          <w14:ligatures w14:val="standardContextual"/>
        </w:rPr>
      </w:pPr>
      <w:bookmarkStart w:id="2" w:name="heading_2"/>
      <w:r>
        <w:rPr>
          <w:rFonts w:hint="eastAsia" w:ascii="黑体" w:hAnsi="黑体" w:eastAsia="黑体" w:cs="黑体"/>
          <w:kern w:val="2"/>
          <w:sz w:val="32"/>
          <w:szCs w:val="32"/>
          <w:lang w:val="en-US" w:eastAsia="zh-CN" w:bidi="ar-SA"/>
          <w14:ligatures w14:val="standardContextual"/>
        </w:rPr>
        <w:t>三、主要内容</w:t>
      </w:r>
    </w:p>
    <w:p w14:paraId="7DC72823">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本规划共分发展基础与形势要求、总体发展思路、重点任务、保障措施四大章节。</w:t>
      </w:r>
    </w:p>
    <w:p w14:paraId="0CE9D8FF">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发展基础与形势要求。梳理“十四五”时期园区在经济规模、产业集群、创新能力、配套服务等方面取得的发展成效；从国内、首都、房山区三个维度研判“十五五”时期面临的发展形势，为规划编制提供基本支撑。</w:t>
      </w:r>
    </w:p>
    <w:p w14:paraId="1C635D2E">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default"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总体发展思路。明确“十五五”时期园区发展的指导思想、基本原则和发展目标。提出到2030年，中关村房山园创新驱动产业发展能级实现全面跃升，绿色能源、新材料两大主导产业引擎作用更加凸显，智能制造、智慧医工两大特色产业能级持续提升，高端要素加速聚集，新质智造产业新城主承载区基本建成。</w:t>
      </w:r>
    </w:p>
    <w:p w14:paraId="6C2AFAA4">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重点任务。围绕构建“2+2”现代产业体系、构筑“集中连片、高端集聚、空间拓展”的产业集群承载空间、聚势赋能提升科技成果转化成效、提升园区产业创新生态等四大领域，系统部署关键举措，形成可落地的任务体系。</w:t>
      </w:r>
    </w:p>
    <w:p w14:paraId="15EE1095">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保障措施。从全面加强党的领导、增强政策协同支撑、加强规划统筹实施、强化规划监测评价四个方面建立保障体系，明确责任分工、资源保障、监督机制，确保规划</w:t>
      </w:r>
      <w:bookmarkStart w:id="5" w:name="_GoBack"/>
      <w:bookmarkEnd w:id="5"/>
      <w:r>
        <w:rPr>
          <w:rFonts w:hint="eastAsia" w:ascii="仿宋_GB2312" w:hAnsi="仿宋_GB2312" w:eastAsia="仿宋_GB2312" w:cs="仿宋_GB2312"/>
          <w:kern w:val="2"/>
          <w:sz w:val="32"/>
          <w:szCs w:val="32"/>
          <w:lang w:val="en-US" w:eastAsia="zh-CN" w:bidi="ar-SA"/>
          <w14:ligatures w14:val="standardContextual"/>
        </w:rPr>
        <w:t>各项任务有序落地、按期推进、取得实效。</w:t>
      </w:r>
    </w:p>
    <w:p w14:paraId="48AACE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kern w:val="2"/>
          <w:sz w:val="32"/>
          <w:szCs w:val="32"/>
          <w:highlight w:val="none"/>
          <w:lang w:val="en-US" w:eastAsia="zh-CN" w:bidi="ar-SA"/>
          <w14:ligatures w14:val="standardContextual"/>
        </w:rPr>
      </w:pPr>
      <w:bookmarkStart w:id="3" w:name="heading_4"/>
      <w:r>
        <w:rPr>
          <w:rFonts w:hint="eastAsia" w:ascii="黑体" w:hAnsi="黑体" w:eastAsia="黑体" w:cs="黑体"/>
          <w:kern w:val="2"/>
          <w:sz w:val="32"/>
          <w:szCs w:val="32"/>
          <w:highlight w:val="none"/>
          <w:lang w:val="en-US" w:eastAsia="zh-CN" w:bidi="ar-SA"/>
          <w14:ligatures w14:val="standardContextual"/>
        </w:rPr>
        <w:t>四、创新特点</w:t>
      </w:r>
      <w:bookmarkEnd w:id="3"/>
    </w:p>
    <w:p w14:paraId="682DCF7A">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产业体系精准定位。立足中关村房山园产业基底，做强绿色能源、新材料两大主导产业，壮大智能制造、智慧医工特色优势产业，前瞻布局未来产业接续赋能，形成主导引领、特色支撑、未来储备的梯次产业发展格局，高度契合房山新质智造产业新城发展定位。</w:t>
      </w:r>
    </w:p>
    <w:p w14:paraId="1124B754">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空间格局系统优化。融入房山区“一核两翼”空间布局，统筹增量拓展与存量盘活，明确各功能板块产业定位，推动园区集中连片、高端集聚，实现产业布局与空间资源精准匹配。</w:t>
      </w:r>
    </w:p>
    <w:p w14:paraId="64001255">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转化模式迭代升级。深化推广“前店后厂”特色模式，健全概念验证、小试中试、产业化落地全链条服务体系，强化与“三城一区”、京津冀创新资源对接，显著提升科技成果本地转化与产业化能力。</w:t>
      </w:r>
    </w:p>
    <w:p w14:paraId="3C990C45">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新质生产力导向鲜明。紧扣培育新质生产力主线，突出科技创新与产业创新深度融合，聚焦产业智能化、绿色化、融合化发展，突出关键核心技术攻关引领作用，全面激活园区创新发展内生动力。</w:t>
      </w:r>
    </w:p>
    <w:p w14:paraId="6F725D79">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生态体系全面提质。构建“营商环境、科技金融、人才支撑、政策保障”四位一体创新生态，完善企业全生命周期服务与梯度培育机制，同步推进花园式园区建设，推动硬件设施与软性生态协同提质增效。</w:t>
      </w:r>
    </w:p>
    <w:p w14:paraId="644F8D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kern w:val="2"/>
          <w:sz w:val="32"/>
          <w:szCs w:val="32"/>
          <w:lang w:val="en-US" w:eastAsia="zh-CN" w:bidi="ar-SA"/>
          <w14:ligatures w14:val="standardContextual"/>
        </w:rPr>
      </w:pPr>
      <w:bookmarkStart w:id="4" w:name="heading_6"/>
      <w:r>
        <w:rPr>
          <w:rFonts w:hint="eastAsia" w:ascii="黑体" w:hAnsi="黑体" w:eastAsia="黑体" w:cs="黑体"/>
          <w:kern w:val="2"/>
          <w:sz w:val="32"/>
          <w:szCs w:val="32"/>
          <w:lang w:val="en-US" w:eastAsia="zh-CN" w:bidi="ar-SA"/>
          <w14:ligatures w14:val="standardContextual"/>
        </w:rPr>
        <w:t>五、政策衔接说明</w:t>
      </w:r>
      <w:bookmarkEnd w:id="4"/>
    </w:p>
    <w:bookmarkEnd w:id="2"/>
    <w:p w14:paraId="1499714F">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hint="eastAsia" w:ascii="仿宋_GB2312" w:hAnsi="仿宋_GB2312" w:eastAsia="仿宋_GB2312" w:cs="仿宋_GB2312"/>
          <w:kern w:val="2"/>
          <w:sz w:val="32"/>
          <w:szCs w:val="32"/>
          <w:lang w:val="en-US" w:eastAsia="zh-CN" w:bidi="ar-SA"/>
          <w14:ligatures w14:val="standardContextual"/>
        </w:rPr>
      </w:pPr>
      <w:r>
        <w:rPr>
          <w:rFonts w:hint="eastAsia" w:ascii="仿宋_GB2312" w:hAnsi="仿宋_GB2312" w:eastAsia="仿宋_GB2312" w:cs="仿宋_GB2312"/>
          <w:kern w:val="2"/>
          <w:sz w:val="32"/>
          <w:szCs w:val="32"/>
          <w:lang w:val="en-US" w:eastAsia="zh-CN" w:bidi="ar-SA"/>
          <w14:ligatures w14:val="standardContextual"/>
        </w:rPr>
        <w:t>本规划深度衔接国家、北京市上位规划及相关政策，严格落实《房山分区规划（国土空间规划）（2017年-2035年）》空间管控与功能布局要求，在产业体系构建、空间组织、重大项目安排等方面均与上位规划及现行政策高度协同、无政策矛盾。同时充分衔接京津冀协同发展要求，强化区域联动，确保规划既立足房山实际，又服务国家和首都发展大局。</w:t>
      </w:r>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2"/>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454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19C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32EE2"/>
    <w:rsid w:val="0C7C16CD"/>
    <w:rsid w:val="12552C20"/>
    <w:rsid w:val="1AD224A5"/>
    <w:rsid w:val="1D0C4F8F"/>
    <w:rsid w:val="3F5B6B2F"/>
    <w:rsid w:val="570C39D3"/>
    <w:rsid w:val="58792193"/>
    <w:rsid w:val="69DA4AA7"/>
    <w:rsid w:val="6B732357"/>
    <w:rsid w:val="6DF818FD"/>
    <w:rsid w:val="7E5613EF"/>
    <w:rsid w:val="7F794FA0"/>
    <w:rsid w:val="CDDF2AFC"/>
    <w:rsid w:val="E9BDCD71"/>
    <w:rsid w:val="F37FAA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ind w:firstLine="883" w:firstLineChars="20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d1c99e56-fba4-4a0f-83c0-7d567826d76c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788221A9</paraID>
      <start xmlns="http://schemas.wps.cn/vas-ai-hub/contract-review">63</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cce37da5-be3b-4b4b-9ab7-61df3dd59f5d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788221A9</paraID>
      <start xmlns="http://schemas.wps.cn/vas-ai-hub/contract-review">125</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fc97cad-6bd4-452f-9d26-7225f751cd7f}">
  <ds:schemaRefs/>
</ds:datastoreItem>
</file>

<file path=docProps/app.xml><?xml version="1.0" encoding="utf-8"?>
<Properties xmlns="http://schemas.openxmlformats.org/officeDocument/2006/extended-properties" xmlns:vt="http://schemas.openxmlformats.org/officeDocument/2006/docPropsVTypes">
  <Pages>4</Pages>
  <Words>1920</Words>
  <Characters>1945</Characters>
  <TotalTime>0</TotalTime>
  <ScaleCrop>false</ScaleCrop>
  <LinksUpToDate>false</LinksUpToDate>
  <CharactersWithSpaces>1945</CharactersWithSpaces>
  <Application>WPS Office_12.8.2.20327_F1E327BC-269C-435d-A152-05C5408002CA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2026-06-28T09:28:00Z</dcterms:created>
  <dc:creator>Apache POI</dc:creator>
  <cp:lastModifiedBy>user</cp:lastModifiedBy>
  <dcterms:modified xsi:type="dcterms:W3CDTF">2026-07-23T14:19:26Z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{"Label":"1","ContentProducer":"001191110102MACQD9K64010000","ProduceID":"7655633695651367900","ReservedCode1":"","ContentPropagator":"","PropagateID":"","ReservedCode2":""}</vt:lpwstr>
  </property>
  <property fmtid="{D5CDD505-2E9C-101B-9397-08002B2CF9AE}" pid="3" name="KSOTemplateDocerSaveRecord">
    <vt:lpwstr>eyJoZGlkIjoiMzEwNTM5NzYwMDRjMzkwZTVkZjY2ODkwMGIxNGU0OTUiLCJ1c2VySWQiOiIyNzA2Mjc3OTYifQ==</vt:lpwstr>
  </property>
  <property fmtid="{D5CDD505-2E9C-101B-9397-08002B2CF9AE}" pid="4" name="KSOProductBuildVer">
    <vt:lpwstr>2052-12.8.2.20327</vt:lpwstr>
  </property>
  <property fmtid="{D5CDD505-2E9C-101B-9397-08002B2CF9AE}" pid="5" name="ICV">
    <vt:lpwstr>A1E43C5FC1490DF8EA4B506A91BE9BF6_43</vt:lpwstr>
  </property>
</Properties>
</file>