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46E9D">
      <w:pPr>
        <w:spacing w:line="560" w:lineRule="exact"/>
        <w:ind w:firstLine="640" w:firstLineChars="200"/>
        <w:rPr>
          <w:rFonts w:hint="eastAsia" w:ascii="仿宋_GB2312" w:hAnsi="仿宋_GB2312" w:eastAsia="仿宋_GB2312" w:cs="仿宋_GB2312"/>
          <w:color w:val="auto"/>
          <w:sz w:val="32"/>
          <w:szCs w:val="32"/>
          <w:highlight w:val="none"/>
        </w:rPr>
      </w:pPr>
    </w:p>
    <w:p w14:paraId="03946AF5">
      <w:pPr>
        <w:spacing w:line="560" w:lineRule="exact"/>
        <w:ind w:firstLine="640" w:firstLineChars="200"/>
        <w:rPr>
          <w:rFonts w:hint="eastAsia" w:ascii="仿宋_GB2312" w:hAnsi="仿宋_GB2312" w:eastAsia="仿宋_GB2312" w:cs="仿宋_GB2312"/>
          <w:color w:val="auto"/>
          <w:sz w:val="32"/>
          <w:szCs w:val="32"/>
          <w:highlight w:val="none"/>
        </w:rPr>
      </w:pPr>
    </w:p>
    <w:p w14:paraId="6FD7FE63">
      <w:pPr>
        <w:spacing w:line="560" w:lineRule="exact"/>
        <w:ind w:firstLine="640" w:firstLineChars="200"/>
        <w:rPr>
          <w:rFonts w:hint="eastAsia" w:ascii="仿宋_GB2312" w:hAnsi="仿宋_GB2312" w:eastAsia="仿宋_GB2312" w:cs="仿宋_GB2312"/>
          <w:color w:val="auto"/>
          <w:sz w:val="32"/>
          <w:szCs w:val="32"/>
          <w:highlight w:val="none"/>
        </w:rPr>
      </w:pPr>
    </w:p>
    <w:p w14:paraId="4C46FD72">
      <w:pPr>
        <w:spacing w:line="560" w:lineRule="exact"/>
        <w:ind w:firstLine="640" w:firstLineChars="200"/>
        <w:rPr>
          <w:rFonts w:hint="eastAsia" w:ascii="仿宋_GB2312" w:hAnsi="仿宋_GB2312" w:eastAsia="仿宋_GB2312" w:cs="仿宋_GB2312"/>
          <w:color w:val="auto"/>
          <w:sz w:val="32"/>
          <w:szCs w:val="32"/>
          <w:highlight w:val="none"/>
        </w:rPr>
      </w:pPr>
    </w:p>
    <w:p w14:paraId="5A75E464">
      <w:pPr>
        <w:spacing w:line="560" w:lineRule="exact"/>
        <w:ind w:firstLine="640" w:firstLineChars="200"/>
        <w:rPr>
          <w:rFonts w:hint="eastAsia" w:ascii="仿宋_GB2312" w:hAnsi="仿宋_GB2312" w:eastAsia="仿宋_GB2312" w:cs="仿宋_GB2312"/>
          <w:color w:val="auto"/>
          <w:sz w:val="32"/>
          <w:szCs w:val="32"/>
          <w:highlight w:val="none"/>
        </w:rPr>
      </w:pPr>
    </w:p>
    <w:p w14:paraId="77C7B255">
      <w:pPr>
        <w:spacing w:line="560" w:lineRule="exact"/>
        <w:ind w:firstLine="640" w:firstLineChars="200"/>
        <w:rPr>
          <w:rFonts w:hint="eastAsia" w:ascii="仿宋_GB2312" w:hAnsi="仿宋_GB2312" w:eastAsia="仿宋_GB2312" w:cs="仿宋_GB2312"/>
          <w:color w:val="auto"/>
          <w:sz w:val="32"/>
          <w:szCs w:val="32"/>
          <w:highlight w:val="none"/>
        </w:rPr>
      </w:pPr>
    </w:p>
    <w:p w14:paraId="43115732">
      <w:pPr>
        <w:spacing w:line="560" w:lineRule="exact"/>
        <w:ind w:firstLine="640" w:firstLineChars="200"/>
        <w:rPr>
          <w:rFonts w:hint="eastAsia" w:ascii="仿宋_GB2312" w:hAnsi="仿宋_GB2312" w:eastAsia="仿宋_GB2312" w:cs="仿宋_GB2312"/>
          <w:color w:val="auto"/>
          <w:sz w:val="32"/>
          <w:szCs w:val="32"/>
          <w:highlight w:val="none"/>
        </w:rPr>
      </w:pPr>
    </w:p>
    <w:p w14:paraId="0B4AFDCC">
      <w:pPr>
        <w:spacing w:after="160" w:line="278" w:lineRule="auto"/>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房山区“十五五”时期中关村房山园发展规划</w:t>
      </w:r>
    </w:p>
    <w:p w14:paraId="4B5A4317">
      <w:pPr>
        <w:spacing w:after="160" w:line="360" w:lineRule="auto"/>
        <w:ind w:firstLine="0" w:firstLineChars="0"/>
        <w:contextualSpacing/>
        <w:jc w:val="center"/>
        <w:rPr>
          <w:rFonts w:hint="eastAsia" w:ascii="方正小标宋简体" w:hAnsi="方正小标宋简体" w:eastAsia="方正小标宋简体" w:cs="方正小标宋简体"/>
          <w:color w:val="auto"/>
          <w:kern w:val="0"/>
          <w:sz w:val="40"/>
          <w:szCs w:val="40"/>
          <w:highlight w:val="none"/>
          <w:lang w:val="en-US" w:eastAsia="zh-CN"/>
        </w:rPr>
      </w:pPr>
      <w:r>
        <w:rPr>
          <w:rFonts w:hint="eastAsia" w:ascii="方正小标宋简体" w:hAnsi="方正小标宋简体" w:eastAsia="方正小标宋简体" w:cs="方正小标宋简体"/>
          <w:color w:val="auto"/>
          <w:kern w:val="0"/>
          <w:sz w:val="40"/>
          <w:szCs w:val="40"/>
          <w:highlight w:val="none"/>
          <w:lang w:val="en-US" w:eastAsia="zh-CN"/>
        </w:rPr>
        <w:t>（征求意见稿）</w:t>
      </w:r>
    </w:p>
    <w:p w14:paraId="636FA5EA">
      <w:pPr>
        <w:spacing w:line="560" w:lineRule="exact"/>
        <w:ind w:firstLine="640" w:firstLineChars="200"/>
        <w:rPr>
          <w:rFonts w:hint="eastAsia" w:ascii="仿宋_GB2312" w:hAnsi="仿宋_GB2312" w:eastAsia="仿宋_GB2312" w:cs="仿宋_GB2312"/>
          <w:color w:val="auto"/>
          <w:sz w:val="32"/>
          <w:szCs w:val="32"/>
          <w:highlight w:val="none"/>
        </w:rPr>
      </w:pPr>
    </w:p>
    <w:p w14:paraId="4D3CDFD1">
      <w:pPr>
        <w:spacing w:line="560" w:lineRule="exact"/>
        <w:ind w:firstLine="640" w:firstLineChars="200"/>
        <w:rPr>
          <w:rFonts w:hint="eastAsia" w:ascii="仿宋_GB2312" w:hAnsi="仿宋_GB2312" w:eastAsia="仿宋_GB2312" w:cs="仿宋_GB2312"/>
          <w:color w:val="auto"/>
          <w:sz w:val="32"/>
          <w:szCs w:val="32"/>
          <w:highlight w:val="none"/>
        </w:rPr>
      </w:pPr>
    </w:p>
    <w:p w14:paraId="33633EA7">
      <w:pPr>
        <w:spacing w:line="560" w:lineRule="exact"/>
        <w:ind w:firstLine="640" w:firstLineChars="200"/>
        <w:rPr>
          <w:rFonts w:hint="eastAsia" w:ascii="仿宋_GB2312" w:hAnsi="仿宋_GB2312" w:eastAsia="仿宋_GB2312" w:cs="仿宋_GB2312"/>
          <w:color w:val="auto"/>
          <w:sz w:val="32"/>
          <w:szCs w:val="32"/>
          <w:highlight w:val="none"/>
        </w:rPr>
      </w:pPr>
    </w:p>
    <w:p w14:paraId="01674B76">
      <w:pPr>
        <w:spacing w:line="560" w:lineRule="exact"/>
        <w:ind w:firstLine="640" w:firstLineChars="200"/>
        <w:rPr>
          <w:rFonts w:hint="eastAsia" w:ascii="仿宋_GB2312" w:hAnsi="仿宋_GB2312" w:eastAsia="仿宋_GB2312" w:cs="仿宋_GB2312"/>
          <w:color w:val="auto"/>
          <w:sz w:val="32"/>
          <w:szCs w:val="32"/>
          <w:highlight w:val="none"/>
        </w:rPr>
      </w:pPr>
    </w:p>
    <w:p w14:paraId="72C6A995">
      <w:pPr>
        <w:spacing w:line="560" w:lineRule="exact"/>
        <w:ind w:firstLine="640" w:firstLineChars="200"/>
        <w:rPr>
          <w:rFonts w:hint="eastAsia" w:ascii="仿宋_GB2312" w:hAnsi="仿宋_GB2312" w:eastAsia="仿宋_GB2312" w:cs="仿宋_GB2312"/>
          <w:color w:val="auto"/>
          <w:sz w:val="32"/>
          <w:szCs w:val="32"/>
          <w:highlight w:val="none"/>
        </w:rPr>
      </w:pPr>
    </w:p>
    <w:p w14:paraId="0AA5A83F">
      <w:pPr>
        <w:pStyle w:val="2"/>
        <w:ind w:left="0" w:leftChars="0" w:firstLine="0" w:firstLineChars="0"/>
        <w:rPr>
          <w:rFonts w:hint="eastAsia" w:ascii="仿宋_GB2312" w:hAnsi="仿宋_GB2312" w:eastAsia="仿宋_GB2312" w:cs="仿宋_GB2312"/>
          <w:color w:val="auto"/>
          <w:sz w:val="32"/>
          <w:szCs w:val="32"/>
          <w:highlight w:val="none"/>
        </w:rPr>
      </w:pPr>
    </w:p>
    <w:p w14:paraId="4A64B06A">
      <w:pPr>
        <w:spacing w:line="560" w:lineRule="exact"/>
        <w:ind w:firstLine="640" w:firstLineChars="200"/>
        <w:rPr>
          <w:rFonts w:hint="eastAsia" w:ascii="仿宋_GB2312" w:hAnsi="仿宋_GB2312" w:eastAsia="仿宋_GB2312" w:cs="仿宋_GB2312"/>
          <w:color w:val="auto"/>
          <w:sz w:val="32"/>
          <w:szCs w:val="32"/>
          <w:highlight w:val="none"/>
        </w:rPr>
      </w:pPr>
    </w:p>
    <w:p w14:paraId="13D0BE7C">
      <w:pPr>
        <w:spacing w:line="560" w:lineRule="exact"/>
        <w:ind w:firstLine="640" w:firstLineChars="200"/>
        <w:rPr>
          <w:rFonts w:hint="eastAsia" w:ascii="仿宋_GB2312" w:hAnsi="仿宋_GB2312" w:eastAsia="仿宋_GB2312" w:cs="仿宋_GB2312"/>
          <w:color w:val="auto"/>
          <w:sz w:val="32"/>
          <w:szCs w:val="32"/>
          <w:highlight w:val="none"/>
        </w:rPr>
      </w:pPr>
    </w:p>
    <w:p w14:paraId="4A2844B5">
      <w:pPr>
        <w:spacing w:line="560" w:lineRule="exact"/>
        <w:ind w:firstLine="640" w:firstLineChars="200"/>
        <w:rPr>
          <w:rFonts w:hint="eastAsia" w:ascii="仿宋_GB2312" w:hAnsi="仿宋_GB2312" w:eastAsia="仿宋_GB2312" w:cs="仿宋_GB2312"/>
          <w:color w:val="auto"/>
          <w:sz w:val="32"/>
          <w:szCs w:val="32"/>
          <w:highlight w:val="none"/>
        </w:rPr>
      </w:pPr>
    </w:p>
    <w:p w14:paraId="05E0AD4C">
      <w:pPr>
        <w:spacing w:line="560" w:lineRule="exact"/>
        <w:ind w:firstLine="640" w:firstLineChars="200"/>
        <w:rPr>
          <w:rFonts w:hint="eastAsia" w:ascii="仿宋_GB2312" w:hAnsi="仿宋_GB2312" w:eastAsia="仿宋_GB2312" w:cs="仿宋_GB2312"/>
          <w:color w:val="auto"/>
          <w:sz w:val="32"/>
          <w:szCs w:val="32"/>
          <w:highlight w:val="none"/>
        </w:rPr>
      </w:pPr>
    </w:p>
    <w:p w14:paraId="7716D250">
      <w:pPr>
        <w:spacing w:after="120" w:line="560" w:lineRule="exact"/>
        <w:jc w:val="center"/>
        <w:rPr>
          <w:rFonts w:ascii="Times New Roman" w:hAnsi="Times New Roman" w:eastAsia="黑体" w:cs="黑体"/>
          <w:color w:val="auto"/>
          <w:kern w:val="0"/>
          <w:sz w:val="32"/>
          <w:szCs w:val="32"/>
          <w:highlight w:val="none"/>
        </w:rPr>
      </w:pPr>
      <w:r>
        <w:rPr>
          <w:rFonts w:hint="eastAsia" w:ascii="Times New Roman" w:hAnsi="Times New Roman" w:eastAsia="黑体" w:cs="黑体"/>
          <w:color w:val="auto"/>
          <w:kern w:val="0"/>
          <w:sz w:val="32"/>
          <w:szCs w:val="32"/>
          <w:highlight w:val="none"/>
          <w:lang w:val="en-US" w:eastAsia="zh-CN"/>
        </w:rPr>
        <w:t>中关村科技园区房山园管理委员会北京市房山区科技委员会</w:t>
      </w:r>
      <w:bookmarkStart w:id="251" w:name="_GoBack"/>
      <w:bookmarkEnd w:id="251"/>
    </w:p>
    <w:p w14:paraId="418F3F19">
      <w:pPr>
        <w:spacing w:after="120" w:line="560" w:lineRule="exact"/>
        <w:jc w:val="center"/>
        <w:rPr>
          <w:rFonts w:ascii="Times New Roman" w:hAnsi="Times New Roman" w:eastAsia="黑体" w:cs="黑体"/>
          <w:color w:val="auto"/>
          <w:kern w:val="0"/>
          <w:sz w:val="32"/>
          <w:szCs w:val="32"/>
          <w:highlight w:val="none"/>
        </w:rPr>
      </w:pPr>
      <w:r>
        <w:rPr>
          <w:rFonts w:hint="eastAsia" w:ascii="Times New Roman" w:hAnsi="Times New Roman" w:eastAsia="黑体" w:cs="黑体"/>
          <w:color w:val="auto"/>
          <w:kern w:val="0"/>
          <w:sz w:val="32"/>
          <w:szCs w:val="32"/>
          <w:highlight w:val="none"/>
          <w:lang w:eastAsia="zh-CN"/>
        </w:rPr>
        <w:t>二〇二六</w:t>
      </w:r>
      <w:r>
        <w:rPr>
          <w:rFonts w:hint="eastAsia" w:ascii="Times New Roman" w:hAnsi="Times New Roman" w:eastAsia="黑体" w:cs="黑体"/>
          <w:color w:val="auto"/>
          <w:kern w:val="0"/>
          <w:sz w:val="32"/>
          <w:szCs w:val="32"/>
          <w:highlight w:val="none"/>
        </w:rPr>
        <w:t>年</w:t>
      </w:r>
      <w:r>
        <w:rPr>
          <w:rFonts w:hint="eastAsia" w:ascii="Times New Roman" w:hAnsi="Times New Roman" w:eastAsia="黑体" w:cs="黑体"/>
          <w:color w:val="auto"/>
          <w:kern w:val="0"/>
          <w:sz w:val="32"/>
          <w:szCs w:val="32"/>
          <w:highlight w:val="none"/>
          <w:lang w:val="en-US" w:eastAsia="zh-CN"/>
        </w:rPr>
        <w:t>七</w:t>
      </w:r>
      <w:r>
        <w:rPr>
          <w:rFonts w:hint="eastAsia" w:ascii="Times New Roman" w:hAnsi="Times New Roman" w:eastAsia="黑体" w:cs="黑体"/>
          <w:color w:val="auto"/>
          <w:kern w:val="0"/>
          <w:sz w:val="32"/>
          <w:szCs w:val="32"/>
          <w:highlight w:val="none"/>
        </w:rPr>
        <w:t xml:space="preserve">月  </w:t>
      </w:r>
    </w:p>
    <w:p w14:paraId="2F747B9F">
      <w:pPr>
        <w:spacing w:after="120" w:line="560" w:lineRule="exact"/>
        <w:jc w:val="center"/>
        <w:rPr>
          <w:rFonts w:ascii="Times New Roman" w:hAnsi="Times New Roman" w:eastAsia="黑体" w:cs="黑体"/>
          <w:color w:val="auto"/>
          <w:kern w:val="0"/>
          <w:sz w:val="32"/>
          <w:szCs w:val="32"/>
          <w:highlight w:val="none"/>
        </w:rPr>
        <w:sectPr>
          <w:pgSz w:w="11906" w:h="16838"/>
          <w:pgMar w:top="2098" w:right="1474" w:bottom="1984" w:left="1587" w:header="851" w:footer="992" w:gutter="0"/>
          <w:pgNumType w:fmt="decimal" w:start="1"/>
          <w:cols w:space="425" w:num="1"/>
          <w:docGrid w:type="lines" w:linePitch="312" w:charSpace="0"/>
        </w:sectPr>
      </w:pPr>
    </w:p>
    <w:sdt>
      <w:sdtPr>
        <w:rPr>
          <w:rFonts w:ascii="宋体" w:hAnsi="宋体" w:eastAsia="宋体"/>
          <w:color w:val="auto"/>
          <w:highlight w:val="none"/>
        </w:rPr>
        <w:id w:val="147472409"/>
        <w15:color w:val="DBDBDB"/>
        <w:docPartObj>
          <w:docPartGallery w:val="Table of Contents"/>
          <w:docPartUnique/>
        </w:docPartObj>
      </w:sdtPr>
      <w:sdtEndPr>
        <w:rPr>
          <w:rFonts w:hint="default" w:ascii="Times New Roman" w:hAnsi="Times New Roman" w:eastAsia="宋体" w:cs="Times New Roman"/>
          <w:color w:val="auto"/>
          <w:highlight w:val="none"/>
        </w:rPr>
      </w:sdtEndPr>
      <w:sdtContent>
        <w:p w14:paraId="467D7813">
          <w:pPr>
            <w:keepNext w:val="0"/>
            <w:keepLines w:val="0"/>
            <w:pageBreakBefore w:val="0"/>
            <w:widowControl w:val="0"/>
            <w:kinsoku/>
            <w:wordWrap/>
            <w:overflowPunct/>
            <w:topLinePunct w:val="0"/>
            <w:autoSpaceDE/>
            <w:autoSpaceDN/>
            <w:bidi w:val="0"/>
            <w:adjustRightInd/>
            <w:snapToGrid/>
            <w:spacing w:after="160" w:line="560" w:lineRule="exact"/>
            <w:jc w:val="center"/>
            <w:textAlignment w:val="auto"/>
            <w:rPr>
              <w:rFonts w:hint="eastAsia" w:ascii="黑体" w:hAnsi="黑体" w:eastAsia="黑体" w:cstheme="minorBidi"/>
              <w:bCs/>
              <w:color w:val="191919"/>
              <w:kern w:val="44"/>
              <w:sz w:val="32"/>
              <w:szCs w:val="32"/>
              <w:highlight w:val="none"/>
              <w:shd w:val="clear" w:color="auto" w:fill="FFFFFF"/>
              <w:lang w:val="en-US" w:eastAsia="zh-CN" w:bidi="ar-SA"/>
            </w:rPr>
          </w:pPr>
          <w:r>
            <w:rPr>
              <w:rFonts w:hint="eastAsia" w:ascii="黑体" w:hAnsi="黑体" w:eastAsia="黑体" w:cstheme="minorBidi"/>
              <w:bCs/>
              <w:color w:val="191919"/>
              <w:kern w:val="44"/>
              <w:sz w:val="32"/>
              <w:szCs w:val="32"/>
              <w:highlight w:val="none"/>
              <w:shd w:val="clear" w:color="auto" w:fill="FFFFFF"/>
              <w:lang w:val="en-US" w:eastAsia="zh-CN" w:bidi="ar-SA"/>
            </w:rPr>
            <w:t>目  录</w:t>
          </w:r>
        </w:p>
        <w:p w14:paraId="2BCB03F1">
          <w:pPr>
            <w:pStyle w:val="14"/>
            <w:tabs>
              <w:tab w:val="right" w:leader="dot" w:pos="8306"/>
            </w:tabs>
            <w:rPr>
              <w:rFonts w:hint="default" w:ascii="Times New Roman" w:hAnsi="Times New Roman" w:eastAsia="黑体" w:cs="Times New Roman"/>
              <w:sz w:val="32"/>
              <w:szCs w:val="40"/>
              <w:highlight w:val="none"/>
            </w:rPr>
          </w:pPr>
          <w:r>
            <w:rPr>
              <w:rFonts w:hint="default" w:ascii="Times New Roman" w:hAnsi="Times New Roman" w:eastAsia="黑体" w:cs="Times New Roman"/>
              <w:b w:val="0"/>
              <w:bCs w:val="0"/>
              <w:color w:val="auto"/>
              <w:kern w:val="0"/>
              <w:sz w:val="340"/>
              <w:szCs w:val="340"/>
              <w:highlight w:val="none"/>
            </w:rPr>
            <w:fldChar w:fldCharType="begin"/>
          </w:r>
          <w:r>
            <w:rPr>
              <w:rFonts w:hint="default" w:ascii="Times New Roman" w:hAnsi="Times New Roman" w:eastAsia="黑体" w:cs="Times New Roman"/>
              <w:b w:val="0"/>
              <w:bCs w:val="0"/>
              <w:color w:val="auto"/>
              <w:kern w:val="0"/>
              <w:sz w:val="340"/>
              <w:szCs w:val="340"/>
              <w:highlight w:val="none"/>
            </w:rPr>
            <w:instrText xml:space="preserve">TOC \o "1-3" \h \u </w:instrText>
          </w:r>
          <w:r>
            <w:rPr>
              <w:rFonts w:hint="default" w:ascii="Times New Roman" w:hAnsi="Times New Roman" w:eastAsia="黑体" w:cs="Times New Roman"/>
              <w:b w:val="0"/>
              <w:bCs w:val="0"/>
              <w:color w:val="auto"/>
              <w:kern w:val="0"/>
              <w:sz w:val="340"/>
              <w:szCs w:val="340"/>
              <w:highlight w:val="none"/>
            </w:rPr>
            <w:fldChar w:fldCharType="separate"/>
          </w:r>
          <w:r>
            <w:rPr>
              <w:rFonts w:hint="default" w:ascii="Times New Roman" w:hAnsi="Times New Roman" w:eastAsia="黑体" w:cs="Times New Roman"/>
              <w:bCs w:val="0"/>
              <w:color w:val="auto"/>
              <w:kern w:val="0"/>
              <w:sz w:val="32"/>
              <w:szCs w:val="340"/>
              <w:highlight w:val="none"/>
            </w:rPr>
            <w:fldChar w:fldCharType="begin"/>
          </w:r>
          <w:r>
            <w:rPr>
              <w:rFonts w:hint="default" w:ascii="Times New Roman" w:hAnsi="Times New Roman" w:eastAsia="黑体" w:cs="Times New Roman"/>
              <w:bCs w:val="0"/>
              <w:kern w:val="0"/>
              <w:sz w:val="32"/>
              <w:szCs w:val="340"/>
              <w:highlight w:val="none"/>
            </w:rPr>
            <w:instrText xml:space="preserve"> HYPERLINK \l _Toc14580 </w:instrText>
          </w:r>
          <w:r>
            <w:rPr>
              <w:rFonts w:hint="default" w:ascii="Times New Roman" w:hAnsi="Times New Roman" w:eastAsia="黑体" w:cs="Times New Roman"/>
              <w:bCs w:val="0"/>
              <w:kern w:val="0"/>
              <w:sz w:val="32"/>
              <w:szCs w:val="340"/>
              <w:highlight w:val="none"/>
            </w:rPr>
            <w:fldChar w:fldCharType="separate"/>
          </w:r>
          <w:r>
            <w:rPr>
              <w:rFonts w:hint="default" w:ascii="Times New Roman" w:hAnsi="Times New Roman" w:eastAsia="黑体" w:cs="Times New Roman"/>
              <w:bCs w:val="0"/>
              <w:sz w:val="32"/>
              <w:szCs w:val="48"/>
              <w:highlight w:val="none"/>
            </w:rPr>
            <w:t>序  言</w:t>
          </w:r>
          <w:r>
            <w:rPr>
              <w:rFonts w:hint="default" w:ascii="Times New Roman" w:hAnsi="Times New Roman" w:eastAsia="黑体" w:cs="Times New Roman"/>
              <w:sz w:val="32"/>
              <w:szCs w:val="40"/>
              <w:highlight w:val="none"/>
            </w:rPr>
            <w:tab/>
          </w:r>
          <w:r>
            <w:rPr>
              <w:rFonts w:hint="default" w:ascii="Times New Roman" w:hAnsi="Times New Roman" w:eastAsia="黑体" w:cs="Times New Roman"/>
              <w:sz w:val="32"/>
              <w:szCs w:val="40"/>
              <w:highlight w:val="none"/>
            </w:rPr>
            <w:fldChar w:fldCharType="begin"/>
          </w:r>
          <w:r>
            <w:rPr>
              <w:rFonts w:hint="default" w:ascii="Times New Roman" w:hAnsi="Times New Roman" w:eastAsia="黑体" w:cs="Times New Roman"/>
              <w:sz w:val="32"/>
              <w:szCs w:val="40"/>
              <w:highlight w:val="none"/>
            </w:rPr>
            <w:instrText xml:space="preserve"> PAGEREF _Toc14580 \h </w:instrText>
          </w:r>
          <w:r>
            <w:rPr>
              <w:rFonts w:hint="default" w:ascii="Times New Roman" w:hAnsi="Times New Roman" w:eastAsia="黑体" w:cs="Times New Roman"/>
              <w:sz w:val="32"/>
              <w:szCs w:val="40"/>
              <w:highlight w:val="none"/>
            </w:rPr>
            <w:fldChar w:fldCharType="separate"/>
          </w:r>
          <w:r>
            <w:rPr>
              <w:rFonts w:hint="default" w:ascii="Times New Roman" w:hAnsi="Times New Roman" w:eastAsia="黑体" w:cs="Times New Roman"/>
              <w:sz w:val="32"/>
              <w:szCs w:val="40"/>
              <w:highlight w:val="none"/>
            </w:rPr>
            <w:t>1</w:t>
          </w:r>
          <w:r>
            <w:rPr>
              <w:rFonts w:hint="default" w:ascii="Times New Roman" w:hAnsi="Times New Roman" w:eastAsia="黑体" w:cs="Times New Roman"/>
              <w:sz w:val="32"/>
              <w:szCs w:val="40"/>
              <w:highlight w:val="none"/>
            </w:rPr>
            <w:fldChar w:fldCharType="end"/>
          </w:r>
          <w:r>
            <w:rPr>
              <w:rFonts w:hint="default" w:ascii="Times New Roman" w:hAnsi="Times New Roman" w:eastAsia="黑体" w:cs="Times New Roman"/>
              <w:bCs w:val="0"/>
              <w:color w:val="auto"/>
              <w:kern w:val="0"/>
              <w:sz w:val="32"/>
              <w:szCs w:val="340"/>
              <w:highlight w:val="none"/>
            </w:rPr>
            <w:fldChar w:fldCharType="end"/>
          </w:r>
        </w:p>
        <w:p w14:paraId="052956B4">
          <w:pPr>
            <w:pStyle w:val="14"/>
            <w:tabs>
              <w:tab w:val="right" w:leader="dot" w:pos="8306"/>
            </w:tabs>
            <w:rPr>
              <w:rFonts w:hint="default" w:ascii="Times New Roman" w:hAnsi="Times New Roman" w:eastAsia="黑体" w:cs="Times New Roman"/>
              <w:sz w:val="32"/>
              <w:szCs w:val="40"/>
              <w:highlight w:val="none"/>
            </w:rPr>
          </w:pPr>
          <w:r>
            <w:rPr>
              <w:rFonts w:hint="default" w:ascii="Times New Roman" w:hAnsi="Times New Roman" w:eastAsia="黑体" w:cs="Times New Roman"/>
              <w:bCs w:val="0"/>
              <w:color w:val="auto"/>
              <w:kern w:val="0"/>
              <w:sz w:val="32"/>
              <w:szCs w:val="340"/>
              <w:highlight w:val="none"/>
            </w:rPr>
            <w:fldChar w:fldCharType="begin"/>
          </w:r>
          <w:r>
            <w:rPr>
              <w:rFonts w:hint="default" w:ascii="Times New Roman" w:hAnsi="Times New Roman" w:eastAsia="黑体" w:cs="Times New Roman"/>
              <w:bCs w:val="0"/>
              <w:kern w:val="0"/>
              <w:sz w:val="32"/>
              <w:szCs w:val="340"/>
              <w:highlight w:val="none"/>
            </w:rPr>
            <w:instrText xml:space="preserve"> HYPERLINK \l _Toc10636 </w:instrText>
          </w:r>
          <w:r>
            <w:rPr>
              <w:rFonts w:hint="default" w:ascii="Times New Roman" w:hAnsi="Times New Roman" w:eastAsia="黑体" w:cs="Times New Roman"/>
              <w:bCs w:val="0"/>
              <w:kern w:val="0"/>
              <w:sz w:val="32"/>
              <w:szCs w:val="340"/>
              <w:highlight w:val="none"/>
            </w:rPr>
            <w:fldChar w:fldCharType="separate"/>
          </w:r>
          <w:r>
            <w:rPr>
              <w:rFonts w:hint="default" w:ascii="Times New Roman" w:hAnsi="Times New Roman" w:eastAsia="黑体" w:cs="Times New Roman"/>
              <w:sz w:val="32"/>
              <w:szCs w:val="48"/>
              <w:highlight w:val="none"/>
            </w:rPr>
            <w:t>一</w:t>
          </w:r>
          <w:r>
            <w:rPr>
              <w:rFonts w:hint="default" w:ascii="Times New Roman" w:hAnsi="Times New Roman" w:eastAsia="黑体" w:cs="Times New Roman"/>
              <w:sz w:val="32"/>
              <w:szCs w:val="48"/>
              <w:highlight w:val="none"/>
              <w:lang w:eastAsia="zh-CN"/>
            </w:rPr>
            <w:t>、</w:t>
          </w:r>
          <w:r>
            <w:rPr>
              <w:rFonts w:hint="default" w:ascii="Times New Roman" w:hAnsi="Times New Roman" w:eastAsia="黑体" w:cs="Times New Roman"/>
              <w:sz w:val="32"/>
              <w:szCs w:val="48"/>
              <w:highlight w:val="none"/>
            </w:rPr>
            <w:t>发展基础与形势要求</w:t>
          </w:r>
          <w:r>
            <w:rPr>
              <w:rFonts w:hint="default" w:ascii="Times New Roman" w:hAnsi="Times New Roman" w:eastAsia="黑体" w:cs="Times New Roman"/>
              <w:sz w:val="32"/>
              <w:szCs w:val="40"/>
              <w:highlight w:val="none"/>
            </w:rPr>
            <w:tab/>
          </w:r>
          <w:r>
            <w:rPr>
              <w:rFonts w:hint="default" w:ascii="Times New Roman" w:hAnsi="Times New Roman" w:eastAsia="黑体" w:cs="Times New Roman"/>
              <w:sz w:val="32"/>
              <w:szCs w:val="40"/>
              <w:highlight w:val="none"/>
            </w:rPr>
            <w:fldChar w:fldCharType="begin"/>
          </w:r>
          <w:r>
            <w:rPr>
              <w:rFonts w:hint="default" w:ascii="Times New Roman" w:hAnsi="Times New Roman" w:eastAsia="黑体" w:cs="Times New Roman"/>
              <w:sz w:val="32"/>
              <w:szCs w:val="40"/>
              <w:highlight w:val="none"/>
            </w:rPr>
            <w:instrText xml:space="preserve"> PAGEREF _Toc10636 \h </w:instrText>
          </w:r>
          <w:r>
            <w:rPr>
              <w:rFonts w:hint="default" w:ascii="Times New Roman" w:hAnsi="Times New Roman" w:eastAsia="黑体" w:cs="Times New Roman"/>
              <w:sz w:val="32"/>
              <w:szCs w:val="40"/>
              <w:highlight w:val="none"/>
            </w:rPr>
            <w:fldChar w:fldCharType="separate"/>
          </w:r>
          <w:r>
            <w:rPr>
              <w:rFonts w:hint="default" w:ascii="Times New Roman" w:hAnsi="Times New Roman" w:eastAsia="黑体" w:cs="Times New Roman"/>
              <w:sz w:val="32"/>
              <w:szCs w:val="40"/>
              <w:highlight w:val="none"/>
            </w:rPr>
            <w:t>3</w:t>
          </w:r>
          <w:r>
            <w:rPr>
              <w:rFonts w:hint="default" w:ascii="Times New Roman" w:hAnsi="Times New Roman" w:eastAsia="黑体" w:cs="Times New Roman"/>
              <w:sz w:val="32"/>
              <w:szCs w:val="40"/>
              <w:highlight w:val="none"/>
            </w:rPr>
            <w:fldChar w:fldCharType="end"/>
          </w:r>
          <w:r>
            <w:rPr>
              <w:rFonts w:hint="default" w:ascii="Times New Roman" w:hAnsi="Times New Roman" w:eastAsia="黑体" w:cs="Times New Roman"/>
              <w:bCs w:val="0"/>
              <w:color w:val="auto"/>
              <w:kern w:val="0"/>
              <w:sz w:val="32"/>
              <w:szCs w:val="340"/>
              <w:highlight w:val="none"/>
            </w:rPr>
            <w:fldChar w:fldCharType="end"/>
          </w:r>
        </w:p>
        <w:p w14:paraId="236BBA55">
          <w:pPr>
            <w:pStyle w:val="15"/>
            <w:tabs>
              <w:tab w:val="right" w:leader="dot" w:pos="8306"/>
            </w:tabs>
            <w:rPr>
              <w:rFonts w:hint="default" w:ascii="Times New Roman" w:hAnsi="Times New Roman" w:cs="Times New Roman"/>
              <w:sz w:val="32"/>
              <w:szCs w:val="40"/>
              <w:highlight w:val="none"/>
            </w:rPr>
          </w:pPr>
          <w:r>
            <w:rPr>
              <w:rFonts w:hint="default" w:ascii="Times New Roman" w:hAnsi="Times New Roman" w:eastAsia="黑体" w:cs="Times New Roman"/>
              <w:bCs w:val="0"/>
              <w:color w:val="auto"/>
              <w:kern w:val="0"/>
              <w:sz w:val="32"/>
              <w:szCs w:val="340"/>
              <w:highlight w:val="none"/>
            </w:rPr>
            <w:fldChar w:fldCharType="begin"/>
          </w:r>
          <w:r>
            <w:rPr>
              <w:rFonts w:hint="default" w:ascii="Times New Roman" w:hAnsi="Times New Roman" w:eastAsia="黑体" w:cs="Times New Roman"/>
              <w:bCs w:val="0"/>
              <w:kern w:val="0"/>
              <w:sz w:val="32"/>
              <w:szCs w:val="340"/>
              <w:highlight w:val="none"/>
            </w:rPr>
            <w:instrText xml:space="preserve"> HYPERLINK \l _Toc11568 </w:instrText>
          </w:r>
          <w:r>
            <w:rPr>
              <w:rFonts w:hint="default" w:ascii="Times New Roman" w:hAnsi="Times New Roman" w:eastAsia="黑体" w:cs="Times New Roman"/>
              <w:bCs w:val="0"/>
              <w:kern w:val="0"/>
              <w:sz w:val="32"/>
              <w:szCs w:val="340"/>
              <w:highlight w:val="none"/>
            </w:rPr>
            <w:fldChar w:fldCharType="separate"/>
          </w:r>
          <w:r>
            <w:rPr>
              <w:rFonts w:hint="default" w:ascii="Times New Roman" w:hAnsi="Times New Roman" w:eastAsia="楷体_GB2312" w:cs="Times New Roman"/>
              <w:sz w:val="32"/>
              <w:szCs w:val="40"/>
              <w:highlight w:val="none"/>
              <w:shd w:val="clear" w:color="auto" w:fill="FFFFFF"/>
              <w:lang w:eastAsia="zh-CN"/>
            </w:rPr>
            <w:t>（</w:t>
          </w:r>
          <w:r>
            <w:rPr>
              <w:rFonts w:hint="default" w:ascii="Times New Roman" w:hAnsi="Times New Roman" w:eastAsia="楷体_GB2312" w:cs="Times New Roman"/>
              <w:sz w:val="32"/>
              <w:szCs w:val="40"/>
              <w:highlight w:val="none"/>
              <w:shd w:val="clear" w:color="auto" w:fill="FFFFFF"/>
              <w:lang w:val="en-US" w:eastAsia="zh-CN"/>
            </w:rPr>
            <w:t>一</w:t>
          </w:r>
          <w:r>
            <w:rPr>
              <w:rFonts w:hint="default" w:ascii="Times New Roman" w:hAnsi="Times New Roman" w:eastAsia="楷体_GB2312" w:cs="Times New Roman"/>
              <w:sz w:val="32"/>
              <w:szCs w:val="40"/>
              <w:highlight w:val="none"/>
              <w:shd w:val="clear" w:color="auto" w:fill="FFFFFF"/>
              <w:lang w:eastAsia="zh-CN"/>
            </w:rPr>
            <w:t>）</w:t>
          </w:r>
          <w:r>
            <w:rPr>
              <w:rFonts w:hint="default" w:ascii="Times New Roman" w:hAnsi="Times New Roman" w:eastAsia="楷体_GB2312" w:cs="Times New Roman"/>
              <w:sz w:val="32"/>
              <w:szCs w:val="40"/>
              <w:highlight w:val="none"/>
              <w:shd w:val="clear" w:color="auto" w:fill="FFFFFF"/>
            </w:rPr>
            <w:t>发展基础</w:t>
          </w:r>
          <w:r>
            <w:rPr>
              <w:rFonts w:hint="default" w:ascii="Times New Roman" w:hAnsi="Times New Roman" w:cs="Times New Roman"/>
              <w:sz w:val="32"/>
              <w:szCs w:val="40"/>
              <w:highlight w:val="none"/>
            </w:rPr>
            <w:tab/>
          </w:r>
          <w:r>
            <w:rPr>
              <w:rFonts w:hint="default" w:ascii="Times New Roman" w:hAnsi="Times New Roman" w:cs="Times New Roman"/>
              <w:sz w:val="32"/>
              <w:szCs w:val="40"/>
              <w:highlight w:val="none"/>
            </w:rPr>
            <w:fldChar w:fldCharType="begin"/>
          </w:r>
          <w:r>
            <w:rPr>
              <w:rFonts w:hint="default" w:ascii="Times New Roman" w:hAnsi="Times New Roman" w:cs="Times New Roman"/>
              <w:sz w:val="32"/>
              <w:szCs w:val="40"/>
              <w:highlight w:val="none"/>
            </w:rPr>
            <w:instrText xml:space="preserve"> PAGEREF _Toc11568 \h </w:instrText>
          </w:r>
          <w:r>
            <w:rPr>
              <w:rFonts w:hint="default" w:ascii="Times New Roman" w:hAnsi="Times New Roman" w:cs="Times New Roman"/>
              <w:sz w:val="32"/>
              <w:szCs w:val="40"/>
              <w:highlight w:val="none"/>
            </w:rPr>
            <w:fldChar w:fldCharType="separate"/>
          </w:r>
          <w:r>
            <w:rPr>
              <w:rFonts w:hint="default" w:ascii="Times New Roman" w:hAnsi="Times New Roman" w:cs="Times New Roman"/>
              <w:sz w:val="32"/>
              <w:szCs w:val="40"/>
              <w:highlight w:val="none"/>
            </w:rPr>
            <w:t>3</w:t>
          </w:r>
          <w:r>
            <w:rPr>
              <w:rFonts w:hint="default" w:ascii="Times New Roman" w:hAnsi="Times New Roman" w:cs="Times New Roman"/>
              <w:sz w:val="32"/>
              <w:szCs w:val="40"/>
              <w:highlight w:val="none"/>
            </w:rPr>
            <w:fldChar w:fldCharType="end"/>
          </w:r>
          <w:r>
            <w:rPr>
              <w:rFonts w:hint="default" w:ascii="Times New Roman" w:hAnsi="Times New Roman" w:eastAsia="黑体" w:cs="Times New Roman"/>
              <w:bCs w:val="0"/>
              <w:color w:val="auto"/>
              <w:kern w:val="0"/>
              <w:sz w:val="32"/>
              <w:szCs w:val="340"/>
              <w:highlight w:val="none"/>
            </w:rPr>
            <w:fldChar w:fldCharType="end"/>
          </w:r>
        </w:p>
        <w:p w14:paraId="33A37272">
          <w:pPr>
            <w:pStyle w:val="15"/>
            <w:tabs>
              <w:tab w:val="right" w:leader="dot" w:pos="8306"/>
            </w:tabs>
            <w:rPr>
              <w:rFonts w:hint="default" w:ascii="Times New Roman" w:hAnsi="Times New Roman" w:cs="Times New Roman"/>
              <w:sz w:val="32"/>
              <w:szCs w:val="40"/>
              <w:highlight w:val="none"/>
            </w:rPr>
          </w:pPr>
          <w:r>
            <w:rPr>
              <w:rFonts w:hint="default" w:ascii="Times New Roman" w:hAnsi="Times New Roman" w:eastAsia="黑体" w:cs="Times New Roman"/>
              <w:bCs w:val="0"/>
              <w:color w:val="auto"/>
              <w:kern w:val="0"/>
              <w:sz w:val="32"/>
              <w:szCs w:val="340"/>
              <w:highlight w:val="none"/>
            </w:rPr>
            <w:fldChar w:fldCharType="begin"/>
          </w:r>
          <w:r>
            <w:rPr>
              <w:rFonts w:hint="default" w:ascii="Times New Roman" w:hAnsi="Times New Roman" w:eastAsia="黑体" w:cs="Times New Roman"/>
              <w:bCs w:val="0"/>
              <w:kern w:val="0"/>
              <w:sz w:val="32"/>
              <w:szCs w:val="340"/>
              <w:highlight w:val="none"/>
            </w:rPr>
            <w:instrText xml:space="preserve"> HYPERLINK \l _Toc27692 </w:instrText>
          </w:r>
          <w:r>
            <w:rPr>
              <w:rFonts w:hint="default" w:ascii="Times New Roman" w:hAnsi="Times New Roman" w:eastAsia="黑体" w:cs="Times New Roman"/>
              <w:bCs w:val="0"/>
              <w:kern w:val="0"/>
              <w:sz w:val="32"/>
              <w:szCs w:val="340"/>
              <w:highlight w:val="none"/>
            </w:rPr>
            <w:fldChar w:fldCharType="separate"/>
          </w:r>
          <w:r>
            <w:rPr>
              <w:rFonts w:hint="default" w:ascii="Times New Roman" w:hAnsi="Times New Roman" w:eastAsia="楷体_GB2312" w:cs="Times New Roman"/>
              <w:sz w:val="32"/>
              <w:szCs w:val="40"/>
              <w:highlight w:val="none"/>
              <w:shd w:val="clear" w:color="auto" w:fill="FFFFFF"/>
              <w:lang w:eastAsia="zh-CN"/>
            </w:rPr>
            <w:t>（二）</w:t>
          </w:r>
          <w:r>
            <w:rPr>
              <w:rFonts w:hint="default" w:ascii="Times New Roman" w:hAnsi="Times New Roman" w:eastAsia="楷体_GB2312" w:cs="Times New Roman"/>
              <w:sz w:val="32"/>
              <w:szCs w:val="40"/>
              <w:highlight w:val="none"/>
              <w:shd w:val="clear" w:color="auto" w:fill="FFFFFF"/>
            </w:rPr>
            <w:t>形势要求</w:t>
          </w:r>
          <w:r>
            <w:rPr>
              <w:rFonts w:hint="default" w:ascii="Times New Roman" w:hAnsi="Times New Roman" w:cs="Times New Roman"/>
              <w:sz w:val="32"/>
              <w:szCs w:val="40"/>
              <w:highlight w:val="none"/>
            </w:rPr>
            <w:tab/>
          </w:r>
          <w:r>
            <w:rPr>
              <w:rFonts w:hint="default" w:ascii="Times New Roman" w:hAnsi="Times New Roman" w:cs="Times New Roman"/>
              <w:sz w:val="32"/>
              <w:szCs w:val="40"/>
              <w:highlight w:val="none"/>
            </w:rPr>
            <w:fldChar w:fldCharType="begin"/>
          </w:r>
          <w:r>
            <w:rPr>
              <w:rFonts w:hint="default" w:ascii="Times New Roman" w:hAnsi="Times New Roman" w:cs="Times New Roman"/>
              <w:sz w:val="32"/>
              <w:szCs w:val="40"/>
              <w:highlight w:val="none"/>
            </w:rPr>
            <w:instrText xml:space="preserve"> PAGEREF _Toc27692 \h </w:instrText>
          </w:r>
          <w:r>
            <w:rPr>
              <w:rFonts w:hint="default" w:ascii="Times New Roman" w:hAnsi="Times New Roman" w:cs="Times New Roman"/>
              <w:sz w:val="32"/>
              <w:szCs w:val="40"/>
              <w:highlight w:val="none"/>
            </w:rPr>
            <w:fldChar w:fldCharType="separate"/>
          </w:r>
          <w:r>
            <w:rPr>
              <w:rFonts w:hint="default" w:ascii="Times New Roman" w:hAnsi="Times New Roman" w:cs="Times New Roman"/>
              <w:sz w:val="32"/>
              <w:szCs w:val="40"/>
              <w:highlight w:val="none"/>
            </w:rPr>
            <w:t>5</w:t>
          </w:r>
          <w:r>
            <w:rPr>
              <w:rFonts w:hint="default" w:ascii="Times New Roman" w:hAnsi="Times New Roman" w:cs="Times New Roman"/>
              <w:sz w:val="32"/>
              <w:szCs w:val="40"/>
              <w:highlight w:val="none"/>
            </w:rPr>
            <w:fldChar w:fldCharType="end"/>
          </w:r>
          <w:r>
            <w:rPr>
              <w:rFonts w:hint="default" w:ascii="Times New Roman" w:hAnsi="Times New Roman" w:eastAsia="黑体" w:cs="Times New Roman"/>
              <w:bCs w:val="0"/>
              <w:color w:val="auto"/>
              <w:kern w:val="0"/>
              <w:sz w:val="32"/>
              <w:szCs w:val="340"/>
              <w:highlight w:val="none"/>
            </w:rPr>
            <w:fldChar w:fldCharType="end"/>
          </w:r>
        </w:p>
        <w:p w14:paraId="317CA5B3">
          <w:pPr>
            <w:pStyle w:val="14"/>
            <w:tabs>
              <w:tab w:val="right" w:leader="dot" w:pos="8306"/>
            </w:tabs>
            <w:rPr>
              <w:rFonts w:hint="default" w:ascii="Times New Roman" w:hAnsi="Times New Roman" w:eastAsia="黑体" w:cs="Times New Roman"/>
              <w:bCs w:val="0"/>
              <w:color w:val="auto"/>
              <w:kern w:val="0"/>
              <w:sz w:val="32"/>
              <w:szCs w:val="340"/>
              <w:highlight w:val="none"/>
            </w:rPr>
          </w:pPr>
          <w:r>
            <w:rPr>
              <w:rFonts w:hint="default" w:ascii="Times New Roman" w:hAnsi="Times New Roman" w:eastAsia="黑体" w:cs="Times New Roman"/>
              <w:bCs w:val="0"/>
              <w:color w:val="auto"/>
              <w:kern w:val="0"/>
              <w:sz w:val="32"/>
              <w:szCs w:val="340"/>
              <w:highlight w:val="none"/>
            </w:rPr>
            <w:fldChar w:fldCharType="begin"/>
          </w:r>
          <w:r>
            <w:rPr>
              <w:rFonts w:hint="default" w:ascii="Times New Roman" w:hAnsi="Times New Roman" w:eastAsia="黑体" w:cs="Times New Roman"/>
              <w:bCs w:val="0"/>
              <w:color w:val="auto"/>
              <w:kern w:val="0"/>
              <w:sz w:val="32"/>
              <w:szCs w:val="340"/>
              <w:highlight w:val="none"/>
            </w:rPr>
            <w:instrText xml:space="preserve"> HYPERLINK \l _Toc13037 </w:instrText>
          </w:r>
          <w:r>
            <w:rPr>
              <w:rFonts w:hint="default" w:ascii="Times New Roman" w:hAnsi="Times New Roman" w:eastAsia="黑体" w:cs="Times New Roman"/>
              <w:bCs w:val="0"/>
              <w:color w:val="auto"/>
              <w:kern w:val="0"/>
              <w:sz w:val="32"/>
              <w:szCs w:val="340"/>
              <w:highlight w:val="none"/>
            </w:rPr>
            <w:fldChar w:fldCharType="separate"/>
          </w:r>
          <w:r>
            <w:rPr>
              <w:rFonts w:hint="default" w:ascii="Times New Roman" w:hAnsi="Times New Roman" w:eastAsia="黑体" w:cs="Times New Roman"/>
              <w:bCs w:val="0"/>
              <w:color w:val="auto"/>
              <w:kern w:val="0"/>
              <w:sz w:val="32"/>
              <w:szCs w:val="340"/>
              <w:highlight w:val="none"/>
            </w:rPr>
            <w:t>二</w:t>
          </w:r>
          <w:r>
            <w:rPr>
              <w:rFonts w:hint="default" w:ascii="Times New Roman" w:hAnsi="Times New Roman" w:eastAsia="黑体" w:cs="Times New Roman"/>
              <w:bCs w:val="0"/>
              <w:color w:val="auto"/>
              <w:kern w:val="0"/>
              <w:sz w:val="32"/>
              <w:szCs w:val="340"/>
              <w:highlight w:val="none"/>
              <w:lang w:eastAsia="zh-CN"/>
            </w:rPr>
            <w:t>、</w:t>
          </w:r>
          <w:r>
            <w:rPr>
              <w:rFonts w:hint="default" w:ascii="Times New Roman" w:hAnsi="Times New Roman" w:eastAsia="黑体" w:cs="Times New Roman"/>
              <w:bCs w:val="0"/>
              <w:color w:val="auto"/>
              <w:kern w:val="0"/>
              <w:sz w:val="32"/>
              <w:szCs w:val="340"/>
              <w:highlight w:val="none"/>
            </w:rPr>
            <w:t>总体发展思路</w:t>
          </w:r>
          <w:r>
            <w:rPr>
              <w:rFonts w:hint="default" w:ascii="Times New Roman" w:hAnsi="Times New Roman" w:eastAsia="黑体" w:cs="Times New Roman"/>
              <w:bCs w:val="0"/>
              <w:color w:val="auto"/>
              <w:kern w:val="0"/>
              <w:sz w:val="32"/>
              <w:szCs w:val="340"/>
              <w:highlight w:val="none"/>
            </w:rPr>
            <w:tab/>
          </w:r>
          <w:r>
            <w:rPr>
              <w:rFonts w:hint="default" w:ascii="Times New Roman" w:hAnsi="Times New Roman" w:eastAsia="黑体" w:cs="Times New Roman"/>
              <w:bCs w:val="0"/>
              <w:color w:val="auto"/>
              <w:kern w:val="0"/>
              <w:sz w:val="32"/>
              <w:szCs w:val="340"/>
              <w:highlight w:val="none"/>
            </w:rPr>
            <w:fldChar w:fldCharType="begin"/>
          </w:r>
          <w:r>
            <w:rPr>
              <w:rFonts w:hint="default" w:ascii="Times New Roman" w:hAnsi="Times New Roman" w:eastAsia="黑体" w:cs="Times New Roman"/>
              <w:bCs w:val="0"/>
              <w:color w:val="auto"/>
              <w:kern w:val="0"/>
              <w:sz w:val="32"/>
              <w:szCs w:val="340"/>
              <w:highlight w:val="none"/>
            </w:rPr>
            <w:instrText xml:space="preserve"> PAGEREF _Toc13037 \h </w:instrText>
          </w:r>
          <w:r>
            <w:rPr>
              <w:rFonts w:hint="default" w:ascii="Times New Roman" w:hAnsi="Times New Roman" w:eastAsia="黑体" w:cs="Times New Roman"/>
              <w:bCs w:val="0"/>
              <w:color w:val="auto"/>
              <w:kern w:val="0"/>
              <w:sz w:val="32"/>
              <w:szCs w:val="340"/>
              <w:highlight w:val="none"/>
            </w:rPr>
            <w:fldChar w:fldCharType="separate"/>
          </w:r>
          <w:r>
            <w:rPr>
              <w:rFonts w:hint="default" w:ascii="Times New Roman" w:hAnsi="Times New Roman" w:eastAsia="黑体" w:cs="Times New Roman"/>
              <w:bCs w:val="0"/>
              <w:color w:val="auto"/>
              <w:kern w:val="0"/>
              <w:sz w:val="32"/>
              <w:szCs w:val="340"/>
              <w:highlight w:val="none"/>
            </w:rPr>
            <w:t>8</w:t>
          </w:r>
          <w:r>
            <w:rPr>
              <w:rFonts w:hint="default" w:ascii="Times New Roman" w:hAnsi="Times New Roman" w:eastAsia="黑体" w:cs="Times New Roman"/>
              <w:bCs w:val="0"/>
              <w:color w:val="auto"/>
              <w:kern w:val="0"/>
              <w:sz w:val="32"/>
              <w:szCs w:val="340"/>
              <w:highlight w:val="none"/>
            </w:rPr>
            <w:fldChar w:fldCharType="end"/>
          </w:r>
          <w:r>
            <w:rPr>
              <w:rFonts w:hint="default" w:ascii="Times New Roman" w:hAnsi="Times New Roman" w:eastAsia="黑体" w:cs="Times New Roman"/>
              <w:bCs w:val="0"/>
              <w:color w:val="auto"/>
              <w:kern w:val="0"/>
              <w:sz w:val="32"/>
              <w:szCs w:val="340"/>
              <w:highlight w:val="none"/>
            </w:rPr>
            <w:fldChar w:fldCharType="end"/>
          </w:r>
        </w:p>
        <w:p w14:paraId="588A30F3">
          <w:pPr>
            <w:pStyle w:val="15"/>
            <w:tabs>
              <w:tab w:val="right" w:leader="dot" w:pos="8306"/>
            </w:tabs>
            <w:rPr>
              <w:rFonts w:hint="default" w:ascii="Times New Roman" w:hAnsi="Times New Roman" w:cs="Times New Roman"/>
              <w:sz w:val="32"/>
              <w:szCs w:val="40"/>
              <w:highlight w:val="none"/>
            </w:rPr>
          </w:pPr>
          <w:r>
            <w:rPr>
              <w:rFonts w:hint="default" w:ascii="Times New Roman" w:hAnsi="Times New Roman" w:eastAsia="黑体" w:cs="Times New Roman"/>
              <w:bCs w:val="0"/>
              <w:color w:val="auto"/>
              <w:kern w:val="0"/>
              <w:sz w:val="32"/>
              <w:szCs w:val="340"/>
              <w:highlight w:val="none"/>
            </w:rPr>
            <w:fldChar w:fldCharType="begin"/>
          </w:r>
          <w:r>
            <w:rPr>
              <w:rFonts w:hint="default" w:ascii="Times New Roman" w:hAnsi="Times New Roman" w:eastAsia="黑体" w:cs="Times New Roman"/>
              <w:bCs w:val="0"/>
              <w:kern w:val="0"/>
              <w:sz w:val="32"/>
              <w:szCs w:val="340"/>
              <w:highlight w:val="none"/>
            </w:rPr>
            <w:instrText xml:space="preserve"> HYPERLINK \l _Toc28478 </w:instrText>
          </w:r>
          <w:r>
            <w:rPr>
              <w:rFonts w:hint="default" w:ascii="Times New Roman" w:hAnsi="Times New Roman" w:eastAsia="黑体" w:cs="Times New Roman"/>
              <w:bCs w:val="0"/>
              <w:kern w:val="0"/>
              <w:sz w:val="32"/>
              <w:szCs w:val="340"/>
              <w:highlight w:val="none"/>
            </w:rPr>
            <w:fldChar w:fldCharType="separate"/>
          </w:r>
          <w:r>
            <w:rPr>
              <w:rFonts w:hint="default" w:ascii="Times New Roman" w:hAnsi="Times New Roman" w:eastAsia="楷体_GB2312" w:cs="Times New Roman"/>
              <w:sz w:val="32"/>
              <w:szCs w:val="40"/>
              <w:highlight w:val="none"/>
              <w:shd w:val="clear" w:color="auto" w:fill="FFFFFF"/>
              <w:lang w:eastAsia="zh-CN"/>
            </w:rPr>
            <w:t>（一）</w:t>
          </w:r>
          <w:r>
            <w:rPr>
              <w:rFonts w:hint="default" w:ascii="Times New Roman" w:hAnsi="Times New Roman" w:eastAsia="楷体_GB2312" w:cs="Times New Roman"/>
              <w:sz w:val="32"/>
              <w:szCs w:val="40"/>
              <w:highlight w:val="none"/>
              <w:shd w:val="clear" w:color="auto" w:fill="FFFFFF"/>
            </w:rPr>
            <w:t>指导思想</w:t>
          </w:r>
          <w:r>
            <w:rPr>
              <w:rFonts w:hint="default" w:ascii="Times New Roman" w:hAnsi="Times New Roman" w:cs="Times New Roman"/>
              <w:sz w:val="32"/>
              <w:szCs w:val="40"/>
              <w:highlight w:val="none"/>
            </w:rPr>
            <w:tab/>
          </w:r>
          <w:r>
            <w:rPr>
              <w:rFonts w:hint="default" w:ascii="Times New Roman" w:hAnsi="Times New Roman" w:cs="Times New Roman"/>
              <w:sz w:val="32"/>
              <w:szCs w:val="40"/>
              <w:highlight w:val="none"/>
            </w:rPr>
            <w:fldChar w:fldCharType="begin"/>
          </w:r>
          <w:r>
            <w:rPr>
              <w:rFonts w:hint="default" w:ascii="Times New Roman" w:hAnsi="Times New Roman" w:cs="Times New Roman"/>
              <w:sz w:val="32"/>
              <w:szCs w:val="40"/>
              <w:highlight w:val="none"/>
            </w:rPr>
            <w:instrText xml:space="preserve"> PAGEREF _Toc28478 \h </w:instrText>
          </w:r>
          <w:r>
            <w:rPr>
              <w:rFonts w:hint="default" w:ascii="Times New Roman" w:hAnsi="Times New Roman" w:cs="Times New Roman"/>
              <w:sz w:val="32"/>
              <w:szCs w:val="40"/>
              <w:highlight w:val="none"/>
            </w:rPr>
            <w:fldChar w:fldCharType="separate"/>
          </w:r>
          <w:r>
            <w:rPr>
              <w:rFonts w:hint="default" w:ascii="Times New Roman" w:hAnsi="Times New Roman" w:cs="Times New Roman"/>
              <w:sz w:val="32"/>
              <w:szCs w:val="40"/>
              <w:highlight w:val="none"/>
            </w:rPr>
            <w:t>8</w:t>
          </w:r>
          <w:r>
            <w:rPr>
              <w:rFonts w:hint="default" w:ascii="Times New Roman" w:hAnsi="Times New Roman" w:cs="Times New Roman"/>
              <w:sz w:val="32"/>
              <w:szCs w:val="40"/>
              <w:highlight w:val="none"/>
            </w:rPr>
            <w:fldChar w:fldCharType="end"/>
          </w:r>
          <w:r>
            <w:rPr>
              <w:rFonts w:hint="default" w:ascii="Times New Roman" w:hAnsi="Times New Roman" w:eastAsia="黑体" w:cs="Times New Roman"/>
              <w:bCs w:val="0"/>
              <w:color w:val="auto"/>
              <w:kern w:val="0"/>
              <w:sz w:val="32"/>
              <w:szCs w:val="340"/>
              <w:highlight w:val="none"/>
            </w:rPr>
            <w:fldChar w:fldCharType="end"/>
          </w:r>
        </w:p>
        <w:p w14:paraId="6D17BDEE">
          <w:pPr>
            <w:pStyle w:val="15"/>
            <w:tabs>
              <w:tab w:val="right" w:leader="dot" w:pos="8306"/>
            </w:tabs>
            <w:rPr>
              <w:rFonts w:hint="default" w:ascii="Times New Roman" w:hAnsi="Times New Roman" w:cs="Times New Roman"/>
              <w:sz w:val="32"/>
              <w:szCs w:val="40"/>
              <w:highlight w:val="none"/>
            </w:rPr>
          </w:pPr>
          <w:r>
            <w:rPr>
              <w:rFonts w:hint="default" w:ascii="Times New Roman" w:hAnsi="Times New Roman" w:eastAsia="黑体" w:cs="Times New Roman"/>
              <w:bCs w:val="0"/>
              <w:color w:val="auto"/>
              <w:kern w:val="0"/>
              <w:sz w:val="32"/>
              <w:szCs w:val="340"/>
              <w:highlight w:val="none"/>
            </w:rPr>
            <w:fldChar w:fldCharType="begin"/>
          </w:r>
          <w:r>
            <w:rPr>
              <w:rFonts w:hint="default" w:ascii="Times New Roman" w:hAnsi="Times New Roman" w:eastAsia="黑体" w:cs="Times New Roman"/>
              <w:bCs w:val="0"/>
              <w:kern w:val="0"/>
              <w:sz w:val="32"/>
              <w:szCs w:val="340"/>
              <w:highlight w:val="none"/>
            </w:rPr>
            <w:instrText xml:space="preserve"> HYPERLINK \l _Toc30072 </w:instrText>
          </w:r>
          <w:r>
            <w:rPr>
              <w:rFonts w:hint="default" w:ascii="Times New Roman" w:hAnsi="Times New Roman" w:eastAsia="黑体" w:cs="Times New Roman"/>
              <w:bCs w:val="0"/>
              <w:kern w:val="0"/>
              <w:sz w:val="32"/>
              <w:szCs w:val="340"/>
              <w:highlight w:val="none"/>
            </w:rPr>
            <w:fldChar w:fldCharType="separate"/>
          </w:r>
          <w:r>
            <w:rPr>
              <w:rFonts w:hint="default" w:ascii="Times New Roman" w:hAnsi="Times New Roman" w:eastAsia="楷体_GB2312" w:cs="Times New Roman"/>
              <w:sz w:val="32"/>
              <w:szCs w:val="40"/>
              <w:highlight w:val="none"/>
              <w:shd w:val="clear" w:color="auto" w:fill="FFFFFF"/>
              <w:lang w:eastAsia="zh-CN"/>
            </w:rPr>
            <w:t>（二）</w:t>
          </w:r>
          <w:r>
            <w:rPr>
              <w:rFonts w:hint="default" w:ascii="Times New Roman" w:hAnsi="Times New Roman" w:eastAsia="楷体_GB2312" w:cs="Times New Roman"/>
              <w:sz w:val="32"/>
              <w:szCs w:val="40"/>
              <w:highlight w:val="none"/>
              <w:shd w:val="clear" w:color="auto" w:fill="FFFFFF"/>
            </w:rPr>
            <w:t>基本原则</w:t>
          </w:r>
          <w:r>
            <w:rPr>
              <w:rFonts w:hint="default" w:ascii="Times New Roman" w:hAnsi="Times New Roman" w:cs="Times New Roman"/>
              <w:sz w:val="32"/>
              <w:szCs w:val="40"/>
              <w:highlight w:val="none"/>
            </w:rPr>
            <w:tab/>
          </w:r>
          <w:r>
            <w:rPr>
              <w:rFonts w:hint="default" w:ascii="Times New Roman" w:hAnsi="Times New Roman" w:cs="Times New Roman"/>
              <w:sz w:val="32"/>
              <w:szCs w:val="40"/>
              <w:highlight w:val="none"/>
            </w:rPr>
            <w:fldChar w:fldCharType="begin"/>
          </w:r>
          <w:r>
            <w:rPr>
              <w:rFonts w:hint="default" w:ascii="Times New Roman" w:hAnsi="Times New Roman" w:cs="Times New Roman"/>
              <w:sz w:val="32"/>
              <w:szCs w:val="40"/>
              <w:highlight w:val="none"/>
            </w:rPr>
            <w:instrText xml:space="preserve"> PAGEREF _Toc30072 \h </w:instrText>
          </w:r>
          <w:r>
            <w:rPr>
              <w:rFonts w:hint="default" w:ascii="Times New Roman" w:hAnsi="Times New Roman" w:cs="Times New Roman"/>
              <w:sz w:val="32"/>
              <w:szCs w:val="40"/>
              <w:highlight w:val="none"/>
            </w:rPr>
            <w:fldChar w:fldCharType="separate"/>
          </w:r>
          <w:r>
            <w:rPr>
              <w:rFonts w:hint="default" w:ascii="Times New Roman" w:hAnsi="Times New Roman" w:cs="Times New Roman"/>
              <w:sz w:val="32"/>
              <w:szCs w:val="40"/>
              <w:highlight w:val="none"/>
            </w:rPr>
            <w:t>8</w:t>
          </w:r>
          <w:r>
            <w:rPr>
              <w:rFonts w:hint="default" w:ascii="Times New Roman" w:hAnsi="Times New Roman" w:cs="Times New Roman"/>
              <w:sz w:val="32"/>
              <w:szCs w:val="40"/>
              <w:highlight w:val="none"/>
            </w:rPr>
            <w:fldChar w:fldCharType="end"/>
          </w:r>
          <w:r>
            <w:rPr>
              <w:rFonts w:hint="default" w:ascii="Times New Roman" w:hAnsi="Times New Roman" w:eastAsia="黑体" w:cs="Times New Roman"/>
              <w:bCs w:val="0"/>
              <w:color w:val="auto"/>
              <w:kern w:val="0"/>
              <w:sz w:val="32"/>
              <w:szCs w:val="340"/>
              <w:highlight w:val="none"/>
            </w:rPr>
            <w:fldChar w:fldCharType="end"/>
          </w:r>
        </w:p>
        <w:p w14:paraId="575EB8F6">
          <w:pPr>
            <w:pStyle w:val="15"/>
            <w:tabs>
              <w:tab w:val="right" w:leader="dot" w:pos="8306"/>
            </w:tabs>
            <w:rPr>
              <w:rFonts w:hint="default" w:ascii="Times New Roman" w:hAnsi="Times New Roman" w:cs="Times New Roman"/>
              <w:sz w:val="32"/>
              <w:szCs w:val="40"/>
              <w:highlight w:val="none"/>
            </w:rPr>
          </w:pPr>
          <w:r>
            <w:rPr>
              <w:rFonts w:hint="default" w:ascii="Times New Roman" w:hAnsi="Times New Roman" w:eastAsia="黑体" w:cs="Times New Roman"/>
              <w:bCs w:val="0"/>
              <w:color w:val="auto"/>
              <w:kern w:val="0"/>
              <w:sz w:val="32"/>
              <w:szCs w:val="340"/>
              <w:highlight w:val="none"/>
            </w:rPr>
            <w:fldChar w:fldCharType="begin"/>
          </w:r>
          <w:r>
            <w:rPr>
              <w:rFonts w:hint="default" w:ascii="Times New Roman" w:hAnsi="Times New Roman" w:eastAsia="黑体" w:cs="Times New Roman"/>
              <w:bCs w:val="0"/>
              <w:kern w:val="0"/>
              <w:sz w:val="32"/>
              <w:szCs w:val="340"/>
              <w:highlight w:val="none"/>
            </w:rPr>
            <w:instrText xml:space="preserve"> HYPERLINK \l _Toc10869 </w:instrText>
          </w:r>
          <w:r>
            <w:rPr>
              <w:rFonts w:hint="default" w:ascii="Times New Roman" w:hAnsi="Times New Roman" w:eastAsia="黑体" w:cs="Times New Roman"/>
              <w:bCs w:val="0"/>
              <w:kern w:val="0"/>
              <w:sz w:val="32"/>
              <w:szCs w:val="340"/>
              <w:highlight w:val="none"/>
            </w:rPr>
            <w:fldChar w:fldCharType="separate"/>
          </w:r>
          <w:r>
            <w:rPr>
              <w:rFonts w:hint="default" w:ascii="Times New Roman" w:hAnsi="Times New Roman" w:eastAsia="楷体_GB2312" w:cs="Times New Roman"/>
              <w:sz w:val="32"/>
              <w:szCs w:val="40"/>
              <w:highlight w:val="none"/>
              <w:shd w:val="clear" w:color="auto" w:fill="FFFFFF"/>
              <w:lang w:eastAsia="zh-CN"/>
            </w:rPr>
            <w:t>（三）</w:t>
          </w:r>
          <w:r>
            <w:rPr>
              <w:rFonts w:hint="default" w:ascii="Times New Roman" w:hAnsi="Times New Roman" w:eastAsia="楷体_GB2312" w:cs="Times New Roman"/>
              <w:sz w:val="32"/>
              <w:szCs w:val="40"/>
              <w:highlight w:val="none"/>
              <w:shd w:val="clear" w:color="auto" w:fill="FFFFFF"/>
            </w:rPr>
            <w:t>发展目标</w:t>
          </w:r>
          <w:r>
            <w:rPr>
              <w:rFonts w:hint="default" w:ascii="Times New Roman" w:hAnsi="Times New Roman" w:cs="Times New Roman"/>
              <w:sz w:val="32"/>
              <w:szCs w:val="40"/>
              <w:highlight w:val="none"/>
            </w:rPr>
            <w:tab/>
          </w:r>
          <w:r>
            <w:rPr>
              <w:rFonts w:hint="default" w:ascii="Times New Roman" w:hAnsi="Times New Roman" w:cs="Times New Roman"/>
              <w:sz w:val="32"/>
              <w:szCs w:val="40"/>
              <w:highlight w:val="none"/>
            </w:rPr>
            <w:fldChar w:fldCharType="begin"/>
          </w:r>
          <w:r>
            <w:rPr>
              <w:rFonts w:hint="default" w:ascii="Times New Roman" w:hAnsi="Times New Roman" w:cs="Times New Roman"/>
              <w:sz w:val="32"/>
              <w:szCs w:val="40"/>
              <w:highlight w:val="none"/>
            </w:rPr>
            <w:instrText xml:space="preserve"> PAGEREF _Toc10869 \h </w:instrText>
          </w:r>
          <w:r>
            <w:rPr>
              <w:rFonts w:hint="default" w:ascii="Times New Roman" w:hAnsi="Times New Roman" w:cs="Times New Roman"/>
              <w:sz w:val="32"/>
              <w:szCs w:val="40"/>
              <w:highlight w:val="none"/>
            </w:rPr>
            <w:fldChar w:fldCharType="separate"/>
          </w:r>
          <w:r>
            <w:rPr>
              <w:rFonts w:hint="default" w:ascii="Times New Roman" w:hAnsi="Times New Roman" w:cs="Times New Roman"/>
              <w:sz w:val="32"/>
              <w:szCs w:val="40"/>
              <w:highlight w:val="none"/>
            </w:rPr>
            <w:t>9</w:t>
          </w:r>
          <w:r>
            <w:rPr>
              <w:rFonts w:hint="default" w:ascii="Times New Roman" w:hAnsi="Times New Roman" w:cs="Times New Roman"/>
              <w:sz w:val="32"/>
              <w:szCs w:val="40"/>
              <w:highlight w:val="none"/>
            </w:rPr>
            <w:fldChar w:fldCharType="end"/>
          </w:r>
          <w:r>
            <w:rPr>
              <w:rFonts w:hint="default" w:ascii="Times New Roman" w:hAnsi="Times New Roman" w:eastAsia="黑体" w:cs="Times New Roman"/>
              <w:bCs w:val="0"/>
              <w:color w:val="auto"/>
              <w:kern w:val="0"/>
              <w:sz w:val="32"/>
              <w:szCs w:val="340"/>
              <w:highlight w:val="none"/>
            </w:rPr>
            <w:fldChar w:fldCharType="end"/>
          </w:r>
        </w:p>
        <w:p w14:paraId="6EC14508">
          <w:pPr>
            <w:pStyle w:val="14"/>
            <w:tabs>
              <w:tab w:val="right" w:leader="dot" w:pos="8306"/>
            </w:tabs>
            <w:rPr>
              <w:rFonts w:hint="default" w:ascii="Times New Roman" w:hAnsi="Times New Roman" w:eastAsia="黑体" w:cs="Times New Roman"/>
              <w:bCs w:val="0"/>
              <w:color w:val="auto"/>
              <w:kern w:val="0"/>
              <w:sz w:val="32"/>
              <w:szCs w:val="340"/>
              <w:highlight w:val="none"/>
            </w:rPr>
          </w:pPr>
          <w:r>
            <w:rPr>
              <w:rFonts w:hint="default" w:ascii="Times New Roman" w:hAnsi="Times New Roman" w:eastAsia="黑体" w:cs="Times New Roman"/>
              <w:bCs w:val="0"/>
              <w:color w:val="auto"/>
              <w:kern w:val="0"/>
              <w:sz w:val="32"/>
              <w:szCs w:val="340"/>
              <w:highlight w:val="none"/>
            </w:rPr>
            <w:fldChar w:fldCharType="begin"/>
          </w:r>
          <w:r>
            <w:rPr>
              <w:rFonts w:hint="default" w:ascii="Times New Roman" w:hAnsi="Times New Roman" w:eastAsia="黑体" w:cs="Times New Roman"/>
              <w:bCs w:val="0"/>
              <w:color w:val="auto"/>
              <w:kern w:val="0"/>
              <w:sz w:val="32"/>
              <w:szCs w:val="340"/>
              <w:highlight w:val="none"/>
            </w:rPr>
            <w:instrText xml:space="preserve"> HYPERLINK \l _Toc2287 </w:instrText>
          </w:r>
          <w:r>
            <w:rPr>
              <w:rFonts w:hint="default" w:ascii="Times New Roman" w:hAnsi="Times New Roman" w:eastAsia="黑体" w:cs="Times New Roman"/>
              <w:bCs w:val="0"/>
              <w:color w:val="auto"/>
              <w:kern w:val="0"/>
              <w:sz w:val="32"/>
              <w:szCs w:val="340"/>
              <w:highlight w:val="none"/>
            </w:rPr>
            <w:fldChar w:fldCharType="separate"/>
          </w:r>
          <w:r>
            <w:rPr>
              <w:rFonts w:hint="default" w:ascii="Times New Roman" w:hAnsi="Times New Roman" w:eastAsia="黑体" w:cs="Times New Roman"/>
              <w:bCs w:val="0"/>
              <w:color w:val="auto"/>
              <w:kern w:val="0"/>
              <w:sz w:val="32"/>
              <w:szCs w:val="340"/>
              <w:highlight w:val="none"/>
            </w:rPr>
            <w:t>三</w:t>
          </w:r>
          <w:r>
            <w:rPr>
              <w:rFonts w:hint="default" w:ascii="Times New Roman" w:hAnsi="Times New Roman" w:eastAsia="黑体" w:cs="Times New Roman"/>
              <w:bCs w:val="0"/>
              <w:color w:val="auto"/>
              <w:kern w:val="0"/>
              <w:sz w:val="32"/>
              <w:szCs w:val="340"/>
              <w:highlight w:val="none"/>
              <w:lang w:eastAsia="zh-CN"/>
            </w:rPr>
            <w:t>、</w:t>
          </w:r>
          <w:r>
            <w:rPr>
              <w:rFonts w:hint="default" w:ascii="Times New Roman" w:hAnsi="Times New Roman" w:eastAsia="黑体" w:cs="Times New Roman"/>
              <w:bCs w:val="0"/>
              <w:color w:val="auto"/>
              <w:kern w:val="0"/>
              <w:sz w:val="32"/>
              <w:szCs w:val="340"/>
              <w:highlight w:val="none"/>
            </w:rPr>
            <w:t>重点任务</w:t>
          </w:r>
          <w:r>
            <w:rPr>
              <w:rFonts w:hint="default" w:ascii="Times New Roman" w:hAnsi="Times New Roman" w:eastAsia="黑体" w:cs="Times New Roman"/>
              <w:bCs w:val="0"/>
              <w:color w:val="auto"/>
              <w:kern w:val="0"/>
              <w:sz w:val="32"/>
              <w:szCs w:val="340"/>
              <w:highlight w:val="none"/>
            </w:rPr>
            <w:tab/>
          </w:r>
          <w:r>
            <w:rPr>
              <w:rFonts w:hint="default" w:ascii="Times New Roman" w:hAnsi="Times New Roman" w:eastAsia="黑体" w:cs="Times New Roman"/>
              <w:bCs w:val="0"/>
              <w:color w:val="auto"/>
              <w:kern w:val="0"/>
              <w:sz w:val="32"/>
              <w:szCs w:val="340"/>
              <w:highlight w:val="none"/>
            </w:rPr>
            <w:fldChar w:fldCharType="begin"/>
          </w:r>
          <w:r>
            <w:rPr>
              <w:rFonts w:hint="default" w:ascii="Times New Roman" w:hAnsi="Times New Roman" w:eastAsia="黑体" w:cs="Times New Roman"/>
              <w:bCs w:val="0"/>
              <w:color w:val="auto"/>
              <w:kern w:val="0"/>
              <w:sz w:val="32"/>
              <w:szCs w:val="340"/>
              <w:highlight w:val="none"/>
            </w:rPr>
            <w:instrText xml:space="preserve"> PAGEREF _Toc2287 \h </w:instrText>
          </w:r>
          <w:r>
            <w:rPr>
              <w:rFonts w:hint="default" w:ascii="Times New Roman" w:hAnsi="Times New Roman" w:eastAsia="黑体" w:cs="Times New Roman"/>
              <w:bCs w:val="0"/>
              <w:color w:val="auto"/>
              <w:kern w:val="0"/>
              <w:sz w:val="32"/>
              <w:szCs w:val="340"/>
              <w:highlight w:val="none"/>
            </w:rPr>
            <w:fldChar w:fldCharType="separate"/>
          </w:r>
          <w:r>
            <w:rPr>
              <w:rFonts w:hint="default" w:ascii="Times New Roman" w:hAnsi="Times New Roman" w:eastAsia="黑体" w:cs="Times New Roman"/>
              <w:bCs w:val="0"/>
              <w:color w:val="auto"/>
              <w:kern w:val="0"/>
              <w:sz w:val="32"/>
              <w:szCs w:val="340"/>
              <w:highlight w:val="none"/>
            </w:rPr>
            <w:t>10</w:t>
          </w:r>
          <w:r>
            <w:rPr>
              <w:rFonts w:hint="default" w:ascii="Times New Roman" w:hAnsi="Times New Roman" w:eastAsia="黑体" w:cs="Times New Roman"/>
              <w:bCs w:val="0"/>
              <w:color w:val="auto"/>
              <w:kern w:val="0"/>
              <w:sz w:val="32"/>
              <w:szCs w:val="340"/>
              <w:highlight w:val="none"/>
            </w:rPr>
            <w:fldChar w:fldCharType="end"/>
          </w:r>
          <w:r>
            <w:rPr>
              <w:rFonts w:hint="default" w:ascii="Times New Roman" w:hAnsi="Times New Roman" w:eastAsia="黑体" w:cs="Times New Roman"/>
              <w:bCs w:val="0"/>
              <w:color w:val="auto"/>
              <w:kern w:val="0"/>
              <w:sz w:val="32"/>
              <w:szCs w:val="340"/>
              <w:highlight w:val="none"/>
            </w:rPr>
            <w:fldChar w:fldCharType="end"/>
          </w:r>
        </w:p>
        <w:p w14:paraId="2F3C17EA">
          <w:pPr>
            <w:pStyle w:val="15"/>
            <w:tabs>
              <w:tab w:val="right" w:leader="dot" w:pos="8306"/>
            </w:tabs>
            <w:rPr>
              <w:rFonts w:hint="default" w:ascii="Times New Roman" w:hAnsi="Times New Roman" w:cs="Times New Roman"/>
              <w:sz w:val="32"/>
              <w:szCs w:val="40"/>
              <w:highlight w:val="none"/>
            </w:rPr>
          </w:pPr>
          <w:r>
            <w:rPr>
              <w:rFonts w:hint="default" w:ascii="Times New Roman" w:hAnsi="Times New Roman" w:eastAsia="黑体" w:cs="Times New Roman"/>
              <w:bCs w:val="0"/>
              <w:color w:val="auto"/>
              <w:kern w:val="0"/>
              <w:sz w:val="32"/>
              <w:szCs w:val="340"/>
              <w:highlight w:val="none"/>
            </w:rPr>
            <w:fldChar w:fldCharType="begin"/>
          </w:r>
          <w:r>
            <w:rPr>
              <w:rFonts w:hint="default" w:ascii="Times New Roman" w:hAnsi="Times New Roman" w:eastAsia="黑体" w:cs="Times New Roman"/>
              <w:bCs w:val="0"/>
              <w:kern w:val="0"/>
              <w:sz w:val="32"/>
              <w:szCs w:val="340"/>
              <w:highlight w:val="none"/>
            </w:rPr>
            <w:instrText xml:space="preserve"> HYPERLINK \l _Toc14302 </w:instrText>
          </w:r>
          <w:r>
            <w:rPr>
              <w:rFonts w:hint="default" w:ascii="Times New Roman" w:hAnsi="Times New Roman" w:eastAsia="黑体" w:cs="Times New Roman"/>
              <w:bCs w:val="0"/>
              <w:kern w:val="0"/>
              <w:sz w:val="32"/>
              <w:szCs w:val="340"/>
              <w:highlight w:val="none"/>
            </w:rPr>
            <w:fldChar w:fldCharType="separate"/>
          </w:r>
          <w:r>
            <w:rPr>
              <w:rFonts w:hint="default" w:ascii="Times New Roman" w:hAnsi="Times New Roman" w:eastAsia="楷体_GB2312" w:cs="Times New Roman"/>
              <w:sz w:val="32"/>
              <w:szCs w:val="40"/>
              <w:highlight w:val="none"/>
              <w:shd w:val="clear" w:color="auto" w:fill="FFFFFF"/>
              <w:lang w:eastAsia="zh-CN"/>
            </w:rPr>
            <w:t>（一）</w:t>
          </w:r>
          <w:r>
            <w:rPr>
              <w:rFonts w:hint="default" w:ascii="Times New Roman" w:hAnsi="Times New Roman" w:eastAsia="楷体_GB2312" w:cs="Times New Roman"/>
              <w:sz w:val="32"/>
              <w:szCs w:val="40"/>
              <w:highlight w:val="none"/>
              <w:shd w:val="clear" w:color="auto" w:fill="FFFFFF"/>
            </w:rPr>
            <w:t>构建</w:t>
          </w:r>
          <w:r>
            <w:rPr>
              <w:rFonts w:hint="default" w:ascii="Times New Roman" w:hAnsi="Times New Roman" w:eastAsia="楷体_GB2312" w:cs="Times New Roman"/>
              <w:sz w:val="32"/>
              <w:szCs w:val="40"/>
              <w:highlight w:val="none"/>
              <w:shd w:val="clear" w:color="auto" w:fill="FFFFFF"/>
              <w:lang w:eastAsia="zh-CN"/>
            </w:rPr>
            <w:t>“</w:t>
          </w:r>
          <w:r>
            <w:rPr>
              <w:rFonts w:hint="default" w:ascii="Times New Roman" w:hAnsi="Times New Roman" w:eastAsia="楷体_GB2312" w:cs="Times New Roman"/>
              <w:sz w:val="32"/>
              <w:szCs w:val="40"/>
              <w:highlight w:val="none"/>
              <w:shd w:val="clear" w:color="auto" w:fill="FFFFFF"/>
            </w:rPr>
            <w:t>2+2</w:t>
          </w:r>
          <w:r>
            <w:rPr>
              <w:rFonts w:hint="default" w:ascii="Times New Roman" w:hAnsi="Times New Roman" w:eastAsia="楷体_GB2312" w:cs="Times New Roman"/>
              <w:sz w:val="32"/>
              <w:szCs w:val="40"/>
              <w:highlight w:val="none"/>
              <w:shd w:val="clear" w:color="auto" w:fill="FFFFFF"/>
              <w:lang w:eastAsia="zh-CN"/>
            </w:rPr>
            <w:t>”</w:t>
          </w:r>
          <w:r>
            <w:rPr>
              <w:rFonts w:hint="default" w:ascii="Times New Roman" w:hAnsi="Times New Roman" w:eastAsia="楷体_GB2312" w:cs="Times New Roman"/>
              <w:sz w:val="32"/>
              <w:szCs w:val="40"/>
              <w:highlight w:val="none"/>
              <w:shd w:val="clear" w:color="auto" w:fill="FFFFFF"/>
            </w:rPr>
            <w:t>现代产业体系</w:t>
          </w:r>
          <w:r>
            <w:rPr>
              <w:rFonts w:hint="default" w:ascii="Times New Roman" w:hAnsi="Times New Roman" w:cs="Times New Roman"/>
              <w:sz w:val="32"/>
              <w:szCs w:val="40"/>
              <w:highlight w:val="none"/>
            </w:rPr>
            <w:tab/>
          </w:r>
          <w:r>
            <w:rPr>
              <w:rFonts w:hint="default" w:ascii="Times New Roman" w:hAnsi="Times New Roman" w:cs="Times New Roman"/>
              <w:sz w:val="32"/>
              <w:szCs w:val="40"/>
              <w:highlight w:val="none"/>
            </w:rPr>
            <w:fldChar w:fldCharType="begin"/>
          </w:r>
          <w:r>
            <w:rPr>
              <w:rFonts w:hint="default" w:ascii="Times New Roman" w:hAnsi="Times New Roman" w:cs="Times New Roman"/>
              <w:sz w:val="32"/>
              <w:szCs w:val="40"/>
              <w:highlight w:val="none"/>
            </w:rPr>
            <w:instrText xml:space="preserve"> PAGEREF _Toc14302 \h </w:instrText>
          </w:r>
          <w:r>
            <w:rPr>
              <w:rFonts w:hint="default" w:ascii="Times New Roman" w:hAnsi="Times New Roman" w:cs="Times New Roman"/>
              <w:sz w:val="32"/>
              <w:szCs w:val="40"/>
              <w:highlight w:val="none"/>
            </w:rPr>
            <w:fldChar w:fldCharType="separate"/>
          </w:r>
          <w:r>
            <w:rPr>
              <w:rFonts w:hint="default" w:ascii="Times New Roman" w:hAnsi="Times New Roman" w:cs="Times New Roman"/>
              <w:sz w:val="32"/>
              <w:szCs w:val="40"/>
              <w:highlight w:val="none"/>
            </w:rPr>
            <w:t>10</w:t>
          </w:r>
          <w:r>
            <w:rPr>
              <w:rFonts w:hint="default" w:ascii="Times New Roman" w:hAnsi="Times New Roman" w:cs="Times New Roman"/>
              <w:sz w:val="32"/>
              <w:szCs w:val="40"/>
              <w:highlight w:val="none"/>
            </w:rPr>
            <w:fldChar w:fldCharType="end"/>
          </w:r>
          <w:r>
            <w:rPr>
              <w:rFonts w:hint="default" w:ascii="Times New Roman" w:hAnsi="Times New Roman" w:eastAsia="黑体" w:cs="Times New Roman"/>
              <w:bCs w:val="0"/>
              <w:color w:val="auto"/>
              <w:kern w:val="0"/>
              <w:sz w:val="32"/>
              <w:szCs w:val="340"/>
              <w:highlight w:val="none"/>
            </w:rPr>
            <w:fldChar w:fldCharType="end"/>
          </w:r>
        </w:p>
        <w:p w14:paraId="08557CA1">
          <w:pPr>
            <w:pStyle w:val="15"/>
            <w:tabs>
              <w:tab w:val="right" w:leader="dot" w:pos="8306"/>
            </w:tabs>
            <w:rPr>
              <w:rFonts w:hint="default" w:ascii="Times New Roman" w:hAnsi="Times New Roman" w:cs="Times New Roman"/>
              <w:sz w:val="32"/>
              <w:szCs w:val="40"/>
              <w:highlight w:val="none"/>
            </w:rPr>
          </w:pPr>
          <w:r>
            <w:rPr>
              <w:rFonts w:hint="default" w:ascii="Times New Roman" w:hAnsi="Times New Roman" w:eastAsia="黑体" w:cs="Times New Roman"/>
              <w:bCs w:val="0"/>
              <w:color w:val="auto"/>
              <w:kern w:val="0"/>
              <w:sz w:val="32"/>
              <w:szCs w:val="340"/>
              <w:highlight w:val="none"/>
            </w:rPr>
            <w:fldChar w:fldCharType="begin"/>
          </w:r>
          <w:r>
            <w:rPr>
              <w:rFonts w:hint="default" w:ascii="Times New Roman" w:hAnsi="Times New Roman" w:eastAsia="黑体" w:cs="Times New Roman"/>
              <w:bCs w:val="0"/>
              <w:kern w:val="0"/>
              <w:sz w:val="32"/>
              <w:szCs w:val="340"/>
              <w:highlight w:val="none"/>
            </w:rPr>
            <w:instrText xml:space="preserve"> HYPERLINK \l _Toc17386 </w:instrText>
          </w:r>
          <w:r>
            <w:rPr>
              <w:rFonts w:hint="default" w:ascii="Times New Roman" w:hAnsi="Times New Roman" w:eastAsia="黑体" w:cs="Times New Roman"/>
              <w:bCs w:val="0"/>
              <w:kern w:val="0"/>
              <w:sz w:val="32"/>
              <w:szCs w:val="340"/>
              <w:highlight w:val="none"/>
            </w:rPr>
            <w:fldChar w:fldCharType="separate"/>
          </w:r>
          <w:r>
            <w:rPr>
              <w:rFonts w:hint="default" w:ascii="Times New Roman" w:hAnsi="Times New Roman" w:eastAsia="楷体_GB2312" w:cs="Times New Roman"/>
              <w:sz w:val="32"/>
              <w:szCs w:val="40"/>
              <w:highlight w:val="none"/>
              <w:shd w:val="clear" w:color="auto" w:fill="FFFFFF"/>
              <w:lang w:eastAsia="zh-CN"/>
            </w:rPr>
            <w:t>（二）</w:t>
          </w:r>
          <w:r>
            <w:rPr>
              <w:rFonts w:hint="default" w:ascii="Times New Roman" w:hAnsi="Times New Roman" w:eastAsia="楷体_GB2312" w:cs="Times New Roman"/>
              <w:sz w:val="32"/>
              <w:szCs w:val="40"/>
              <w:highlight w:val="none"/>
              <w:shd w:val="clear" w:color="auto" w:fill="FFFFFF"/>
            </w:rPr>
            <w:t>构筑“集中连片、高端集聚、空间拓展”的</w:t>
          </w:r>
          <w:r>
            <w:rPr>
              <w:rFonts w:hint="default" w:ascii="Times New Roman" w:hAnsi="Times New Roman" w:eastAsia="楷体_GB2312" w:cs="Times New Roman"/>
              <w:sz w:val="32"/>
              <w:szCs w:val="40"/>
              <w:highlight w:val="none"/>
              <w:shd w:val="clear" w:color="auto" w:fill="FFFFFF"/>
              <w:lang w:val="en-US" w:eastAsia="zh-CN"/>
            </w:rPr>
            <w:t>产业集群承载空间</w:t>
          </w:r>
          <w:r>
            <w:rPr>
              <w:rFonts w:hint="default" w:ascii="Times New Roman" w:hAnsi="Times New Roman" w:cs="Times New Roman"/>
              <w:sz w:val="32"/>
              <w:szCs w:val="40"/>
              <w:highlight w:val="none"/>
            </w:rPr>
            <w:tab/>
          </w:r>
          <w:r>
            <w:rPr>
              <w:rFonts w:hint="default" w:ascii="Times New Roman" w:hAnsi="Times New Roman" w:cs="Times New Roman"/>
              <w:sz w:val="32"/>
              <w:szCs w:val="40"/>
              <w:highlight w:val="none"/>
            </w:rPr>
            <w:fldChar w:fldCharType="begin"/>
          </w:r>
          <w:r>
            <w:rPr>
              <w:rFonts w:hint="default" w:ascii="Times New Roman" w:hAnsi="Times New Roman" w:cs="Times New Roman"/>
              <w:sz w:val="32"/>
              <w:szCs w:val="40"/>
              <w:highlight w:val="none"/>
            </w:rPr>
            <w:instrText xml:space="preserve"> PAGEREF _Toc17386 \h </w:instrText>
          </w:r>
          <w:r>
            <w:rPr>
              <w:rFonts w:hint="default" w:ascii="Times New Roman" w:hAnsi="Times New Roman" w:cs="Times New Roman"/>
              <w:sz w:val="32"/>
              <w:szCs w:val="40"/>
              <w:highlight w:val="none"/>
            </w:rPr>
            <w:fldChar w:fldCharType="separate"/>
          </w:r>
          <w:r>
            <w:rPr>
              <w:rFonts w:hint="default" w:ascii="Times New Roman" w:hAnsi="Times New Roman" w:cs="Times New Roman"/>
              <w:sz w:val="32"/>
              <w:szCs w:val="40"/>
              <w:highlight w:val="none"/>
            </w:rPr>
            <w:t>13</w:t>
          </w:r>
          <w:r>
            <w:rPr>
              <w:rFonts w:hint="default" w:ascii="Times New Roman" w:hAnsi="Times New Roman" w:cs="Times New Roman"/>
              <w:sz w:val="32"/>
              <w:szCs w:val="40"/>
              <w:highlight w:val="none"/>
            </w:rPr>
            <w:fldChar w:fldCharType="end"/>
          </w:r>
          <w:r>
            <w:rPr>
              <w:rFonts w:hint="default" w:ascii="Times New Roman" w:hAnsi="Times New Roman" w:eastAsia="黑体" w:cs="Times New Roman"/>
              <w:bCs w:val="0"/>
              <w:color w:val="auto"/>
              <w:kern w:val="0"/>
              <w:sz w:val="32"/>
              <w:szCs w:val="340"/>
              <w:highlight w:val="none"/>
            </w:rPr>
            <w:fldChar w:fldCharType="end"/>
          </w:r>
        </w:p>
        <w:p w14:paraId="0C667188">
          <w:pPr>
            <w:pStyle w:val="15"/>
            <w:tabs>
              <w:tab w:val="right" w:leader="dot" w:pos="8306"/>
            </w:tabs>
            <w:rPr>
              <w:rFonts w:hint="default" w:ascii="Times New Roman" w:hAnsi="Times New Roman" w:cs="Times New Roman"/>
              <w:sz w:val="32"/>
              <w:szCs w:val="40"/>
              <w:highlight w:val="none"/>
            </w:rPr>
          </w:pPr>
          <w:r>
            <w:rPr>
              <w:rFonts w:hint="default" w:ascii="Times New Roman" w:hAnsi="Times New Roman" w:eastAsia="黑体" w:cs="Times New Roman"/>
              <w:bCs w:val="0"/>
              <w:color w:val="auto"/>
              <w:kern w:val="0"/>
              <w:sz w:val="32"/>
              <w:szCs w:val="340"/>
              <w:highlight w:val="none"/>
            </w:rPr>
            <w:fldChar w:fldCharType="begin"/>
          </w:r>
          <w:r>
            <w:rPr>
              <w:rFonts w:hint="default" w:ascii="Times New Roman" w:hAnsi="Times New Roman" w:eastAsia="黑体" w:cs="Times New Roman"/>
              <w:bCs w:val="0"/>
              <w:kern w:val="0"/>
              <w:sz w:val="32"/>
              <w:szCs w:val="340"/>
              <w:highlight w:val="none"/>
            </w:rPr>
            <w:instrText xml:space="preserve"> HYPERLINK \l _Toc11630 </w:instrText>
          </w:r>
          <w:r>
            <w:rPr>
              <w:rFonts w:hint="default" w:ascii="Times New Roman" w:hAnsi="Times New Roman" w:eastAsia="黑体" w:cs="Times New Roman"/>
              <w:bCs w:val="0"/>
              <w:kern w:val="0"/>
              <w:sz w:val="32"/>
              <w:szCs w:val="340"/>
              <w:highlight w:val="none"/>
            </w:rPr>
            <w:fldChar w:fldCharType="separate"/>
          </w:r>
          <w:r>
            <w:rPr>
              <w:rFonts w:hint="default" w:ascii="Times New Roman" w:hAnsi="Times New Roman" w:eastAsia="楷体_GB2312" w:cs="Times New Roman"/>
              <w:sz w:val="32"/>
              <w:szCs w:val="40"/>
              <w:highlight w:val="none"/>
              <w:shd w:val="clear" w:color="auto" w:fill="FFFFFF"/>
              <w:lang w:eastAsia="zh-CN"/>
            </w:rPr>
            <w:t>（三）</w:t>
          </w:r>
          <w:r>
            <w:rPr>
              <w:rFonts w:hint="default" w:ascii="Times New Roman" w:hAnsi="Times New Roman" w:eastAsia="楷体_GB2312" w:cs="Times New Roman"/>
              <w:sz w:val="32"/>
              <w:szCs w:val="40"/>
              <w:highlight w:val="none"/>
              <w:shd w:val="clear" w:color="auto" w:fill="FFFFFF"/>
            </w:rPr>
            <w:t>聚势赋能提升科技成果转化成效</w:t>
          </w:r>
          <w:r>
            <w:rPr>
              <w:rFonts w:hint="default" w:ascii="Times New Roman" w:hAnsi="Times New Roman" w:cs="Times New Roman"/>
              <w:sz w:val="32"/>
              <w:szCs w:val="40"/>
              <w:highlight w:val="none"/>
            </w:rPr>
            <w:tab/>
          </w:r>
          <w:r>
            <w:rPr>
              <w:rFonts w:hint="default" w:ascii="Times New Roman" w:hAnsi="Times New Roman" w:cs="Times New Roman"/>
              <w:sz w:val="32"/>
              <w:szCs w:val="40"/>
              <w:highlight w:val="none"/>
            </w:rPr>
            <w:fldChar w:fldCharType="begin"/>
          </w:r>
          <w:r>
            <w:rPr>
              <w:rFonts w:hint="default" w:ascii="Times New Roman" w:hAnsi="Times New Roman" w:cs="Times New Roman"/>
              <w:sz w:val="32"/>
              <w:szCs w:val="40"/>
              <w:highlight w:val="none"/>
            </w:rPr>
            <w:instrText xml:space="preserve"> PAGEREF _Toc11630 \h </w:instrText>
          </w:r>
          <w:r>
            <w:rPr>
              <w:rFonts w:hint="default" w:ascii="Times New Roman" w:hAnsi="Times New Roman" w:cs="Times New Roman"/>
              <w:sz w:val="32"/>
              <w:szCs w:val="40"/>
              <w:highlight w:val="none"/>
            </w:rPr>
            <w:fldChar w:fldCharType="separate"/>
          </w:r>
          <w:r>
            <w:rPr>
              <w:rFonts w:hint="default" w:ascii="Times New Roman" w:hAnsi="Times New Roman" w:cs="Times New Roman"/>
              <w:sz w:val="32"/>
              <w:szCs w:val="40"/>
              <w:highlight w:val="none"/>
            </w:rPr>
            <w:t>16</w:t>
          </w:r>
          <w:r>
            <w:rPr>
              <w:rFonts w:hint="default" w:ascii="Times New Roman" w:hAnsi="Times New Roman" w:cs="Times New Roman"/>
              <w:sz w:val="32"/>
              <w:szCs w:val="40"/>
              <w:highlight w:val="none"/>
            </w:rPr>
            <w:fldChar w:fldCharType="end"/>
          </w:r>
          <w:r>
            <w:rPr>
              <w:rFonts w:hint="default" w:ascii="Times New Roman" w:hAnsi="Times New Roman" w:eastAsia="黑体" w:cs="Times New Roman"/>
              <w:bCs w:val="0"/>
              <w:color w:val="auto"/>
              <w:kern w:val="0"/>
              <w:sz w:val="32"/>
              <w:szCs w:val="340"/>
              <w:highlight w:val="none"/>
            </w:rPr>
            <w:fldChar w:fldCharType="end"/>
          </w:r>
        </w:p>
        <w:p w14:paraId="607F78EA">
          <w:pPr>
            <w:pStyle w:val="15"/>
            <w:tabs>
              <w:tab w:val="right" w:leader="dot" w:pos="8306"/>
            </w:tabs>
            <w:rPr>
              <w:rFonts w:hint="default" w:ascii="Times New Roman" w:hAnsi="Times New Roman" w:cs="Times New Roman"/>
              <w:sz w:val="32"/>
              <w:szCs w:val="40"/>
              <w:highlight w:val="none"/>
            </w:rPr>
          </w:pPr>
          <w:r>
            <w:rPr>
              <w:rFonts w:hint="default" w:ascii="Times New Roman" w:hAnsi="Times New Roman" w:eastAsia="黑体" w:cs="Times New Roman"/>
              <w:bCs w:val="0"/>
              <w:color w:val="auto"/>
              <w:kern w:val="0"/>
              <w:sz w:val="32"/>
              <w:szCs w:val="340"/>
              <w:highlight w:val="none"/>
            </w:rPr>
            <w:fldChar w:fldCharType="begin"/>
          </w:r>
          <w:r>
            <w:rPr>
              <w:rFonts w:hint="default" w:ascii="Times New Roman" w:hAnsi="Times New Roman" w:eastAsia="黑体" w:cs="Times New Roman"/>
              <w:bCs w:val="0"/>
              <w:kern w:val="0"/>
              <w:sz w:val="32"/>
              <w:szCs w:val="340"/>
              <w:highlight w:val="none"/>
            </w:rPr>
            <w:instrText xml:space="preserve"> HYPERLINK \l _Toc32604 </w:instrText>
          </w:r>
          <w:r>
            <w:rPr>
              <w:rFonts w:hint="default" w:ascii="Times New Roman" w:hAnsi="Times New Roman" w:eastAsia="黑体" w:cs="Times New Roman"/>
              <w:bCs w:val="0"/>
              <w:kern w:val="0"/>
              <w:sz w:val="32"/>
              <w:szCs w:val="340"/>
              <w:highlight w:val="none"/>
            </w:rPr>
            <w:fldChar w:fldCharType="separate"/>
          </w:r>
          <w:r>
            <w:rPr>
              <w:rFonts w:hint="default" w:ascii="Times New Roman" w:hAnsi="Times New Roman" w:eastAsia="楷体_GB2312" w:cs="Times New Roman"/>
              <w:sz w:val="32"/>
              <w:szCs w:val="40"/>
              <w:highlight w:val="none"/>
              <w:shd w:val="clear" w:color="auto" w:fill="FFFFFF"/>
              <w:lang w:eastAsia="zh-CN"/>
            </w:rPr>
            <w:t>（四）</w:t>
          </w:r>
          <w:r>
            <w:rPr>
              <w:rFonts w:hint="default" w:ascii="Times New Roman" w:hAnsi="Times New Roman" w:eastAsia="楷体_GB2312" w:cs="Times New Roman"/>
              <w:sz w:val="32"/>
              <w:szCs w:val="40"/>
              <w:highlight w:val="none"/>
              <w:shd w:val="clear" w:color="auto" w:fill="FFFFFF"/>
            </w:rPr>
            <w:t>提升园区产业创新生态</w:t>
          </w:r>
          <w:r>
            <w:rPr>
              <w:rFonts w:hint="default" w:ascii="Times New Roman" w:hAnsi="Times New Roman" w:cs="Times New Roman"/>
              <w:sz w:val="32"/>
              <w:szCs w:val="40"/>
              <w:highlight w:val="none"/>
            </w:rPr>
            <w:tab/>
          </w:r>
          <w:r>
            <w:rPr>
              <w:rFonts w:hint="default" w:ascii="Times New Roman" w:hAnsi="Times New Roman" w:cs="Times New Roman"/>
              <w:sz w:val="32"/>
              <w:szCs w:val="40"/>
              <w:highlight w:val="none"/>
            </w:rPr>
            <w:fldChar w:fldCharType="begin"/>
          </w:r>
          <w:r>
            <w:rPr>
              <w:rFonts w:hint="default" w:ascii="Times New Roman" w:hAnsi="Times New Roman" w:cs="Times New Roman"/>
              <w:sz w:val="32"/>
              <w:szCs w:val="40"/>
              <w:highlight w:val="none"/>
            </w:rPr>
            <w:instrText xml:space="preserve"> PAGEREF _Toc32604 \h </w:instrText>
          </w:r>
          <w:r>
            <w:rPr>
              <w:rFonts w:hint="default" w:ascii="Times New Roman" w:hAnsi="Times New Roman" w:cs="Times New Roman"/>
              <w:sz w:val="32"/>
              <w:szCs w:val="40"/>
              <w:highlight w:val="none"/>
            </w:rPr>
            <w:fldChar w:fldCharType="separate"/>
          </w:r>
          <w:r>
            <w:rPr>
              <w:rFonts w:hint="default" w:ascii="Times New Roman" w:hAnsi="Times New Roman" w:cs="Times New Roman"/>
              <w:sz w:val="32"/>
              <w:szCs w:val="40"/>
              <w:highlight w:val="none"/>
            </w:rPr>
            <w:t>18</w:t>
          </w:r>
          <w:r>
            <w:rPr>
              <w:rFonts w:hint="default" w:ascii="Times New Roman" w:hAnsi="Times New Roman" w:cs="Times New Roman"/>
              <w:sz w:val="32"/>
              <w:szCs w:val="40"/>
              <w:highlight w:val="none"/>
            </w:rPr>
            <w:fldChar w:fldCharType="end"/>
          </w:r>
          <w:r>
            <w:rPr>
              <w:rFonts w:hint="default" w:ascii="Times New Roman" w:hAnsi="Times New Roman" w:eastAsia="黑体" w:cs="Times New Roman"/>
              <w:bCs w:val="0"/>
              <w:color w:val="auto"/>
              <w:kern w:val="0"/>
              <w:sz w:val="32"/>
              <w:szCs w:val="340"/>
              <w:highlight w:val="none"/>
            </w:rPr>
            <w:fldChar w:fldCharType="end"/>
          </w:r>
        </w:p>
        <w:p w14:paraId="6F997F03">
          <w:pPr>
            <w:pStyle w:val="14"/>
            <w:tabs>
              <w:tab w:val="right" w:leader="dot" w:pos="8306"/>
            </w:tabs>
            <w:rPr>
              <w:rFonts w:hint="default" w:ascii="Times New Roman" w:hAnsi="Times New Roman" w:eastAsia="黑体" w:cs="Times New Roman"/>
              <w:bCs w:val="0"/>
              <w:color w:val="auto"/>
              <w:kern w:val="0"/>
              <w:sz w:val="32"/>
              <w:szCs w:val="340"/>
              <w:highlight w:val="none"/>
            </w:rPr>
          </w:pPr>
          <w:r>
            <w:rPr>
              <w:rFonts w:hint="default" w:ascii="Times New Roman" w:hAnsi="Times New Roman" w:eastAsia="黑体" w:cs="Times New Roman"/>
              <w:bCs w:val="0"/>
              <w:color w:val="auto"/>
              <w:kern w:val="0"/>
              <w:sz w:val="32"/>
              <w:szCs w:val="340"/>
              <w:highlight w:val="none"/>
            </w:rPr>
            <w:fldChar w:fldCharType="begin"/>
          </w:r>
          <w:r>
            <w:rPr>
              <w:rFonts w:hint="default" w:ascii="Times New Roman" w:hAnsi="Times New Roman" w:eastAsia="黑体" w:cs="Times New Roman"/>
              <w:bCs w:val="0"/>
              <w:color w:val="auto"/>
              <w:kern w:val="0"/>
              <w:sz w:val="32"/>
              <w:szCs w:val="340"/>
              <w:highlight w:val="none"/>
            </w:rPr>
            <w:instrText xml:space="preserve"> HYPERLINK \l _Toc30673 </w:instrText>
          </w:r>
          <w:r>
            <w:rPr>
              <w:rFonts w:hint="default" w:ascii="Times New Roman" w:hAnsi="Times New Roman" w:eastAsia="黑体" w:cs="Times New Roman"/>
              <w:bCs w:val="0"/>
              <w:color w:val="auto"/>
              <w:kern w:val="0"/>
              <w:sz w:val="32"/>
              <w:szCs w:val="340"/>
              <w:highlight w:val="none"/>
            </w:rPr>
            <w:fldChar w:fldCharType="separate"/>
          </w:r>
          <w:r>
            <w:rPr>
              <w:rFonts w:hint="default" w:ascii="Times New Roman" w:hAnsi="Times New Roman" w:eastAsia="黑体" w:cs="Times New Roman"/>
              <w:bCs w:val="0"/>
              <w:color w:val="auto"/>
              <w:kern w:val="0"/>
              <w:sz w:val="32"/>
              <w:szCs w:val="340"/>
              <w:highlight w:val="none"/>
            </w:rPr>
            <w:t>四</w:t>
          </w:r>
          <w:r>
            <w:rPr>
              <w:rFonts w:hint="default" w:ascii="Times New Roman" w:hAnsi="Times New Roman" w:eastAsia="黑体" w:cs="Times New Roman"/>
              <w:bCs w:val="0"/>
              <w:color w:val="auto"/>
              <w:kern w:val="0"/>
              <w:sz w:val="32"/>
              <w:szCs w:val="340"/>
              <w:highlight w:val="none"/>
              <w:lang w:eastAsia="zh-CN"/>
            </w:rPr>
            <w:t>、</w:t>
          </w:r>
          <w:r>
            <w:rPr>
              <w:rFonts w:hint="default" w:ascii="Times New Roman" w:hAnsi="Times New Roman" w:eastAsia="黑体" w:cs="Times New Roman"/>
              <w:bCs w:val="0"/>
              <w:color w:val="auto"/>
              <w:kern w:val="0"/>
              <w:sz w:val="32"/>
              <w:szCs w:val="340"/>
              <w:highlight w:val="none"/>
            </w:rPr>
            <w:t>保障措施</w:t>
          </w:r>
          <w:r>
            <w:rPr>
              <w:rFonts w:hint="default" w:ascii="Times New Roman" w:hAnsi="Times New Roman" w:eastAsia="黑体" w:cs="Times New Roman"/>
              <w:bCs w:val="0"/>
              <w:color w:val="auto"/>
              <w:kern w:val="0"/>
              <w:sz w:val="32"/>
              <w:szCs w:val="340"/>
              <w:highlight w:val="none"/>
            </w:rPr>
            <w:tab/>
          </w:r>
          <w:r>
            <w:rPr>
              <w:rFonts w:hint="default" w:ascii="Times New Roman" w:hAnsi="Times New Roman" w:eastAsia="黑体" w:cs="Times New Roman"/>
              <w:bCs w:val="0"/>
              <w:color w:val="auto"/>
              <w:kern w:val="0"/>
              <w:sz w:val="32"/>
              <w:szCs w:val="340"/>
              <w:highlight w:val="none"/>
            </w:rPr>
            <w:fldChar w:fldCharType="begin"/>
          </w:r>
          <w:r>
            <w:rPr>
              <w:rFonts w:hint="default" w:ascii="Times New Roman" w:hAnsi="Times New Roman" w:eastAsia="黑体" w:cs="Times New Roman"/>
              <w:bCs w:val="0"/>
              <w:color w:val="auto"/>
              <w:kern w:val="0"/>
              <w:sz w:val="32"/>
              <w:szCs w:val="340"/>
              <w:highlight w:val="none"/>
            </w:rPr>
            <w:instrText xml:space="preserve"> PAGEREF _Toc30673 \h </w:instrText>
          </w:r>
          <w:r>
            <w:rPr>
              <w:rFonts w:hint="default" w:ascii="Times New Roman" w:hAnsi="Times New Roman" w:eastAsia="黑体" w:cs="Times New Roman"/>
              <w:bCs w:val="0"/>
              <w:color w:val="auto"/>
              <w:kern w:val="0"/>
              <w:sz w:val="32"/>
              <w:szCs w:val="340"/>
              <w:highlight w:val="none"/>
            </w:rPr>
            <w:fldChar w:fldCharType="separate"/>
          </w:r>
          <w:r>
            <w:rPr>
              <w:rFonts w:hint="default" w:ascii="Times New Roman" w:hAnsi="Times New Roman" w:eastAsia="黑体" w:cs="Times New Roman"/>
              <w:bCs w:val="0"/>
              <w:color w:val="auto"/>
              <w:kern w:val="0"/>
              <w:sz w:val="32"/>
              <w:szCs w:val="340"/>
              <w:highlight w:val="none"/>
            </w:rPr>
            <w:t>21</w:t>
          </w:r>
          <w:r>
            <w:rPr>
              <w:rFonts w:hint="default" w:ascii="Times New Roman" w:hAnsi="Times New Roman" w:eastAsia="黑体" w:cs="Times New Roman"/>
              <w:bCs w:val="0"/>
              <w:color w:val="auto"/>
              <w:kern w:val="0"/>
              <w:sz w:val="32"/>
              <w:szCs w:val="340"/>
              <w:highlight w:val="none"/>
            </w:rPr>
            <w:fldChar w:fldCharType="end"/>
          </w:r>
          <w:r>
            <w:rPr>
              <w:rFonts w:hint="default" w:ascii="Times New Roman" w:hAnsi="Times New Roman" w:eastAsia="黑体" w:cs="Times New Roman"/>
              <w:bCs w:val="0"/>
              <w:color w:val="auto"/>
              <w:kern w:val="0"/>
              <w:sz w:val="32"/>
              <w:szCs w:val="340"/>
              <w:highlight w:val="none"/>
            </w:rPr>
            <w:fldChar w:fldCharType="end"/>
          </w:r>
        </w:p>
        <w:p w14:paraId="6FF3B143">
          <w:pPr>
            <w:pStyle w:val="15"/>
            <w:tabs>
              <w:tab w:val="right" w:leader="dot" w:pos="8306"/>
            </w:tabs>
            <w:rPr>
              <w:rFonts w:hint="default" w:ascii="Times New Roman" w:hAnsi="Times New Roman" w:cs="Times New Roman"/>
              <w:sz w:val="32"/>
              <w:szCs w:val="40"/>
              <w:highlight w:val="none"/>
            </w:rPr>
          </w:pPr>
          <w:r>
            <w:rPr>
              <w:rFonts w:hint="default" w:ascii="Times New Roman" w:hAnsi="Times New Roman" w:eastAsia="黑体" w:cs="Times New Roman"/>
              <w:bCs w:val="0"/>
              <w:color w:val="auto"/>
              <w:kern w:val="0"/>
              <w:sz w:val="32"/>
              <w:szCs w:val="340"/>
              <w:highlight w:val="none"/>
            </w:rPr>
            <w:fldChar w:fldCharType="begin"/>
          </w:r>
          <w:r>
            <w:rPr>
              <w:rFonts w:hint="default" w:ascii="Times New Roman" w:hAnsi="Times New Roman" w:eastAsia="黑体" w:cs="Times New Roman"/>
              <w:bCs w:val="0"/>
              <w:kern w:val="0"/>
              <w:sz w:val="32"/>
              <w:szCs w:val="340"/>
              <w:highlight w:val="none"/>
            </w:rPr>
            <w:instrText xml:space="preserve"> HYPERLINK \l _Toc13986 </w:instrText>
          </w:r>
          <w:r>
            <w:rPr>
              <w:rFonts w:hint="default" w:ascii="Times New Roman" w:hAnsi="Times New Roman" w:eastAsia="黑体" w:cs="Times New Roman"/>
              <w:bCs w:val="0"/>
              <w:kern w:val="0"/>
              <w:sz w:val="32"/>
              <w:szCs w:val="340"/>
              <w:highlight w:val="none"/>
            </w:rPr>
            <w:fldChar w:fldCharType="separate"/>
          </w:r>
          <w:r>
            <w:rPr>
              <w:rFonts w:hint="default" w:ascii="Times New Roman" w:hAnsi="Times New Roman" w:eastAsia="楷体_GB2312" w:cs="Times New Roman"/>
              <w:sz w:val="32"/>
              <w:szCs w:val="40"/>
              <w:highlight w:val="none"/>
              <w:shd w:val="clear" w:color="auto" w:fill="FFFFFF"/>
              <w:lang w:eastAsia="zh-CN"/>
            </w:rPr>
            <w:t>（一）</w:t>
          </w:r>
          <w:r>
            <w:rPr>
              <w:rFonts w:hint="default" w:ascii="Times New Roman" w:hAnsi="Times New Roman" w:eastAsia="楷体_GB2312" w:cs="Times New Roman"/>
              <w:sz w:val="32"/>
              <w:szCs w:val="40"/>
              <w:highlight w:val="none"/>
              <w:shd w:val="clear" w:color="auto" w:fill="FFFFFF"/>
              <w:lang w:val="en-US" w:eastAsia="zh-CN"/>
            </w:rPr>
            <w:t>全面加强党的领导</w:t>
          </w:r>
          <w:r>
            <w:rPr>
              <w:rFonts w:hint="default" w:ascii="Times New Roman" w:hAnsi="Times New Roman" w:cs="Times New Roman"/>
              <w:sz w:val="32"/>
              <w:szCs w:val="40"/>
              <w:highlight w:val="none"/>
            </w:rPr>
            <w:tab/>
          </w:r>
          <w:r>
            <w:rPr>
              <w:rFonts w:hint="default" w:ascii="Times New Roman" w:hAnsi="Times New Roman" w:cs="Times New Roman"/>
              <w:sz w:val="32"/>
              <w:szCs w:val="40"/>
              <w:highlight w:val="none"/>
            </w:rPr>
            <w:fldChar w:fldCharType="begin"/>
          </w:r>
          <w:r>
            <w:rPr>
              <w:rFonts w:hint="default" w:ascii="Times New Roman" w:hAnsi="Times New Roman" w:cs="Times New Roman"/>
              <w:sz w:val="32"/>
              <w:szCs w:val="40"/>
              <w:highlight w:val="none"/>
            </w:rPr>
            <w:instrText xml:space="preserve"> PAGEREF _Toc13986 \h </w:instrText>
          </w:r>
          <w:r>
            <w:rPr>
              <w:rFonts w:hint="default" w:ascii="Times New Roman" w:hAnsi="Times New Roman" w:cs="Times New Roman"/>
              <w:sz w:val="32"/>
              <w:szCs w:val="40"/>
              <w:highlight w:val="none"/>
            </w:rPr>
            <w:fldChar w:fldCharType="separate"/>
          </w:r>
          <w:r>
            <w:rPr>
              <w:rFonts w:hint="default" w:ascii="Times New Roman" w:hAnsi="Times New Roman" w:cs="Times New Roman"/>
              <w:sz w:val="32"/>
              <w:szCs w:val="40"/>
              <w:highlight w:val="none"/>
            </w:rPr>
            <w:t>21</w:t>
          </w:r>
          <w:r>
            <w:rPr>
              <w:rFonts w:hint="default" w:ascii="Times New Roman" w:hAnsi="Times New Roman" w:cs="Times New Roman"/>
              <w:sz w:val="32"/>
              <w:szCs w:val="40"/>
              <w:highlight w:val="none"/>
            </w:rPr>
            <w:fldChar w:fldCharType="end"/>
          </w:r>
          <w:r>
            <w:rPr>
              <w:rFonts w:hint="default" w:ascii="Times New Roman" w:hAnsi="Times New Roman" w:eastAsia="黑体" w:cs="Times New Roman"/>
              <w:bCs w:val="0"/>
              <w:color w:val="auto"/>
              <w:kern w:val="0"/>
              <w:sz w:val="32"/>
              <w:szCs w:val="340"/>
              <w:highlight w:val="none"/>
            </w:rPr>
            <w:fldChar w:fldCharType="end"/>
          </w:r>
        </w:p>
        <w:p w14:paraId="4A1A9A59">
          <w:pPr>
            <w:pStyle w:val="15"/>
            <w:tabs>
              <w:tab w:val="right" w:leader="dot" w:pos="8306"/>
            </w:tabs>
            <w:rPr>
              <w:rFonts w:hint="default" w:ascii="Times New Roman" w:hAnsi="Times New Roman" w:cs="Times New Roman"/>
              <w:sz w:val="32"/>
              <w:szCs w:val="40"/>
              <w:highlight w:val="none"/>
            </w:rPr>
          </w:pPr>
          <w:r>
            <w:rPr>
              <w:rFonts w:hint="default" w:ascii="Times New Roman" w:hAnsi="Times New Roman" w:eastAsia="黑体" w:cs="Times New Roman"/>
              <w:bCs w:val="0"/>
              <w:color w:val="auto"/>
              <w:kern w:val="0"/>
              <w:sz w:val="32"/>
              <w:szCs w:val="340"/>
              <w:highlight w:val="none"/>
            </w:rPr>
            <w:fldChar w:fldCharType="begin"/>
          </w:r>
          <w:r>
            <w:rPr>
              <w:rFonts w:hint="default" w:ascii="Times New Roman" w:hAnsi="Times New Roman" w:eastAsia="黑体" w:cs="Times New Roman"/>
              <w:bCs w:val="0"/>
              <w:kern w:val="0"/>
              <w:sz w:val="32"/>
              <w:szCs w:val="340"/>
              <w:highlight w:val="none"/>
            </w:rPr>
            <w:instrText xml:space="preserve"> HYPERLINK \l _Toc26833 </w:instrText>
          </w:r>
          <w:r>
            <w:rPr>
              <w:rFonts w:hint="default" w:ascii="Times New Roman" w:hAnsi="Times New Roman" w:eastAsia="黑体" w:cs="Times New Roman"/>
              <w:bCs w:val="0"/>
              <w:kern w:val="0"/>
              <w:sz w:val="32"/>
              <w:szCs w:val="340"/>
              <w:highlight w:val="none"/>
            </w:rPr>
            <w:fldChar w:fldCharType="separate"/>
          </w:r>
          <w:r>
            <w:rPr>
              <w:rFonts w:hint="default" w:ascii="Times New Roman" w:hAnsi="Times New Roman" w:eastAsia="楷体_GB2312" w:cs="Times New Roman"/>
              <w:sz w:val="32"/>
              <w:szCs w:val="40"/>
              <w:highlight w:val="none"/>
              <w:shd w:val="clear" w:color="auto" w:fill="FFFFFF"/>
              <w:lang w:eastAsia="zh-CN"/>
            </w:rPr>
            <w:t>（二）</w:t>
          </w:r>
          <w:r>
            <w:rPr>
              <w:rFonts w:hint="default" w:ascii="Times New Roman" w:hAnsi="Times New Roman" w:eastAsia="楷体_GB2312" w:cs="Times New Roman"/>
              <w:sz w:val="32"/>
              <w:szCs w:val="40"/>
              <w:highlight w:val="none"/>
              <w:shd w:val="clear" w:color="auto" w:fill="FFFFFF"/>
              <w:lang w:val="en-US" w:eastAsia="zh-CN"/>
            </w:rPr>
            <w:t>增强政策协同支撑</w:t>
          </w:r>
          <w:r>
            <w:rPr>
              <w:rFonts w:hint="default" w:ascii="Times New Roman" w:hAnsi="Times New Roman" w:cs="Times New Roman"/>
              <w:sz w:val="32"/>
              <w:szCs w:val="40"/>
              <w:highlight w:val="none"/>
            </w:rPr>
            <w:tab/>
          </w:r>
          <w:r>
            <w:rPr>
              <w:rFonts w:hint="default" w:ascii="Times New Roman" w:hAnsi="Times New Roman" w:cs="Times New Roman"/>
              <w:sz w:val="32"/>
              <w:szCs w:val="40"/>
              <w:highlight w:val="none"/>
            </w:rPr>
            <w:fldChar w:fldCharType="begin"/>
          </w:r>
          <w:r>
            <w:rPr>
              <w:rFonts w:hint="default" w:ascii="Times New Roman" w:hAnsi="Times New Roman" w:cs="Times New Roman"/>
              <w:sz w:val="32"/>
              <w:szCs w:val="40"/>
              <w:highlight w:val="none"/>
            </w:rPr>
            <w:instrText xml:space="preserve"> PAGEREF _Toc26833 \h </w:instrText>
          </w:r>
          <w:r>
            <w:rPr>
              <w:rFonts w:hint="default" w:ascii="Times New Roman" w:hAnsi="Times New Roman" w:cs="Times New Roman"/>
              <w:sz w:val="32"/>
              <w:szCs w:val="40"/>
              <w:highlight w:val="none"/>
            </w:rPr>
            <w:fldChar w:fldCharType="separate"/>
          </w:r>
          <w:r>
            <w:rPr>
              <w:rFonts w:hint="default" w:ascii="Times New Roman" w:hAnsi="Times New Roman" w:cs="Times New Roman"/>
              <w:sz w:val="32"/>
              <w:szCs w:val="40"/>
              <w:highlight w:val="none"/>
            </w:rPr>
            <w:t>21</w:t>
          </w:r>
          <w:r>
            <w:rPr>
              <w:rFonts w:hint="default" w:ascii="Times New Roman" w:hAnsi="Times New Roman" w:cs="Times New Roman"/>
              <w:sz w:val="32"/>
              <w:szCs w:val="40"/>
              <w:highlight w:val="none"/>
            </w:rPr>
            <w:fldChar w:fldCharType="end"/>
          </w:r>
          <w:r>
            <w:rPr>
              <w:rFonts w:hint="default" w:ascii="Times New Roman" w:hAnsi="Times New Roman" w:eastAsia="黑体" w:cs="Times New Roman"/>
              <w:bCs w:val="0"/>
              <w:color w:val="auto"/>
              <w:kern w:val="0"/>
              <w:sz w:val="32"/>
              <w:szCs w:val="340"/>
              <w:highlight w:val="none"/>
            </w:rPr>
            <w:fldChar w:fldCharType="end"/>
          </w:r>
        </w:p>
        <w:p w14:paraId="687C1BA7">
          <w:pPr>
            <w:pStyle w:val="15"/>
            <w:tabs>
              <w:tab w:val="right" w:leader="dot" w:pos="8306"/>
            </w:tabs>
            <w:rPr>
              <w:rFonts w:hint="default" w:ascii="Times New Roman" w:hAnsi="Times New Roman" w:cs="Times New Roman"/>
              <w:sz w:val="32"/>
              <w:szCs w:val="40"/>
              <w:highlight w:val="none"/>
            </w:rPr>
          </w:pPr>
          <w:r>
            <w:rPr>
              <w:rFonts w:hint="default" w:ascii="Times New Roman" w:hAnsi="Times New Roman" w:eastAsia="黑体" w:cs="Times New Roman"/>
              <w:bCs w:val="0"/>
              <w:color w:val="auto"/>
              <w:kern w:val="0"/>
              <w:sz w:val="32"/>
              <w:szCs w:val="340"/>
              <w:highlight w:val="none"/>
            </w:rPr>
            <w:fldChar w:fldCharType="begin"/>
          </w:r>
          <w:r>
            <w:rPr>
              <w:rFonts w:hint="default" w:ascii="Times New Roman" w:hAnsi="Times New Roman" w:eastAsia="黑体" w:cs="Times New Roman"/>
              <w:bCs w:val="0"/>
              <w:kern w:val="0"/>
              <w:sz w:val="32"/>
              <w:szCs w:val="340"/>
              <w:highlight w:val="none"/>
            </w:rPr>
            <w:instrText xml:space="preserve"> HYPERLINK \l _Toc4307 </w:instrText>
          </w:r>
          <w:r>
            <w:rPr>
              <w:rFonts w:hint="default" w:ascii="Times New Roman" w:hAnsi="Times New Roman" w:eastAsia="黑体" w:cs="Times New Roman"/>
              <w:bCs w:val="0"/>
              <w:kern w:val="0"/>
              <w:sz w:val="32"/>
              <w:szCs w:val="340"/>
              <w:highlight w:val="none"/>
            </w:rPr>
            <w:fldChar w:fldCharType="separate"/>
          </w:r>
          <w:r>
            <w:rPr>
              <w:rFonts w:hint="default" w:ascii="Times New Roman" w:hAnsi="Times New Roman" w:eastAsia="楷体_GB2312" w:cs="Times New Roman"/>
              <w:sz w:val="32"/>
              <w:szCs w:val="40"/>
              <w:highlight w:val="none"/>
              <w:shd w:val="clear" w:color="auto" w:fill="FFFFFF"/>
              <w:lang w:eastAsia="zh-CN"/>
            </w:rPr>
            <w:t>（三）</w:t>
          </w:r>
          <w:r>
            <w:rPr>
              <w:rFonts w:hint="default" w:ascii="Times New Roman" w:hAnsi="Times New Roman" w:eastAsia="楷体_GB2312" w:cs="Times New Roman"/>
              <w:sz w:val="32"/>
              <w:szCs w:val="40"/>
              <w:highlight w:val="none"/>
              <w:shd w:val="clear" w:color="auto" w:fill="FFFFFF"/>
              <w:lang w:val="en-US" w:eastAsia="zh-CN"/>
            </w:rPr>
            <w:t>加强规划统筹实施</w:t>
          </w:r>
          <w:r>
            <w:rPr>
              <w:rFonts w:hint="default" w:ascii="Times New Roman" w:hAnsi="Times New Roman" w:cs="Times New Roman"/>
              <w:sz w:val="32"/>
              <w:szCs w:val="40"/>
              <w:highlight w:val="none"/>
            </w:rPr>
            <w:tab/>
          </w:r>
          <w:r>
            <w:rPr>
              <w:rFonts w:hint="default" w:ascii="Times New Roman" w:hAnsi="Times New Roman" w:cs="Times New Roman"/>
              <w:sz w:val="32"/>
              <w:szCs w:val="40"/>
              <w:highlight w:val="none"/>
            </w:rPr>
            <w:fldChar w:fldCharType="begin"/>
          </w:r>
          <w:r>
            <w:rPr>
              <w:rFonts w:hint="default" w:ascii="Times New Roman" w:hAnsi="Times New Roman" w:cs="Times New Roman"/>
              <w:sz w:val="32"/>
              <w:szCs w:val="40"/>
              <w:highlight w:val="none"/>
            </w:rPr>
            <w:instrText xml:space="preserve"> PAGEREF _Toc4307 \h </w:instrText>
          </w:r>
          <w:r>
            <w:rPr>
              <w:rFonts w:hint="default" w:ascii="Times New Roman" w:hAnsi="Times New Roman" w:cs="Times New Roman"/>
              <w:sz w:val="32"/>
              <w:szCs w:val="40"/>
              <w:highlight w:val="none"/>
            </w:rPr>
            <w:fldChar w:fldCharType="separate"/>
          </w:r>
          <w:r>
            <w:rPr>
              <w:rFonts w:hint="default" w:ascii="Times New Roman" w:hAnsi="Times New Roman" w:cs="Times New Roman"/>
              <w:sz w:val="32"/>
              <w:szCs w:val="40"/>
              <w:highlight w:val="none"/>
            </w:rPr>
            <w:t>21</w:t>
          </w:r>
          <w:r>
            <w:rPr>
              <w:rFonts w:hint="default" w:ascii="Times New Roman" w:hAnsi="Times New Roman" w:cs="Times New Roman"/>
              <w:sz w:val="32"/>
              <w:szCs w:val="40"/>
              <w:highlight w:val="none"/>
            </w:rPr>
            <w:fldChar w:fldCharType="end"/>
          </w:r>
          <w:r>
            <w:rPr>
              <w:rFonts w:hint="default" w:ascii="Times New Roman" w:hAnsi="Times New Roman" w:eastAsia="黑体" w:cs="Times New Roman"/>
              <w:bCs w:val="0"/>
              <w:color w:val="auto"/>
              <w:kern w:val="0"/>
              <w:sz w:val="32"/>
              <w:szCs w:val="340"/>
              <w:highlight w:val="none"/>
            </w:rPr>
            <w:fldChar w:fldCharType="end"/>
          </w:r>
        </w:p>
        <w:p w14:paraId="005218FA">
          <w:pPr>
            <w:pStyle w:val="15"/>
            <w:tabs>
              <w:tab w:val="right" w:leader="dot" w:pos="8306"/>
            </w:tabs>
            <w:rPr>
              <w:rFonts w:hint="default" w:ascii="Times New Roman" w:hAnsi="Times New Roman" w:cs="Times New Roman"/>
              <w:sz w:val="32"/>
              <w:szCs w:val="40"/>
              <w:highlight w:val="none"/>
            </w:rPr>
          </w:pPr>
          <w:r>
            <w:rPr>
              <w:rFonts w:hint="default" w:ascii="Times New Roman" w:hAnsi="Times New Roman" w:eastAsia="黑体" w:cs="Times New Roman"/>
              <w:bCs w:val="0"/>
              <w:color w:val="auto"/>
              <w:kern w:val="0"/>
              <w:sz w:val="32"/>
              <w:szCs w:val="340"/>
              <w:highlight w:val="none"/>
            </w:rPr>
            <w:fldChar w:fldCharType="begin"/>
          </w:r>
          <w:r>
            <w:rPr>
              <w:rFonts w:hint="default" w:ascii="Times New Roman" w:hAnsi="Times New Roman" w:eastAsia="黑体" w:cs="Times New Roman"/>
              <w:bCs w:val="0"/>
              <w:kern w:val="0"/>
              <w:sz w:val="32"/>
              <w:szCs w:val="340"/>
              <w:highlight w:val="none"/>
            </w:rPr>
            <w:instrText xml:space="preserve"> HYPERLINK \l _Toc32205 </w:instrText>
          </w:r>
          <w:r>
            <w:rPr>
              <w:rFonts w:hint="default" w:ascii="Times New Roman" w:hAnsi="Times New Roman" w:eastAsia="黑体" w:cs="Times New Roman"/>
              <w:bCs w:val="0"/>
              <w:kern w:val="0"/>
              <w:sz w:val="32"/>
              <w:szCs w:val="340"/>
              <w:highlight w:val="none"/>
            </w:rPr>
            <w:fldChar w:fldCharType="separate"/>
          </w:r>
          <w:r>
            <w:rPr>
              <w:rFonts w:hint="default" w:ascii="Times New Roman" w:hAnsi="Times New Roman" w:eastAsia="楷体_GB2312" w:cs="Times New Roman"/>
              <w:sz w:val="32"/>
              <w:szCs w:val="40"/>
              <w:highlight w:val="none"/>
              <w:shd w:val="clear" w:color="auto" w:fill="FFFFFF"/>
              <w:lang w:eastAsia="zh-CN"/>
            </w:rPr>
            <w:t>（四）</w:t>
          </w:r>
          <w:r>
            <w:rPr>
              <w:rFonts w:hint="default" w:ascii="Times New Roman" w:hAnsi="Times New Roman" w:eastAsia="楷体_GB2312" w:cs="Times New Roman"/>
              <w:sz w:val="32"/>
              <w:szCs w:val="40"/>
              <w:highlight w:val="none"/>
              <w:shd w:val="clear" w:color="auto" w:fill="FFFFFF"/>
              <w:lang w:val="en-US" w:eastAsia="zh-CN"/>
            </w:rPr>
            <w:t>强化规划监测评价</w:t>
          </w:r>
          <w:r>
            <w:rPr>
              <w:rFonts w:hint="default" w:ascii="Times New Roman" w:hAnsi="Times New Roman" w:cs="Times New Roman"/>
              <w:sz w:val="32"/>
              <w:szCs w:val="40"/>
              <w:highlight w:val="none"/>
            </w:rPr>
            <w:tab/>
          </w:r>
          <w:r>
            <w:rPr>
              <w:rFonts w:hint="default" w:ascii="Times New Roman" w:hAnsi="Times New Roman" w:cs="Times New Roman"/>
              <w:sz w:val="32"/>
              <w:szCs w:val="40"/>
              <w:highlight w:val="none"/>
            </w:rPr>
            <w:fldChar w:fldCharType="begin"/>
          </w:r>
          <w:r>
            <w:rPr>
              <w:rFonts w:hint="default" w:ascii="Times New Roman" w:hAnsi="Times New Roman" w:cs="Times New Roman"/>
              <w:sz w:val="32"/>
              <w:szCs w:val="40"/>
              <w:highlight w:val="none"/>
            </w:rPr>
            <w:instrText xml:space="preserve"> PAGEREF _Toc32205 \h </w:instrText>
          </w:r>
          <w:r>
            <w:rPr>
              <w:rFonts w:hint="default" w:ascii="Times New Roman" w:hAnsi="Times New Roman" w:cs="Times New Roman"/>
              <w:sz w:val="32"/>
              <w:szCs w:val="40"/>
              <w:highlight w:val="none"/>
            </w:rPr>
            <w:fldChar w:fldCharType="separate"/>
          </w:r>
          <w:r>
            <w:rPr>
              <w:rFonts w:hint="default" w:ascii="Times New Roman" w:hAnsi="Times New Roman" w:cs="Times New Roman"/>
              <w:sz w:val="32"/>
              <w:szCs w:val="40"/>
              <w:highlight w:val="none"/>
            </w:rPr>
            <w:t>22</w:t>
          </w:r>
          <w:r>
            <w:rPr>
              <w:rFonts w:hint="default" w:ascii="Times New Roman" w:hAnsi="Times New Roman" w:cs="Times New Roman"/>
              <w:sz w:val="32"/>
              <w:szCs w:val="40"/>
              <w:highlight w:val="none"/>
            </w:rPr>
            <w:fldChar w:fldCharType="end"/>
          </w:r>
          <w:r>
            <w:rPr>
              <w:rFonts w:hint="default" w:ascii="Times New Roman" w:hAnsi="Times New Roman" w:eastAsia="黑体" w:cs="Times New Roman"/>
              <w:bCs w:val="0"/>
              <w:color w:val="auto"/>
              <w:kern w:val="0"/>
              <w:sz w:val="32"/>
              <w:szCs w:val="340"/>
              <w:highlight w:val="none"/>
            </w:rPr>
            <w:fldChar w:fldCharType="end"/>
          </w:r>
        </w:p>
        <w:p w14:paraId="671C1D53">
          <w:pPr>
            <w:rPr>
              <w:rFonts w:hint="default"/>
              <w:highlight w:val="none"/>
            </w:rPr>
          </w:pPr>
          <w:r>
            <w:rPr>
              <w:rFonts w:hint="default" w:ascii="Times New Roman" w:hAnsi="Times New Roman" w:eastAsia="黑体" w:cs="Times New Roman"/>
              <w:bCs w:val="0"/>
              <w:color w:val="auto"/>
              <w:kern w:val="0"/>
              <w:sz w:val="32"/>
              <w:szCs w:val="340"/>
              <w:highlight w:val="none"/>
            </w:rPr>
            <w:fldChar w:fldCharType="end"/>
          </w:r>
        </w:p>
      </w:sdtContent>
    </w:sdt>
    <w:p w14:paraId="3C9DE0DB">
      <w:pPr>
        <w:rPr>
          <w:rFonts w:hint="default" w:ascii="Times New Roman" w:hAnsi="Times New Roman" w:cs="Times New Roman"/>
          <w:color w:val="auto"/>
          <w:highlight w:val="none"/>
        </w:rPr>
      </w:pPr>
    </w:p>
    <w:p w14:paraId="0FC7F406">
      <w:pPr>
        <w:spacing w:line="560" w:lineRule="exact"/>
        <w:ind w:firstLine="640" w:firstLineChars="200"/>
        <w:rPr>
          <w:rFonts w:hint="default" w:ascii="Times New Roman" w:hAnsi="Times New Roman" w:eastAsia="仿宋_GB2312" w:cs="Times New Roman"/>
          <w:color w:val="auto"/>
          <w:sz w:val="32"/>
          <w:szCs w:val="32"/>
          <w:highlight w:val="none"/>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24419E15">
      <w:pPr>
        <w:pStyle w:val="3"/>
        <w:keepNext w:val="0"/>
        <w:keepLines w:val="0"/>
        <w:spacing w:after="160"/>
        <w:ind w:left="0" w:leftChars="0" w:firstLine="0" w:firstLineChars="0"/>
        <w:jc w:val="center"/>
        <w:rPr>
          <w:rFonts w:hint="eastAsia" w:ascii="黑体" w:hAnsi="黑体"/>
          <w:szCs w:val="32"/>
          <w:highlight w:val="none"/>
        </w:rPr>
      </w:pPr>
      <w:bookmarkStart w:id="0" w:name="_Toc14580"/>
      <w:bookmarkStart w:id="1" w:name="_Toc681"/>
      <w:bookmarkStart w:id="2" w:name="_Toc18432"/>
      <w:bookmarkStart w:id="3" w:name="_Toc21039"/>
      <w:bookmarkStart w:id="4" w:name="_Toc7279"/>
      <w:bookmarkStart w:id="5" w:name="_Toc4631"/>
      <w:bookmarkStart w:id="6" w:name="_Toc23735"/>
      <w:bookmarkStart w:id="7" w:name="_Toc14427"/>
      <w:bookmarkStart w:id="8" w:name="_Toc12829"/>
      <w:bookmarkStart w:id="9" w:name="_Toc27509"/>
      <w:bookmarkStart w:id="10" w:name="_Toc12791"/>
      <w:bookmarkStart w:id="11" w:name="_Toc22640"/>
      <w:r>
        <w:rPr>
          <w:rFonts w:hint="eastAsia" w:ascii="黑体" w:hAnsi="黑体"/>
          <w:szCs w:val="32"/>
          <w:highlight w:val="none"/>
        </w:rPr>
        <w:t>序  言</w:t>
      </w:r>
      <w:bookmarkEnd w:id="0"/>
      <w:bookmarkEnd w:id="1"/>
      <w:bookmarkEnd w:id="2"/>
    </w:p>
    <w:p w14:paraId="23572BD5">
      <w:pPr>
        <w:spacing w:after="160" w:line="560" w:lineRule="exact"/>
        <w:ind w:firstLine="640" w:firstLineChars="200"/>
        <w:rPr>
          <w:rFonts w:hint="eastAsia" w:ascii="仿宋_GB2312" w:hAnsi="楷体" w:eastAsia="仿宋_GB2312"/>
          <w:sz w:val="32"/>
          <w:szCs w:val="32"/>
          <w:highlight w:val="none"/>
        </w:rPr>
      </w:pPr>
      <w:r>
        <w:rPr>
          <w:rFonts w:hint="eastAsia" w:ascii="仿宋_GB2312" w:hAnsi="楷体" w:eastAsia="仿宋_GB2312"/>
          <w:sz w:val="32"/>
          <w:szCs w:val="32"/>
          <w:highlight w:val="none"/>
        </w:rPr>
        <w:t>国民经济和社会发展第十五个五年规划纲要</w:t>
      </w:r>
      <w:r>
        <w:rPr>
          <w:rFonts w:hint="eastAsia" w:ascii="仿宋_GB2312" w:hAnsi="楷体" w:eastAsia="仿宋_GB2312"/>
          <w:sz w:val="32"/>
          <w:szCs w:val="32"/>
          <w:highlight w:val="none"/>
          <w:lang w:val="en-US" w:eastAsia="zh-CN"/>
        </w:rPr>
        <w:t>明确提出，</w:t>
      </w:r>
      <w:r>
        <w:rPr>
          <w:rFonts w:hint="eastAsia" w:ascii="仿宋_GB2312" w:hAnsi="楷体" w:eastAsia="仿宋_GB2312"/>
          <w:sz w:val="32"/>
          <w:szCs w:val="32"/>
          <w:highlight w:val="none"/>
        </w:rPr>
        <w:t>“十五五”时期要</w:t>
      </w:r>
      <w:r>
        <w:rPr>
          <w:rFonts w:hint="eastAsia" w:ascii="仿宋_GB2312" w:hAnsi="楷体" w:eastAsia="仿宋_GB2312"/>
          <w:sz w:val="32"/>
          <w:szCs w:val="32"/>
          <w:highlight w:val="none"/>
          <w:lang w:val="en-US" w:eastAsia="zh-CN"/>
        </w:rPr>
        <w:t>把握</w:t>
      </w:r>
      <w:r>
        <w:rPr>
          <w:rFonts w:hint="eastAsia" w:ascii="仿宋_GB2312" w:hAnsi="楷体" w:eastAsia="仿宋_GB2312"/>
          <w:sz w:val="32"/>
          <w:szCs w:val="32"/>
          <w:highlight w:val="none"/>
        </w:rPr>
        <w:t>新一轮科技革命和产业变革历史机遇，全面增强自主创新能力，抢占科技发展制高点，推动科技创新和产业创新深度融合，不断催生新质生产力。中关村房山园作为中关村国家自主创新示范区“一区多园”的重要</w:t>
      </w:r>
      <w:r>
        <w:rPr>
          <w:rFonts w:hint="eastAsia" w:ascii="仿宋_GB2312" w:hAnsi="楷体" w:eastAsia="仿宋_GB2312"/>
          <w:sz w:val="32"/>
          <w:szCs w:val="32"/>
          <w:highlight w:val="none"/>
          <w:lang w:eastAsia="zh-CN"/>
        </w:rPr>
        <w:t>组成部分</w:t>
      </w:r>
      <w:r>
        <w:rPr>
          <w:rFonts w:hint="eastAsia" w:ascii="仿宋_GB2312" w:hAnsi="楷体" w:eastAsia="仿宋_GB2312"/>
          <w:sz w:val="32"/>
          <w:szCs w:val="32"/>
          <w:highlight w:val="none"/>
        </w:rPr>
        <w:t>，既是</w:t>
      </w:r>
      <w:r>
        <w:rPr>
          <w:rFonts w:hint="eastAsia" w:ascii="仿宋_GB2312" w:hAnsi="楷体" w:eastAsia="仿宋_GB2312"/>
          <w:sz w:val="32"/>
          <w:szCs w:val="32"/>
          <w:highlight w:val="none"/>
          <w:lang w:val="en-US" w:eastAsia="zh-CN"/>
        </w:rPr>
        <w:t>支撑</w:t>
      </w:r>
      <w:r>
        <w:rPr>
          <w:rFonts w:hint="eastAsia" w:ascii="仿宋_GB2312" w:hAnsi="楷体" w:eastAsia="仿宋_GB2312"/>
          <w:sz w:val="32"/>
          <w:szCs w:val="32"/>
          <w:highlight w:val="none"/>
        </w:rPr>
        <w:t>北京</w:t>
      </w:r>
      <w:r>
        <w:rPr>
          <w:rFonts w:hint="eastAsia" w:ascii="仿宋_GB2312" w:hAnsi="楷体" w:eastAsia="仿宋_GB2312"/>
          <w:sz w:val="32"/>
          <w:szCs w:val="32"/>
          <w:highlight w:val="none"/>
          <w:lang w:eastAsia="zh-CN"/>
        </w:rPr>
        <w:t>（京津冀）</w:t>
      </w:r>
      <w:r>
        <w:rPr>
          <w:rFonts w:hint="eastAsia" w:ascii="仿宋_GB2312" w:hAnsi="楷体" w:eastAsia="仿宋_GB2312"/>
          <w:sz w:val="32"/>
          <w:szCs w:val="32"/>
          <w:highlight w:val="none"/>
        </w:rPr>
        <w:t>国际科技创新中心</w:t>
      </w:r>
      <w:r>
        <w:rPr>
          <w:rFonts w:hint="eastAsia" w:ascii="仿宋_GB2312" w:hAnsi="楷体" w:eastAsia="仿宋_GB2312"/>
          <w:sz w:val="32"/>
          <w:szCs w:val="32"/>
          <w:highlight w:val="none"/>
          <w:lang w:eastAsia="zh-CN"/>
        </w:rPr>
        <w:t>建设</w:t>
      </w:r>
      <w:r>
        <w:rPr>
          <w:rFonts w:hint="eastAsia" w:ascii="仿宋_GB2312" w:hAnsi="楷体" w:eastAsia="仿宋_GB2312"/>
          <w:sz w:val="32"/>
          <w:szCs w:val="32"/>
          <w:highlight w:val="none"/>
        </w:rPr>
        <w:t>的重要</w:t>
      </w:r>
      <w:r>
        <w:rPr>
          <w:rFonts w:hint="eastAsia" w:ascii="仿宋_GB2312" w:hAnsi="楷体" w:eastAsia="仿宋_GB2312"/>
          <w:sz w:val="32"/>
          <w:szCs w:val="32"/>
          <w:highlight w:val="none"/>
          <w:lang w:val="en-US" w:eastAsia="zh-CN"/>
        </w:rPr>
        <w:t>力量</w:t>
      </w:r>
      <w:r>
        <w:rPr>
          <w:rFonts w:hint="eastAsia" w:ascii="仿宋_GB2312" w:hAnsi="楷体" w:eastAsia="仿宋_GB2312"/>
          <w:sz w:val="32"/>
          <w:szCs w:val="32"/>
          <w:highlight w:val="none"/>
        </w:rPr>
        <w:t>，</w:t>
      </w:r>
      <w:r>
        <w:rPr>
          <w:rFonts w:hint="eastAsia" w:ascii="仿宋_GB2312" w:hAnsi="楷体" w:eastAsia="仿宋_GB2312"/>
          <w:sz w:val="32"/>
          <w:szCs w:val="32"/>
          <w:highlight w:val="none"/>
          <w:lang w:eastAsia="zh-CN"/>
        </w:rPr>
        <w:t>更</w:t>
      </w:r>
      <w:r>
        <w:rPr>
          <w:rFonts w:hint="eastAsia" w:ascii="仿宋_GB2312" w:hAnsi="楷体" w:eastAsia="仿宋_GB2312"/>
          <w:sz w:val="32"/>
          <w:szCs w:val="32"/>
          <w:highlight w:val="none"/>
        </w:rPr>
        <w:t>是房山区</w:t>
      </w:r>
      <w:r>
        <w:rPr>
          <w:rFonts w:hint="eastAsia" w:ascii="仿宋_GB2312" w:hAnsi="楷体" w:eastAsia="仿宋_GB2312"/>
          <w:sz w:val="32"/>
          <w:szCs w:val="32"/>
          <w:highlight w:val="none"/>
          <w:lang w:eastAsia="zh-CN"/>
        </w:rPr>
        <w:t>全面建设科教融合文化名区、新智制造产业新城的</w:t>
      </w:r>
      <w:r>
        <w:rPr>
          <w:rFonts w:hint="eastAsia" w:ascii="仿宋_GB2312" w:hAnsi="楷体" w:eastAsia="仿宋_GB2312"/>
          <w:sz w:val="32"/>
          <w:szCs w:val="32"/>
          <w:highlight w:val="none"/>
          <w:lang w:val="en-US" w:eastAsia="zh-CN"/>
        </w:rPr>
        <w:t>重要承载</w:t>
      </w:r>
      <w:r>
        <w:rPr>
          <w:rFonts w:hint="eastAsia" w:ascii="仿宋_GB2312" w:hAnsi="楷体" w:eastAsia="仿宋_GB2312"/>
          <w:sz w:val="32"/>
          <w:szCs w:val="32"/>
          <w:highlight w:val="none"/>
        </w:rPr>
        <w:t>。“十五五”时期</w:t>
      </w:r>
      <w:r>
        <w:rPr>
          <w:rFonts w:hint="eastAsia" w:ascii="仿宋_GB2312" w:hAnsi="楷体" w:eastAsia="仿宋_GB2312"/>
          <w:sz w:val="32"/>
          <w:szCs w:val="32"/>
          <w:highlight w:val="none"/>
          <w:lang w:eastAsia="zh-CN"/>
        </w:rPr>
        <w:t>中关村房山园</w:t>
      </w:r>
      <w:r>
        <w:rPr>
          <w:rFonts w:hint="eastAsia" w:ascii="仿宋_GB2312" w:hAnsi="楷体" w:eastAsia="仿宋_GB2312"/>
          <w:sz w:val="32"/>
          <w:szCs w:val="32"/>
          <w:highlight w:val="none"/>
        </w:rPr>
        <w:t>将充分发挥创新引领</w:t>
      </w:r>
      <w:r>
        <w:rPr>
          <w:rFonts w:hint="eastAsia" w:ascii="仿宋_GB2312" w:hAnsi="楷体" w:eastAsia="仿宋_GB2312"/>
          <w:sz w:val="32"/>
          <w:szCs w:val="32"/>
          <w:highlight w:val="none"/>
          <w:lang w:val="en-US" w:eastAsia="zh-CN"/>
        </w:rPr>
        <w:t>与</w:t>
      </w:r>
      <w:r>
        <w:rPr>
          <w:rFonts w:hint="eastAsia" w:ascii="仿宋_GB2312" w:hAnsi="楷体" w:eastAsia="仿宋_GB2312"/>
          <w:sz w:val="32"/>
          <w:szCs w:val="32"/>
          <w:highlight w:val="none"/>
        </w:rPr>
        <w:t>示范带动作用，加快</w:t>
      </w:r>
      <w:r>
        <w:rPr>
          <w:rFonts w:hint="eastAsia" w:ascii="仿宋_GB2312" w:hAnsi="楷体" w:eastAsia="仿宋_GB2312"/>
          <w:sz w:val="32"/>
          <w:szCs w:val="32"/>
          <w:highlight w:val="none"/>
          <w:lang w:val="en-US" w:eastAsia="zh-CN"/>
        </w:rPr>
        <w:t>构建现代产业体系，助力房山区打造新质智造产业新城，为区域高质量发展注入强劲动力，为此，</w:t>
      </w:r>
      <w:r>
        <w:rPr>
          <w:rFonts w:hint="eastAsia" w:ascii="仿宋_GB2312" w:hAnsi="楷体" w:eastAsia="仿宋_GB2312"/>
          <w:sz w:val="32"/>
          <w:szCs w:val="32"/>
          <w:highlight w:val="none"/>
        </w:rPr>
        <w:t>特</w:t>
      </w:r>
      <w:r>
        <w:rPr>
          <w:rFonts w:hint="eastAsia" w:ascii="仿宋_GB2312" w:hAnsi="楷体" w:eastAsia="仿宋_GB2312"/>
          <w:sz w:val="32"/>
          <w:szCs w:val="32"/>
          <w:highlight w:val="none"/>
          <w:lang w:val="en-US" w:eastAsia="zh-CN"/>
        </w:rPr>
        <w:t>编制</w:t>
      </w:r>
      <w:r>
        <w:rPr>
          <w:rFonts w:hint="eastAsia" w:ascii="仿宋_GB2312" w:hAnsi="楷体" w:eastAsia="仿宋_GB2312"/>
          <w:sz w:val="32"/>
          <w:szCs w:val="32"/>
          <w:highlight w:val="none"/>
        </w:rPr>
        <w:t>本规划。</w:t>
      </w:r>
    </w:p>
    <w:p w14:paraId="73BDBB04">
      <w:pPr>
        <w:spacing w:after="160" w:line="560" w:lineRule="exact"/>
        <w:ind w:firstLine="640" w:firstLineChars="200"/>
        <w:rPr>
          <w:rFonts w:hint="eastAsia" w:ascii="仿宋_GB2312" w:hAnsi="楷体" w:eastAsia="仿宋_GB2312"/>
          <w:sz w:val="32"/>
          <w:szCs w:val="32"/>
          <w:highlight w:val="none"/>
          <w:lang w:eastAsia="zh-CN"/>
        </w:rPr>
      </w:pPr>
      <w:r>
        <w:rPr>
          <w:rFonts w:hint="eastAsia" w:ascii="仿宋_GB2312" w:hAnsi="楷体" w:eastAsia="仿宋_GB2312"/>
          <w:sz w:val="32"/>
          <w:szCs w:val="32"/>
          <w:highlight w:val="none"/>
          <w:lang w:eastAsia="zh-CN"/>
        </w:rPr>
        <w:t>《房山区“十五五”时期中关村房山园发展规划（征求意见稿）》</w:t>
      </w:r>
      <w:r>
        <w:rPr>
          <w:rFonts w:hint="eastAsia" w:ascii="仿宋_GB2312" w:hAnsi="楷体" w:eastAsia="仿宋_GB2312"/>
          <w:sz w:val="32"/>
          <w:szCs w:val="32"/>
          <w:highlight w:val="none"/>
        </w:rPr>
        <w:t>是房山区国民经济和社会发展第十五个五年规划体系的重要组成部分，是对房山区服务首都功能建设、</w:t>
      </w:r>
      <w:r>
        <w:rPr>
          <w:rFonts w:hint="eastAsia" w:ascii="仿宋_GB2312" w:hAnsi="楷体" w:eastAsia="仿宋_GB2312"/>
          <w:sz w:val="32"/>
          <w:szCs w:val="32"/>
          <w:highlight w:val="none"/>
          <w:lang w:eastAsia="zh-CN"/>
        </w:rPr>
        <w:t>推进“一区一城”新房山</w:t>
      </w:r>
      <w:r>
        <w:rPr>
          <w:rFonts w:hint="eastAsia" w:ascii="仿宋_GB2312" w:hAnsi="楷体" w:eastAsia="仿宋_GB2312"/>
          <w:sz w:val="32"/>
          <w:szCs w:val="32"/>
          <w:highlight w:val="none"/>
        </w:rPr>
        <w:t>高质量发展的进一步深化和细化。</w:t>
      </w:r>
      <w:r>
        <w:rPr>
          <w:rFonts w:hint="eastAsia" w:ascii="仿宋_GB2312" w:hAnsi="楷体" w:eastAsia="仿宋_GB2312"/>
          <w:sz w:val="32"/>
          <w:szCs w:val="32"/>
          <w:highlight w:val="none"/>
          <w:lang w:eastAsia="zh-CN"/>
        </w:rPr>
        <w:t>本规划紧密衔接房山区“十五五”规划纲要提出的“1+3”重要功能区布局和“2+2”现代化产业体系构建要求，聚焦绿色能源、新材料两大主导产业和智能制造、智慧医工两大特色产业，</w:t>
      </w:r>
      <w:r>
        <w:rPr>
          <w:rFonts w:hint="eastAsia" w:ascii="仿宋_GB2312" w:hAnsi="楷体" w:eastAsia="仿宋_GB2312"/>
          <w:sz w:val="32"/>
          <w:szCs w:val="32"/>
          <w:highlight w:val="none"/>
        </w:rPr>
        <w:t>围绕</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科教融合文化名区、新质智造产业新城</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战略目标</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主动服务新时代首都发展大局，为房山区打造</w:t>
      </w:r>
      <w:r>
        <w:rPr>
          <w:rFonts w:hint="eastAsia" w:ascii="仿宋_GB2312" w:hAnsi="楷体" w:eastAsia="仿宋_GB2312"/>
          <w:sz w:val="32"/>
          <w:szCs w:val="32"/>
          <w:highlight w:val="none"/>
          <w:lang w:eastAsia="zh-CN"/>
        </w:rPr>
        <w:t>新质智造产业新城</w:t>
      </w:r>
      <w:r>
        <w:rPr>
          <w:rFonts w:hint="eastAsia" w:ascii="仿宋_GB2312" w:hAnsi="楷体" w:eastAsia="仿宋_GB2312"/>
          <w:sz w:val="32"/>
          <w:szCs w:val="32"/>
          <w:highlight w:val="none"/>
        </w:rPr>
        <w:t>、建设平原新城增长极提供核心产业支撑</w:t>
      </w:r>
      <w:r>
        <w:rPr>
          <w:rFonts w:hint="eastAsia" w:ascii="仿宋_GB2312" w:hAnsi="楷体" w:eastAsia="仿宋_GB2312"/>
          <w:sz w:val="32"/>
          <w:szCs w:val="32"/>
          <w:highlight w:val="none"/>
          <w:lang w:eastAsia="zh-CN"/>
        </w:rPr>
        <w:t>。</w:t>
      </w:r>
    </w:p>
    <w:p w14:paraId="62729FE4">
      <w:pPr>
        <w:spacing w:after="160" w:line="560" w:lineRule="exact"/>
        <w:ind w:firstLine="640" w:firstLineChars="200"/>
        <w:rPr>
          <w:rFonts w:hint="eastAsia" w:ascii="仿宋_GB2312" w:hAnsi="楷体" w:eastAsia="仿宋_GB2312"/>
          <w:sz w:val="32"/>
          <w:szCs w:val="32"/>
          <w:highlight w:val="none"/>
          <w:lang w:eastAsia="zh-CN"/>
        </w:rPr>
      </w:pPr>
      <w:r>
        <w:rPr>
          <w:rFonts w:hint="eastAsia" w:ascii="仿宋_GB2312" w:hAnsi="楷体" w:eastAsia="仿宋_GB2312"/>
          <w:sz w:val="32"/>
          <w:szCs w:val="32"/>
          <w:highlight w:val="none"/>
        </w:rPr>
        <w:t>本规划</w:t>
      </w:r>
      <w:r>
        <w:rPr>
          <w:rFonts w:hint="eastAsia" w:ascii="仿宋_GB2312" w:hAnsi="楷体" w:eastAsia="仿宋_GB2312"/>
          <w:sz w:val="32"/>
          <w:szCs w:val="32"/>
          <w:highlight w:val="none"/>
          <w:lang w:val="en-US" w:eastAsia="zh-CN"/>
        </w:rPr>
        <w:t>依据</w:t>
      </w:r>
      <w:r>
        <w:rPr>
          <w:rFonts w:hint="eastAsia" w:ascii="仿宋_GB2312" w:hAnsi="楷体" w:eastAsia="仿宋_GB2312"/>
          <w:sz w:val="32"/>
          <w:szCs w:val="32"/>
          <w:highlight w:val="none"/>
        </w:rPr>
        <w:t>《中华人民共和国国民经济和社会发展第十五个五年规划纲要》《北京城市总体规划（2016年—2035年）》《房山分区规划（国土空间规划）（2017年</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2035年）》《北京市房山区国民经济和社会发展第十五个五年规划纲要》等</w:t>
      </w:r>
      <w:r>
        <w:rPr>
          <w:rFonts w:hint="eastAsia" w:ascii="仿宋_GB2312" w:hAnsi="楷体" w:eastAsia="仿宋_GB2312"/>
          <w:sz w:val="32"/>
          <w:szCs w:val="32"/>
          <w:highlight w:val="none"/>
          <w:lang w:val="en-US" w:eastAsia="zh-CN"/>
        </w:rPr>
        <w:t>上位文件</w:t>
      </w:r>
      <w:r>
        <w:rPr>
          <w:rFonts w:hint="eastAsia" w:ascii="仿宋_GB2312" w:hAnsi="楷体" w:eastAsia="仿宋_GB2312"/>
          <w:sz w:val="32"/>
          <w:szCs w:val="32"/>
          <w:highlight w:val="none"/>
        </w:rPr>
        <w:t>编制</w:t>
      </w:r>
      <w:r>
        <w:rPr>
          <w:rFonts w:hint="eastAsia" w:ascii="仿宋_GB2312" w:hAnsi="楷体" w:eastAsia="仿宋_GB2312"/>
          <w:sz w:val="32"/>
          <w:szCs w:val="32"/>
          <w:highlight w:val="none"/>
          <w:lang w:eastAsia="zh-CN"/>
        </w:rPr>
        <w:t>，规划范围</w:t>
      </w:r>
      <w:r>
        <w:rPr>
          <w:rFonts w:hint="eastAsia" w:ascii="仿宋_GB2312" w:hAnsi="楷体" w:eastAsia="仿宋_GB2312"/>
          <w:sz w:val="32"/>
          <w:szCs w:val="32"/>
          <w:highlight w:val="none"/>
          <w:lang w:val="en-US" w:eastAsia="zh-CN"/>
        </w:rPr>
        <w:t>覆盖</w:t>
      </w:r>
      <w:r>
        <w:rPr>
          <w:rFonts w:hint="eastAsia" w:ascii="仿宋_GB2312" w:hAnsi="楷体" w:eastAsia="仿宋_GB2312"/>
          <w:sz w:val="32"/>
          <w:szCs w:val="32"/>
          <w:highlight w:val="none"/>
          <w:lang w:eastAsia="zh-CN"/>
        </w:rPr>
        <w:t>中关村房山园管理区域。</w:t>
      </w:r>
    </w:p>
    <w:p w14:paraId="27D03785">
      <w:pPr>
        <w:spacing w:after="160" w:line="560" w:lineRule="exact"/>
        <w:ind w:firstLine="640" w:firstLineChars="200"/>
        <w:rPr>
          <w:rFonts w:hint="default" w:ascii="仿宋_GB2312" w:hAnsi="楷体" w:eastAsia="仿宋_GB2312"/>
          <w:sz w:val="32"/>
          <w:szCs w:val="32"/>
          <w:highlight w:val="none"/>
          <w:lang w:eastAsia="zh-CN"/>
        </w:rPr>
      </w:pPr>
    </w:p>
    <w:p w14:paraId="4998F5D0">
      <w:pPr>
        <w:spacing w:after="160" w:line="560" w:lineRule="exact"/>
        <w:ind w:firstLine="640" w:firstLineChars="200"/>
        <w:rPr>
          <w:rFonts w:hint="default" w:ascii="仿宋_GB2312" w:hAnsi="楷体" w:eastAsia="仿宋_GB2312"/>
          <w:sz w:val="32"/>
          <w:szCs w:val="32"/>
          <w:highlight w:val="none"/>
        </w:rPr>
        <w:sectPr>
          <w:footerReference r:id="rId4" w:type="default"/>
          <w:pgSz w:w="11906" w:h="16838"/>
          <w:pgMar w:top="1440" w:right="1800" w:bottom="1440" w:left="1800" w:header="851" w:footer="992" w:gutter="0"/>
          <w:pgNumType w:fmt="decimal" w:start="1"/>
          <w:cols w:space="425" w:num="1"/>
          <w:docGrid w:type="lines" w:linePitch="312" w:charSpace="0"/>
        </w:sectPr>
      </w:pPr>
    </w:p>
    <w:p w14:paraId="04E94215">
      <w:pPr>
        <w:pStyle w:val="3"/>
        <w:keepNext w:val="0"/>
        <w:keepLines w:val="0"/>
        <w:spacing w:after="160"/>
        <w:ind w:firstLine="640"/>
        <w:rPr>
          <w:rFonts w:hint="eastAsia" w:ascii="黑体" w:hAnsi="黑体"/>
          <w:szCs w:val="32"/>
          <w:highlight w:val="none"/>
        </w:rPr>
      </w:pPr>
      <w:bookmarkStart w:id="12" w:name="_Toc10636"/>
      <w:r>
        <w:rPr>
          <w:rFonts w:hint="eastAsia" w:ascii="黑体" w:hAnsi="黑体"/>
          <w:szCs w:val="32"/>
          <w:highlight w:val="none"/>
        </w:rPr>
        <w:t>一</w:t>
      </w:r>
      <w:r>
        <w:rPr>
          <w:rFonts w:hint="eastAsia" w:ascii="黑体" w:hAnsi="黑体"/>
          <w:szCs w:val="32"/>
          <w:highlight w:val="none"/>
          <w:lang w:eastAsia="zh-CN"/>
        </w:rPr>
        <w:t>、</w:t>
      </w:r>
      <w:r>
        <w:rPr>
          <w:rFonts w:hint="eastAsia" w:ascii="黑体" w:hAnsi="黑体"/>
          <w:szCs w:val="32"/>
          <w:highlight w:val="none"/>
        </w:rPr>
        <w:t>发展基础</w:t>
      </w:r>
      <w:bookmarkEnd w:id="3"/>
      <w:bookmarkEnd w:id="4"/>
      <w:bookmarkEnd w:id="5"/>
      <w:bookmarkEnd w:id="6"/>
      <w:bookmarkEnd w:id="7"/>
      <w:bookmarkEnd w:id="8"/>
      <w:bookmarkEnd w:id="9"/>
      <w:bookmarkEnd w:id="10"/>
      <w:bookmarkEnd w:id="11"/>
      <w:r>
        <w:rPr>
          <w:rFonts w:hint="eastAsia" w:ascii="黑体" w:hAnsi="黑体"/>
          <w:szCs w:val="32"/>
          <w:highlight w:val="none"/>
        </w:rPr>
        <w:t>与形势要求</w:t>
      </w:r>
      <w:bookmarkEnd w:id="12"/>
    </w:p>
    <w:p w14:paraId="0398C014">
      <w:pPr>
        <w:pStyle w:val="4"/>
        <w:spacing w:before="0" w:after="160" w:line="560" w:lineRule="exact"/>
        <w:ind w:firstLine="640" w:firstLineChars="200"/>
        <w:rPr>
          <w:rFonts w:hint="eastAsia" w:ascii="楷体_GB2312" w:hAnsi="楷体_GB2312" w:eastAsia="楷体_GB2312" w:cs="楷体_GB2312"/>
          <w:b w:val="0"/>
          <w:color w:val="191919"/>
          <w:highlight w:val="none"/>
          <w:shd w:val="clear" w:color="auto" w:fill="FFFFFF"/>
        </w:rPr>
      </w:pPr>
      <w:bookmarkStart w:id="13" w:name="_Toc12348"/>
      <w:bookmarkStart w:id="14" w:name="_Toc11775"/>
      <w:bookmarkStart w:id="15" w:name="_Toc15762"/>
      <w:bookmarkStart w:id="16" w:name="_Toc10840"/>
      <w:bookmarkStart w:id="17" w:name="_Toc14546"/>
      <w:bookmarkStart w:id="18" w:name="_Toc6089"/>
      <w:bookmarkStart w:id="19" w:name="_Toc11568"/>
      <w:bookmarkStart w:id="20" w:name="_Toc15920"/>
      <w:bookmarkStart w:id="21" w:name="_Toc16359"/>
      <w:bookmarkStart w:id="22" w:name="_Toc26310"/>
      <w:r>
        <w:rPr>
          <w:rFonts w:hint="eastAsia" w:ascii="楷体_GB2312" w:hAnsi="楷体_GB2312" w:eastAsia="楷体_GB2312" w:cs="楷体_GB2312"/>
          <w:b w:val="0"/>
          <w:color w:val="191919"/>
          <w:highlight w:val="none"/>
          <w:shd w:val="clear" w:color="auto" w:fill="FFFFFF"/>
          <w:lang w:eastAsia="zh-CN"/>
        </w:rPr>
        <w:t>（</w:t>
      </w:r>
      <w:r>
        <w:rPr>
          <w:rFonts w:hint="eastAsia" w:ascii="楷体_GB2312" w:hAnsi="楷体_GB2312" w:eastAsia="楷体_GB2312" w:cs="楷体_GB2312"/>
          <w:b w:val="0"/>
          <w:color w:val="191919"/>
          <w:highlight w:val="none"/>
          <w:shd w:val="clear" w:color="auto" w:fill="FFFFFF"/>
          <w:lang w:val="en-US" w:eastAsia="zh-CN"/>
        </w:rPr>
        <w:t>一</w:t>
      </w:r>
      <w:r>
        <w:rPr>
          <w:rFonts w:hint="eastAsia" w:ascii="楷体_GB2312" w:hAnsi="楷体_GB2312" w:eastAsia="楷体_GB2312" w:cs="楷体_GB2312"/>
          <w:b w:val="0"/>
          <w:color w:val="191919"/>
          <w:highlight w:val="none"/>
          <w:shd w:val="clear" w:color="auto" w:fill="FFFFFF"/>
          <w:lang w:eastAsia="zh-CN"/>
        </w:rPr>
        <w:t>）</w:t>
      </w:r>
      <w:r>
        <w:rPr>
          <w:rFonts w:hint="eastAsia" w:ascii="楷体_GB2312" w:hAnsi="楷体_GB2312" w:eastAsia="楷体_GB2312" w:cs="楷体_GB2312"/>
          <w:b w:val="0"/>
          <w:color w:val="191919"/>
          <w:highlight w:val="none"/>
          <w:shd w:val="clear" w:color="auto" w:fill="FFFFFF"/>
        </w:rPr>
        <w:t>发展基础</w:t>
      </w:r>
      <w:bookmarkEnd w:id="13"/>
      <w:bookmarkEnd w:id="14"/>
      <w:bookmarkEnd w:id="15"/>
      <w:bookmarkEnd w:id="16"/>
      <w:bookmarkEnd w:id="17"/>
      <w:bookmarkEnd w:id="18"/>
      <w:bookmarkEnd w:id="19"/>
      <w:bookmarkEnd w:id="20"/>
      <w:bookmarkEnd w:id="21"/>
      <w:bookmarkEnd w:id="22"/>
    </w:p>
    <w:p w14:paraId="1AF52BD9">
      <w:pPr>
        <w:spacing w:after="160" w:line="560" w:lineRule="exact"/>
        <w:ind w:firstLine="643" w:firstLineChars="200"/>
        <w:rPr>
          <w:rFonts w:hint="eastAsia" w:ascii="仿宋_GB2312" w:hAnsi="楷体" w:eastAsia="仿宋_GB2312"/>
          <w:sz w:val="32"/>
          <w:szCs w:val="32"/>
          <w:highlight w:val="none"/>
        </w:rPr>
      </w:pPr>
      <w:bookmarkStart w:id="23" w:name="_Toc8575"/>
      <w:bookmarkStart w:id="24" w:name="_Toc7921"/>
      <w:bookmarkStart w:id="25" w:name="_Toc10306"/>
      <w:bookmarkStart w:id="26" w:name="_Toc13804"/>
      <w:bookmarkStart w:id="27" w:name="_Toc18707"/>
      <w:bookmarkStart w:id="28" w:name="_Toc20169"/>
      <w:bookmarkStart w:id="29" w:name="_Toc6661"/>
      <w:bookmarkStart w:id="30" w:name="_Toc734"/>
      <w:r>
        <w:rPr>
          <w:rFonts w:hint="eastAsia" w:ascii="仿宋_GB2312" w:hAnsi="楷体" w:eastAsia="仿宋_GB2312"/>
          <w:b/>
          <w:bCs/>
          <w:sz w:val="32"/>
          <w:szCs w:val="32"/>
          <w:highlight w:val="none"/>
        </w:rPr>
        <w:t>经济规模总量实现突破</w:t>
      </w:r>
      <w:bookmarkEnd w:id="23"/>
      <w:bookmarkEnd w:id="24"/>
      <w:bookmarkEnd w:id="25"/>
      <w:bookmarkEnd w:id="26"/>
      <w:bookmarkEnd w:id="27"/>
      <w:bookmarkEnd w:id="28"/>
      <w:bookmarkEnd w:id="29"/>
      <w:bookmarkEnd w:id="30"/>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rPr>
        <w:t>“十四五”</w:t>
      </w:r>
      <w:r>
        <w:rPr>
          <w:rFonts w:hint="eastAsia" w:ascii="仿宋_GB2312" w:hAnsi="楷体" w:eastAsia="仿宋_GB2312"/>
          <w:sz w:val="32"/>
          <w:szCs w:val="32"/>
          <w:highlight w:val="none"/>
          <w:lang w:val="en-US" w:eastAsia="zh-CN"/>
        </w:rPr>
        <w:t>期间</w:t>
      </w:r>
      <w:r>
        <w:rPr>
          <w:rFonts w:hint="eastAsia" w:ascii="仿宋_GB2312" w:hAnsi="楷体" w:eastAsia="仿宋_GB2312"/>
          <w:sz w:val="32"/>
          <w:szCs w:val="32"/>
          <w:highlight w:val="none"/>
        </w:rPr>
        <w:t>，园区总收入</w:t>
      </w:r>
      <w:r>
        <w:rPr>
          <w:rFonts w:hint="eastAsia" w:ascii="仿宋_GB2312" w:hAnsi="楷体" w:eastAsia="仿宋_GB2312"/>
          <w:sz w:val="32"/>
          <w:szCs w:val="32"/>
          <w:highlight w:val="none"/>
          <w:lang w:val="en-US" w:eastAsia="zh-CN"/>
        </w:rPr>
        <w:t>从2021年的614亿元增至</w:t>
      </w:r>
      <w:r>
        <w:rPr>
          <w:rFonts w:hint="eastAsia" w:ascii="仿宋_GB2312" w:hAnsi="楷体" w:eastAsia="仿宋_GB2312"/>
          <w:sz w:val="32"/>
          <w:szCs w:val="32"/>
          <w:highlight w:val="none"/>
        </w:rPr>
        <w:t>202</w:t>
      </w:r>
      <w:r>
        <w:rPr>
          <w:rFonts w:hint="eastAsia" w:ascii="仿宋_GB2312" w:hAnsi="楷体" w:eastAsia="仿宋_GB2312"/>
          <w:sz w:val="32"/>
          <w:szCs w:val="32"/>
          <w:highlight w:val="none"/>
          <w:lang w:val="en-US" w:eastAsia="zh-CN"/>
        </w:rPr>
        <w:t>5</w:t>
      </w:r>
      <w:r>
        <w:rPr>
          <w:rFonts w:hint="eastAsia" w:ascii="仿宋_GB2312" w:hAnsi="楷体" w:eastAsia="仿宋_GB2312"/>
          <w:sz w:val="32"/>
          <w:szCs w:val="32"/>
          <w:highlight w:val="none"/>
        </w:rPr>
        <w:t>年</w:t>
      </w:r>
      <w:r>
        <w:rPr>
          <w:rFonts w:hint="eastAsia" w:ascii="仿宋_GB2312" w:hAnsi="楷体" w:eastAsia="仿宋_GB2312"/>
          <w:sz w:val="32"/>
          <w:szCs w:val="32"/>
          <w:highlight w:val="none"/>
          <w:lang w:val="en-US" w:eastAsia="zh-CN"/>
        </w:rPr>
        <w:t>的988</w:t>
      </w:r>
      <w:r>
        <w:rPr>
          <w:rFonts w:hint="eastAsia" w:ascii="仿宋_GB2312" w:hAnsi="楷体" w:eastAsia="仿宋_GB2312"/>
          <w:sz w:val="32"/>
          <w:szCs w:val="32"/>
          <w:highlight w:val="none"/>
        </w:rPr>
        <w:t>亿元，较“十四五”初期增长</w:t>
      </w:r>
      <w:r>
        <w:rPr>
          <w:rFonts w:hint="eastAsia" w:ascii="仿宋_GB2312" w:hAnsi="楷体" w:eastAsia="仿宋_GB2312"/>
          <w:sz w:val="32"/>
          <w:szCs w:val="32"/>
          <w:highlight w:val="none"/>
          <w:lang w:val="en-US" w:eastAsia="zh-CN"/>
        </w:rPr>
        <w:t>超60</w:t>
      </w:r>
      <w:r>
        <w:rPr>
          <w:rFonts w:hint="eastAsia" w:ascii="仿宋_GB2312" w:hAnsi="楷体" w:eastAsia="仿宋_GB2312"/>
          <w:sz w:val="32"/>
          <w:szCs w:val="32"/>
          <w:highlight w:val="none"/>
        </w:rPr>
        <w:t>%，年均增速达到12%</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其中，绿色能源产业产值突破138亿元，新材料产业产值超过304亿元，智能制造产业产值超过124亿元，智慧医工产业产值超过55亿元，累计创造税收近50亿元，展现出强劲发展韧性与增长活力</w:t>
      </w:r>
      <w:r>
        <w:rPr>
          <w:rFonts w:hint="eastAsia" w:ascii="仿宋_GB2312" w:hAnsi="楷体" w:eastAsia="仿宋_GB2312"/>
          <w:sz w:val="32"/>
          <w:szCs w:val="32"/>
          <w:highlight w:val="none"/>
          <w:lang w:eastAsia="zh-CN"/>
        </w:rPr>
        <w:t>。</w:t>
      </w:r>
    </w:p>
    <w:p w14:paraId="7252D503">
      <w:pPr>
        <w:spacing w:after="160" w:line="560" w:lineRule="exact"/>
        <w:ind w:firstLine="643" w:firstLineChars="200"/>
        <w:rPr>
          <w:rFonts w:hint="eastAsia" w:ascii="仿宋_GB2312" w:hAnsi="楷体" w:eastAsia="仿宋_GB2312"/>
          <w:sz w:val="32"/>
          <w:szCs w:val="32"/>
          <w:highlight w:val="none"/>
        </w:rPr>
      </w:pPr>
      <w:bookmarkStart w:id="31" w:name="_Toc19115"/>
      <w:bookmarkStart w:id="32" w:name="_Toc277"/>
      <w:bookmarkStart w:id="33" w:name="_Toc3365"/>
      <w:bookmarkStart w:id="34" w:name="_Toc5839"/>
      <w:bookmarkStart w:id="35" w:name="_Toc15739"/>
      <w:bookmarkStart w:id="36" w:name="_Toc13503"/>
      <w:bookmarkStart w:id="37" w:name="_Toc18841"/>
      <w:bookmarkStart w:id="38" w:name="_Toc12673"/>
      <w:r>
        <w:rPr>
          <w:rFonts w:hint="eastAsia" w:ascii="仿宋_GB2312" w:hAnsi="楷体" w:eastAsia="仿宋_GB2312"/>
          <w:b/>
          <w:bCs/>
          <w:sz w:val="32"/>
          <w:szCs w:val="32"/>
          <w:highlight w:val="none"/>
        </w:rPr>
        <w:t>产业集群能级稳步跃升</w:t>
      </w:r>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rPr>
        <w:t>绿色能源产业集群加速崛起。储能产业实现跨越式发展，</w:t>
      </w:r>
      <w:r>
        <w:rPr>
          <w:rFonts w:hint="eastAsia" w:ascii="仿宋_GB2312" w:hAnsi="楷体" w:eastAsia="仿宋_GB2312"/>
          <w:sz w:val="32"/>
          <w:szCs w:val="32"/>
          <w:highlight w:val="none"/>
          <w:lang w:val="en-US" w:eastAsia="zh-CN"/>
        </w:rPr>
        <w:t>已构建</w:t>
      </w:r>
      <w:r>
        <w:rPr>
          <w:rFonts w:hint="eastAsia" w:ascii="仿宋_GB2312" w:hAnsi="楷体" w:eastAsia="仿宋_GB2312"/>
          <w:sz w:val="32"/>
          <w:szCs w:val="32"/>
          <w:highlight w:val="none"/>
        </w:rPr>
        <w:t>覆盖储能电芯、电池制造、系统集成、示范应用及储能出海的全产业链条；氢能产业</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制储运加用</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全链条加快构建。长安新能源车型深蓝S09</w:t>
      </w:r>
      <w:r>
        <w:rPr>
          <w:rFonts w:hint="eastAsia" w:ascii="仿宋_GB2312" w:hAnsi="楷体" w:eastAsia="仿宋_GB2312"/>
          <w:sz w:val="32"/>
          <w:szCs w:val="32"/>
          <w:highlight w:val="none"/>
          <w:lang w:val="en-US" w:eastAsia="zh-CN"/>
        </w:rPr>
        <w:t>实现</w:t>
      </w:r>
      <w:r>
        <w:rPr>
          <w:rFonts w:hint="eastAsia" w:ascii="仿宋_GB2312" w:hAnsi="楷体" w:eastAsia="仿宋_GB2312"/>
          <w:sz w:val="32"/>
          <w:szCs w:val="32"/>
          <w:highlight w:val="none"/>
        </w:rPr>
        <w:t>上市交付，海博思创、新源智储等链主企业持续壮大，星恒电源两轮车用电池产线、绿色能源先导区（一期）等重点项目成功落地，绿色能源产值增长</w:t>
      </w:r>
      <w:r>
        <w:rPr>
          <w:rFonts w:hint="eastAsia" w:ascii="仿宋_GB2312" w:hAnsi="楷体" w:eastAsia="仿宋_GB2312"/>
          <w:sz w:val="32"/>
          <w:szCs w:val="32"/>
          <w:highlight w:val="none"/>
          <w:lang w:val="en-US" w:eastAsia="zh-CN"/>
        </w:rPr>
        <w:t>超过</w:t>
      </w:r>
      <w:r>
        <w:rPr>
          <w:rFonts w:hint="eastAsia" w:ascii="仿宋_GB2312" w:hAnsi="楷体" w:eastAsia="仿宋_GB2312"/>
          <w:sz w:val="32"/>
          <w:szCs w:val="32"/>
          <w:highlight w:val="none"/>
        </w:rPr>
        <w:t>4倍。新材料产业集群</w:t>
      </w:r>
      <w:r>
        <w:rPr>
          <w:rFonts w:hint="eastAsia" w:ascii="仿宋_GB2312" w:hAnsi="楷体" w:eastAsia="仿宋_GB2312"/>
          <w:sz w:val="32"/>
          <w:szCs w:val="32"/>
          <w:highlight w:val="none"/>
          <w:lang w:val="en-US" w:eastAsia="zh-CN"/>
        </w:rPr>
        <w:t>特色鲜明，聚焦</w:t>
      </w:r>
      <w:r>
        <w:rPr>
          <w:rFonts w:hint="eastAsia" w:ascii="仿宋_GB2312" w:hAnsi="楷体" w:eastAsia="仿宋_GB2312"/>
          <w:sz w:val="32"/>
          <w:szCs w:val="32"/>
          <w:highlight w:val="none"/>
        </w:rPr>
        <w:t>石墨烯材料、电子信息材料、氢能材料、高端特种功能材料</w:t>
      </w:r>
      <w:r>
        <w:rPr>
          <w:rFonts w:hint="eastAsia" w:ascii="仿宋_GB2312" w:hAnsi="楷体" w:eastAsia="仿宋_GB2312"/>
          <w:sz w:val="32"/>
          <w:szCs w:val="32"/>
          <w:highlight w:val="none"/>
          <w:lang w:val="en-US" w:eastAsia="zh-CN"/>
        </w:rPr>
        <w:t>等细分领域</w:t>
      </w:r>
      <w:r>
        <w:rPr>
          <w:rFonts w:hint="eastAsia" w:ascii="仿宋_GB2312" w:hAnsi="楷体" w:eastAsia="仿宋_GB2312"/>
          <w:sz w:val="32"/>
          <w:szCs w:val="32"/>
          <w:highlight w:val="none"/>
        </w:rPr>
        <w:t>，</w:t>
      </w:r>
      <w:r>
        <w:rPr>
          <w:rFonts w:hint="eastAsia" w:ascii="仿宋_GB2312" w:hAnsi="楷体" w:eastAsia="仿宋_GB2312"/>
          <w:sz w:val="32"/>
          <w:szCs w:val="32"/>
          <w:highlight w:val="none"/>
          <w:lang w:val="en-US" w:eastAsia="zh-CN"/>
        </w:rPr>
        <w:t>引入培育</w:t>
      </w:r>
      <w:r>
        <w:rPr>
          <w:rFonts w:hint="eastAsia" w:ascii="仿宋_GB2312" w:hAnsi="楷体" w:eastAsia="仿宋_GB2312"/>
          <w:sz w:val="32"/>
          <w:szCs w:val="32"/>
          <w:highlight w:val="none"/>
        </w:rPr>
        <w:t>燕山石化、八亿时空、爱家科技、普凡防护等重点企业</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产业集聚效应初步显现</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智能制造产业集群成绩亮眼，中关村房山园入选工信部首批安全应急装备特色园区</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航景创新涡轴发动机研制项目进入装机验证阶段</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亿航应急救援全国总部</w:t>
      </w:r>
      <w:r>
        <w:rPr>
          <w:rFonts w:hint="eastAsia" w:ascii="仿宋_GB2312" w:hAnsi="楷体" w:eastAsia="仿宋_GB2312"/>
          <w:sz w:val="32"/>
          <w:szCs w:val="32"/>
          <w:highlight w:val="none"/>
          <w:lang w:val="en-US" w:eastAsia="zh-CN"/>
        </w:rPr>
        <w:t>成功</w:t>
      </w:r>
      <w:r>
        <w:rPr>
          <w:rFonts w:hint="eastAsia" w:ascii="仿宋_GB2312" w:hAnsi="楷体" w:eastAsia="仿宋_GB2312"/>
          <w:sz w:val="32"/>
          <w:szCs w:val="32"/>
          <w:highlight w:val="none"/>
        </w:rPr>
        <w:t>落地</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智慧医工产业集群蓬勃发展，北京京东方医院、京东方健康云算力、远大九和药物制剂生产与研发新工厂3个重点工程项目</w:t>
      </w:r>
      <w:r>
        <w:rPr>
          <w:rFonts w:hint="eastAsia" w:ascii="仿宋_GB2312" w:hAnsi="楷体" w:eastAsia="仿宋_GB2312"/>
          <w:sz w:val="32"/>
          <w:szCs w:val="32"/>
          <w:highlight w:val="none"/>
          <w:lang w:val="en-US" w:eastAsia="zh-CN"/>
        </w:rPr>
        <w:t>相继</w:t>
      </w:r>
      <w:r>
        <w:rPr>
          <w:rFonts w:hint="eastAsia" w:ascii="仿宋_GB2312" w:hAnsi="楷体" w:eastAsia="仿宋_GB2312"/>
          <w:sz w:val="32"/>
          <w:szCs w:val="32"/>
          <w:highlight w:val="none"/>
        </w:rPr>
        <w:t>落地</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医工融合服务体系逐步完善。</w:t>
      </w:r>
    </w:p>
    <w:bookmarkEnd w:id="31"/>
    <w:bookmarkEnd w:id="32"/>
    <w:bookmarkEnd w:id="33"/>
    <w:bookmarkEnd w:id="34"/>
    <w:bookmarkEnd w:id="35"/>
    <w:bookmarkEnd w:id="36"/>
    <w:bookmarkEnd w:id="37"/>
    <w:bookmarkEnd w:id="38"/>
    <w:p w14:paraId="1917011C">
      <w:pPr>
        <w:spacing w:after="160" w:line="560" w:lineRule="exact"/>
        <w:ind w:firstLine="643" w:firstLineChars="200"/>
        <w:rPr>
          <w:rFonts w:hint="eastAsia" w:ascii="仿宋_GB2312" w:hAnsi="楷体" w:eastAsia="仿宋_GB2312"/>
          <w:sz w:val="32"/>
          <w:szCs w:val="32"/>
          <w:highlight w:val="none"/>
        </w:rPr>
      </w:pPr>
      <w:r>
        <w:rPr>
          <w:rFonts w:hint="eastAsia" w:ascii="仿宋_GB2312" w:hAnsi="楷体" w:eastAsia="仿宋_GB2312"/>
          <w:b/>
          <w:bCs/>
          <w:sz w:val="32"/>
          <w:szCs w:val="32"/>
          <w:highlight w:val="none"/>
          <w:lang w:val="en-US" w:eastAsia="zh-CN"/>
        </w:rPr>
        <w:t>原始创新能力进一步增强。</w:t>
      </w:r>
      <w:r>
        <w:rPr>
          <w:rFonts w:hint="eastAsia" w:ascii="仿宋_GB2312" w:hAnsi="楷体" w:eastAsia="仿宋_GB2312"/>
          <w:sz w:val="32"/>
          <w:szCs w:val="32"/>
          <w:highlight w:val="none"/>
          <w:lang w:val="en-US" w:eastAsia="zh-CN"/>
        </w:rPr>
        <w:t>中关村房山园深化与</w:t>
      </w:r>
      <w:r>
        <w:rPr>
          <w:rFonts w:hint="eastAsia" w:ascii="仿宋_GB2312" w:hAnsi="楷体" w:eastAsia="仿宋_GB2312"/>
          <w:sz w:val="32"/>
          <w:szCs w:val="32"/>
          <w:highlight w:val="none"/>
        </w:rPr>
        <w:t>顶尖高校</w:t>
      </w:r>
      <w:r>
        <w:rPr>
          <w:rFonts w:hint="eastAsia" w:ascii="仿宋_GB2312" w:hAnsi="楷体" w:eastAsia="仿宋_GB2312"/>
          <w:sz w:val="32"/>
          <w:szCs w:val="32"/>
          <w:highlight w:val="none"/>
          <w:lang w:val="en-US" w:eastAsia="zh-CN"/>
        </w:rPr>
        <w:t>的实质性</w:t>
      </w:r>
      <w:r>
        <w:rPr>
          <w:rFonts w:hint="eastAsia" w:ascii="仿宋_GB2312" w:hAnsi="楷体" w:eastAsia="仿宋_GB2312"/>
          <w:sz w:val="32"/>
          <w:szCs w:val="32"/>
          <w:highlight w:val="none"/>
        </w:rPr>
        <w:t>合作</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共建</w:t>
      </w:r>
      <w:r>
        <w:rPr>
          <w:rFonts w:hint="eastAsia" w:ascii="仿宋_GB2312" w:hAnsi="楷体" w:eastAsia="仿宋_GB2312"/>
          <w:sz w:val="32"/>
          <w:szCs w:val="32"/>
          <w:highlight w:val="none"/>
          <w:lang w:val="en-US" w:eastAsia="zh-CN"/>
        </w:rPr>
        <w:t>中关村</w:t>
      </w:r>
      <w:r>
        <w:rPr>
          <w:rFonts w:hint="eastAsia" w:ascii="仿宋_GB2312" w:hAnsi="楷体" w:eastAsia="仿宋_GB2312"/>
          <w:sz w:val="32"/>
          <w:szCs w:val="32"/>
          <w:highlight w:val="none"/>
        </w:rPr>
        <w:t>“火花”活动</w:t>
      </w:r>
      <w:r>
        <w:rPr>
          <w:rFonts w:hint="eastAsia" w:ascii="仿宋_GB2312" w:hAnsi="楷体" w:eastAsia="仿宋_GB2312"/>
          <w:sz w:val="32"/>
          <w:szCs w:val="32"/>
          <w:highlight w:val="none"/>
          <w:lang w:val="en-US" w:eastAsia="zh-CN"/>
        </w:rPr>
        <w:t>等成果对接</w:t>
      </w:r>
      <w:r>
        <w:rPr>
          <w:rFonts w:hint="eastAsia" w:ascii="仿宋_GB2312" w:hAnsi="楷体" w:eastAsia="仿宋_GB2312"/>
          <w:sz w:val="32"/>
          <w:szCs w:val="32"/>
          <w:highlight w:val="none"/>
        </w:rPr>
        <w:t>平台</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初步形成高校</w:t>
      </w:r>
      <w:r>
        <w:rPr>
          <w:rFonts w:hint="eastAsia" w:ascii="仿宋_GB2312" w:hAnsi="楷体" w:eastAsia="仿宋_GB2312"/>
          <w:sz w:val="32"/>
          <w:szCs w:val="32"/>
          <w:highlight w:val="none"/>
        </w:rPr>
        <w:t>科研成果与区域产业需求精准</w:t>
      </w:r>
      <w:r>
        <w:rPr>
          <w:rFonts w:hint="eastAsia" w:ascii="仿宋_GB2312" w:hAnsi="楷体" w:eastAsia="仿宋_GB2312"/>
          <w:sz w:val="32"/>
          <w:szCs w:val="32"/>
          <w:highlight w:val="none"/>
          <w:lang w:val="en-US" w:eastAsia="zh-CN"/>
        </w:rPr>
        <w:t>匹配机制</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关键核心技术攻关、产品研发与场景应用加速推进，</w:t>
      </w:r>
      <w:r>
        <w:rPr>
          <w:rFonts w:hint="eastAsia" w:ascii="仿宋_GB2312" w:hAnsi="楷体" w:eastAsia="仿宋_GB2312"/>
          <w:sz w:val="32"/>
          <w:szCs w:val="32"/>
          <w:highlight w:val="none"/>
          <w:lang w:val="en-US" w:eastAsia="zh-CN"/>
        </w:rPr>
        <w:t>爱尚家石墨烯热管理技术、海博思创储能技术、卫蓝新能源混合固液电池、航景创新智能装备等</w:t>
      </w:r>
      <w:r>
        <w:rPr>
          <w:rFonts w:hint="eastAsia" w:ascii="仿宋_GB2312" w:hAnsi="楷体" w:eastAsia="仿宋_GB2312"/>
          <w:sz w:val="32"/>
          <w:szCs w:val="32"/>
          <w:highlight w:val="none"/>
        </w:rPr>
        <w:t>一批前沿成果从实验室</w:t>
      </w:r>
      <w:r>
        <w:rPr>
          <w:rFonts w:hint="eastAsia" w:ascii="仿宋_GB2312" w:hAnsi="楷体" w:eastAsia="仿宋_GB2312"/>
          <w:sz w:val="32"/>
          <w:szCs w:val="32"/>
          <w:highlight w:val="none"/>
          <w:lang w:val="en-US" w:eastAsia="zh-CN"/>
        </w:rPr>
        <w:t>向</w:t>
      </w:r>
      <w:r>
        <w:rPr>
          <w:rFonts w:hint="eastAsia" w:ascii="仿宋_GB2312" w:hAnsi="楷体" w:eastAsia="仿宋_GB2312"/>
          <w:sz w:val="32"/>
          <w:szCs w:val="32"/>
          <w:highlight w:val="none"/>
        </w:rPr>
        <w:t>生产线转化落地</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科技</w:t>
      </w:r>
      <w:r>
        <w:rPr>
          <w:rFonts w:hint="eastAsia" w:ascii="仿宋_GB2312" w:hAnsi="楷体" w:eastAsia="仿宋_GB2312"/>
          <w:sz w:val="32"/>
          <w:szCs w:val="32"/>
          <w:highlight w:val="none"/>
        </w:rPr>
        <w:t>源头创新与区域产业转化</w:t>
      </w:r>
      <w:r>
        <w:rPr>
          <w:rFonts w:hint="eastAsia" w:ascii="仿宋_GB2312" w:hAnsi="楷体" w:eastAsia="仿宋_GB2312"/>
          <w:sz w:val="32"/>
          <w:szCs w:val="32"/>
          <w:highlight w:val="none"/>
          <w:lang w:val="en-US" w:eastAsia="zh-CN"/>
        </w:rPr>
        <w:t>实现</w:t>
      </w:r>
      <w:r>
        <w:rPr>
          <w:rFonts w:hint="eastAsia" w:ascii="仿宋_GB2312" w:hAnsi="楷体" w:eastAsia="仿宋_GB2312"/>
          <w:sz w:val="32"/>
          <w:szCs w:val="32"/>
          <w:highlight w:val="none"/>
        </w:rPr>
        <w:t>协同发力。</w:t>
      </w:r>
    </w:p>
    <w:p w14:paraId="025E6AEB">
      <w:pPr>
        <w:spacing w:after="160" w:line="560" w:lineRule="exact"/>
        <w:ind w:firstLine="643" w:firstLineChars="200"/>
        <w:rPr>
          <w:rFonts w:hint="eastAsia" w:ascii="仿宋_GB2312" w:hAnsi="楷体" w:eastAsia="仿宋_GB2312"/>
          <w:b w:val="0"/>
          <w:bCs w:val="0"/>
          <w:sz w:val="32"/>
          <w:szCs w:val="32"/>
          <w:highlight w:val="none"/>
        </w:rPr>
      </w:pPr>
      <w:bookmarkStart w:id="39" w:name="_Toc26533"/>
      <w:bookmarkStart w:id="40" w:name="_Toc14543"/>
      <w:bookmarkStart w:id="41" w:name="_Toc27853"/>
      <w:bookmarkStart w:id="42" w:name="_Toc18214"/>
      <w:bookmarkStart w:id="43" w:name="_Toc11266"/>
      <w:bookmarkStart w:id="44" w:name="_Toc9685"/>
      <w:bookmarkStart w:id="45" w:name="_Toc27258"/>
      <w:bookmarkStart w:id="46" w:name="_Toc32718"/>
      <w:r>
        <w:rPr>
          <w:rFonts w:hint="eastAsia" w:ascii="仿宋_GB2312" w:hAnsi="楷体" w:eastAsia="仿宋_GB2312"/>
          <w:b/>
          <w:bCs/>
          <w:sz w:val="32"/>
          <w:szCs w:val="32"/>
          <w:highlight w:val="none"/>
        </w:rPr>
        <w:t>成果转化成效显著</w:t>
      </w:r>
      <w:r>
        <w:rPr>
          <w:rFonts w:hint="eastAsia" w:ascii="仿宋_GB2312" w:hAnsi="楷体" w:eastAsia="仿宋_GB2312"/>
          <w:b/>
          <w:bCs/>
          <w:sz w:val="32"/>
          <w:szCs w:val="32"/>
          <w:highlight w:val="none"/>
          <w:lang w:val="en-US" w:eastAsia="zh-CN"/>
        </w:rPr>
        <w:t>提高</w:t>
      </w:r>
      <w:r>
        <w:rPr>
          <w:rFonts w:hint="eastAsia" w:ascii="仿宋_GB2312" w:hAnsi="楷体" w:eastAsia="仿宋_GB2312"/>
          <w:b/>
          <w:bCs/>
          <w:sz w:val="32"/>
          <w:szCs w:val="32"/>
          <w:highlight w:val="none"/>
        </w:rPr>
        <w:t>。</w:t>
      </w:r>
      <w:r>
        <w:rPr>
          <w:rFonts w:hint="eastAsia" w:ascii="仿宋_GB2312" w:hAnsi="楷体" w:eastAsia="仿宋_GB2312"/>
          <w:b w:val="0"/>
          <w:bCs w:val="0"/>
          <w:sz w:val="32"/>
          <w:szCs w:val="32"/>
          <w:highlight w:val="none"/>
        </w:rPr>
        <w:t>“十四五”</w:t>
      </w:r>
      <w:r>
        <w:rPr>
          <w:rFonts w:hint="eastAsia" w:ascii="仿宋_GB2312" w:hAnsi="楷体" w:eastAsia="仿宋_GB2312"/>
          <w:b w:val="0"/>
          <w:bCs w:val="0"/>
          <w:sz w:val="32"/>
          <w:szCs w:val="32"/>
          <w:highlight w:val="none"/>
          <w:lang w:val="en-US" w:eastAsia="zh-CN"/>
        </w:rPr>
        <w:t>期间</w:t>
      </w:r>
      <w:r>
        <w:rPr>
          <w:rFonts w:hint="eastAsia" w:ascii="仿宋_GB2312" w:hAnsi="楷体" w:eastAsia="仿宋_GB2312"/>
          <w:b w:val="0"/>
          <w:bCs w:val="0"/>
          <w:sz w:val="32"/>
          <w:szCs w:val="32"/>
          <w:highlight w:val="none"/>
        </w:rPr>
        <w:t>，中关村房山园坚持以项目带动、招转协同，发展动能持续增强</w:t>
      </w:r>
      <w:r>
        <w:rPr>
          <w:rFonts w:hint="eastAsia" w:ascii="仿宋_GB2312" w:hAnsi="楷体" w:eastAsia="仿宋_GB2312"/>
          <w:b w:val="0"/>
          <w:bCs w:val="0"/>
          <w:sz w:val="32"/>
          <w:szCs w:val="32"/>
          <w:highlight w:val="none"/>
          <w:lang w:eastAsia="zh-CN"/>
        </w:rPr>
        <w:t>。</w:t>
      </w:r>
      <w:r>
        <w:rPr>
          <w:rFonts w:hint="eastAsia" w:ascii="仿宋_GB2312" w:hAnsi="楷体" w:eastAsia="仿宋_GB2312"/>
          <w:b w:val="0"/>
          <w:bCs w:val="0"/>
          <w:sz w:val="32"/>
          <w:szCs w:val="32"/>
          <w:highlight w:val="none"/>
        </w:rPr>
        <w:t>截至“十四五”期末，园区已集聚收入亿元以上企业超百家、10亿元以上企业超15家，规模企业梯队持续壮大。2025年，绿色能源、新材料、智能制造、智慧医工四大主导产业新引进俊丰未来、精研卓越检测等近30家企业</w:t>
      </w:r>
      <w:r>
        <w:rPr>
          <w:rFonts w:hint="eastAsia" w:ascii="仿宋_GB2312" w:hAnsi="楷体" w:eastAsia="仿宋_GB2312"/>
          <w:b w:val="0"/>
          <w:bCs w:val="0"/>
          <w:sz w:val="32"/>
          <w:szCs w:val="32"/>
          <w:highlight w:val="none"/>
          <w:lang w:val="en-US" w:eastAsia="zh-CN"/>
        </w:rPr>
        <w:t>，</w:t>
      </w:r>
      <w:r>
        <w:rPr>
          <w:rFonts w:hint="eastAsia" w:ascii="仿宋_GB2312" w:hAnsi="楷体" w:eastAsia="仿宋_GB2312"/>
          <w:b w:val="0"/>
          <w:bCs w:val="0"/>
          <w:sz w:val="32"/>
          <w:szCs w:val="32"/>
          <w:highlight w:val="none"/>
        </w:rPr>
        <w:t>主导产业集聚效应加速显现。</w:t>
      </w:r>
      <w:r>
        <w:rPr>
          <w:rFonts w:hint="eastAsia" w:ascii="仿宋_GB2312" w:hAnsi="楷体" w:eastAsia="仿宋_GB2312"/>
          <w:b w:val="0"/>
          <w:bCs w:val="0"/>
          <w:sz w:val="32"/>
          <w:szCs w:val="32"/>
          <w:highlight w:val="none"/>
          <w:lang w:val="en-US" w:eastAsia="zh-CN"/>
        </w:rPr>
        <w:t>全年</w:t>
      </w:r>
      <w:r>
        <w:rPr>
          <w:rFonts w:hint="eastAsia" w:ascii="仿宋_GB2312" w:hAnsi="楷体" w:eastAsia="仿宋_GB2312"/>
          <w:b w:val="0"/>
          <w:bCs w:val="0"/>
          <w:sz w:val="32"/>
          <w:szCs w:val="32"/>
          <w:highlight w:val="none"/>
        </w:rPr>
        <w:t>推动高校科技成果转化项目</w:t>
      </w:r>
      <w:r>
        <w:rPr>
          <w:rFonts w:hint="eastAsia" w:ascii="仿宋_GB2312" w:hAnsi="楷体" w:eastAsia="仿宋_GB2312"/>
          <w:b w:val="0"/>
          <w:bCs w:val="0"/>
          <w:sz w:val="32"/>
          <w:szCs w:val="32"/>
          <w:highlight w:val="none"/>
          <w:lang w:val="en-US" w:eastAsia="zh-CN"/>
        </w:rPr>
        <w:t>约</w:t>
      </w:r>
      <w:r>
        <w:rPr>
          <w:rFonts w:hint="eastAsia" w:ascii="仿宋_GB2312" w:hAnsi="楷体" w:eastAsia="仿宋_GB2312"/>
          <w:b w:val="0"/>
          <w:bCs w:val="0"/>
          <w:sz w:val="32"/>
          <w:szCs w:val="32"/>
          <w:highlight w:val="none"/>
        </w:rPr>
        <w:t>19个，</w:t>
      </w:r>
      <w:r>
        <w:rPr>
          <w:rFonts w:hint="eastAsia" w:ascii="仿宋_GB2312" w:hAnsi="楷体" w:eastAsia="仿宋_GB2312"/>
          <w:b w:val="0"/>
          <w:bCs w:val="0"/>
          <w:sz w:val="32"/>
          <w:szCs w:val="32"/>
          <w:highlight w:val="none"/>
          <w:lang w:val="en-US" w:eastAsia="zh-CN"/>
        </w:rPr>
        <w:t>同比</w:t>
      </w:r>
      <w:r>
        <w:rPr>
          <w:rFonts w:hint="eastAsia" w:ascii="仿宋_GB2312" w:hAnsi="楷体" w:eastAsia="仿宋_GB2312"/>
          <w:b w:val="0"/>
          <w:bCs w:val="0"/>
          <w:sz w:val="32"/>
          <w:szCs w:val="32"/>
          <w:highlight w:val="none"/>
        </w:rPr>
        <w:t>增长58.3%，产学研协同创新活力显著迸发。</w:t>
      </w:r>
    </w:p>
    <w:p w14:paraId="2A16828E">
      <w:pPr>
        <w:spacing w:after="160" w:line="560" w:lineRule="exact"/>
        <w:ind w:firstLine="643" w:firstLineChars="200"/>
        <w:rPr>
          <w:rFonts w:hint="eastAsia" w:ascii="仿宋_GB2312" w:hAnsi="楷体" w:eastAsia="仿宋_GB2312"/>
          <w:sz w:val="32"/>
          <w:szCs w:val="32"/>
          <w:highlight w:val="none"/>
        </w:rPr>
      </w:pPr>
      <w:r>
        <w:rPr>
          <w:rFonts w:hint="eastAsia" w:ascii="仿宋_GB2312" w:hAnsi="楷体" w:eastAsia="仿宋_GB2312"/>
          <w:b/>
          <w:bCs/>
          <w:sz w:val="32"/>
          <w:szCs w:val="32"/>
          <w:highlight w:val="none"/>
        </w:rPr>
        <w:t>园区服务水平持续提升</w:t>
      </w:r>
      <w:bookmarkEnd w:id="39"/>
      <w:bookmarkEnd w:id="40"/>
      <w:bookmarkEnd w:id="41"/>
      <w:bookmarkEnd w:id="42"/>
      <w:bookmarkEnd w:id="43"/>
      <w:bookmarkEnd w:id="44"/>
      <w:bookmarkEnd w:id="45"/>
      <w:bookmarkEnd w:id="46"/>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lang w:eastAsia="zh-CN"/>
        </w:rPr>
        <w:t>人才服务保障体系不断完善，</w:t>
      </w:r>
      <w:r>
        <w:rPr>
          <w:rFonts w:hint="eastAsia" w:ascii="仿宋_GB2312" w:hAnsi="楷体" w:eastAsia="仿宋_GB2312"/>
          <w:sz w:val="32"/>
          <w:szCs w:val="32"/>
          <w:highlight w:val="none"/>
        </w:rPr>
        <w:t>深入实施“聚源计划”，构建覆盖行业领军、杰出人才、青年骨干及应届毕业生的全链条支持体系，住房保障等政策有效兑现，</w:t>
      </w:r>
      <w:r>
        <w:rPr>
          <w:rFonts w:hint="eastAsia" w:ascii="仿宋_GB2312" w:hAnsi="楷体" w:eastAsia="仿宋_GB2312"/>
          <w:sz w:val="32"/>
          <w:szCs w:val="32"/>
          <w:highlight w:val="none"/>
          <w:lang w:val="en-US" w:eastAsia="zh-CN"/>
        </w:rPr>
        <w:t>建成集</w:t>
      </w:r>
      <w:r>
        <w:rPr>
          <w:rFonts w:hint="eastAsia" w:ascii="仿宋_GB2312" w:hAnsi="楷体" w:eastAsia="仿宋_GB2312"/>
          <w:sz w:val="32"/>
          <w:szCs w:val="32"/>
          <w:highlight w:val="none"/>
        </w:rPr>
        <w:t>工作与生活为一体的超低密度高端科学家社区，</w:t>
      </w:r>
      <w:r>
        <w:rPr>
          <w:rFonts w:hint="eastAsia" w:ascii="仿宋_GB2312" w:hAnsi="楷体" w:eastAsia="仿宋_GB2312"/>
          <w:sz w:val="32"/>
          <w:szCs w:val="32"/>
          <w:highlight w:val="none"/>
          <w:lang w:val="en-US" w:eastAsia="zh-CN"/>
        </w:rPr>
        <w:t>布局规模化</w:t>
      </w:r>
      <w:r>
        <w:rPr>
          <w:rFonts w:hint="eastAsia" w:ascii="仿宋_GB2312" w:hAnsi="楷体" w:eastAsia="仿宋_GB2312"/>
          <w:sz w:val="32"/>
          <w:szCs w:val="32"/>
          <w:highlight w:val="none"/>
        </w:rPr>
        <w:t>商业空间，</w:t>
      </w:r>
      <w:r>
        <w:rPr>
          <w:rFonts w:hint="eastAsia" w:ascii="仿宋_GB2312" w:hAnsi="楷体" w:eastAsia="仿宋_GB2312"/>
          <w:sz w:val="32"/>
          <w:szCs w:val="32"/>
          <w:highlight w:val="none"/>
          <w:lang w:val="en-US" w:eastAsia="zh-CN"/>
        </w:rPr>
        <w:t>引入</w:t>
      </w:r>
      <w:r>
        <w:rPr>
          <w:rFonts w:hint="eastAsia" w:ascii="仿宋_GB2312" w:hAnsi="楷体" w:eastAsia="仿宋_GB2312"/>
          <w:sz w:val="32"/>
          <w:szCs w:val="32"/>
          <w:highlight w:val="none"/>
        </w:rPr>
        <w:t>书店、健身房、便利店、餐厅等生活服务</w:t>
      </w:r>
      <w:r>
        <w:rPr>
          <w:rFonts w:hint="eastAsia" w:ascii="仿宋_GB2312" w:hAnsi="楷体" w:eastAsia="仿宋_GB2312"/>
          <w:sz w:val="32"/>
          <w:szCs w:val="32"/>
          <w:highlight w:val="none"/>
          <w:lang w:val="en-US" w:eastAsia="zh-CN"/>
        </w:rPr>
        <w:t>配套设施</w:t>
      </w:r>
      <w:r>
        <w:rPr>
          <w:rFonts w:hint="eastAsia" w:ascii="仿宋_GB2312" w:hAnsi="楷体" w:eastAsia="仿宋_GB2312"/>
          <w:sz w:val="32"/>
          <w:szCs w:val="32"/>
          <w:highlight w:val="none"/>
        </w:rPr>
        <w:t>，有效</w:t>
      </w:r>
      <w:r>
        <w:rPr>
          <w:rFonts w:hint="eastAsia" w:ascii="仿宋_GB2312" w:hAnsi="楷体" w:eastAsia="仿宋_GB2312"/>
          <w:sz w:val="32"/>
          <w:szCs w:val="32"/>
          <w:highlight w:val="none"/>
          <w:lang w:val="en-US" w:eastAsia="zh-CN"/>
        </w:rPr>
        <w:t>满足入驻</w:t>
      </w:r>
      <w:r>
        <w:rPr>
          <w:rFonts w:hint="eastAsia" w:ascii="仿宋_GB2312" w:hAnsi="楷体" w:eastAsia="仿宋_GB2312"/>
          <w:sz w:val="32"/>
          <w:szCs w:val="32"/>
          <w:highlight w:val="none"/>
        </w:rPr>
        <w:t>企业人才</w:t>
      </w:r>
      <w:r>
        <w:rPr>
          <w:rFonts w:hint="eastAsia" w:ascii="仿宋_GB2312" w:hAnsi="楷体" w:eastAsia="仿宋_GB2312"/>
          <w:sz w:val="32"/>
          <w:szCs w:val="32"/>
          <w:highlight w:val="none"/>
          <w:lang w:val="en-US" w:eastAsia="zh-CN"/>
        </w:rPr>
        <w:t>居住及</w:t>
      </w:r>
      <w:r>
        <w:rPr>
          <w:rFonts w:hint="eastAsia" w:ascii="仿宋_GB2312" w:hAnsi="楷体" w:eastAsia="仿宋_GB2312"/>
          <w:sz w:val="32"/>
          <w:szCs w:val="32"/>
          <w:highlight w:val="none"/>
        </w:rPr>
        <w:t>生活</w:t>
      </w:r>
      <w:r>
        <w:rPr>
          <w:rFonts w:hint="eastAsia" w:ascii="仿宋_GB2312" w:hAnsi="楷体" w:eastAsia="仿宋_GB2312"/>
          <w:sz w:val="32"/>
          <w:szCs w:val="32"/>
          <w:highlight w:val="none"/>
          <w:lang w:val="en-US" w:eastAsia="zh-CN"/>
        </w:rPr>
        <w:t>配套</w:t>
      </w:r>
      <w:r>
        <w:rPr>
          <w:rFonts w:hint="eastAsia" w:ascii="仿宋_GB2312" w:hAnsi="楷体" w:eastAsia="仿宋_GB2312"/>
          <w:sz w:val="32"/>
          <w:szCs w:val="32"/>
          <w:highlight w:val="none"/>
        </w:rPr>
        <w:t>需求。</w:t>
      </w:r>
      <w:r>
        <w:rPr>
          <w:rFonts w:hint="eastAsia" w:ascii="仿宋_GB2312" w:hAnsi="楷体" w:eastAsia="仿宋_GB2312"/>
          <w:sz w:val="32"/>
          <w:szCs w:val="32"/>
          <w:highlight w:val="none"/>
          <w:lang w:val="en-US" w:eastAsia="zh-CN"/>
        </w:rPr>
        <w:t>围绕</w:t>
      </w:r>
      <w:r>
        <w:rPr>
          <w:rFonts w:hint="eastAsia" w:ascii="仿宋_GB2312" w:hAnsi="楷体" w:eastAsia="仿宋_GB2312"/>
          <w:sz w:val="32"/>
          <w:szCs w:val="32"/>
          <w:highlight w:val="none"/>
        </w:rPr>
        <w:t>企业通勤</w:t>
      </w:r>
      <w:r>
        <w:rPr>
          <w:rFonts w:hint="eastAsia" w:ascii="仿宋_GB2312" w:hAnsi="楷体" w:eastAsia="仿宋_GB2312"/>
          <w:sz w:val="32"/>
          <w:szCs w:val="32"/>
          <w:highlight w:val="none"/>
          <w:lang w:val="en-US" w:eastAsia="zh-CN"/>
        </w:rPr>
        <w:t>需求</w:t>
      </w:r>
      <w:r>
        <w:rPr>
          <w:rFonts w:hint="eastAsia" w:ascii="仿宋_GB2312" w:hAnsi="楷体" w:eastAsia="仿宋_GB2312"/>
          <w:sz w:val="32"/>
          <w:szCs w:val="32"/>
          <w:highlight w:val="none"/>
        </w:rPr>
        <w:t>，推出定制化班车服务，累计解决</w:t>
      </w:r>
      <w:r>
        <w:rPr>
          <w:rFonts w:hint="eastAsia" w:ascii="仿宋_GB2312" w:hAnsi="楷体" w:eastAsia="仿宋_GB2312"/>
          <w:sz w:val="32"/>
          <w:szCs w:val="32"/>
          <w:highlight w:val="none"/>
          <w:lang w:val="en-US" w:eastAsia="zh-CN"/>
        </w:rPr>
        <w:t>千</w:t>
      </w:r>
      <w:r>
        <w:rPr>
          <w:rFonts w:hint="eastAsia" w:ascii="仿宋_GB2312" w:hAnsi="楷体" w:eastAsia="仿宋_GB2312"/>
          <w:sz w:val="32"/>
          <w:szCs w:val="32"/>
          <w:highlight w:val="none"/>
        </w:rPr>
        <w:t>余名职工通勤问题，区域交通便利化水平不断提升。</w:t>
      </w:r>
    </w:p>
    <w:p w14:paraId="2D5A49EE">
      <w:pPr>
        <w:spacing w:after="160" w:line="560" w:lineRule="exact"/>
        <w:ind w:firstLine="643" w:firstLineChars="200"/>
        <w:rPr>
          <w:rFonts w:hint="eastAsia" w:ascii="仿宋_GB2312" w:hAnsi="楷体" w:eastAsia="仿宋_GB2312"/>
          <w:sz w:val="32"/>
          <w:szCs w:val="32"/>
          <w:highlight w:val="none"/>
        </w:rPr>
      </w:pPr>
      <w:bookmarkStart w:id="47" w:name="_Toc25726"/>
      <w:bookmarkStart w:id="48" w:name="_Toc28626"/>
      <w:bookmarkStart w:id="49" w:name="_Toc31004"/>
      <w:bookmarkStart w:id="50" w:name="_Toc7927"/>
      <w:bookmarkStart w:id="51" w:name="_Toc28880"/>
      <w:bookmarkStart w:id="52" w:name="_Toc31654"/>
      <w:bookmarkStart w:id="53" w:name="_Toc5135"/>
      <w:bookmarkStart w:id="54" w:name="_Toc19290"/>
      <w:r>
        <w:rPr>
          <w:rFonts w:hint="eastAsia" w:ascii="仿宋_GB2312" w:hAnsi="楷体" w:eastAsia="仿宋_GB2312"/>
          <w:b/>
          <w:bCs/>
          <w:sz w:val="32"/>
          <w:szCs w:val="32"/>
          <w:highlight w:val="none"/>
        </w:rPr>
        <w:t>产业配套功能持续强化</w:t>
      </w:r>
      <w:bookmarkEnd w:id="47"/>
      <w:bookmarkEnd w:id="48"/>
      <w:bookmarkEnd w:id="49"/>
      <w:bookmarkEnd w:id="50"/>
      <w:bookmarkEnd w:id="51"/>
      <w:bookmarkEnd w:id="52"/>
      <w:bookmarkEnd w:id="53"/>
      <w:bookmarkEnd w:id="54"/>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rPr>
        <w:t>建设高水平园区共享实验室，布局5G自动驾驶测试平台等，构建全链条创新服务体系，为企业技术研发和产品测试提供有力支持。推进标准化厂房建设，提高科技成果转化和产业化项目承载能力，为企业发展储备充足空间。</w:t>
      </w:r>
    </w:p>
    <w:p w14:paraId="662A8DE8">
      <w:pPr>
        <w:spacing w:after="160" w:line="560" w:lineRule="exact"/>
        <w:ind w:firstLine="643" w:firstLineChars="200"/>
        <w:rPr>
          <w:rFonts w:hint="eastAsia" w:ascii="仿宋_GB2312" w:hAnsi="楷体" w:eastAsia="仿宋_GB2312"/>
          <w:sz w:val="32"/>
          <w:szCs w:val="32"/>
          <w:highlight w:val="none"/>
        </w:rPr>
      </w:pPr>
      <w:bookmarkStart w:id="55" w:name="_Toc11294"/>
      <w:bookmarkStart w:id="56" w:name="_Toc2838"/>
      <w:bookmarkStart w:id="57" w:name="_Toc29808"/>
      <w:bookmarkStart w:id="58" w:name="_Toc6372"/>
      <w:bookmarkStart w:id="59" w:name="_Toc74"/>
      <w:bookmarkStart w:id="60" w:name="_Toc8610"/>
      <w:bookmarkStart w:id="61" w:name="_Toc26158"/>
      <w:bookmarkStart w:id="62" w:name="_Toc6063"/>
      <w:r>
        <w:rPr>
          <w:rFonts w:hint="eastAsia" w:ascii="仿宋_GB2312" w:hAnsi="楷体" w:eastAsia="仿宋_GB2312"/>
          <w:b/>
          <w:bCs/>
          <w:sz w:val="32"/>
          <w:szCs w:val="32"/>
          <w:highlight w:val="none"/>
        </w:rPr>
        <w:t>“前店后厂”模式</w:t>
      </w:r>
      <w:bookmarkEnd w:id="55"/>
      <w:bookmarkEnd w:id="56"/>
      <w:bookmarkEnd w:id="57"/>
      <w:bookmarkEnd w:id="58"/>
      <w:bookmarkEnd w:id="59"/>
      <w:bookmarkEnd w:id="60"/>
      <w:bookmarkEnd w:id="61"/>
      <w:bookmarkEnd w:id="62"/>
      <w:r>
        <w:rPr>
          <w:rFonts w:hint="eastAsia" w:ascii="仿宋_GB2312" w:hAnsi="楷体" w:eastAsia="仿宋_GB2312"/>
          <w:b/>
          <w:bCs/>
          <w:sz w:val="32"/>
          <w:szCs w:val="32"/>
          <w:highlight w:val="none"/>
        </w:rPr>
        <w:t>影响广泛</w:t>
      </w:r>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lang w:eastAsia="zh-CN"/>
        </w:rPr>
        <w:t>中关村房山园</w:t>
      </w:r>
      <w:r>
        <w:rPr>
          <w:rFonts w:hint="eastAsia" w:ascii="仿宋_GB2312" w:hAnsi="楷体" w:eastAsia="仿宋_GB2312"/>
          <w:sz w:val="32"/>
          <w:szCs w:val="32"/>
          <w:highlight w:val="none"/>
        </w:rPr>
        <w:t>以中关村新兴产业前沿技术研究院为研发办公载体，以周边厂房为产业化空间，构建“前店后厂”发展模式，形成产学研用一体化的产业生态体系。盘活近</w:t>
      </w:r>
      <w:r>
        <w:rPr>
          <w:rFonts w:hint="eastAsia" w:ascii="仿宋_GB2312" w:hAnsi="楷体" w:eastAsia="仿宋_GB2312"/>
          <w:sz w:val="32"/>
          <w:szCs w:val="32"/>
          <w:highlight w:val="none"/>
          <w:lang w:val="en-US" w:eastAsia="zh-CN"/>
        </w:rPr>
        <w:t>23</w:t>
      </w:r>
      <w:r>
        <w:rPr>
          <w:rFonts w:hint="eastAsia" w:ascii="仿宋_GB2312" w:hAnsi="楷体" w:eastAsia="仿宋_GB2312"/>
          <w:sz w:val="32"/>
          <w:szCs w:val="32"/>
          <w:highlight w:val="none"/>
        </w:rPr>
        <w:t>万平方米的研发空间和</w:t>
      </w:r>
      <w:r>
        <w:rPr>
          <w:rFonts w:hint="eastAsia" w:ascii="仿宋_GB2312" w:hAnsi="楷体" w:eastAsia="仿宋_GB2312"/>
          <w:sz w:val="32"/>
          <w:szCs w:val="32"/>
          <w:highlight w:val="none"/>
          <w:lang w:val="en-US" w:eastAsia="zh-CN"/>
        </w:rPr>
        <w:t>超10</w:t>
      </w:r>
      <w:r>
        <w:rPr>
          <w:rFonts w:hint="eastAsia" w:ascii="仿宋_GB2312" w:hAnsi="楷体" w:eastAsia="仿宋_GB2312"/>
          <w:sz w:val="32"/>
          <w:szCs w:val="32"/>
          <w:highlight w:val="none"/>
        </w:rPr>
        <w:t>万平方米的标准化厂房空间用于“前店后厂”，该模式的成功经验已在全市范围内复制推广，成为中关村房山园特色发展的显著标识。</w:t>
      </w:r>
    </w:p>
    <w:p w14:paraId="2BEC80A2">
      <w:pPr>
        <w:spacing w:after="160" w:line="560" w:lineRule="exact"/>
        <w:ind w:firstLine="643" w:firstLineChars="200"/>
        <w:rPr>
          <w:rFonts w:hint="eastAsia" w:ascii="仿宋_GB2312" w:hAnsi="楷体" w:eastAsia="仿宋_GB2312"/>
          <w:b w:val="0"/>
          <w:bCs w:val="0"/>
          <w:sz w:val="32"/>
          <w:szCs w:val="32"/>
          <w:highlight w:val="none"/>
          <w:lang w:eastAsia="zh-CN"/>
        </w:rPr>
      </w:pPr>
      <w:r>
        <w:rPr>
          <w:rFonts w:hint="eastAsia" w:ascii="仿宋_GB2312" w:hAnsi="楷体" w:eastAsia="仿宋_GB2312"/>
          <w:b/>
          <w:bCs/>
          <w:sz w:val="32"/>
          <w:szCs w:val="32"/>
          <w:highlight w:val="none"/>
        </w:rPr>
        <w:t>园区政策服务体系日益完善</w:t>
      </w:r>
      <w:r>
        <w:rPr>
          <w:rFonts w:hint="eastAsia" w:ascii="仿宋_GB2312" w:hAnsi="楷体" w:eastAsia="仿宋_GB2312"/>
          <w:b/>
          <w:bCs/>
          <w:sz w:val="32"/>
          <w:szCs w:val="32"/>
          <w:highlight w:val="none"/>
          <w:lang w:eastAsia="zh-CN"/>
        </w:rPr>
        <w:t>。</w:t>
      </w:r>
      <w:r>
        <w:rPr>
          <w:rFonts w:hint="eastAsia" w:ascii="仿宋_GB2312" w:hAnsi="楷体" w:eastAsia="仿宋_GB2312"/>
          <w:b w:val="0"/>
          <w:bCs w:val="0"/>
          <w:sz w:val="32"/>
          <w:szCs w:val="32"/>
          <w:highlight w:val="none"/>
          <w:lang w:eastAsia="zh-CN"/>
        </w:rPr>
        <w:t>中关村房山园</w:t>
      </w:r>
      <w:r>
        <w:rPr>
          <w:rFonts w:hint="eastAsia" w:ascii="仿宋_GB2312" w:hAnsi="楷体" w:eastAsia="仿宋_GB2312"/>
          <w:b w:val="0"/>
          <w:bCs w:val="0"/>
          <w:sz w:val="32"/>
          <w:szCs w:val="32"/>
          <w:highlight w:val="none"/>
          <w:lang w:val="en-US" w:eastAsia="zh-CN"/>
        </w:rPr>
        <w:t>对标区域政策集成创新要求</w:t>
      </w:r>
      <w:r>
        <w:rPr>
          <w:rFonts w:hint="eastAsia" w:ascii="仿宋_GB2312" w:hAnsi="楷体" w:eastAsia="仿宋_GB2312"/>
          <w:b w:val="0"/>
          <w:bCs w:val="0"/>
          <w:sz w:val="32"/>
          <w:szCs w:val="32"/>
          <w:highlight w:val="none"/>
          <w:lang w:eastAsia="zh-CN"/>
        </w:rPr>
        <w:t>，推动各项惠企政策在园区落地见效。人才保障方面，在资金奖励、住房保障、子女教育等方面形成全链条支持</w:t>
      </w:r>
      <w:r>
        <w:rPr>
          <w:rFonts w:hint="eastAsia" w:ascii="仿宋_GB2312" w:hAnsi="楷体" w:eastAsia="仿宋_GB2312"/>
          <w:b w:val="0"/>
          <w:bCs w:val="0"/>
          <w:sz w:val="32"/>
          <w:szCs w:val="32"/>
          <w:highlight w:val="none"/>
          <w:lang w:val="en-US" w:eastAsia="zh-CN"/>
        </w:rPr>
        <w:t>体系</w:t>
      </w:r>
      <w:r>
        <w:rPr>
          <w:rFonts w:hint="eastAsia" w:ascii="仿宋_GB2312" w:hAnsi="楷体" w:eastAsia="仿宋_GB2312"/>
          <w:b w:val="0"/>
          <w:bCs w:val="0"/>
          <w:sz w:val="32"/>
          <w:szCs w:val="32"/>
          <w:highlight w:val="none"/>
          <w:lang w:eastAsia="zh-CN"/>
        </w:rPr>
        <w:t>；产业扶持方面，</w:t>
      </w:r>
      <w:r>
        <w:rPr>
          <w:rFonts w:hint="eastAsia" w:ascii="仿宋_GB2312" w:hAnsi="楷体" w:eastAsia="仿宋_GB2312"/>
          <w:b w:val="0"/>
          <w:bCs w:val="0"/>
          <w:sz w:val="32"/>
          <w:szCs w:val="32"/>
          <w:highlight w:val="none"/>
          <w:lang w:val="en-US" w:eastAsia="zh-CN"/>
        </w:rPr>
        <w:t>落细</w:t>
      </w:r>
      <w:r>
        <w:rPr>
          <w:rFonts w:hint="eastAsia" w:ascii="仿宋_GB2312" w:hAnsi="楷体" w:eastAsia="仿宋_GB2312"/>
          <w:b w:val="0"/>
          <w:bCs w:val="0"/>
          <w:sz w:val="32"/>
          <w:szCs w:val="32"/>
          <w:highlight w:val="none"/>
          <w:lang w:eastAsia="zh-CN"/>
        </w:rPr>
        <w:t>“助企赋能”八大计划</w:t>
      </w:r>
      <w:r>
        <w:rPr>
          <w:rFonts w:hint="eastAsia" w:ascii="仿宋_GB2312" w:hAnsi="楷体" w:eastAsia="仿宋_GB2312"/>
          <w:b w:val="0"/>
          <w:bCs w:val="0"/>
          <w:sz w:val="32"/>
          <w:szCs w:val="32"/>
          <w:highlight w:val="none"/>
          <w:lang w:val="en-US" w:eastAsia="zh-CN"/>
        </w:rPr>
        <w:t>及</w:t>
      </w:r>
      <w:r>
        <w:rPr>
          <w:rFonts w:hint="eastAsia" w:ascii="仿宋_GB2312" w:hAnsi="楷体" w:eastAsia="仿宋_GB2312"/>
          <w:b w:val="0"/>
          <w:bCs w:val="0"/>
          <w:sz w:val="32"/>
          <w:szCs w:val="32"/>
          <w:highlight w:val="none"/>
          <w:lang w:eastAsia="zh-CN"/>
        </w:rPr>
        <w:t>新材料“房十条”</w:t>
      </w:r>
      <w:r>
        <w:rPr>
          <w:rFonts w:hint="eastAsia" w:ascii="仿宋_GB2312" w:hAnsi="楷体" w:eastAsia="仿宋_GB2312"/>
          <w:b w:val="0"/>
          <w:bCs w:val="0"/>
          <w:sz w:val="32"/>
          <w:szCs w:val="32"/>
          <w:highlight w:val="none"/>
          <w:lang w:val="en-US" w:eastAsia="zh-CN"/>
        </w:rPr>
        <w:t>等专项政策</w:t>
      </w:r>
      <w:r>
        <w:rPr>
          <w:rFonts w:hint="eastAsia" w:ascii="仿宋_GB2312" w:hAnsi="楷体" w:eastAsia="仿宋_GB2312"/>
          <w:b w:val="0"/>
          <w:bCs w:val="0"/>
          <w:sz w:val="32"/>
          <w:szCs w:val="32"/>
          <w:highlight w:val="none"/>
          <w:lang w:eastAsia="zh-CN"/>
        </w:rPr>
        <w:t>，引导企业用好用足政策</w:t>
      </w:r>
      <w:r>
        <w:rPr>
          <w:rFonts w:hint="eastAsia" w:ascii="仿宋_GB2312" w:hAnsi="楷体" w:eastAsia="仿宋_GB2312"/>
          <w:b w:val="0"/>
          <w:bCs w:val="0"/>
          <w:sz w:val="32"/>
          <w:szCs w:val="32"/>
          <w:highlight w:val="none"/>
          <w:lang w:val="en-US" w:eastAsia="zh-CN"/>
        </w:rPr>
        <w:t>工具</w:t>
      </w:r>
      <w:r>
        <w:rPr>
          <w:rFonts w:hint="eastAsia" w:ascii="仿宋_GB2312" w:hAnsi="楷体" w:eastAsia="仿宋_GB2312"/>
          <w:b w:val="0"/>
          <w:bCs w:val="0"/>
          <w:sz w:val="32"/>
          <w:szCs w:val="32"/>
          <w:highlight w:val="none"/>
          <w:lang w:eastAsia="zh-CN"/>
        </w:rPr>
        <w:t>。金融支撑方面，</w:t>
      </w:r>
      <w:r>
        <w:rPr>
          <w:rFonts w:hint="eastAsia" w:ascii="仿宋_GB2312" w:hAnsi="楷体" w:eastAsia="仿宋_GB2312"/>
          <w:b w:val="0"/>
          <w:bCs w:val="0"/>
          <w:sz w:val="32"/>
          <w:szCs w:val="32"/>
          <w:highlight w:val="none"/>
          <w:lang w:val="en-US" w:eastAsia="zh-CN"/>
        </w:rPr>
        <w:t>落实</w:t>
      </w:r>
      <w:r>
        <w:rPr>
          <w:rFonts w:hint="eastAsia" w:ascii="仿宋_GB2312" w:hAnsi="楷体" w:eastAsia="仿宋_GB2312"/>
          <w:b w:val="0"/>
          <w:bCs w:val="0"/>
          <w:sz w:val="32"/>
          <w:szCs w:val="32"/>
          <w:highlight w:val="none"/>
          <w:lang w:eastAsia="zh-CN"/>
        </w:rPr>
        <w:t>知识产权质押融资政策和三方风险分担机制，有效缓解中小微企业融资难题。创新生态方面，落实科研院所入驻支持政策，为“十五五”</w:t>
      </w:r>
      <w:r>
        <w:rPr>
          <w:rFonts w:hint="eastAsia" w:ascii="仿宋_GB2312" w:hAnsi="楷体" w:eastAsia="仿宋_GB2312"/>
          <w:b w:val="0"/>
          <w:bCs w:val="0"/>
          <w:sz w:val="32"/>
          <w:szCs w:val="32"/>
          <w:highlight w:val="none"/>
          <w:lang w:val="en-US" w:eastAsia="zh-CN"/>
        </w:rPr>
        <w:t>时期</w:t>
      </w:r>
      <w:r>
        <w:rPr>
          <w:rFonts w:hint="eastAsia" w:ascii="仿宋_GB2312" w:hAnsi="楷体" w:eastAsia="仿宋_GB2312"/>
          <w:b w:val="0"/>
          <w:bCs w:val="0"/>
          <w:sz w:val="32"/>
          <w:szCs w:val="32"/>
          <w:highlight w:val="none"/>
          <w:lang w:eastAsia="zh-CN"/>
        </w:rPr>
        <w:t>产业跃升奠定制度基础。</w:t>
      </w:r>
    </w:p>
    <w:p w14:paraId="0992ED9A">
      <w:pPr>
        <w:pStyle w:val="4"/>
        <w:spacing w:before="0" w:after="160" w:line="560" w:lineRule="exact"/>
        <w:ind w:firstLine="640" w:firstLineChars="200"/>
        <w:rPr>
          <w:rFonts w:hint="eastAsia" w:ascii="楷体_GB2312" w:hAnsi="楷体_GB2312" w:eastAsia="楷体_GB2312" w:cs="楷体_GB2312"/>
          <w:b w:val="0"/>
          <w:color w:val="191919"/>
          <w:highlight w:val="none"/>
          <w:shd w:val="clear" w:color="auto" w:fill="FFFFFF"/>
        </w:rPr>
      </w:pPr>
      <w:bookmarkStart w:id="63" w:name="_Toc1557"/>
      <w:bookmarkStart w:id="64" w:name="_Toc14509"/>
      <w:bookmarkStart w:id="65" w:name="_Toc15063"/>
      <w:bookmarkStart w:id="66" w:name="_Toc6043"/>
      <w:bookmarkStart w:id="67" w:name="_Toc23302"/>
      <w:bookmarkStart w:id="68" w:name="_Toc7533"/>
      <w:bookmarkStart w:id="69" w:name="_Toc13912"/>
      <w:bookmarkStart w:id="70" w:name="_Toc2928"/>
      <w:bookmarkStart w:id="71" w:name="_Toc24416"/>
      <w:bookmarkStart w:id="72" w:name="_Toc27692"/>
      <w:r>
        <w:rPr>
          <w:rFonts w:hint="eastAsia" w:ascii="楷体_GB2312" w:hAnsi="楷体_GB2312" w:eastAsia="楷体_GB2312" w:cs="楷体_GB2312"/>
          <w:b w:val="0"/>
          <w:color w:val="191919"/>
          <w:highlight w:val="none"/>
          <w:shd w:val="clear" w:color="auto" w:fill="FFFFFF"/>
          <w:lang w:eastAsia="zh-CN"/>
        </w:rPr>
        <w:t>（二）</w:t>
      </w:r>
      <w:r>
        <w:rPr>
          <w:rFonts w:hint="eastAsia" w:ascii="楷体_GB2312" w:hAnsi="楷体_GB2312" w:eastAsia="楷体_GB2312" w:cs="楷体_GB2312"/>
          <w:b w:val="0"/>
          <w:color w:val="191919"/>
          <w:highlight w:val="none"/>
          <w:shd w:val="clear" w:color="auto" w:fill="FFFFFF"/>
        </w:rPr>
        <w:t>形势</w:t>
      </w:r>
      <w:bookmarkEnd w:id="63"/>
      <w:bookmarkEnd w:id="64"/>
      <w:bookmarkEnd w:id="65"/>
      <w:bookmarkEnd w:id="66"/>
      <w:bookmarkEnd w:id="67"/>
      <w:bookmarkEnd w:id="68"/>
      <w:bookmarkEnd w:id="69"/>
      <w:bookmarkEnd w:id="70"/>
      <w:bookmarkEnd w:id="71"/>
      <w:r>
        <w:rPr>
          <w:rFonts w:hint="eastAsia" w:ascii="楷体_GB2312" w:hAnsi="楷体_GB2312" w:eastAsia="楷体_GB2312" w:cs="楷体_GB2312"/>
          <w:b w:val="0"/>
          <w:color w:val="191919"/>
          <w:highlight w:val="none"/>
          <w:shd w:val="clear" w:color="auto" w:fill="FFFFFF"/>
        </w:rPr>
        <w:t>要求</w:t>
      </w:r>
      <w:bookmarkEnd w:id="72"/>
    </w:p>
    <w:p w14:paraId="18966E6A">
      <w:pPr>
        <w:spacing w:after="160" w:line="560" w:lineRule="exact"/>
        <w:ind w:firstLine="643" w:firstLineChars="200"/>
        <w:rPr>
          <w:rFonts w:hint="eastAsia" w:ascii="仿宋_GB2312" w:hAnsi="楷体" w:eastAsia="仿宋_GB2312"/>
          <w:sz w:val="32"/>
          <w:szCs w:val="32"/>
          <w:highlight w:val="none"/>
          <w:lang w:val="en-US" w:eastAsia="zh-CN"/>
        </w:rPr>
      </w:pPr>
      <w:bookmarkStart w:id="73" w:name="_Toc8514"/>
      <w:bookmarkStart w:id="74" w:name="_Toc2313"/>
      <w:bookmarkStart w:id="75" w:name="_Toc1524"/>
      <w:r>
        <w:rPr>
          <w:rFonts w:hint="eastAsia" w:ascii="仿宋_GB2312" w:hAnsi="楷体" w:eastAsia="仿宋_GB2312"/>
          <w:b/>
          <w:bCs/>
          <w:sz w:val="32"/>
          <w:szCs w:val="32"/>
          <w:highlight w:val="none"/>
        </w:rPr>
        <w:t>从国际国内大势看</w:t>
      </w:r>
      <w:r>
        <w:rPr>
          <w:rFonts w:hint="eastAsia" w:ascii="仿宋_GB2312" w:hAnsi="楷体" w:eastAsia="仿宋_GB2312"/>
          <w:b/>
          <w:bCs/>
          <w:sz w:val="32"/>
          <w:szCs w:val="32"/>
          <w:highlight w:val="none"/>
          <w:lang w:eastAsia="zh-CN"/>
        </w:rPr>
        <w:t>，</w:t>
      </w:r>
      <w:r>
        <w:rPr>
          <w:rFonts w:hint="eastAsia" w:ascii="仿宋_GB2312" w:hAnsi="楷体" w:eastAsia="仿宋_GB2312"/>
          <w:b/>
          <w:bCs/>
          <w:sz w:val="32"/>
          <w:szCs w:val="32"/>
          <w:highlight w:val="none"/>
        </w:rPr>
        <w:t>我国已进入以科技创新</w:t>
      </w:r>
      <w:r>
        <w:rPr>
          <w:rFonts w:hint="eastAsia" w:ascii="仿宋_GB2312" w:hAnsi="楷体" w:eastAsia="仿宋_GB2312"/>
          <w:b/>
          <w:bCs/>
          <w:sz w:val="32"/>
          <w:szCs w:val="32"/>
          <w:highlight w:val="none"/>
          <w:lang w:val="en-US" w:eastAsia="zh-CN"/>
        </w:rPr>
        <w:t>催生</w:t>
      </w:r>
      <w:r>
        <w:rPr>
          <w:rFonts w:hint="eastAsia" w:ascii="仿宋_GB2312" w:hAnsi="楷体" w:eastAsia="仿宋_GB2312"/>
          <w:b/>
          <w:bCs/>
          <w:sz w:val="32"/>
          <w:szCs w:val="32"/>
          <w:highlight w:val="none"/>
        </w:rPr>
        <w:t>新质生产力的</w:t>
      </w:r>
      <w:r>
        <w:rPr>
          <w:rFonts w:hint="eastAsia" w:ascii="仿宋_GB2312" w:hAnsi="楷体" w:eastAsia="仿宋_GB2312"/>
          <w:b/>
          <w:bCs/>
          <w:sz w:val="32"/>
          <w:szCs w:val="32"/>
          <w:highlight w:val="none"/>
          <w:lang w:val="en-US" w:eastAsia="zh-CN"/>
        </w:rPr>
        <w:t>阶段</w:t>
      </w:r>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rPr>
        <w:t>国际</w:t>
      </w:r>
      <w:r>
        <w:rPr>
          <w:rFonts w:hint="eastAsia" w:ascii="仿宋_GB2312" w:hAnsi="楷体" w:eastAsia="仿宋_GB2312"/>
          <w:sz w:val="32"/>
          <w:szCs w:val="32"/>
          <w:highlight w:val="none"/>
          <w:lang w:val="en-US" w:eastAsia="zh-CN"/>
        </w:rPr>
        <w:t>方面</w:t>
      </w:r>
      <w:r>
        <w:rPr>
          <w:rFonts w:hint="eastAsia" w:ascii="仿宋_GB2312" w:hAnsi="楷体" w:eastAsia="仿宋_GB2312"/>
          <w:sz w:val="32"/>
          <w:szCs w:val="32"/>
          <w:highlight w:val="none"/>
        </w:rPr>
        <w:t>，世界百年</w:t>
      </w:r>
      <w:r>
        <w:rPr>
          <w:rFonts w:hint="eastAsia" w:ascii="仿宋_GB2312" w:hAnsi="楷体" w:eastAsia="仿宋_GB2312"/>
          <w:sz w:val="32"/>
          <w:szCs w:val="32"/>
          <w:highlight w:val="none"/>
          <w:lang w:val="en-US" w:eastAsia="zh-CN"/>
        </w:rPr>
        <w:t>未有之大变局</w:t>
      </w:r>
      <w:r>
        <w:rPr>
          <w:rFonts w:hint="eastAsia" w:ascii="仿宋_GB2312" w:hAnsi="楷体" w:eastAsia="仿宋_GB2312"/>
          <w:sz w:val="32"/>
          <w:szCs w:val="32"/>
          <w:highlight w:val="none"/>
        </w:rPr>
        <w:t>加速演进，新一轮科技革命和产业变革</w:t>
      </w:r>
      <w:r>
        <w:rPr>
          <w:rFonts w:hint="eastAsia" w:ascii="仿宋_GB2312" w:hAnsi="楷体" w:eastAsia="仿宋_GB2312"/>
          <w:sz w:val="32"/>
          <w:szCs w:val="32"/>
          <w:highlight w:val="none"/>
          <w:lang w:val="en-US" w:eastAsia="zh-CN"/>
        </w:rPr>
        <w:t>深入发展</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科技创新日益成为国际战略博弈的主战场，科技作为第一生产力的地位更加凸显。国内</w:t>
      </w:r>
      <w:r>
        <w:rPr>
          <w:rFonts w:hint="eastAsia" w:ascii="仿宋_GB2312" w:hAnsi="楷体" w:eastAsia="仿宋_GB2312"/>
          <w:sz w:val="32"/>
          <w:szCs w:val="32"/>
          <w:highlight w:val="none"/>
          <w:lang w:val="en-US" w:eastAsia="zh-CN"/>
        </w:rPr>
        <w:t>方面</w:t>
      </w:r>
      <w:r>
        <w:rPr>
          <w:rFonts w:hint="eastAsia" w:ascii="仿宋_GB2312" w:hAnsi="楷体" w:eastAsia="仿宋_GB2312"/>
          <w:sz w:val="32"/>
          <w:szCs w:val="32"/>
          <w:highlight w:val="none"/>
        </w:rPr>
        <w:t>，我国经济基础稳固、韧性强劲、回旋空间广阔，长期向好的基本面没有改变。“十五五”时期是基本实现社会主义现代化夯实基础、全面发力的关键时期</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中央明确提出，要</w:t>
      </w:r>
      <w:r>
        <w:rPr>
          <w:rFonts w:hint="eastAsia" w:ascii="仿宋_GB2312" w:hAnsi="楷体" w:eastAsia="仿宋_GB2312"/>
          <w:sz w:val="32"/>
          <w:szCs w:val="32"/>
          <w:highlight w:val="none"/>
        </w:rPr>
        <w:t>坚持把发展经济的着力点放在实体经济上，</w:t>
      </w:r>
      <w:r>
        <w:rPr>
          <w:rFonts w:hint="eastAsia" w:ascii="仿宋_GB2312" w:hAnsi="楷体" w:eastAsia="仿宋_GB2312"/>
          <w:sz w:val="32"/>
          <w:szCs w:val="32"/>
          <w:highlight w:val="none"/>
          <w:lang w:val="en-US" w:eastAsia="zh-CN"/>
        </w:rPr>
        <w:t>推动产业</w:t>
      </w:r>
      <w:r>
        <w:rPr>
          <w:rFonts w:hint="eastAsia" w:ascii="仿宋_GB2312" w:hAnsi="楷体" w:eastAsia="仿宋_GB2312"/>
          <w:sz w:val="32"/>
          <w:szCs w:val="32"/>
          <w:highlight w:val="none"/>
        </w:rPr>
        <w:t>智能化、绿色化、融合化</w:t>
      </w:r>
      <w:r>
        <w:rPr>
          <w:rFonts w:hint="eastAsia" w:ascii="仿宋_GB2312" w:hAnsi="楷体" w:eastAsia="仿宋_GB2312"/>
          <w:sz w:val="32"/>
          <w:szCs w:val="32"/>
          <w:highlight w:val="none"/>
          <w:lang w:val="en-US" w:eastAsia="zh-CN"/>
        </w:rPr>
        <w:t>发展</w:t>
      </w:r>
      <w:r>
        <w:rPr>
          <w:rFonts w:hint="eastAsia" w:ascii="仿宋_GB2312" w:hAnsi="楷体" w:eastAsia="仿宋_GB2312"/>
          <w:sz w:val="32"/>
          <w:szCs w:val="32"/>
          <w:highlight w:val="none"/>
        </w:rPr>
        <w:t>，构建以先进制造业为骨干的现代化产业体系</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加快</w:t>
      </w:r>
      <w:r>
        <w:rPr>
          <w:rFonts w:hint="eastAsia" w:ascii="仿宋_GB2312" w:hAnsi="楷体" w:eastAsia="仿宋_GB2312"/>
          <w:sz w:val="32"/>
          <w:szCs w:val="32"/>
          <w:highlight w:val="none"/>
        </w:rPr>
        <w:t>科技创新和产业创新深度融合</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布局建设区域科技创新中心和产业科技创新高地</w:t>
      </w:r>
      <w:r>
        <w:rPr>
          <w:rFonts w:hint="eastAsia" w:ascii="仿宋_GB2312" w:hAnsi="楷体" w:eastAsia="仿宋_GB2312"/>
          <w:sz w:val="32"/>
          <w:szCs w:val="32"/>
          <w:highlight w:val="none"/>
          <w:lang w:eastAsia="zh-CN"/>
        </w:rPr>
        <w:t>，为园区发展指明了方向。</w:t>
      </w:r>
      <w:r>
        <w:rPr>
          <w:rFonts w:hint="eastAsia" w:ascii="仿宋_GB2312" w:hAnsi="楷体" w:eastAsia="仿宋_GB2312"/>
          <w:sz w:val="32"/>
          <w:szCs w:val="32"/>
          <w:highlight w:val="none"/>
          <w:lang w:val="en-US" w:eastAsia="zh-CN"/>
        </w:rPr>
        <w:t>首都作为</w:t>
      </w:r>
      <w:r>
        <w:rPr>
          <w:rFonts w:hint="eastAsia" w:ascii="仿宋_GB2312" w:hAnsi="楷体" w:eastAsia="仿宋_GB2312"/>
          <w:sz w:val="32"/>
          <w:szCs w:val="32"/>
          <w:highlight w:val="none"/>
        </w:rPr>
        <w:t>国际科技创新中心</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创新</w:t>
      </w:r>
      <w:r>
        <w:rPr>
          <w:rFonts w:hint="eastAsia" w:ascii="仿宋_GB2312" w:hAnsi="楷体" w:eastAsia="仿宋_GB2312"/>
          <w:sz w:val="32"/>
          <w:szCs w:val="32"/>
          <w:highlight w:val="none"/>
        </w:rPr>
        <w:t>策源功能</w:t>
      </w:r>
      <w:r>
        <w:rPr>
          <w:rFonts w:hint="eastAsia" w:ascii="仿宋_GB2312" w:hAnsi="楷体" w:eastAsia="仿宋_GB2312"/>
          <w:sz w:val="32"/>
          <w:szCs w:val="32"/>
          <w:highlight w:val="none"/>
          <w:lang w:val="en-US" w:eastAsia="zh-CN"/>
        </w:rPr>
        <w:t>强大</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有利于带动重大科技成果高效转化应用，为区域以科技创新催生新质生产力提供有力支撑</w:t>
      </w:r>
      <w:r>
        <w:rPr>
          <w:rFonts w:hint="eastAsia" w:ascii="仿宋_GB2312" w:hAnsi="楷体" w:eastAsia="仿宋_GB2312"/>
          <w:sz w:val="32"/>
          <w:szCs w:val="32"/>
          <w:highlight w:val="none"/>
        </w:rPr>
        <w:t>。</w:t>
      </w:r>
    </w:p>
    <w:p w14:paraId="724E51E8">
      <w:pPr>
        <w:spacing w:after="160" w:line="560" w:lineRule="exact"/>
        <w:ind w:firstLine="643" w:firstLineChars="200"/>
        <w:rPr>
          <w:rFonts w:hint="eastAsia" w:ascii="仿宋_GB2312" w:hAnsi="楷体" w:eastAsia="仿宋_GB2312"/>
          <w:sz w:val="32"/>
          <w:szCs w:val="32"/>
          <w:highlight w:val="none"/>
          <w:lang w:eastAsia="zh-CN"/>
        </w:rPr>
      </w:pPr>
      <w:bookmarkStart w:id="76" w:name="_Toc18176"/>
      <w:bookmarkStart w:id="77" w:name="_Toc15557"/>
      <w:r>
        <w:rPr>
          <w:rFonts w:hint="eastAsia" w:ascii="仿宋_GB2312" w:hAnsi="楷体" w:eastAsia="仿宋_GB2312"/>
          <w:b/>
          <w:bCs/>
          <w:sz w:val="32"/>
          <w:szCs w:val="32"/>
          <w:highlight w:val="none"/>
        </w:rPr>
        <w:t>从首都发展大局看</w:t>
      </w:r>
      <w:r>
        <w:rPr>
          <w:rFonts w:hint="eastAsia" w:ascii="仿宋_GB2312" w:hAnsi="楷体" w:eastAsia="仿宋_GB2312"/>
          <w:b/>
          <w:bCs/>
          <w:sz w:val="32"/>
          <w:szCs w:val="32"/>
          <w:highlight w:val="none"/>
          <w:lang w:eastAsia="zh-CN"/>
        </w:rPr>
        <w:t>，</w:t>
      </w:r>
      <w:r>
        <w:rPr>
          <w:rFonts w:hint="eastAsia" w:ascii="仿宋_GB2312" w:hAnsi="楷体" w:eastAsia="仿宋_GB2312"/>
          <w:b/>
          <w:bCs/>
          <w:sz w:val="32"/>
          <w:szCs w:val="32"/>
          <w:highlight w:val="none"/>
          <w:lang w:val="en-US" w:eastAsia="zh-CN"/>
        </w:rPr>
        <w:t>北京正进入</w:t>
      </w:r>
      <w:r>
        <w:rPr>
          <w:rFonts w:hint="eastAsia" w:ascii="仿宋_GB2312" w:hAnsi="楷体" w:eastAsia="仿宋_GB2312"/>
          <w:b/>
          <w:bCs/>
          <w:sz w:val="32"/>
          <w:szCs w:val="32"/>
          <w:highlight w:val="none"/>
        </w:rPr>
        <w:t>推动科技创新和产业创新深度融合</w:t>
      </w:r>
      <w:r>
        <w:rPr>
          <w:rFonts w:hint="eastAsia" w:ascii="仿宋_GB2312" w:hAnsi="楷体" w:eastAsia="仿宋_GB2312"/>
          <w:b/>
          <w:bCs/>
          <w:sz w:val="32"/>
          <w:szCs w:val="32"/>
          <w:highlight w:val="none"/>
          <w:lang w:val="en-US" w:eastAsia="zh-CN"/>
        </w:rPr>
        <w:t>的新阶段</w:t>
      </w:r>
      <w:bookmarkEnd w:id="76"/>
      <w:bookmarkEnd w:id="77"/>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lang w:val="en-US" w:eastAsia="zh-CN"/>
        </w:rPr>
        <w:t>市委、市政府明确提出，</w:t>
      </w:r>
      <w:r>
        <w:rPr>
          <w:rFonts w:hint="eastAsia" w:ascii="仿宋_GB2312" w:hAnsi="楷体" w:eastAsia="仿宋_GB2312"/>
          <w:sz w:val="32"/>
          <w:szCs w:val="32"/>
          <w:highlight w:val="none"/>
        </w:rPr>
        <w:t>坚持“四个面向”战略导向，</w:t>
      </w:r>
      <w:r>
        <w:rPr>
          <w:rFonts w:hint="eastAsia" w:ascii="仿宋_GB2312" w:hAnsi="楷体" w:eastAsia="仿宋_GB2312"/>
          <w:sz w:val="32"/>
          <w:szCs w:val="32"/>
          <w:highlight w:val="none"/>
          <w:lang w:val="en-US" w:eastAsia="zh-CN"/>
        </w:rPr>
        <w:t>加快建设</w:t>
      </w:r>
      <w:r>
        <w:rPr>
          <w:rFonts w:hint="eastAsia" w:ascii="仿宋_GB2312" w:hAnsi="楷体" w:eastAsia="仿宋_GB2312"/>
          <w:sz w:val="32"/>
          <w:szCs w:val="32"/>
          <w:highlight w:val="none"/>
        </w:rPr>
        <w:t>全球重要科学策源地、未来产业引领地、开放创新核心枢纽和高水平人才高地。</w:t>
      </w:r>
      <w:r>
        <w:rPr>
          <w:rFonts w:hint="eastAsia" w:ascii="仿宋_GB2312" w:hAnsi="楷体" w:eastAsia="仿宋_GB2312"/>
          <w:sz w:val="32"/>
          <w:szCs w:val="32"/>
          <w:highlight w:val="none"/>
          <w:lang w:val="en-US" w:eastAsia="zh-CN"/>
        </w:rPr>
        <w:t>首都正以</w:t>
      </w:r>
      <w:r>
        <w:rPr>
          <w:rFonts w:hint="eastAsia" w:ascii="仿宋_GB2312" w:hAnsi="楷体" w:eastAsia="仿宋_GB2312"/>
          <w:sz w:val="32"/>
          <w:szCs w:val="32"/>
          <w:highlight w:val="none"/>
        </w:rPr>
        <w:t>建设中关村世界领先科技园区</w:t>
      </w:r>
      <w:r>
        <w:rPr>
          <w:rFonts w:hint="eastAsia" w:ascii="仿宋_GB2312" w:hAnsi="楷体" w:eastAsia="仿宋_GB2312"/>
          <w:sz w:val="32"/>
          <w:szCs w:val="32"/>
          <w:highlight w:val="none"/>
          <w:lang w:val="en-US" w:eastAsia="zh-CN"/>
        </w:rPr>
        <w:t>为牵引</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深化中关村先行先试改革，促进创新链产业链资金链人才链深度融合</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引导</w:t>
      </w:r>
      <w:r>
        <w:rPr>
          <w:rFonts w:hint="eastAsia" w:ascii="仿宋_GB2312" w:hAnsi="楷体" w:eastAsia="仿宋_GB2312"/>
          <w:sz w:val="32"/>
          <w:szCs w:val="32"/>
          <w:highlight w:val="none"/>
        </w:rPr>
        <w:t>各分园发展特色产业集群。</w:t>
      </w:r>
      <w:r>
        <w:rPr>
          <w:rFonts w:hint="eastAsia" w:ascii="仿宋_GB2312" w:hAnsi="楷体" w:eastAsia="仿宋_GB2312"/>
          <w:sz w:val="32"/>
          <w:szCs w:val="32"/>
          <w:highlight w:val="none"/>
          <w:lang w:val="en-US" w:eastAsia="zh-CN"/>
        </w:rPr>
        <w:t>同时，北京市积极打造国际绿色经济标杆城市和全球数字经济标杆城市，培育万亿级绿色经济，建设一批全球智能制造标杆工厂。上述部署为房山园发挥新型储能、氢能、石墨烯、新能源汽车等细分赛道较好基础和发展潜力，加快培育壮大新质生产力，创造了重大机遇。</w:t>
      </w:r>
    </w:p>
    <w:p w14:paraId="57496ECB">
      <w:pPr>
        <w:spacing w:after="160" w:line="560" w:lineRule="exact"/>
        <w:ind w:firstLine="643" w:firstLineChars="200"/>
        <w:rPr>
          <w:rFonts w:hint="default" w:ascii="仿宋_GB2312" w:hAnsi="楷体" w:eastAsia="仿宋_GB2312"/>
          <w:sz w:val="32"/>
          <w:szCs w:val="32"/>
          <w:highlight w:val="none"/>
          <w:lang w:val="en-US" w:eastAsia="zh-CN"/>
        </w:rPr>
      </w:pPr>
      <w:bookmarkStart w:id="78" w:name="_Toc9962"/>
      <w:bookmarkStart w:id="79" w:name="_Toc31013"/>
      <w:r>
        <w:rPr>
          <w:rFonts w:hint="eastAsia" w:ascii="仿宋_GB2312" w:hAnsi="楷体" w:eastAsia="仿宋_GB2312"/>
          <w:b/>
          <w:bCs/>
          <w:sz w:val="32"/>
          <w:szCs w:val="32"/>
          <w:highlight w:val="none"/>
        </w:rPr>
        <w:t>从房山自身发展阶段看</w:t>
      </w:r>
      <w:r>
        <w:rPr>
          <w:rFonts w:hint="eastAsia" w:ascii="仿宋_GB2312" w:hAnsi="楷体" w:eastAsia="仿宋_GB2312"/>
          <w:b/>
          <w:bCs/>
          <w:sz w:val="32"/>
          <w:szCs w:val="32"/>
          <w:highlight w:val="none"/>
          <w:lang w:eastAsia="zh-CN"/>
        </w:rPr>
        <w:t>，房山区正迎来以中关村房山园为核心承载、建设新质智造产业新城的关键时期</w:t>
      </w:r>
      <w:bookmarkEnd w:id="78"/>
      <w:bookmarkEnd w:id="79"/>
      <w:r>
        <w:rPr>
          <w:rFonts w:hint="eastAsia" w:ascii="仿宋_GB2312" w:hAnsi="楷体" w:eastAsia="仿宋_GB2312"/>
          <w:b/>
          <w:bCs/>
          <w:sz w:val="32"/>
          <w:szCs w:val="32"/>
          <w:highlight w:val="none"/>
          <w:lang w:val="en-US" w:eastAsia="zh-CN"/>
        </w:rPr>
        <w:t>。</w:t>
      </w:r>
      <w:r>
        <w:rPr>
          <w:rFonts w:hint="eastAsia" w:ascii="仿宋_GB2312" w:hAnsi="楷体" w:eastAsia="仿宋_GB2312"/>
          <w:sz w:val="32"/>
          <w:szCs w:val="32"/>
          <w:highlight w:val="none"/>
          <w:lang w:val="en-US" w:eastAsia="zh-CN"/>
        </w:rPr>
        <w:t>当前，</w:t>
      </w:r>
      <w:r>
        <w:rPr>
          <w:rFonts w:hint="eastAsia" w:ascii="仿宋_GB2312" w:hAnsi="楷体" w:eastAsia="仿宋_GB2312"/>
          <w:sz w:val="32"/>
          <w:szCs w:val="32"/>
          <w:highlight w:val="none"/>
        </w:rPr>
        <w:t>房山区</w:t>
      </w:r>
      <w:r>
        <w:rPr>
          <w:rFonts w:hint="eastAsia" w:ascii="仿宋_GB2312" w:hAnsi="楷体" w:eastAsia="仿宋_GB2312"/>
          <w:sz w:val="32"/>
          <w:szCs w:val="32"/>
          <w:highlight w:val="none"/>
          <w:lang w:val="en-US" w:eastAsia="zh-CN"/>
        </w:rPr>
        <w:t>正</w:t>
      </w:r>
      <w:r>
        <w:rPr>
          <w:rFonts w:hint="eastAsia" w:ascii="仿宋_GB2312" w:hAnsi="楷体" w:eastAsia="仿宋_GB2312"/>
          <w:sz w:val="32"/>
          <w:szCs w:val="32"/>
          <w:highlight w:val="none"/>
        </w:rPr>
        <w:t>处于传统石化、汽车产业转型和绿色能源等新兴产业培育的交织叠加期，</w:t>
      </w:r>
      <w:r>
        <w:rPr>
          <w:rFonts w:hint="eastAsia" w:ascii="仿宋_GB2312" w:hAnsi="楷体" w:eastAsia="仿宋_GB2312"/>
          <w:sz w:val="32"/>
          <w:szCs w:val="32"/>
          <w:highlight w:val="none"/>
          <w:lang w:val="en-US" w:eastAsia="zh-CN"/>
        </w:rPr>
        <w:t>亟须</w:t>
      </w:r>
      <w:r>
        <w:rPr>
          <w:rFonts w:hint="eastAsia" w:ascii="仿宋_GB2312" w:hAnsi="楷体" w:eastAsia="仿宋_GB2312"/>
          <w:sz w:val="32"/>
          <w:szCs w:val="32"/>
          <w:highlight w:val="none"/>
        </w:rPr>
        <w:t>加快</w:t>
      </w:r>
      <w:r>
        <w:rPr>
          <w:rFonts w:hint="eastAsia" w:ascii="仿宋_GB2312" w:hAnsi="楷体" w:eastAsia="仿宋_GB2312"/>
          <w:sz w:val="32"/>
          <w:szCs w:val="32"/>
          <w:highlight w:val="none"/>
          <w:lang w:val="en-US" w:eastAsia="zh-CN"/>
        </w:rPr>
        <w:t>构建</w:t>
      </w:r>
      <w:r>
        <w:rPr>
          <w:rFonts w:hint="eastAsia" w:ascii="仿宋_GB2312" w:hAnsi="楷体" w:eastAsia="仿宋_GB2312"/>
          <w:sz w:val="32"/>
          <w:szCs w:val="32"/>
          <w:highlight w:val="none"/>
        </w:rPr>
        <w:t>以绿色能源、新材料为主导的现代化产业体系</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加速形成区域</w:t>
      </w:r>
      <w:r>
        <w:rPr>
          <w:rFonts w:hint="eastAsia" w:ascii="仿宋_GB2312" w:hAnsi="楷体" w:eastAsia="仿宋_GB2312"/>
          <w:sz w:val="32"/>
          <w:szCs w:val="32"/>
          <w:highlight w:val="none"/>
        </w:rPr>
        <w:t>比较优势</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培育</w:t>
      </w:r>
      <w:r>
        <w:rPr>
          <w:rFonts w:hint="eastAsia" w:ascii="仿宋_GB2312" w:hAnsi="楷体" w:eastAsia="仿宋_GB2312"/>
          <w:sz w:val="32"/>
          <w:szCs w:val="32"/>
          <w:highlight w:val="none"/>
        </w:rPr>
        <w:t>内生</w:t>
      </w:r>
      <w:r>
        <w:rPr>
          <w:rFonts w:hint="eastAsia" w:ascii="仿宋_GB2312" w:hAnsi="楷体" w:eastAsia="仿宋_GB2312"/>
          <w:sz w:val="32"/>
          <w:szCs w:val="32"/>
          <w:highlight w:val="none"/>
          <w:lang w:val="en-US" w:eastAsia="zh-CN"/>
        </w:rPr>
        <w:t>增长</w:t>
      </w:r>
      <w:r>
        <w:rPr>
          <w:rFonts w:hint="eastAsia" w:ascii="仿宋_GB2312" w:hAnsi="楷体" w:eastAsia="仿宋_GB2312"/>
          <w:sz w:val="32"/>
          <w:szCs w:val="32"/>
          <w:highlight w:val="none"/>
        </w:rPr>
        <w:t>动力。</w:t>
      </w:r>
      <w:r>
        <w:rPr>
          <w:rFonts w:hint="eastAsia" w:ascii="仿宋_GB2312" w:hAnsi="楷体" w:eastAsia="仿宋_GB2312"/>
          <w:sz w:val="32"/>
          <w:szCs w:val="32"/>
          <w:highlight w:val="none"/>
          <w:lang w:val="en-US" w:eastAsia="zh-CN"/>
        </w:rPr>
        <w:t>中关村房山园作为房山区科技创新与产业创新深度融合的主承载区，肩负着以科技创新催生新质生产力的重要使命，有利于充分发挥产业集群优势，</w:t>
      </w:r>
      <w:r>
        <w:rPr>
          <w:rFonts w:hint="eastAsia" w:ascii="仿宋_GB2312" w:hAnsi="楷体" w:eastAsia="仿宋_GB2312"/>
          <w:sz w:val="32"/>
          <w:szCs w:val="32"/>
          <w:highlight w:val="none"/>
        </w:rPr>
        <w:t>提升产业高端化、智能化、绿色化、集群化、融合化水平</w:t>
      </w:r>
      <w:r>
        <w:rPr>
          <w:rFonts w:hint="eastAsia" w:ascii="仿宋_GB2312" w:hAnsi="楷体" w:eastAsia="仿宋_GB2312"/>
          <w:sz w:val="32"/>
          <w:szCs w:val="32"/>
          <w:highlight w:val="none"/>
          <w:lang w:val="en-US" w:eastAsia="zh-CN"/>
        </w:rPr>
        <w:t>，服务全区加快建成</w:t>
      </w:r>
      <w:r>
        <w:rPr>
          <w:rFonts w:hint="eastAsia" w:ascii="仿宋_GB2312" w:hAnsi="楷体" w:eastAsia="仿宋_GB2312"/>
          <w:sz w:val="32"/>
          <w:szCs w:val="32"/>
          <w:highlight w:val="none"/>
        </w:rPr>
        <w:t>新质智造产业新城。</w:t>
      </w:r>
    </w:p>
    <w:bookmarkEnd w:id="73"/>
    <w:bookmarkEnd w:id="74"/>
    <w:bookmarkEnd w:id="75"/>
    <w:p w14:paraId="7AFACF53">
      <w:pPr>
        <w:overflowPunct w:val="0"/>
        <w:spacing w:line="560" w:lineRule="exact"/>
        <w:ind w:firstLine="640" w:firstLineChars="200"/>
        <w:rPr>
          <w:rFonts w:hint="eastAsia" w:ascii="仿宋_GB2312" w:hAnsi="等线" w:eastAsia="仿宋_GB2312" w:cs="仿宋_GB2312"/>
          <w:color w:val="auto"/>
          <w:sz w:val="32"/>
          <w:szCs w:val="32"/>
          <w:highlight w:val="none"/>
          <w:lang w:bidi="ar"/>
        </w:rPr>
      </w:pPr>
    </w:p>
    <w:p w14:paraId="02F091AD">
      <w:pPr>
        <w:overflowPunct w:val="0"/>
        <w:spacing w:line="560" w:lineRule="exact"/>
        <w:ind w:firstLine="640" w:firstLineChars="200"/>
        <w:rPr>
          <w:rFonts w:hint="eastAsia" w:ascii="仿宋_GB2312" w:hAnsi="等线" w:eastAsia="仿宋_GB2312" w:cs="仿宋_GB2312"/>
          <w:color w:val="auto"/>
          <w:sz w:val="32"/>
          <w:szCs w:val="32"/>
          <w:highlight w:val="none"/>
          <w:lang w:bidi="ar"/>
        </w:rPr>
        <w:sectPr>
          <w:pgSz w:w="11906" w:h="16838"/>
          <w:pgMar w:top="1440" w:right="1800" w:bottom="1440" w:left="1800" w:header="851" w:footer="992" w:gutter="0"/>
          <w:pgNumType w:fmt="decimal"/>
          <w:cols w:space="425" w:num="1"/>
          <w:docGrid w:type="lines" w:linePitch="312" w:charSpace="0"/>
        </w:sectPr>
      </w:pPr>
    </w:p>
    <w:p w14:paraId="62114A53">
      <w:pPr>
        <w:pStyle w:val="3"/>
        <w:keepNext w:val="0"/>
        <w:keepLines w:val="0"/>
        <w:spacing w:after="160"/>
        <w:ind w:firstLine="640"/>
        <w:rPr>
          <w:rFonts w:hint="eastAsia" w:ascii="黑体" w:hAnsi="黑体"/>
          <w:szCs w:val="32"/>
          <w:highlight w:val="none"/>
        </w:rPr>
      </w:pPr>
      <w:bookmarkStart w:id="80" w:name="_Toc23886"/>
      <w:bookmarkStart w:id="81" w:name="_Toc24601"/>
      <w:bookmarkStart w:id="82" w:name="_Toc11270"/>
      <w:bookmarkStart w:id="83" w:name="_Toc6778"/>
      <w:bookmarkStart w:id="84" w:name="_Toc5913"/>
      <w:bookmarkStart w:id="85" w:name="_Toc4134"/>
      <w:bookmarkStart w:id="86" w:name="_Toc26731"/>
      <w:bookmarkStart w:id="87" w:name="_Toc22709"/>
      <w:bookmarkStart w:id="88" w:name="_Toc196"/>
      <w:bookmarkStart w:id="89" w:name="_Toc13037"/>
      <w:r>
        <w:rPr>
          <w:rFonts w:hint="eastAsia" w:ascii="黑体" w:hAnsi="黑体"/>
          <w:szCs w:val="32"/>
          <w:highlight w:val="none"/>
        </w:rPr>
        <w:t>二</w:t>
      </w:r>
      <w:r>
        <w:rPr>
          <w:rFonts w:hint="eastAsia" w:ascii="黑体" w:hAnsi="黑体"/>
          <w:szCs w:val="32"/>
          <w:highlight w:val="none"/>
          <w:lang w:eastAsia="zh-CN"/>
        </w:rPr>
        <w:t>、</w:t>
      </w:r>
      <w:r>
        <w:rPr>
          <w:rFonts w:hint="eastAsia" w:ascii="黑体" w:hAnsi="黑体"/>
          <w:szCs w:val="32"/>
          <w:highlight w:val="none"/>
        </w:rPr>
        <w:t>总体发展思路</w:t>
      </w:r>
      <w:bookmarkEnd w:id="80"/>
      <w:bookmarkEnd w:id="81"/>
      <w:bookmarkEnd w:id="82"/>
      <w:bookmarkEnd w:id="83"/>
      <w:bookmarkEnd w:id="84"/>
      <w:bookmarkEnd w:id="85"/>
      <w:bookmarkEnd w:id="86"/>
      <w:bookmarkEnd w:id="87"/>
      <w:bookmarkEnd w:id="88"/>
      <w:bookmarkEnd w:id="89"/>
    </w:p>
    <w:p w14:paraId="4C5D4000">
      <w:pPr>
        <w:pStyle w:val="4"/>
        <w:spacing w:before="0" w:after="160" w:line="560" w:lineRule="exact"/>
        <w:ind w:firstLine="640" w:firstLineChars="200"/>
        <w:rPr>
          <w:rFonts w:hint="eastAsia" w:ascii="楷体_GB2312" w:hAnsi="楷体_GB2312" w:eastAsia="楷体_GB2312" w:cs="楷体_GB2312"/>
          <w:b w:val="0"/>
          <w:color w:val="191919"/>
          <w:highlight w:val="none"/>
          <w:shd w:val="clear" w:color="auto" w:fill="FFFFFF"/>
        </w:rPr>
      </w:pPr>
      <w:bookmarkStart w:id="90" w:name="_Toc17445"/>
      <w:bookmarkStart w:id="91" w:name="_Toc17853"/>
      <w:bookmarkStart w:id="92" w:name="_Toc9208"/>
      <w:bookmarkStart w:id="93" w:name="_Toc24194"/>
      <w:bookmarkStart w:id="94" w:name="_Toc29336"/>
      <w:bookmarkStart w:id="95" w:name="_Toc28066"/>
      <w:bookmarkStart w:id="96" w:name="_Toc28478"/>
      <w:bookmarkStart w:id="97" w:name="_Toc13555"/>
      <w:bookmarkStart w:id="98" w:name="_Toc28607"/>
      <w:bookmarkStart w:id="99" w:name="_Toc8033"/>
      <w:r>
        <w:rPr>
          <w:rFonts w:hint="eastAsia" w:ascii="楷体_GB2312" w:hAnsi="楷体_GB2312" w:eastAsia="楷体_GB2312" w:cs="楷体_GB2312"/>
          <w:b w:val="0"/>
          <w:color w:val="191919"/>
          <w:highlight w:val="none"/>
          <w:shd w:val="clear" w:color="auto" w:fill="FFFFFF"/>
          <w:lang w:eastAsia="zh-CN"/>
        </w:rPr>
        <w:t>（一）</w:t>
      </w:r>
      <w:r>
        <w:rPr>
          <w:rFonts w:hint="eastAsia" w:ascii="楷体_GB2312" w:hAnsi="楷体_GB2312" w:eastAsia="楷体_GB2312" w:cs="楷体_GB2312"/>
          <w:b w:val="0"/>
          <w:color w:val="191919"/>
          <w:highlight w:val="none"/>
          <w:shd w:val="clear" w:color="auto" w:fill="FFFFFF"/>
        </w:rPr>
        <w:t>指导思想</w:t>
      </w:r>
      <w:bookmarkEnd w:id="90"/>
      <w:bookmarkEnd w:id="91"/>
      <w:bookmarkEnd w:id="92"/>
      <w:bookmarkEnd w:id="93"/>
      <w:bookmarkEnd w:id="94"/>
      <w:bookmarkEnd w:id="95"/>
      <w:bookmarkEnd w:id="96"/>
      <w:bookmarkEnd w:id="97"/>
      <w:bookmarkEnd w:id="98"/>
      <w:bookmarkEnd w:id="99"/>
    </w:p>
    <w:p w14:paraId="11B7E449">
      <w:pPr>
        <w:spacing w:after="160" w:line="560" w:lineRule="exact"/>
        <w:ind w:firstLine="640" w:firstLineChars="200"/>
        <w:rPr>
          <w:rFonts w:hint="eastAsia" w:ascii="仿宋_GB2312" w:hAnsi="楷体" w:eastAsia="仿宋_GB2312"/>
          <w:sz w:val="32"/>
          <w:szCs w:val="32"/>
          <w:highlight w:val="none"/>
          <w:lang w:eastAsia="zh-CN"/>
        </w:rPr>
      </w:pPr>
      <w:r>
        <w:rPr>
          <w:rFonts w:hint="eastAsia" w:ascii="仿宋_GB2312" w:hAnsi="楷体" w:eastAsia="仿宋_GB2312"/>
          <w:sz w:val="32"/>
          <w:szCs w:val="32"/>
          <w:highlight w:val="none"/>
        </w:rPr>
        <w:t>以习近平新时代中国特色社会主义思想为指导，全面贯彻落实党的二十大和二十届</w:t>
      </w:r>
      <w:r>
        <w:rPr>
          <w:rFonts w:hint="eastAsia" w:ascii="仿宋_GB2312" w:hAnsi="楷体" w:eastAsia="仿宋_GB2312"/>
          <w:sz w:val="32"/>
          <w:szCs w:val="32"/>
          <w:highlight w:val="none"/>
          <w:lang w:eastAsia="zh-CN"/>
        </w:rPr>
        <w:t>历次</w:t>
      </w:r>
      <w:r>
        <w:rPr>
          <w:rFonts w:hint="eastAsia" w:ascii="仿宋_GB2312" w:hAnsi="楷体" w:eastAsia="仿宋_GB2312"/>
          <w:sz w:val="32"/>
          <w:szCs w:val="32"/>
          <w:highlight w:val="none"/>
        </w:rPr>
        <w:t>全会精神，</w:t>
      </w:r>
      <w:r>
        <w:rPr>
          <w:rFonts w:hint="eastAsia" w:ascii="仿宋_GB2312" w:hAnsi="楷体" w:eastAsia="仿宋_GB2312"/>
          <w:sz w:val="32"/>
          <w:szCs w:val="32"/>
          <w:highlight w:val="none"/>
          <w:lang w:val="en-US"/>
        </w:rPr>
        <w:t>深入贯彻习近平总书记对北京重要讲话精神，</w:t>
      </w:r>
      <w:r>
        <w:rPr>
          <w:rFonts w:hint="eastAsia" w:ascii="仿宋_GB2312" w:hAnsi="楷体" w:eastAsia="仿宋_GB2312"/>
          <w:sz w:val="32"/>
          <w:szCs w:val="32"/>
          <w:highlight w:val="none"/>
          <w:lang w:val="en-US" w:eastAsia="zh-CN"/>
        </w:rPr>
        <w:t>认真</w:t>
      </w:r>
      <w:r>
        <w:rPr>
          <w:rFonts w:hint="eastAsia" w:ascii="仿宋_GB2312" w:hAnsi="楷体" w:eastAsia="仿宋_GB2312"/>
          <w:sz w:val="32"/>
          <w:szCs w:val="32"/>
          <w:highlight w:val="none"/>
        </w:rPr>
        <w:t>落实市委、市政府关于建设中关村世界领先科技园区</w:t>
      </w:r>
      <w:r>
        <w:rPr>
          <w:rFonts w:hint="eastAsia" w:ascii="仿宋_GB2312" w:hAnsi="楷体" w:eastAsia="仿宋_GB2312"/>
          <w:sz w:val="32"/>
          <w:szCs w:val="32"/>
          <w:highlight w:val="none"/>
          <w:lang w:val="en-US" w:eastAsia="zh-CN"/>
        </w:rPr>
        <w:t>的</w:t>
      </w:r>
      <w:r>
        <w:rPr>
          <w:rFonts w:hint="eastAsia" w:ascii="仿宋_GB2312" w:hAnsi="楷体" w:eastAsia="仿宋_GB2312"/>
          <w:sz w:val="32"/>
          <w:szCs w:val="32"/>
          <w:highlight w:val="none"/>
        </w:rPr>
        <w:t>战略部署</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坚持“产业聚焦、空间集聚”发展理念，以发展新质生产力为核心，以科技创新与产业创新深度融合为路径，以强化原始创新策源能力为主线，做大做强绿色能源、新材料两大主导产业，壮大智能制造、智慧医工两大特色产业，统筹推进空间优化与连片开发，加快构建“城园协同、研产一体”的现代化产业体系，在发展新质生产力上不断取得突破，率先将中关村房山园建设成为新质智造产业新城的主要承载区</w:t>
      </w:r>
      <w:r>
        <w:rPr>
          <w:rFonts w:hint="eastAsia" w:ascii="仿宋_GB2312" w:hAnsi="楷体" w:eastAsia="仿宋_GB2312"/>
          <w:sz w:val="32"/>
          <w:szCs w:val="32"/>
          <w:highlight w:val="none"/>
          <w:lang w:eastAsia="zh-CN"/>
        </w:rPr>
        <w:t>。</w:t>
      </w:r>
    </w:p>
    <w:p w14:paraId="63DB8668">
      <w:pPr>
        <w:pStyle w:val="4"/>
        <w:spacing w:before="0" w:after="160" w:line="560" w:lineRule="exact"/>
        <w:ind w:firstLine="640" w:firstLineChars="200"/>
        <w:rPr>
          <w:rFonts w:hint="eastAsia" w:ascii="楷体_GB2312" w:hAnsi="楷体_GB2312" w:eastAsia="楷体_GB2312" w:cs="楷体_GB2312"/>
          <w:b w:val="0"/>
          <w:color w:val="191919"/>
          <w:highlight w:val="none"/>
          <w:shd w:val="clear" w:color="auto" w:fill="FFFFFF"/>
        </w:rPr>
      </w:pPr>
      <w:bookmarkStart w:id="100" w:name="_Toc7228"/>
      <w:bookmarkStart w:id="101" w:name="_Toc27117"/>
      <w:bookmarkStart w:id="102" w:name="_Toc2876"/>
      <w:bookmarkStart w:id="103" w:name="_Toc31246"/>
      <w:bookmarkStart w:id="104" w:name="_Toc19017"/>
      <w:bookmarkStart w:id="105" w:name="_Toc23792"/>
      <w:bookmarkStart w:id="106" w:name="_Toc25484"/>
      <w:bookmarkStart w:id="107" w:name="_Toc8461"/>
      <w:bookmarkStart w:id="108" w:name="_Toc26179"/>
      <w:bookmarkStart w:id="109" w:name="_Toc30072"/>
      <w:r>
        <w:rPr>
          <w:rFonts w:hint="eastAsia" w:ascii="楷体_GB2312" w:hAnsi="楷体_GB2312" w:eastAsia="楷体_GB2312" w:cs="楷体_GB2312"/>
          <w:b w:val="0"/>
          <w:color w:val="191919"/>
          <w:highlight w:val="none"/>
          <w:shd w:val="clear" w:color="auto" w:fill="FFFFFF"/>
          <w:lang w:eastAsia="zh-CN"/>
        </w:rPr>
        <w:t>（二）</w:t>
      </w:r>
      <w:r>
        <w:rPr>
          <w:rFonts w:hint="eastAsia" w:ascii="楷体_GB2312" w:hAnsi="楷体_GB2312" w:eastAsia="楷体_GB2312" w:cs="楷体_GB2312"/>
          <w:b w:val="0"/>
          <w:color w:val="191919"/>
          <w:highlight w:val="none"/>
          <w:shd w:val="clear" w:color="auto" w:fill="FFFFFF"/>
        </w:rPr>
        <w:t>基本原则</w:t>
      </w:r>
      <w:bookmarkEnd w:id="100"/>
      <w:bookmarkEnd w:id="101"/>
      <w:bookmarkEnd w:id="102"/>
      <w:bookmarkEnd w:id="103"/>
      <w:bookmarkEnd w:id="104"/>
      <w:bookmarkEnd w:id="105"/>
      <w:bookmarkEnd w:id="106"/>
      <w:bookmarkEnd w:id="107"/>
      <w:bookmarkEnd w:id="108"/>
      <w:bookmarkEnd w:id="109"/>
    </w:p>
    <w:p w14:paraId="25ADB0A2">
      <w:pPr>
        <w:spacing w:after="160" w:line="560" w:lineRule="exact"/>
        <w:ind w:firstLine="643" w:firstLineChars="200"/>
        <w:rPr>
          <w:rFonts w:hint="eastAsia" w:ascii="仿宋_GB2312" w:hAnsi="楷体" w:eastAsia="仿宋_GB2312"/>
          <w:sz w:val="32"/>
          <w:szCs w:val="32"/>
          <w:highlight w:val="none"/>
        </w:rPr>
      </w:pPr>
      <w:r>
        <w:rPr>
          <w:rFonts w:hint="eastAsia" w:ascii="仿宋_GB2312" w:hAnsi="楷体" w:eastAsia="仿宋_GB2312"/>
          <w:b/>
          <w:bCs/>
          <w:sz w:val="32"/>
          <w:szCs w:val="32"/>
          <w:highlight w:val="none"/>
        </w:rPr>
        <w:t>坚持服务首都、协同发展。</w:t>
      </w:r>
      <w:r>
        <w:rPr>
          <w:rFonts w:hint="eastAsia" w:ascii="仿宋_GB2312" w:hAnsi="楷体" w:eastAsia="仿宋_GB2312"/>
          <w:sz w:val="32"/>
          <w:szCs w:val="32"/>
          <w:highlight w:val="none"/>
        </w:rPr>
        <w:t>深入落实首都城市战略定位，主动服务和融入新发展格局，</w:t>
      </w:r>
      <w:r>
        <w:rPr>
          <w:rFonts w:hint="eastAsia" w:ascii="仿宋_GB2312" w:hAnsi="楷体" w:eastAsia="仿宋_GB2312"/>
          <w:sz w:val="32"/>
          <w:szCs w:val="32"/>
          <w:highlight w:val="none"/>
          <w:lang w:val="en-US" w:eastAsia="zh-CN"/>
        </w:rPr>
        <w:t>强化</w:t>
      </w:r>
      <w:r>
        <w:rPr>
          <w:rFonts w:hint="eastAsia" w:ascii="仿宋_GB2312" w:hAnsi="楷体" w:eastAsia="仿宋_GB2312"/>
          <w:sz w:val="32"/>
          <w:szCs w:val="32"/>
          <w:highlight w:val="none"/>
        </w:rPr>
        <w:t>与</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三城一区</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主平台联动，推动创新链产业链资金链人才链深度融合。</w:t>
      </w:r>
    </w:p>
    <w:p w14:paraId="77C02A21">
      <w:pPr>
        <w:spacing w:after="160" w:line="560" w:lineRule="exact"/>
        <w:ind w:firstLine="643" w:firstLineChars="200"/>
        <w:rPr>
          <w:rFonts w:hint="eastAsia" w:ascii="仿宋_GB2312" w:hAnsi="楷体" w:eastAsia="仿宋_GB2312"/>
          <w:sz w:val="32"/>
          <w:szCs w:val="32"/>
          <w:highlight w:val="none"/>
        </w:rPr>
      </w:pPr>
      <w:r>
        <w:rPr>
          <w:rFonts w:hint="eastAsia" w:ascii="仿宋_GB2312" w:hAnsi="楷体" w:eastAsia="仿宋_GB2312"/>
          <w:b/>
          <w:bCs/>
          <w:sz w:val="32"/>
          <w:szCs w:val="32"/>
          <w:highlight w:val="none"/>
        </w:rPr>
        <w:t>坚持高端引领、创新驱动。</w:t>
      </w:r>
      <w:r>
        <w:rPr>
          <w:rFonts w:hint="eastAsia" w:ascii="仿宋_GB2312" w:hAnsi="楷体" w:eastAsia="仿宋_GB2312"/>
          <w:sz w:val="32"/>
          <w:szCs w:val="32"/>
          <w:highlight w:val="none"/>
        </w:rPr>
        <w:t>以科技创新为引领，跨越发展优势主导产业，</w:t>
      </w:r>
      <w:r>
        <w:rPr>
          <w:rFonts w:hint="eastAsia" w:ascii="仿宋_GB2312" w:hAnsi="楷体" w:eastAsia="仿宋_GB2312"/>
          <w:sz w:val="32"/>
          <w:szCs w:val="32"/>
          <w:highlight w:val="none"/>
          <w:lang w:val="en-US" w:eastAsia="zh-CN"/>
        </w:rPr>
        <w:t>壮大</w:t>
      </w:r>
      <w:r>
        <w:rPr>
          <w:rFonts w:hint="eastAsia" w:ascii="仿宋_GB2312" w:hAnsi="楷体" w:eastAsia="仿宋_GB2312"/>
          <w:sz w:val="32"/>
          <w:szCs w:val="32"/>
          <w:highlight w:val="none"/>
        </w:rPr>
        <w:t>特色产业，超前布局未来产业，推动产业向高端化、智能化迈进，赋能新质生产力发展。</w:t>
      </w:r>
    </w:p>
    <w:p w14:paraId="221D38D7">
      <w:pPr>
        <w:spacing w:after="160" w:line="560" w:lineRule="exact"/>
        <w:ind w:firstLine="643" w:firstLineChars="200"/>
        <w:rPr>
          <w:rFonts w:hint="eastAsia" w:ascii="仿宋_GB2312" w:hAnsi="楷体" w:eastAsia="仿宋_GB2312"/>
          <w:sz w:val="32"/>
          <w:szCs w:val="32"/>
          <w:highlight w:val="none"/>
        </w:rPr>
      </w:pPr>
      <w:r>
        <w:rPr>
          <w:rFonts w:hint="eastAsia" w:ascii="仿宋_GB2312" w:hAnsi="楷体" w:eastAsia="仿宋_GB2312"/>
          <w:b/>
          <w:bCs/>
          <w:sz w:val="32"/>
          <w:szCs w:val="32"/>
          <w:highlight w:val="none"/>
        </w:rPr>
        <w:t>坚持空间聚集、集约高效。</w:t>
      </w:r>
      <w:r>
        <w:rPr>
          <w:rFonts w:hint="eastAsia" w:ascii="仿宋_GB2312" w:hAnsi="楷体" w:eastAsia="仿宋_GB2312"/>
          <w:b w:val="0"/>
          <w:bCs w:val="0"/>
          <w:sz w:val="32"/>
          <w:szCs w:val="32"/>
          <w:highlight w:val="none"/>
          <w:lang w:val="en-US" w:eastAsia="zh-CN"/>
        </w:rPr>
        <w:t>推动</w:t>
      </w:r>
      <w:r>
        <w:rPr>
          <w:rFonts w:hint="eastAsia" w:ascii="仿宋_GB2312" w:hAnsi="楷体" w:eastAsia="仿宋_GB2312"/>
          <w:sz w:val="32"/>
          <w:szCs w:val="32"/>
          <w:highlight w:val="none"/>
        </w:rPr>
        <w:t>产业功能集聚布局，持续提升空间承载力。积极推动低效用地盘活和存量空间更新，促进产业空间拓展与集约利用有机统一。</w:t>
      </w:r>
    </w:p>
    <w:p w14:paraId="2CFF3891">
      <w:pPr>
        <w:spacing w:after="160" w:line="560" w:lineRule="exact"/>
        <w:ind w:firstLine="643" w:firstLineChars="200"/>
        <w:rPr>
          <w:rFonts w:hint="eastAsia" w:ascii="仿宋_GB2312" w:hAnsi="楷体" w:eastAsia="仿宋_GB2312"/>
          <w:sz w:val="32"/>
          <w:szCs w:val="32"/>
          <w:highlight w:val="none"/>
        </w:rPr>
      </w:pPr>
      <w:r>
        <w:rPr>
          <w:rFonts w:hint="eastAsia" w:ascii="仿宋_GB2312" w:hAnsi="楷体" w:eastAsia="仿宋_GB2312"/>
          <w:b/>
          <w:bCs/>
          <w:sz w:val="32"/>
          <w:szCs w:val="32"/>
          <w:highlight w:val="none"/>
        </w:rPr>
        <w:t>坚持数字赋能、数实融合。</w:t>
      </w:r>
      <w:r>
        <w:rPr>
          <w:rFonts w:hint="eastAsia" w:ascii="仿宋_GB2312" w:hAnsi="楷体" w:eastAsia="仿宋_GB2312"/>
          <w:sz w:val="32"/>
          <w:szCs w:val="32"/>
          <w:highlight w:val="none"/>
        </w:rPr>
        <w:t>发挥人工智能</w:t>
      </w:r>
      <w:r>
        <w:rPr>
          <w:rFonts w:hint="eastAsia" w:ascii="仿宋_GB2312" w:hAnsi="楷体" w:eastAsia="仿宋_GB2312"/>
          <w:sz w:val="32"/>
          <w:szCs w:val="32"/>
          <w:highlight w:val="none"/>
          <w:lang w:val="en-US" w:eastAsia="zh-CN"/>
        </w:rPr>
        <w:t>引领带动</w:t>
      </w:r>
      <w:r>
        <w:rPr>
          <w:rFonts w:hint="eastAsia" w:ascii="仿宋_GB2312" w:hAnsi="楷体" w:eastAsia="仿宋_GB2312"/>
          <w:sz w:val="32"/>
          <w:szCs w:val="32"/>
          <w:highlight w:val="none"/>
        </w:rPr>
        <w:t>作用，</w:t>
      </w:r>
      <w:r>
        <w:rPr>
          <w:rFonts w:hint="eastAsia" w:ascii="仿宋_GB2312" w:hAnsi="楷体" w:eastAsia="仿宋_GB2312"/>
          <w:sz w:val="32"/>
          <w:szCs w:val="32"/>
          <w:highlight w:val="none"/>
          <w:lang w:eastAsia="zh-CN"/>
        </w:rPr>
        <w:t>促进数字经济和实体经济深度融合</w:t>
      </w:r>
      <w:r>
        <w:rPr>
          <w:rFonts w:hint="eastAsia" w:ascii="仿宋_GB2312" w:hAnsi="楷体" w:eastAsia="仿宋_GB2312"/>
          <w:sz w:val="32"/>
          <w:szCs w:val="32"/>
          <w:highlight w:val="none"/>
        </w:rPr>
        <w:t>，</w:t>
      </w:r>
      <w:r>
        <w:rPr>
          <w:rFonts w:hint="eastAsia" w:ascii="仿宋_GB2312" w:hAnsi="楷体" w:eastAsia="仿宋_GB2312"/>
          <w:sz w:val="32"/>
          <w:szCs w:val="32"/>
          <w:highlight w:val="none"/>
          <w:lang w:val="en-US" w:eastAsia="zh-CN"/>
        </w:rPr>
        <w:t>融入</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人工智能+</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行动，推动产业数字化、智能化转型，培育新产业新业态新模式。</w:t>
      </w:r>
    </w:p>
    <w:p w14:paraId="561A4587">
      <w:pPr>
        <w:spacing w:after="160" w:line="560" w:lineRule="exact"/>
        <w:ind w:firstLine="643" w:firstLineChars="200"/>
        <w:rPr>
          <w:rFonts w:hint="eastAsia" w:ascii="仿宋_GB2312" w:hAnsi="楷体" w:eastAsia="仿宋_GB2312"/>
          <w:sz w:val="32"/>
          <w:szCs w:val="32"/>
          <w:highlight w:val="none"/>
        </w:rPr>
      </w:pPr>
      <w:r>
        <w:rPr>
          <w:rFonts w:hint="eastAsia" w:ascii="仿宋_GB2312" w:hAnsi="楷体" w:eastAsia="仿宋_GB2312"/>
          <w:b/>
          <w:bCs/>
          <w:sz w:val="32"/>
          <w:szCs w:val="32"/>
          <w:highlight w:val="none"/>
        </w:rPr>
        <w:t>坚持资源整合、生态塑造。</w:t>
      </w:r>
      <w:r>
        <w:rPr>
          <w:rFonts w:hint="eastAsia" w:ascii="仿宋_GB2312" w:hAnsi="楷体" w:eastAsia="仿宋_GB2312"/>
          <w:sz w:val="32"/>
          <w:szCs w:val="32"/>
          <w:highlight w:val="none"/>
        </w:rPr>
        <w:t>促进科技</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产业、资本</w:t>
      </w:r>
      <w:r>
        <w:rPr>
          <w:rFonts w:hint="eastAsia" w:ascii="仿宋_GB2312" w:hAnsi="楷体" w:eastAsia="仿宋_GB2312"/>
          <w:sz w:val="32"/>
          <w:szCs w:val="32"/>
          <w:highlight w:val="none"/>
          <w:lang w:val="en-US" w:eastAsia="zh-CN"/>
        </w:rPr>
        <w:t>与</w:t>
      </w:r>
      <w:r>
        <w:rPr>
          <w:rFonts w:hint="eastAsia" w:ascii="仿宋_GB2312" w:hAnsi="楷体" w:eastAsia="仿宋_GB2312"/>
          <w:sz w:val="32"/>
          <w:szCs w:val="32"/>
          <w:highlight w:val="none"/>
        </w:rPr>
        <w:t>各类服务要素深度融合，打造</w:t>
      </w:r>
      <w:r>
        <w:rPr>
          <w:rFonts w:hint="eastAsia" w:ascii="仿宋_GB2312" w:hAnsi="楷体" w:eastAsia="仿宋_GB2312"/>
          <w:sz w:val="32"/>
          <w:szCs w:val="32"/>
          <w:highlight w:val="none"/>
          <w:lang w:val="en-US" w:eastAsia="zh-CN"/>
        </w:rPr>
        <w:t>集</w:t>
      </w:r>
      <w:r>
        <w:rPr>
          <w:rFonts w:hint="eastAsia" w:ascii="仿宋_GB2312" w:hAnsi="楷体" w:eastAsia="仿宋_GB2312"/>
          <w:sz w:val="32"/>
          <w:szCs w:val="32"/>
          <w:highlight w:val="none"/>
        </w:rPr>
        <w:t>一流营商环境、金融服务、人才支撑、成果转化和政策保障</w:t>
      </w:r>
      <w:r>
        <w:rPr>
          <w:rFonts w:hint="eastAsia" w:ascii="仿宋_GB2312" w:hAnsi="楷体" w:eastAsia="仿宋_GB2312"/>
          <w:sz w:val="32"/>
          <w:szCs w:val="32"/>
          <w:highlight w:val="none"/>
          <w:lang w:val="en-US" w:eastAsia="zh-CN"/>
        </w:rPr>
        <w:t>于一体</w:t>
      </w:r>
      <w:r>
        <w:rPr>
          <w:rFonts w:hint="eastAsia" w:ascii="仿宋_GB2312" w:hAnsi="楷体" w:eastAsia="仿宋_GB2312"/>
          <w:sz w:val="32"/>
          <w:szCs w:val="32"/>
          <w:highlight w:val="none"/>
        </w:rPr>
        <w:t>的优质</w:t>
      </w:r>
      <w:r>
        <w:rPr>
          <w:rFonts w:hint="eastAsia" w:ascii="仿宋_GB2312" w:hAnsi="楷体" w:eastAsia="仿宋_GB2312"/>
          <w:sz w:val="32"/>
          <w:szCs w:val="32"/>
          <w:highlight w:val="none"/>
          <w:lang w:val="en-US" w:eastAsia="zh-CN"/>
        </w:rPr>
        <w:t>创新</w:t>
      </w:r>
      <w:r>
        <w:rPr>
          <w:rFonts w:hint="eastAsia" w:ascii="仿宋_GB2312" w:hAnsi="楷体" w:eastAsia="仿宋_GB2312"/>
          <w:sz w:val="32"/>
          <w:szCs w:val="32"/>
          <w:highlight w:val="none"/>
        </w:rPr>
        <w:t>生态。</w:t>
      </w:r>
    </w:p>
    <w:p w14:paraId="17039D7E">
      <w:pPr>
        <w:spacing w:after="160" w:line="560" w:lineRule="exact"/>
        <w:ind w:firstLine="643" w:firstLineChars="200"/>
        <w:rPr>
          <w:rFonts w:hint="eastAsia" w:ascii="仿宋_GB2312" w:hAnsi="楷体" w:eastAsia="仿宋_GB2312"/>
          <w:sz w:val="32"/>
          <w:szCs w:val="32"/>
          <w:highlight w:val="none"/>
        </w:rPr>
      </w:pPr>
      <w:r>
        <w:rPr>
          <w:rFonts w:hint="eastAsia" w:ascii="仿宋_GB2312" w:hAnsi="楷体" w:eastAsia="仿宋_GB2312"/>
          <w:b/>
          <w:bCs/>
          <w:sz w:val="32"/>
          <w:szCs w:val="32"/>
          <w:highlight w:val="none"/>
        </w:rPr>
        <w:t>坚持绿色低碳、安全发展。</w:t>
      </w:r>
      <w:r>
        <w:rPr>
          <w:rFonts w:hint="eastAsia" w:ascii="仿宋_GB2312" w:hAnsi="楷体" w:eastAsia="仿宋_GB2312"/>
          <w:sz w:val="32"/>
          <w:szCs w:val="32"/>
          <w:highlight w:val="none"/>
        </w:rPr>
        <w:t>坚定不移走生态优先、节约集约、绿色低碳高质量发展道路。统筹</w:t>
      </w:r>
      <w:r>
        <w:rPr>
          <w:rFonts w:hint="eastAsia" w:ascii="仿宋_GB2312" w:hAnsi="楷体" w:eastAsia="仿宋_GB2312"/>
          <w:sz w:val="32"/>
          <w:szCs w:val="32"/>
          <w:highlight w:val="none"/>
          <w:lang w:eastAsia="zh-CN"/>
        </w:rPr>
        <w:t>高质量发展和高水平安全</w:t>
      </w:r>
      <w:r>
        <w:rPr>
          <w:rFonts w:hint="eastAsia" w:ascii="仿宋_GB2312" w:hAnsi="楷体" w:eastAsia="仿宋_GB2312"/>
          <w:sz w:val="32"/>
          <w:szCs w:val="32"/>
          <w:highlight w:val="none"/>
        </w:rPr>
        <w:t>，增强产业韧性，以高水平安全保障高质量发展。</w:t>
      </w:r>
    </w:p>
    <w:p w14:paraId="5CAA5F05">
      <w:pPr>
        <w:pStyle w:val="4"/>
        <w:spacing w:before="0" w:after="160" w:line="560" w:lineRule="exact"/>
        <w:ind w:firstLine="640" w:firstLineChars="200"/>
        <w:rPr>
          <w:rFonts w:hint="eastAsia" w:ascii="楷体_GB2312" w:hAnsi="楷体_GB2312" w:eastAsia="楷体_GB2312" w:cs="楷体_GB2312"/>
          <w:b w:val="0"/>
          <w:color w:val="191919"/>
          <w:highlight w:val="none"/>
          <w:shd w:val="clear" w:color="auto" w:fill="FFFFFF"/>
        </w:rPr>
      </w:pPr>
      <w:bookmarkStart w:id="110" w:name="_Toc14620"/>
      <w:bookmarkStart w:id="111" w:name="_Toc12843"/>
      <w:bookmarkStart w:id="112" w:name="_Toc26393"/>
      <w:bookmarkStart w:id="113" w:name="_Toc13100"/>
      <w:bookmarkStart w:id="114" w:name="_Toc29896"/>
      <w:bookmarkStart w:id="115" w:name="_Toc23587"/>
      <w:bookmarkStart w:id="116" w:name="_Toc14632"/>
      <w:bookmarkStart w:id="117" w:name="_Toc8221"/>
      <w:bookmarkStart w:id="118" w:name="_Toc10869"/>
      <w:bookmarkStart w:id="119" w:name="_Toc32094"/>
      <w:r>
        <w:rPr>
          <w:rFonts w:hint="eastAsia" w:ascii="楷体_GB2312" w:hAnsi="楷体_GB2312" w:eastAsia="楷体_GB2312" w:cs="楷体_GB2312"/>
          <w:b w:val="0"/>
          <w:color w:val="191919"/>
          <w:highlight w:val="none"/>
          <w:shd w:val="clear" w:color="auto" w:fill="FFFFFF"/>
          <w:lang w:eastAsia="zh-CN"/>
        </w:rPr>
        <w:t>（三）</w:t>
      </w:r>
      <w:r>
        <w:rPr>
          <w:rFonts w:hint="eastAsia" w:ascii="楷体_GB2312" w:hAnsi="楷体_GB2312" w:eastAsia="楷体_GB2312" w:cs="楷体_GB2312"/>
          <w:b w:val="0"/>
          <w:color w:val="191919"/>
          <w:highlight w:val="none"/>
          <w:shd w:val="clear" w:color="auto" w:fill="FFFFFF"/>
        </w:rPr>
        <w:t>发展目标</w:t>
      </w:r>
      <w:bookmarkEnd w:id="110"/>
      <w:bookmarkEnd w:id="111"/>
      <w:bookmarkEnd w:id="112"/>
      <w:bookmarkEnd w:id="113"/>
      <w:bookmarkEnd w:id="114"/>
      <w:bookmarkEnd w:id="115"/>
      <w:bookmarkEnd w:id="116"/>
      <w:bookmarkEnd w:id="117"/>
      <w:bookmarkEnd w:id="118"/>
      <w:bookmarkEnd w:id="119"/>
    </w:p>
    <w:p w14:paraId="70F1B590">
      <w:pPr>
        <w:spacing w:after="160" w:line="560" w:lineRule="exact"/>
        <w:ind w:firstLine="640" w:firstLineChars="200"/>
        <w:jc w:val="left"/>
        <w:rPr>
          <w:rFonts w:hint="eastAsia" w:ascii="仿宋_GB2312" w:hAnsi="楷体" w:eastAsia="仿宋_GB2312"/>
          <w:sz w:val="32"/>
          <w:szCs w:val="32"/>
          <w:highlight w:val="none"/>
          <w:lang w:eastAsia="zh-CN"/>
        </w:rPr>
      </w:pPr>
      <w:r>
        <w:rPr>
          <w:rFonts w:hint="eastAsia" w:ascii="仿宋_GB2312" w:hAnsi="楷体" w:eastAsia="仿宋_GB2312"/>
          <w:sz w:val="32"/>
          <w:szCs w:val="32"/>
          <w:highlight w:val="none"/>
        </w:rPr>
        <w:t>到2030年，</w:t>
      </w:r>
      <w:r>
        <w:rPr>
          <w:rFonts w:hint="eastAsia" w:ascii="仿宋_GB2312" w:hAnsi="楷体" w:eastAsia="仿宋_GB2312"/>
          <w:sz w:val="32"/>
          <w:szCs w:val="32"/>
          <w:highlight w:val="none"/>
          <w:lang w:val="en-US" w:eastAsia="zh-CN"/>
        </w:rPr>
        <w:t>中关村房山园</w:t>
      </w:r>
      <w:r>
        <w:rPr>
          <w:rFonts w:hint="eastAsia" w:ascii="仿宋_GB2312" w:hAnsi="楷体" w:eastAsia="仿宋_GB2312"/>
          <w:sz w:val="32"/>
          <w:szCs w:val="32"/>
          <w:highlight w:val="none"/>
        </w:rPr>
        <w:t>创新驱动</w:t>
      </w:r>
      <w:r>
        <w:rPr>
          <w:rFonts w:hint="eastAsia" w:ascii="仿宋_GB2312" w:hAnsi="楷体" w:eastAsia="仿宋_GB2312"/>
          <w:sz w:val="32"/>
          <w:szCs w:val="32"/>
          <w:highlight w:val="none"/>
          <w:lang w:val="en-US" w:eastAsia="zh-CN"/>
        </w:rPr>
        <w:t>产业发展</w:t>
      </w:r>
      <w:r>
        <w:rPr>
          <w:rFonts w:hint="eastAsia" w:ascii="仿宋_GB2312" w:hAnsi="楷体" w:eastAsia="仿宋_GB2312"/>
          <w:sz w:val="32"/>
          <w:szCs w:val="32"/>
          <w:highlight w:val="none"/>
        </w:rPr>
        <w:t>实现全面跃升，绿色能源产业产值年均增速</w:t>
      </w:r>
      <w:r>
        <w:rPr>
          <w:rFonts w:hint="eastAsia" w:ascii="仿宋_GB2312" w:hAnsi="楷体" w:eastAsia="仿宋_GB2312"/>
          <w:sz w:val="32"/>
          <w:szCs w:val="32"/>
          <w:highlight w:val="none"/>
          <w:lang w:val="en-US" w:eastAsia="zh-CN"/>
        </w:rPr>
        <w:t>达到21.4</w:t>
      </w:r>
      <w:r>
        <w:rPr>
          <w:rFonts w:hint="eastAsia" w:ascii="仿宋_GB2312" w:hAnsi="楷体" w:eastAsia="仿宋_GB2312"/>
          <w:sz w:val="32"/>
          <w:szCs w:val="32"/>
          <w:highlight w:val="none"/>
        </w:rPr>
        <w:t>%，绿色能源、新材料</w:t>
      </w:r>
      <w:r>
        <w:rPr>
          <w:rFonts w:hint="eastAsia" w:ascii="仿宋_GB2312" w:hAnsi="楷体" w:eastAsia="仿宋_GB2312"/>
          <w:sz w:val="32"/>
          <w:szCs w:val="32"/>
          <w:highlight w:val="none"/>
          <w:lang w:val="en-US" w:eastAsia="zh-CN"/>
        </w:rPr>
        <w:t>两</w:t>
      </w:r>
      <w:r>
        <w:rPr>
          <w:rFonts w:hint="eastAsia" w:ascii="仿宋_GB2312" w:hAnsi="楷体" w:eastAsia="仿宋_GB2312"/>
          <w:sz w:val="32"/>
          <w:szCs w:val="32"/>
          <w:highlight w:val="none"/>
        </w:rPr>
        <w:t>大主导产业引擎作用更加凸显，智能制造、智慧医工两大特色产业能级持续提升，产业空间集约高效利用效能显著增强，项目、人才、资本等高端要素加速</w:t>
      </w:r>
      <w:r>
        <w:rPr>
          <w:rFonts w:hint="eastAsia" w:ascii="仿宋_GB2312" w:hAnsi="楷体" w:eastAsia="仿宋_GB2312"/>
          <w:sz w:val="32"/>
          <w:szCs w:val="32"/>
          <w:highlight w:val="none"/>
          <w:lang w:val="en-US" w:eastAsia="zh-CN"/>
        </w:rPr>
        <w:t>聚集，</w:t>
      </w:r>
      <w:r>
        <w:rPr>
          <w:rFonts w:hint="eastAsia" w:ascii="仿宋_GB2312" w:hAnsi="楷体" w:eastAsia="仿宋_GB2312"/>
          <w:sz w:val="32"/>
          <w:szCs w:val="32"/>
          <w:highlight w:val="none"/>
        </w:rPr>
        <w:t>新质智造产业新城主承载区</w:t>
      </w:r>
      <w:r>
        <w:rPr>
          <w:rFonts w:hint="eastAsia" w:ascii="仿宋_GB2312" w:hAnsi="楷体" w:eastAsia="仿宋_GB2312"/>
          <w:sz w:val="32"/>
          <w:szCs w:val="32"/>
          <w:highlight w:val="none"/>
          <w:lang w:val="en-US" w:eastAsia="zh-CN"/>
        </w:rPr>
        <w:t>基本</w:t>
      </w:r>
      <w:r>
        <w:rPr>
          <w:rFonts w:hint="eastAsia" w:ascii="仿宋_GB2312" w:hAnsi="楷体" w:eastAsia="仿宋_GB2312"/>
          <w:sz w:val="32"/>
          <w:szCs w:val="32"/>
          <w:highlight w:val="none"/>
        </w:rPr>
        <w:t>建成</w:t>
      </w:r>
      <w:r>
        <w:rPr>
          <w:rFonts w:hint="eastAsia" w:ascii="仿宋_GB2312" w:hAnsi="楷体" w:eastAsia="仿宋_GB2312"/>
          <w:sz w:val="32"/>
          <w:szCs w:val="32"/>
          <w:highlight w:val="none"/>
          <w:lang w:eastAsia="zh-CN"/>
        </w:rPr>
        <w:t>。</w:t>
      </w:r>
    </w:p>
    <w:p w14:paraId="30F998A2">
      <w:pPr>
        <w:spacing w:after="160" w:line="560" w:lineRule="exact"/>
        <w:ind w:firstLine="640" w:firstLineChars="200"/>
        <w:rPr>
          <w:rFonts w:hint="eastAsia" w:ascii="仿宋_GB2312" w:hAnsi="楷体" w:eastAsia="仿宋_GB2312"/>
          <w:sz w:val="32"/>
          <w:szCs w:val="32"/>
          <w:highlight w:val="none"/>
          <w:lang w:eastAsia="zh-CN"/>
        </w:rPr>
      </w:pPr>
    </w:p>
    <w:p w14:paraId="57A9D408">
      <w:pPr>
        <w:spacing w:line="560" w:lineRule="exact"/>
        <w:ind w:firstLine="640" w:firstLineChars="200"/>
        <w:rPr>
          <w:rFonts w:hint="eastAsia" w:ascii="仿宋_GB2312" w:hAnsi="仿宋_GB2312" w:eastAsia="仿宋_GB2312" w:cs="仿宋_GB2312"/>
          <w:color w:val="auto"/>
          <w:sz w:val="32"/>
          <w:szCs w:val="32"/>
          <w:highlight w:val="none"/>
        </w:rPr>
        <w:sectPr>
          <w:pgSz w:w="11906" w:h="16838"/>
          <w:pgMar w:top="1440" w:right="1800" w:bottom="1440" w:left="1800" w:header="851" w:footer="992" w:gutter="0"/>
          <w:pgNumType w:fmt="decimal"/>
          <w:cols w:space="425" w:num="1"/>
          <w:docGrid w:type="lines" w:linePitch="312" w:charSpace="0"/>
        </w:sectPr>
      </w:pPr>
    </w:p>
    <w:p w14:paraId="2938177E">
      <w:pPr>
        <w:pStyle w:val="3"/>
        <w:keepNext w:val="0"/>
        <w:keepLines w:val="0"/>
        <w:spacing w:after="160"/>
        <w:ind w:firstLine="640"/>
        <w:rPr>
          <w:rFonts w:hint="eastAsia" w:ascii="黑体" w:hAnsi="黑体"/>
          <w:szCs w:val="32"/>
          <w:highlight w:val="none"/>
        </w:rPr>
      </w:pPr>
      <w:bookmarkStart w:id="120" w:name="_Toc10507"/>
      <w:bookmarkStart w:id="121" w:name="_Toc21194"/>
      <w:bookmarkStart w:id="122" w:name="_Toc2287"/>
      <w:bookmarkStart w:id="123" w:name="_Toc12437"/>
      <w:bookmarkStart w:id="124" w:name="_Toc1974"/>
      <w:bookmarkStart w:id="125" w:name="_Toc19991"/>
      <w:bookmarkStart w:id="126" w:name="_Toc14726"/>
      <w:bookmarkStart w:id="127" w:name="_Toc3467"/>
      <w:bookmarkStart w:id="128" w:name="_Toc18738"/>
      <w:bookmarkStart w:id="129" w:name="_Toc12565"/>
      <w:r>
        <w:rPr>
          <w:rFonts w:hint="eastAsia" w:ascii="黑体" w:hAnsi="黑体"/>
          <w:szCs w:val="32"/>
          <w:highlight w:val="none"/>
        </w:rPr>
        <w:t>三</w:t>
      </w:r>
      <w:r>
        <w:rPr>
          <w:rFonts w:hint="eastAsia" w:ascii="黑体" w:hAnsi="黑体"/>
          <w:szCs w:val="32"/>
          <w:highlight w:val="none"/>
          <w:lang w:eastAsia="zh-CN"/>
        </w:rPr>
        <w:t>、</w:t>
      </w:r>
      <w:r>
        <w:rPr>
          <w:rFonts w:hint="eastAsia" w:ascii="黑体" w:hAnsi="黑体"/>
          <w:szCs w:val="32"/>
          <w:highlight w:val="none"/>
        </w:rPr>
        <w:t>重点任务</w:t>
      </w:r>
      <w:bookmarkEnd w:id="120"/>
      <w:bookmarkEnd w:id="121"/>
      <w:bookmarkEnd w:id="122"/>
      <w:bookmarkEnd w:id="123"/>
      <w:bookmarkEnd w:id="124"/>
      <w:bookmarkEnd w:id="125"/>
      <w:bookmarkEnd w:id="126"/>
      <w:bookmarkEnd w:id="127"/>
      <w:bookmarkEnd w:id="128"/>
      <w:bookmarkEnd w:id="129"/>
    </w:p>
    <w:p w14:paraId="67E9F56B">
      <w:pPr>
        <w:pStyle w:val="4"/>
        <w:spacing w:before="0" w:after="160" w:line="560" w:lineRule="exact"/>
        <w:ind w:firstLine="640" w:firstLineChars="200"/>
        <w:rPr>
          <w:rFonts w:hint="eastAsia" w:ascii="楷体_GB2312" w:hAnsi="楷体_GB2312" w:eastAsia="楷体_GB2312" w:cs="楷体_GB2312"/>
          <w:b w:val="0"/>
          <w:color w:val="191919"/>
          <w:highlight w:val="none"/>
          <w:shd w:val="clear" w:color="auto" w:fill="FFFFFF"/>
        </w:rPr>
      </w:pPr>
      <w:bookmarkStart w:id="130" w:name="_Toc32469"/>
      <w:bookmarkStart w:id="131" w:name="_Toc2411"/>
      <w:bookmarkStart w:id="132" w:name="_Toc17150"/>
      <w:bookmarkStart w:id="133" w:name="_Toc26270"/>
      <w:bookmarkStart w:id="134" w:name="_Toc24691"/>
      <w:bookmarkStart w:id="135" w:name="_Toc16520"/>
      <w:bookmarkStart w:id="136" w:name="_Toc15560"/>
      <w:bookmarkStart w:id="137" w:name="_Toc25209"/>
      <w:bookmarkStart w:id="138" w:name="_Toc14302"/>
      <w:bookmarkStart w:id="139" w:name="_Toc10132"/>
      <w:r>
        <w:rPr>
          <w:rFonts w:hint="eastAsia" w:ascii="楷体_GB2312" w:hAnsi="楷体_GB2312" w:eastAsia="楷体_GB2312" w:cs="楷体_GB2312"/>
          <w:b w:val="0"/>
          <w:color w:val="191919"/>
          <w:highlight w:val="none"/>
          <w:shd w:val="clear" w:color="auto" w:fill="FFFFFF"/>
          <w:lang w:eastAsia="zh-CN"/>
        </w:rPr>
        <w:t>（一）</w:t>
      </w:r>
      <w:r>
        <w:rPr>
          <w:rFonts w:hint="eastAsia" w:ascii="楷体_GB2312" w:hAnsi="楷体_GB2312" w:eastAsia="楷体_GB2312" w:cs="楷体_GB2312"/>
          <w:b w:val="0"/>
          <w:color w:val="191919"/>
          <w:highlight w:val="none"/>
          <w:shd w:val="clear" w:color="auto" w:fill="FFFFFF"/>
        </w:rPr>
        <w:t>构建</w:t>
      </w:r>
      <w:r>
        <w:rPr>
          <w:rFonts w:hint="eastAsia" w:ascii="楷体_GB2312" w:hAnsi="楷体_GB2312" w:eastAsia="楷体_GB2312" w:cs="楷体_GB2312"/>
          <w:b w:val="0"/>
          <w:color w:val="191919"/>
          <w:highlight w:val="none"/>
          <w:shd w:val="clear" w:color="auto" w:fill="FFFFFF"/>
          <w:lang w:eastAsia="zh-CN"/>
        </w:rPr>
        <w:t>“</w:t>
      </w:r>
      <w:r>
        <w:rPr>
          <w:rFonts w:hint="eastAsia" w:ascii="楷体_GB2312" w:hAnsi="楷体_GB2312" w:eastAsia="楷体_GB2312" w:cs="楷体_GB2312"/>
          <w:b w:val="0"/>
          <w:color w:val="191919"/>
          <w:highlight w:val="none"/>
          <w:shd w:val="clear" w:color="auto" w:fill="FFFFFF"/>
        </w:rPr>
        <w:t>2+2</w:t>
      </w:r>
      <w:r>
        <w:rPr>
          <w:rFonts w:hint="eastAsia" w:ascii="楷体_GB2312" w:hAnsi="楷体_GB2312" w:eastAsia="楷体_GB2312" w:cs="楷体_GB2312"/>
          <w:b w:val="0"/>
          <w:color w:val="191919"/>
          <w:highlight w:val="none"/>
          <w:shd w:val="clear" w:color="auto" w:fill="FFFFFF"/>
          <w:lang w:eastAsia="zh-CN"/>
        </w:rPr>
        <w:t>”</w:t>
      </w:r>
      <w:r>
        <w:rPr>
          <w:rFonts w:hint="eastAsia" w:ascii="楷体_GB2312" w:hAnsi="楷体_GB2312" w:eastAsia="楷体_GB2312" w:cs="楷体_GB2312"/>
          <w:b w:val="0"/>
          <w:color w:val="191919"/>
          <w:highlight w:val="none"/>
          <w:shd w:val="clear" w:color="auto" w:fill="FFFFFF"/>
        </w:rPr>
        <w:t>现代产业体系</w:t>
      </w:r>
      <w:bookmarkEnd w:id="130"/>
      <w:bookmarkEnd w:id="131"/>
      <w:bookmarkEnd w:id="132"/>
      <w:bookmarkEnd w:id="133"/>
      <w:bookmarkEnd w:id="134"/>
      <w:bookmarkEnd w:id="135"/>
      <w:bookmarkEnd w:id="136"/>
      <w:bookmarkEnd w:id="137"/>
      <w:bookmarkEnd w:id="138"/>
      <w:bookmarkEnd w:id="139"/>
    </w:p>
    <w:p w14:paraId="5B9BF994">
      <w:pPr>
        <w:spacing w:after="160" w:line="560" w:lineRule="exact"/>
        <w:ind w:firstLine="643" w:firstLineChars="200"/>
        <w:rPr>
          <w:rFonts w:hint="eastAsia" w:ascii="仿宋_GB2312" w:hAnsi="楷体" w:eastAsia="仿宋_GB2312"/>
          <w:sz w:val="32"/>
          <w:szCs w:val="32"/>
          <w:highlight w:val="none"/>
        </w:rPr>
      </w:pPr>
      <w:bookmarkStart w:id="140" w:name="_Toc5986"/>
      <w:bookmarkStart w:id="141" w:name="_Toc16017"/>
      <w:bookmarkStart w:id="142" w:name="_Toc2542"/>
      <w:bookmarkStart w:id="143" w:name="_Toc4429"/>
      <w:bookmarkStart w:id="144" w:name="_Toc29014"/>
      <w:bookmarkStart w:id="145" w:name="_Toc14067"/>
      <w:bookmarkStart w:id="146" w:name="_Toc15092"/>
      <w:bookmarkStart w:id="147" w:name="_Toc18621"/>
      <w:bookmarkStart w:id="148" w:name="_Toc13025"/>
      <w:r>
        <w:rPr>
          <w:rFonts w:hint="eastAsia" w:ascii="仿宋_GB2312" w:hAnsi="楷体" w:eastAsia="仿宋_GB2312"/>
          <w:b/>
          <w:bCs/>
          <w:sz w:val="32"/>
          <w:szCs w:val="32"/>
          <w:highlight w:val="none"/>
        </w:rPr>
        <w:t>推动绿色能源产业集群跨越发展</w:t>
      </w:r>
      <w:bookmarkEnd w:id="140"/>
      <w:bookmarkEnd w:id="141"/>
      <w:bookmarkEnd w:id="142"/>
      <w:bookmarkEnd w:id="143"/>
      <w:bookmarkEnd w:id="144"/>
      <w:bookmarkEnd w:id="145"/>
      <w:bookmarkEnd w:id="146"/>
      <w:bookmarkStart w:id="149" w:name="_Toc4975"/>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rPr>
        <w:t>以提升产业能级为目标</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以新型储能为特色、以氢能全链条创新为突破，着力构建自主可控、具有强大竞争力的绿色能源产业链，打造绿色能源先导区，形成高效的集群集聚效应。加快新型储能产业示范区、新型储能电站应用示范区建设，做</w:t>
      </w:r>
      <w:r>
        <w:rPr>
          <w:rFonts w:hint="eastAsia" w:ascii="仿宋_GB2312" w:hAnsi="楷体" w:eastAsia="仿宋_GB2312"/>
          <w:sz w:val="32"/>
          <w:szCs w:val="32"/>
          <w:highlight w:val="none"/>
          <w:lang w:val="en-US" w:eastAsia="zh-CN"/>
        </w:rPr>
        <w:t>强</w:t>
      </w:r>
      <w:r>
        <w:rPr>
          <w:rFonts w:hint="eastAsia" w:ascii="仿宋_GB2312" w:hAnsi="楷体" w:eastAsia="仿宋_GB2312"/>
          <w:sz w:val="32"/>
          <w:szCs w:val="32"/>
          <w:highlight w:val="none"/>
        </w:rPr>
        <w:t>中关村氢能硬科技孵化平台。紧密依托新型储能链主企业，集中力量</w:t>
      </w:r>
      <w:r>
        <w:rPr>
          <w:rFonts w:hint="eastAsia" w:ascii="仿宋_GB2312" w:hAnsi="楷体" w:eastAsia="仿宋_GB2312"/>
          <w:sz w:val="32"/>
          <w:szCs w:val="32"/>
          <w:highlight w:val="none"/>
          <w:lang w:val="en-US" w:eastAsia="zh-CN"/>
        </w:rPr>
        <w:t>突破</w:t>
      </w:r>
      <w:r>
        <w:rPr>
          <w:rFonts w:hint="eastAsia" w:ascii="仿宋_GB2312" w:hAnsi="楷体" w:eastAsia="仿宋_GB2312"/>
          <w:sz w:val="32"/>
          <w:szCs w:val="32"/>
          <w:highlight w:val="none"/>
        </w:rPr>
        <w:t>新型储能核心技术，培育引进一批储能系统集成优质企业。</w:t>
      </w:r>
      <w:r>
        <w:rPr>
          <w:rFonts w:hint="eastAsia" w:ascii="仿宋_GB2312" w:hAnsi="楷体" w:eastAsia="仿宋_GB2312"/>
          <w:sz w:val="32"/>
          <w:szCs w:val="32"/>
          <w:highlight w:val="none"/>
          <w:lang w:val="en-US" w:eastAsia="zh-CN"/>
        </w:rPr>
        <w:t>助推</w:t>
      </w:r>
      <w:r>
        <w:rPr>
          <w:rFonts w:hint="eastAsia" w:ascii="仿宋_GB2312" w:hAnsi="楷体" w:eastAsia="仿宋_GB2312"/>
          <w:sz w:val="32"/>
          <w:szCs w:val="32"/>
          <w:highlight w:val="none"/>
        </w:rPr>
        <w:t>燕山石化转型，利用转型腾退土地规划建设绿色能源新材料中试基地，</w:t>
      </w:r>
      <w:r>
        <w:rPr>
          <w:rFonts w:hint="eastAsia" w:ascii="仿宋_GB2312" w:hAnsi="楷体" w:eastAsia="仿宋_GB2312"/>
          <w:sz w:val="32"/>
          <w:szCs w:val="32"/>
          <w:highlight w:val="none"/>
          <w:lang w:val="en-US" w:eastAsia="zh-CN"/>
        </w:rPr>
        <w:t>培育</w:t>
      </w:r>
      <w:r>
        <w:rPr>
          <w:rFonts w:hint="eastAsia" w:ascii="仿宋_GB2312" w:hAnsi="楷体" w:eastAsia="仿宋_GB2312"/>
          <w:sz w:val="32"/>
          <w:szCs w:val="32"/>
          <w:highlight w:val="none"/>
        </w:rPr>
        <w:t>氢能、膜材料等新产业。</w:t>
      </w:r>
      <w:bookmarkEnd w:id="149"/>
      <w:r>
        <w:rPr>
          <w:rFonts w:hint="eastAsia" w:ascii="仿宋_GB2312" w:hAnsi="楷体" w:eastAsia="仿宋_GB2312"/>
          <w:sz w:val="32"/>
          <w:szCs w:val="32"/>
          <w:highlight w:val="none"/>
        </w:rPr>
        <w:t>壮大新能源汽车产业发展</w:t>
      </w:r>
      <w:r>
        <w:rPr>
          <w:rFonts w:hint="eastAsia" w:ascii="仿宋_GB2312" w:hAnsi="楷体" w:eastAsia="仿宋_GB2312"/>
          <w:sz w:val="32"/>
          <w:szCs w:val="32"/>
          <w:highlight w:val="none"/>
          <w:lang w:eastAsia="zh-CN"/>
        </w:rPr>
        <w:t>，打通“研发—小试—中试—量产”</w:t>
      </w:r>
      <w:r>
        <w:rPr>
          <w:rFonts w:hint="eastAsia" w:ascii="仿宋_GB2312" w:hAnsi="楷体" w:eastAsia="仿宋_GB2312"/>
          <w:sz w:val="32"/>
          <w:szCs w:val="32"/>
          <w:highlight w:val="none"/>
          <w:lang w:val="en-US" w:eastAsia="zh-CN"/>
        </w:rPr>
        <w:t>转化</w:t>
      </w:r>
      <w:r>
        <w:rPr>
          <w:rFonts w:hint="eastAsia" w:ascii="仿宋_GB2312" w:hAnsi="楷体" w:eastAsia="仿宋_GB2312"/>
          <w:sz w:val="32"/>
          <w:szCs w:val="32"/>
          <w:highlight w:val="none"/>
          <w:lang w:eastAsia="zh-CN"/>
        </w:rPr>
        <w:t>通道，加速科技成果落地。</w:t>
      </w:r>
      <w:r>
        <w:rPr>
          <w:rFonts w:hint="eastAsia" w:ascii="仿宋_GB2312" w:hAnsi="楷体" w:eastAsia="仿宋_GB2312"/>
          <w:sz w:val="32"/>
          <w:szCs w:val="32"/>
          <w:highlight w:val="none"/>
          <w:lang w:val="en-US" w:eastAsia="zh-CN"/>
        </w:rPr>
        <w:t>发挥中关村（房山）高精尖产业投资基金、</w:t>
      </w:r>
      <w:r>
        <w:rPr>
          <w:rFonts w:hint="eastAsia" w:ascii="仿宋_GB2312" w:hAnsi="楷体" w:eastAsia="仿宋_GB2312"/>
          <w:sz w:val="32"/>
          <w:szCs w:val="32"/>
          <w:highlight w:val="none"/>
          <w:lang w:eastAsia="zh-CN"/>
        </w:rPr>
        <w:t>房山北汽产投绿色能源基金</w:t>
      </w:r>
      <w:r>
        <w:rPr>
          <w:rFonts w:hint="eastAsia" w:ascii="仿宋_GB2312" w:hAnsi="楷体" w:eastAsia="仿宋_GB2312"/>
          <w:sz w:val="32"/>
          <w:szCs w:val="32"/>
          <w:highlight w:val="none"/>
        </w:rPr>
        <w:t>引领带动作用</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引导</w:t>
      </w:r>
      <w:r>
        <w:rPr>
          <w:rFonts w:hint="eastAsia" w:ascii="仿宋_GB2312" w:hAnsi="楷体" w:eastAsia="仿宋_GB2312"/>
          <w:sz w:val="32"/>
          <w:szCs w:val="32"/>
          <w:highlight w:val="none"/>
        </w:rPr>
        <w:t>社会资本</w:t>
      </w:r>
      <w:r>
        <w:rPr>
          <w:rFonts w:hint="eastAsia" w:ascii="仿宋_GB2312" w:hAnsi="楷体" w:eastAsia="仿宋_GB2312"/>
          <w:sz w:val="32"/>
          <w:szCs w:val="32"/>
          <w:highlight w:val="none"/>
          <w:lang w:val="en-US" w:eastAsia="zh-CN"/>
        </w:rPr>
        <w:t>向绿色能源产业集聚</w:t>
      </w:r>
      <w:r>
        <w:rPr>
          <w:rFonts w:hint="eastAsia" w:ascii="仿宋_GB2312" w:hAnsi="楷体" w:eastAsia="仿宋_GB2312"/>
          <w:sz w:val="32"/>
          <w:szCs w:val="32"/>
          <w:highlight w:val="none"/>
        </w:rPr>
        <w:t>。积极培育布局未来产业，</w:t>
      </w:r>
      <w:r>
        <w:rPr>
          <w:rFonts w:hint="eastAsia" w:ascii="仿宋_GB2312" w:hAnsi="楷体" w:eastAsia="仿宋_GB2312"/>
          <w:sz w:val="32"/>
          <w:szCs w:val="32"/>
          <w:highlight w:val="none"/>
          <w:lang w:val="en-US" w:eastAsia="zh-CN"/>
        </w:rPr>
        <w:t>依托</w:t>
      </w:r>
      <w:r>
        <w:rPr>
          <w:rFonts w:hint="eastAsia" w:ascii="仿宋_GB2312" w:hAnsi="楷体" w:eastAsia="仿宋_GB2312"/>
          <w:sz w:val="32"/>
          <w:szCs w:val="32"/>
          <w:highlight w:val="none"/>
        </w:rPr>
        <w:t>全国高校绿色能源区域技术转移转化中心（北京），围绕新型能源建设需求，加快先进储能、材料和装备研发，</w:t>
      </w:r>
      <w:r>
        <w:rPr>
          <w:rFonts w:hint="eastAsia" w:ascii="仿宋_GB2312" w:hAnsi="楷体" w:eastAsia="仿宋_GB2312"/>
          <w:sz w:val="32"/>
          <w:szCs w:val="32"/>
          <w:highlight w:val="none"/>
          <w:lang w:val="en-US" w:eastAsia="zh-CN"/>
        </w:rPr>
        <w:t>推进</w:t>
      </w:r>
      <w:r>
        <w:rPr>
          <w:rFonts w:hint="eastAsia" w:ascii="仿宋_GB2312" w:hAnsi="楷体" w:eastAsia="仿宋_GB2312"/>
          <w:sz w:val="32"/>
          <w:szCs w:val="32"/>
          <w:highlight w:val="none"/>
        </w:rPr>
        <w:t>全固态锂电池、新型液流电池、先进压缩空气储能等关键核心技术及系统集成技术</w:t>
      </w:r>
      <w:r>
        <w:rPr>
          <w:rFonts w:hint="eastAsia" w:ascii="仿宋_GB2312" w:hAnsi="楷体" w:eastAsia="仿宋_GB2312"/>
          <w:sz w:val="32"/>
          <w:szCs w:val="32"/>
          <w:highlight w:val="none"/>
          <w:lang w:val="en-US" w:eastAsia="zh-CN"/>
        </w:rPr>
        <w:t>攻关</w:t>
      </w:r>
      <w:r>
        <w:rPr>
          <w:rFonts w:hint="eastAsia" w:ascii="仿宋_GB2312" w:hAnsi="楷体" w:eastAsia="仿宋_GB2312"/>
          <w:sz w:val="32"/>
          <w:szCs w:val="32"/>
          <w:highlight w:val="none"/>
        </w:rPr>
        <w:t>，推动场景推广和商业化应用。</w:t>
      </w:r>
    </w:p>
    <w:p w14:paraId="506FC10E">
      <w:pPr>
        <w:spacing w:after="160" w:line="560" w:lineRule="exact"/>
        <w:ind w:firstLine="643" w:firstLineChars="200"/>
        <w:rPr>
          <w:rFonts w:hint="eastAsia" w:ascii="仿宋_GB2312" w:hAnsi="楷体" w:eastAsia="仿宋_GB2312"/>
          <w:sz w:val="32"/>
          <w:szCs w:val="32"/>
          <w:highlight w:val="none"/>
        </w:rPr>
      </w:pPr>
      <w:bookmarkStart w:id="150" w:name="_Toc1387"/>
      <w:r>
        <w:rPr>
          <w:rFonts w:hint="eastAsia" w:ascii="仿宋_GB2312" w:hAnsi="楷体" w:eastAsia="仿宋_GB2312"/>
          <w:b/>
          <w:bCs/>
          <w:sz w:val="32"/>
          <w:szCs w:val="32"/>
          <w:highlight w:val="none"/>
        </w:rPr>
        <w:t>促进新材料产业集群高端化发展</w:t>
      </w:r>
      <w:bookmarkEnd w:id="150"/>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rPr>
        <w:t>聚焦以石墨烯材料为核心的前沿新材料产业</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以高分子复合材料为核心的先进基础材料产业</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以新型能源材料</w:t>
      </w:r>
      <w:r>
        <w:rPr>
          <w:rFonts w:hint="eastAsia" w:ascii="仿宋_GB2312" w:hAnsi="楷体" w:eastAsia="仿宋_GB2312"/>
          <w:sz w:val="32"/>
          <w:szCs w:val="32"/>
          <w:highlight w:val="none"/>
          <w:lang w:val="en-US" w:eastAsia="zh-CN"/>
        </w:rPr>
        <w:t>等</w:t>
      </w:r>
      <w:r>
        <w:rPr>
          <w:rFonts w:hint="eastAsia" w:ascii="仿宋_GB2312" w:hAnsi="楷体" w:eastAsia="仿宋_GB2312"/>
          <w:sz w:val="32"/>
          <w:szCs w:val="32"/>
          <w:highlight w:val="none"/>
        </w:rPr>
        <w:t>为核心的关键战略材料产业</w:t>
      </w:r>
      <w:r>
        <w:rPr>
          <w:rFonts w:hint="eastAsia" w:ascii="仿宋_GB2312" w:hAnsi="楷体" w:eastAsia="仿宋_GB2312"/>
          <w:sz w:val="32"/>
          <w:szCs w:val="32"/>
          <w:highlight w:val="none"/>
          <w:lang w:val="en-US" w:eastAsia="zh-CN"/>
        </w:rPr>
        <w:t>三大主攻方向，打造</w:t>
      </w:r>
      <w:r>
        <w:rPr>
          <w:rFonts w:hint="eastAsia" w:ascii="仿宋_GB2312" w:hAnsi="楷体" w:eastAsia="仿宋_GB2312"/>
          <w:sz w:val="32"/>
          <w:szCs w:val="32"/>
          <w:highlight w:val="none"/>
        </w:rPr>
        <w:t>具有国际竞争力的新材料产业集群。</w:t>
      </w:r>
      <w:r>
        <w:rPr>
          <w:rFonts w:hint="eastAsia" w:ascii="仿宋_GB2312" w:hAnsi="楷体" w:eastAsia="仿宋_GB2312"/>
          <w:sz w:val="32"/>
          <w:szCs w:val="32"/>
          <w:highlight w:val="none"/>
          <w:lang w:val="en-US" w:eastAsia="zh-CN"/>
        </w:rPr>
        <w:t>强化石墨烯等前沿新材料产业培育，</w:t>
      </w:r>
      <w:r>
        <w:rPr>
          <w:rFonts w:hint="eastAsia" w:ascii="仿宋_GB2312" w:hAnsi="楷体" w:eastAsia="仿宋_GB2312"/>
          <w:sz w:val="32"/>
          <w:szCs w:val="32"/>
          <w:highlight w:val="none"/>
        </w:rPr>
        <w:t>依托北京石墨烯产业创新中心种子企业孵化园</w:t>
      </w:r>
      <w:r>
        <w:rPr>
          <w:rFonts w:hint="eastAsia" w:ascii="仿宋_GB2312" w:hAnsi="楷体" w:eastAsia="仿宋_GB2312"/>
          <w:sz w:val="32"/>
          <w:szCs w:val="32"/>
          <w:highlight w:val="none"/>
          <w:lang w:val="en-US" w:eastAsia="zh-CN"/>
        </w:rPr>
        <w:t>和</w:t>
      </w:r>
      <w:r>
        <w:rPr>
          <w:rFonts w:hint="eastAsia" w:ascii="仿宋_GB2312" w:hAnsi="楷体" w:eastAsia="仿宋_GB2312"/>
          <w:sz w:val="32"/>
          <w:szCs w:val="32"/>
          <w:highlight w:val="none"/>
        </w:rPr>
        <w:t>北京石墨烯产业创新中心，</w:t>
      </w:r>
      <w:r>
        <w:rPr>
          <w:rFonts w:hint="eastAsia" w:ascii="仿宋_GB2312" w:hAnsi="楷体" w:eastAsia="仿宋_GB2312"/>
          <w:sz w:val="32"/>
          <w:szCs w:val="32"/>
          <w:highlight w:val="none"/>
          <w:lang w:val="en-US" w:eastAsia="zh-CN"/>
        </w:rPr>
        <w:t>高水平</w:t>
      </w:r>
      <w:r>
        <w:rPr>
          <w:rFonts w:hint="eastAsia" w:ascii="仿宋_GB2312" w:hAnsi="楷体" w:eastAsia="仿宋_GB2312"/>
          <w:sz w:val="32"/>
          <w:szCs w:val="32"/>
          <w:highlight w:val="none"/>
        </w:rPr>
        <w:t>办好北京新材料大会暨京津冀石墨烯大会，</w:t>
      </w:r>
      <w:r>
        <w:rPr>
          <w:rFonts w:hint="eastAsia" w:ascii="仿宋_GB2312" w:hAnsi="楷体" w:eastAsia="仿宋_GB2312"/>
          <w:sz w:val="32"/>
          <w:szCs w:val="32"/>
          <w:highlight w:val="none"/>
          <w:lang w:val="en-US" w:eastAsia="zh-CN"/>
        </w:rPr>
        <w:t>推动</w:t>
      </w:r>
      <w:r>
        <w:rPr>
          <w:rFonts w:hint="eastAsia" w:ascii="仿宋_GB2312" w:hAnsi="楷体" w:eastAsia="仿宋_GB2312"/>
          <w:sz w:val="32"/>
          <w:szCs w:val="32"/>
          <w:highlight w:val="none"/>
        </w:rPr>
        <w:t>北京市新能源汽车石墨烯技术概念验证平台落地</w:t>
      </w:r>
      <w:r>
        <w:rPr>
          <w:rFonts w:hint="eastAsia" w:ascii="仿宋_GB2312" w:hAnsi="楷体" w:eastAsia="仿宋_GB2312"/>
          <w:sz w:val="32"/>
          <w:szCs w:val="32"/>
          <w:highlight w:val="none"/>
          <w:lang w:val="en-US" w:eastAsia="zh-CN"/>
        </w:rPr>
        <w:t>运营</w:t>
      </w:r>
      <w:r>
        <w:rPr>
          <w:rFonts w:hint="eastAsia" w:ascii="仿宋_GB2312" w:hAnsi="楷体" w:eastAsia="仿宋_GB2312"/>
          <w:sz w:val="32"/>
          <w:szCs w:val="32"/>
          <w:highlight w:val="none"/>
        </w:rPr>
        <w:t>，加速石墨烯终端产品开发</w:t>
      </w:r>
      <w:r>
        <w:rPr>
          <w:rFonts w:hint="eastAsia" w:ascii="仿宋_GB2312" w:hAnsi="楷体" w:eastAsia="仿宋_GB2312"/>
          <w:sz w:val="32"/>
          <w:szCs w:val="32"/>
          <w:highlight w:val="none"/>
          <w:lang w:val="en-US" w:eastAsia="zh-CN"/>
        </w:rPr>
        <w:t>与规模化量产</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引导行业领军企业前瞻布局3D打印材料、超导材料、量子材料等领域产业化应用项目，构建新材料产业创新生态</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聚焦</w:t>
      </w:r>
      <w:r>
        <w:rPr>
          <w:rFonts w:hint="eastAsia" w:ascii="仿宋_GB2312" w:hAnsi="楷体" w:eastAsia="仿宋_GB2312"/>
          <w:sz w:val="32"/>
          <w:szCs w:val="32"/>
          <w:highlight w:val="none"/>
        </w:rPr>
        <w:t>“AI+新材料”结构验证和性能检测平台</w:t>
      </w:r>
      <w:r>
        <w:rPr>
          <w:rFonts w:hint="eastAsia" w:ascii="仿宋_GB2312" w:hAnsi="楷体" w:eastAsia="仿宋_GB2312"/>
          <w:sz w:val="32"/>
          <w:szCs w:val="32"/>
          <w:highlight w:val="none"/>
          <w:lang w:val="en-US" w:eastAsia="zh-CN"/>
        </w:rPr>
        <w:t>建设</w:t>
      </w:r>
      <w:r>
        <w:rPr>
          <w:rFonts w:hint="eastAsia" w:ascii="仿宋_GB2312" w:hAnsi="楷体" w:eastAsia="仿宋_GB2312"/>
          <w:sz w:val="32"/>
          <w:szCs w:val="32"/>
          <w:highlight w:val="none"/>
        </w:rPr>
        <w:t>，</w:t>
      </w:r>
      <w:r>
        <w:rPr>
          <w:rFonts w:hint="eastAsia" w:ascii="仿宋_GB2312" w:hAnsi="楷体" w:eastAsia="仿宋_GB2312"/>
          <w:sz w:val="32"/>
          <w:szCs w:val="32"/>
          <w:highlight w:val="none"/>
          <w:lang w:val="en-US" w:eastAsia="zh-CN"/>
        </w:rPr>
        <w:t>推动</w:t>
      </w:r>
      <w:r>
        <w:rPr>
          <w:rFonts w:hint="eastAsia" w:ascii="仿宋_GB2312" w:hAnsi="楷体" w:eastAsia="仿宋_GB2312"/>
          <w:sz w:val="32"/>
          <w:szCs w:val="32"/>
          <w:highlight w:val="none"/>
        </w:rPr>
        <w:t>氢燃料电池质子交换膜、锂电池隔膜等</w:t>
      </w:r>
      <w:r>
        <w:rPr>
          <w:rFonts w:hint="eastAsia" w:ascii="仿宋_GB2312" w:hAnsi="楷体" w:eastAsia="仿宋_GB2312"/>
          <w:sz w:val="32"/>
          <w:szCs w:val="32"/>
          <w:highlight w:val="none"/>
          <w:lang w:val="en-US" w:eastAsia="zh-CN"/>
        </w:rPr>
        <w:t>关键核心</w:t>
      </w:r>
      <w:r>
        <w:rPr>
          <w:rFonts w:hint="eastAsia" w:ascii="仿宋_GB2312" w:hAnsi="楷体" w:eastAsia="仿宋_GB2312"/>
          <w:sz w:val="32"/>
          <w:szCs w:val="32"/>
          <w:highlight w:val="none"/>
        </w:rPr>
        <w:t>技术</w:t>
      </w:r>
      <w:r>
        <w:rPr>
          <w:rFonts w:hint="eastAsia" w:ascii="仿宋_GB2312" w:hAnsi="楷体" w:eastAsia="仿宋_GB2312"/>
          <w:sz w:val="32"/>
          <w:szCs w:val="32"/>
          <w:highlight w:val="none"/>
          <w:lang w:val="en-US" w:eastAsia="zh-CN"/>
        </w:rPr>
        <w:t>取得</w:t>
      </w:r>
      <w:r>
        <w:rPr>
          <w:rFonts w:hint="eastAsia" w:ascii="仿宋_GB2312" w:hAnsi="楷体" w:eastAsia="仿宋_GB2312"/>
          <w:sz w:val="32"/>
          <w:szCs w:val="32"/>
          <w:highlight w:val="none"/>
        </w:rPr>
        <w:t>突破</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大力发展绝缘膜、电解液或电极用催化剂等新型能源材料，加快八亿时空新型功能材料等项目建成投产，形成强有力的集群支撑。用好市级百亿级基金和产业承载空间，搭建跨区域产业协作交流平台</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打造首都</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材料谷</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，提升房山区在全市新材料产业领域的核心竞争力。面向前沿新材料需求，培育</w:t>
      </w:r>
      <w:r>
        <w:rPr>
          <w:rFonts w:hint="eastAsia" w:ascii="仿宋_GB2312" w:hAnsi="楷体" w:eastAsia="仿宋_GB2312"/>
          <w:sz w:val="32"/>
          <w:szCs w:val="32"/>
          <w:highlight w:val="none"/>
          <w:lang w:val="en-US" w:eastAsia="zh-CN"/>
        </w:rPr>
        <w:t>壮大</w:t>
      </w:r>
      <w:r>
        <w:rPr>
          <w:rFonts w:hint="eastAsia" w:ascii="仿宋_GB2312" w:hAnsi="楷体" w:eastAsia="仿宋_GB2312"/>
          <w:sz w:val="32"/>
          <w:szCs w:val="32"/>
          <w:highlight w:val="none"/>
        </w:rPr>
        <w:t>石墨烯、半导体等高成长型产业，探索</w:t>
      </w:r>
      <w:r>
        <w:rPr>
          <w:rFonts w:hint="eastAsia" w:ascii="仿宋_GB2312" w:hAnsi="楷体" w:eastAsia="仿宋_GB2312"/>
          <w:sz w:val="32"/>
          <w:szCs w:val="32"/>
          <w:highlight w:val="none"/>
          <w:lang w:val="en-US" w:eastAsia="zh-CN"/>
        </w:rPr>
        <w:t>建设</w:t>
      </w:r>
      <w:r>
        <w:rPr>
          <w:rFonts w:hint="eastAsia" w:ascii="仿宋_GB2312" w:hAnsi="楷体" w:eastAsia="仿宋_GB2312"/>
          <w:sz w:val="32"/>
          <w:szCs w:val="32"/>
          <w:highlight w:val="none"/>
        </w:rPr>
        <w:t>功能新材料共性技术创新与转化平台、新材料工程技术创新中心、新材料成果转化中试基地等载体，培育未来材料应用创新集群。</w:t>
      </w:r>
    </w:p>
    <w:p w14:paraId="62B74927">
      <w:pPr>
        <w:spacing w:after="160" w:line="560" w:lineRule="exact"/>
        <w:ind w:firstLine="643" w:firstLineChars="200"/>
        <w:rPr>
          <w:rFonts w:hint="eastAsia" w:ascii="仿宋_GB2312" w:hAnsi="楷体" w:eastAsia="仿宋_GB2312"/>
          <w:sz w:val="32"/>
          <w:szCs w:val="32"/>
          <w:highlight w:val="none"/>
        </w:rPr>
      </w:pPr>
      <w:bookmarkStart w:id="151" w:name="_Toc13744"/>
      <w:r>
        <w:rPr>
          <w:rFonts w:hint="eastAsia" w:ascii="仿宋_GB2312" w:hAnsi="楷体" w:eastAsia="仿宋_GB2312"/>
          <w:b/>
          <w:bCs/>
          <w:sz w:val="32"/>
          <w:szCs w:val="32"/>
          <w:highlight w:val="none"/>
        </w:rPr>
        <w:t>创新发展智能制造产业。</w:t>
      </w:r>
      <w:r>
        <w:rPr>
          <w:rFonts w:hint="eastAsia" w:ascii="仿宋_GB2312" w:hAnsi="楷体" w:eastAsia="仿宋_GB2312"/>
          <w:sz w:val="32"/>
          <w:szCs w:val="32"/>
          <w:highlight w:val="none"/>
        </w:rPr>
        <w:t>以北京高端制造业基地为主要承载区，聚焦智能应急装备与现代交通装备</w:t>
      </w:r>
      <w:r>
        <w:rPr>
          <w:rFonts w:hint="eastAsia" w:ascii="仿宋_GB2312" w:hAnsi="楷体" w:eastAsia="仿宋_GB2312"/>
          <w:sz w:val="32"/>
          <w:szCs w:val="32"/>
          <w:highlight w:val="none"/>
          <w:lang w:val="en-US" w:eastAsia="zh-CN"/>
        </w:rPr>
        <w:t>两大</w:t>
      </w:r>
      <w:r>
        <w:rPr>
          <w:rFonts w:hint="eastAsia" w:ascii="仿宋_GB2312" w:hAnsi="楷体" w:eastAsia="仿宋_GB2312"/>
          <w:sz w:val="32"/>
          <w:szCs w:val="32"/>
          <w:highlight w:val="none"/>
        </w:rPr>
        <w:t>细分赛道，</w:t>
      </w:r>
      <w:r>
        <w:rPr>
          <w:rFonts w:hint="eastAsia" w:ascii="仿宋_GB2312" w:hAnsi="楷体" w:eastAsia="仿宋_GB2312"/>
          <w:sz w:val="32"/>
          <w:szCs w:val="32"/>
          <w:highlight w:val="none"/>
          <w:lang w:val="en-US" w:eastAsia="zh-CN"/>
        </w:rPr>
        <w:t>重</w:t>
      </w:r>
      <w:r>
        <w:rPr>
          <w:rFonts w:hint="eastAsia" w:ascii="仿宋_GB2312" w:hAnsi="楷体" w:eastAsia="仿宋_GB2312"/>
          <w:sz w:val="32"/>
          <w:szCs w:val="32"/>
          <w:highlight w:val="none"/>
        </w:rPr>
        <w:t>点发展以智能装备为代表的先进制造产业，着力打造首都南部先进制造产业集群。在智能应急装备领域，</w:t>
      </w:r>
      <w:r>
        <w:rPr>
          <w:rFonts w:hint="eastAsia" w:ascii="仿宋_GB2312" w:hAnsi="楷体" w:eastAsia="仿宋_GB2312"/>
          <w:sz w:val="32"/>
          <w:szCs w:val="32"/>
          <w:highlight w:val="none"/>
          <w:lang w:eastAsia="zh-CN"/>
        </w:rPr>
        <w:t>加快构建集研发、生产、销售、技术服务与培训于一体的应急救援产业生态。</w:t>
      </w:r>
      <w:r>
        <w:rPr>
          <w:rFonts w:hint="eastAsia" w:ascii="仿宋_GB2312" w:hAnsi="楷体" w:eastAsia="仿宋_GB2312"/>
          <w:sz w:val="32"/>
          <w:szCs w:val="32"/>
          <w:highlight w:val="none"/>
        </w:rPr>
        <w:t>在现代交通装备领域，依托中车北京轨道交通装备产业园、九州一轨等园区和企业，加快建设高端轨道交通装备智能制造示范基地</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联动</w:t>
      </w:r>
      <w:r>
        <w:rPr>
          <w:rFonts w:hint="eastAsia" w:ascii="仿宋_GB2312" w:hAnsi="楷体" w:eastAsia="仿宋_GB2312"/>
          <w:sz w:val="32"/>
          <w:szCs w:val="32"/>
          <w:highlight w:val="none"/>
        </w:rPr>
        <w:t>长安汽车等龙头企业，引导汽车零部件和大型装备部件等上下游企业集聚，延伸现代交通装备产业链。</w:t>
      </w:r>
      <w:r>
        <w:rPr>
          <w:rFonts w:hint="eastAsia" w:ascii="仿宋_GB2312" w:hAnsi="楷体" w:eastAsia="仿宋_GB2312"/>
          <w:sz w:val="32"/>
          <w:szCs w:val="32"/>
          <w:highlight w:val="none"/>
          <w:lang w:val="en-US" w:eastAsia="zh-CN"/>
        </w:rPr>
        <w:t>同时，</w:t>
      </w:r>
      <w:r>
        <w:rPr>
          <w:rFonts w:hint="eastAsia" w:ascii="仿宋_GB2312" w:hAnsi="楷体" w:eastAsia="仿宋_GB2312"/>
          <w:sz w:val="32"/>
          <w:szCs w:val="32"/>
          <w:highlight w:val="none"/>
        </w:rPr>
        <w:t>加快</w:t>
      </w:r>
      <w:r>
        <w:rPr>
          <w:rFonts w:hint="eastAsia" w:ascii="仿宋_GB2312" w:hAnsi="楷体" w:eastAsia="仿宋_GB2312"/>
          <w:sz w:val="32"/>
          <w:szCs w:val="32"/>
          <w:highlight w:val="none"/>
          <w:lang w:val="en-US" w:eastAsia="zh-CN"/>
        </w:rPr>
        <w:t>培育</w:t>
      </w:r>
      <w:r>
        <w:rPr>
          <w:rFonts w:hint="eastAsia" w:ascii="仿宋_GB2312" w:hAnsi="楷体" w:eastAsia="仿宋_GB2312"/>
          <w:sz w:val="32"/>
          <w:szCs w:val="32"/>
          <w:highlight w:val="none"/>
        </w:rPr>
        <w:t>未来产业</w:t>
      </w:r>
      <w:r>
        <w:rPr>
          <w:rFonts w:hint="eastAsia" w:ascii="仿宋_GB2312" w:hAnsi="楷体" w:eastAsia="仿宋_GB2312"/>
          <w:sz w:val="32"/>
          <w:szCs w:val="32"/>
          <w:highlight w:val="none"/>
          <w:lang w:val="en-US" w:eastAsia="zh-CN"/>
        </w:rPr>
        <w:t>增长点</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围绕具身智能机器人、测控设备等</w:t>
      </w:r>
      <w:r>
        <w:rPr>
          <w:rFonts w:hint="eastAsia" w:ascii="仿宋_GB2312" w:hAnsi="楷体" w:eastAsia="仿宋_GB2312"/>
          <w:sz w:val="32"/>
          <w:szCs w:val="32"/>
          <w:highlight w:val="none"/>
          <w:lang w:val="en-US" w:eastAsia="zh-CN"/>
        </w:rPr>
        <w:t>方向</w:t>
      </w:r>
      <w:r>
        <w:rPr>
          <w:rFonts w:hint="eastAsia" w:ascii="仿宋_GB2312" w:hAnsi="楷体" w:eastAsia="仿宋_GB2312"/>
          <w:sz w:val="32"/>
          <w:szCs w:val="32"/>
          <w:highlight w:val="none"/>
        </w:rPr>
        <w:t>，推动实验室产品产业化，探索</w:t>
      </w:r>
      <w:r>
        <w:rPr>
          <w:rFonts w:hint="eastAsia" w:ascii="仿宋_GB2312" w:hAnsi="楷体" w:eastAsia="仿宋_GB2312"/>
          <w:sz w:val="32"/>
          <w:szCs w:val="32"/>
          <w:highlight w:val="none"/>
          <w:lang w:val="en-US" w:eastAsia="zh-CN"/>
        </w:rPr>
        <w:t>建设</w:t>
      </w:r>
      <w:r>
        <w:rPr>
          <w:rFonts w:hint="eastAsia" w:ascii="仿宋_GB2312" w:hAnsi="楷体" w:eastAsia="仿宋_GB2312"/>
          <w:sz w:val="32"/>
          <w:szCs w:val="32"/>
          <w:highlight w:val="none"/>
        </w:rPr>
        <w:t>机器人与人工智能创新孵化器等</w:t>
      </w:r>
      <w:r>
        <w:rPr>
          <w:rFonts w:hint="eastAsia" w:ascii="仿宋_GB2312" w:hAnsi="楷体" w:eastAsia="仿宋_GB2312"/>
          <w:sz w:val="32"/>
          <w:szCs w:val="32"/>
          <w:highlight w:val="none"/>
          <w:lang w:val="en-US" w:eastAsia="zh-CN"/>
        </w:rPr>
        <w:t>载体，</w:t>
      </w:r>
      <w:r>
        <w:rPr>
          <w:rFonts w:hint="eastAsia" w:ascii="仿宋_GB2312" w:hAnsi="楷体" w:eastAsia="仿宋_GB2312"/>
          <w:sz w:val="32"/>
          <w:szCs w:val="32"/>
          <w:highlight w:val="none"/>
        </w:rPr>
        <w:t>抢占未来发展先机。</w:t>
      </w:r>
    </w:p>
    <w:bookmarkEnd w:id="151"/>
    <w:p w14:paraId="1F9AB08F">
      <w:pPr>
        <w:spacing w:after="160" w:line="560" w:lineRule="exact"/>
        <w:ind w:firstLine="643" w:firstLineChars="200"/>
        <w:rPr>
          <w:rFonts w:hint="eastAsia" w:ascii="仿宋_GB2312" w:hAnsi="楷体" w:eastAsia="仿宋_GB2312"/>
          <w:sz w:val="32"/>
          <w:szCs w:val="32"/>
          <w:highlight w:val="none"/>
        </w:rPr>
      </w:pPr>
      <w:bookmarkStart w:id="152" w:name="_Toc11657"/>
      <w:r>
        <w:rPr>
          <w:rFonts w:hint="eastAsia" w:ascii="仿宋_GB2312" w:hAnsi="楷体" w:eastAsia="仿宋_GB2312"/>
          <w:b/>
          <w:bCs/>
          <w:sz w:val="32"/>
          <w:szCs w:val="32"/>
          <w:highlight w:val="none"/>
        </w:rPr>
        <w:t>加快培育智慧医工产业。</w:t>
      </w:r>
      <w:r>
        <w:rPr>
          <w:rFonts w:hint="eastAsia" w:ascii="仿宋_GB2312" w:hAnsi="楷体" w:eastAsia="仿宋_GB2312"/>
          <w:sz w:val="32"/>
          <w:szCs w:val="32"/>
          <w:highlight w:val="none"/>
        </w:rPr>
        <w:t>依托北京中医药大学、北京工商大学、北京理工大学、北京航空航天大学医工交叉研究院等机构的科研优势，聚焦医疗器械、生物医药、中医药、化妆品科学等医工交叉领域，加快医疗器械、中医药等产业</w:t>
      </w:r>
      <w:r>
        <w:rPr>
          <w:rFonts w:hint="eastAsia" w:ascii="仿宋_GB2312" w:hAnsi="楷体" w:eastAsia="仿宋_GB2312"/>
          <w:sz w:val="32"/>
          <w:szCs w:val="32"/>
          <w:highlight w:val="none"/>
          <w:lang w:val="en-US" w:eastAsia="zh-CN"/>
        </w:rPr>
        <w:t>规模化</w:t>
      </w:r>
      <w:r>
        <w:rPr>
          <w:rFonts w:hint="eastAsia" w:ascii="仿宋_GB2312" w:hAnsi="楷体" w:eastAsia="仿宋_GB2312"/>
          <w:sz w:val="32"/>
          <w:szCs w:val="32"/>
          <w:highlight w:val="none"/>
        </w:rPr>
        <w:t>发展。提升医工融合产业发展能级</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建优中关村（房山）智慧医工产业园，推动北京京东方智慧医养中心项目建设，与京东方医院形成优势互补，延伸医养服务后端链条，通过相互引流与功能衔接，打造医养融合示范标杆。</w:t>
      </w:r>
      <w:bookmarkEnd w:id="152"/>
      <w:r>
        <w:rPr>
          <w:rFonts w:hint="eastAsia" w:ascii="仿宋_GB2312" w:hAnsi="楷体" w:eastAsia="仿宋_GB2312"/>
          <w:sz w:val="32"/>
          <w:szCs w:val="32"/>
          <w:highlight w:val="none"/>
        </w:rPr>
        <w:t>发展数字医疗业态，</w:t>
      </w:r>
      <w:r>
        <w:rPr>
          <w:rFonts w:hint="eastAsia" w:ascii="仿宋_GB2312" w:hAnsi="楷体" w:eastAsia="仿宋_GB2312"/>
          <w:sz w:val="32"/>
          <w:szCs w:val="32"/>
          <w:highlight w:val="none"/>
          <w:lang w:val="en-US" w:eastAsia="zh-CN"/>
        </w:rPr>
        <w:t>支持</w:t>
      </w:r>
      <w:r>
        <w:rPr>
          <w:rFonts w:hint="eastAsia" w:ascii="仿宋_GB2312" w:hAnsi="楷体" w:eastAsia="仿宋_GB2312"/>
          <w:sz w:val="32"/>
          <w:szCs w:val="32"/>
          <w:highlight w:val="none"/>
        </w:rPr>
        <w:t>京东方依托医用显示等产品开展智慧医工系统集成业务。增强医工交叉产业链服务能力，布局研发小试、检验检测、中试验证</w:t>
      </w:r>
      <w:r>
        <w:rPr>
          <w:rFonts w:hint="eastAsia" w:ascii="仿宋_GB2312" w:hAnsi="楷体" w:eastAsia="仿宋_GB2312"/>
          <w:sz w:val="32"/>
          <w:szCs w:val="32"/>
          <w:highlight w:val="none"/>
          <w:lang w:val="en-US" w:eastAsia="zh-CN"/>
        </w:rPr>
        <w:t>于一体</w:t>
      </w:r>
      <w:r>
        <w:rPr>
          <w:rFonts w:hint="eastAsia" w:ascii="仿宋_GB2312" w:hAnsi="楷体" w:eastAsia="仿宋_GB2312"/>
          <w:sz w:val="32"/>
          <w:szCs w:val="32"/>
          <w:highlight w:val="none"/>
        </w:rPr>
        <w:t>的</w:t>
      </w:r>
      <w:r>
        <w:rPr>
          <w:rFonts w:hint="eastAsia" w:ascii="仿宋_GB2312" w:hAnsi="楷体" w:eastAsia="仿宋_GB2312"/>
          <w:sz w:val="32"/>
          <w:szCs w:val="32"/>
          <w:highlight w:val="none"/>
          <w:lang w:val="en-US" w:eastAsia="zh-CN"/>
        </w:rPr>
        <w:t>公共服务</w:t>
      </w:r>
      <w:r>
        <w:rPr>
          <w:rFonts w:hint="eastAsia" w:ascii="仿宋_GB2312" w:hAnsi="楷体" w:eastAsia="仿宋_GB2312"/>
          <w:sz w:val="32"/>
          <w:szCs w:val="32"/>
          <w:highlight w:val="none"/>
        </w:rPr>
        <w:t>平台，为创新药和医疗器械提供研发、生产、上市等全链条服务。</w:t>
      </w:r>
      <w:r>
        <w:rPr>
          <w:rFonts w:hint="eastAsia" w:ascii="仿宋_GB2312" w:hAnsi="楷体" w:eastAsia="仿宋_GB2312"/>
          <w:sz w:val="32"/>
          <w:szCs w:val="32"/>
          <w:highlight w:val="none"/>
          <w:lang w:val="en-US" w:eastAsia="zh-CN"/>
        </w:rPr>
        <w:t>同时，积极</w:t>
      </w:r>
      <w:r>
        <w:rPr>
          <w:rFonts w:hint="eastAsia" w:ascii="仿宋_GB2312" w:hAnsi="楷体" w:eastAsia="仿宋_GB2312"/>
          <w:sz w:val="32"/>
          <w:szCs w:val="32"/>
          <w:highlight w:val="none"/>
        </w:rPr>
        <w:t>创建未来健康产业创新生态圈</w:t>
      </w:r>
      <w:r>
        <w:rPr>
          <w:rFonts w:hint="eastAsia" w:ascii="仿宋_GB2312" w:hAnsi="楷体" w:eastAsia="仿宋_GB2312"/>
          <w:sz w:val="32"/>
          <w:szCs w:val="32"/>
          <w:highlight w:val="none"/>
          <w:lang w:eastAsia="zh-CN"/>
        </w:rPr>
        <w:t>，充</w:t>
      </w:r>
      <w:r>
        <w:rPr>
          <w:rFonts w:hint="eastAsia" w:ascii="仿宋_GB2312" w:hAnsi="楷体" w:eastAsia="仿宋_GB2312"/>
          <w:sz w:val="32"/>
          <w:szCs w:val="32"/>
          <w:highlight w:val="none"/>
        </w:rPr>
        <w:t>分发挥京东方生命科技产业基地、北航医工交叉创新研究院等平台作用，探索</w:t>
      </w:r>
      <w:r>
        <w:rPr>
          <w:rFonts w:hint="eastAsia" w:ascii="仿宋_GB2312" w:hAnsi="楷体" w:eastAsia="仿宋_GB2312"/>
          <w:sz w:val="32"/>
          <w:szCs w:val="32"/>
          <w:highlight w:val="none"/>
          <w:lang w:val="en-US" w:eastAsia="zh-CN"/>
        </w:rPr>
        <w:t>建设</w:t>
      </w:r>
      <w:r>
        <w:rPr>
          <w:rFonts w:hint="eastAsia" w:ascii="仿宋_GB2312" w:hAnsi="楷体" w:eastAsia="仿宋_GB2312"/>
          <w:sz w:val="32"/>
          <w:szCs w:val="32"/>
          <w:highlight w:val="none"/>
        </w:rPr>
        <w:t>医工健康共性关键技术创新与转化平台、医工健康前沿技术概念验证中心、临床医学转化中心、校企合作中医药协同创新中心等载体</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培育未来健康产业新增长点</w:t>
      </w:r>
      <w:r>
        <w:rPr>
          <w:rFonts w:hint="eastAsia" w:ascii="仿宋_GB2312" w:hAnsi="楷体" w:eastAsia="仿宋_GB2312"/>
          <w:sz w:val="32"/>
          <w:szCs w:val="32"/>
          <w:highlight w:val="none"/>
          <w:lang w:eastAsia="zh-CN"/>
        </w:rPr>
        <w:t>。</w:t>
      </w:r>
    </w:p>
    <w:bookmarkEnd w:id="147"/>
    <w:bookmarkEnd w:id="148"/>
    <w:p w14:paraId="081332EC">
      <w:pPr>
        <w:spacing w:after="160" w:line="560" w:lineRule="exact"/>
        <w:ind w:firstLine="643" w:firstLineChars="200"/>
        <w:rPr>
          <w:rFonts w:hint="eastAsia" w:ascii="仿宋_GB2312" w:hAnsi="楷体" w:eastAsia="仿宋_GB2312"/>
          <w:sz w:val="32"/>
          <w:szCs w:val="32"/>
          <w:highlight w:val="none"/>
        </w:rPr>
      </w:pPr>
      <w:bookmarkStart w:id="153" w:name="_Toc26901"/>
      <w:bookmarkStart w:id="154" w:name="_Toc16797"/>
      <w:bookmarkStart w:id="155" w:name="_Toc11402"/>
      <w:bookmarkStart w:id="156" w:name="_Toc25977"/>
      <w:bookmarkStart w:id="157" w:name="_Toc11521"/>
      <w:bookmarkStart w:id="158" w:name="_Toc3347"/>
      <w:bookmarkStart w:id="159" w:name="_Toc12282"/>
      <w:bookmarkStart w:id="160" w:name="_Toc20772"/>
      <w:r>
        <w:rPr>
          <w:rFonts w:hint="eastAsia" w:ascii="仿宋_GB2312" w:hAnsi="楷体" w:eastAsia="仿宋_GB2312"/>
          <w:b/>
          <w:bCs/>
          <w:sz w:val="32"/>
          <w:szCs w:val="32"/>
          <w:highlight w:val="none"/>
        </w:rPr>
        <w:t>壮大培育应急装备产业</w:t>
      </w:r>
      <w:bookmarkEnd w:id="153"/>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lang w:eastAsia="zh-CN"/>
        </w:rPr>
        <w:t>以构建智能应急装备产业链为核心，</w:t>
      </w:r>
      <w:r>
        <w:rPr>
          <w:rFonts w:hint="eastAsia" w:ascii="仿宋_GB2312" w:hAnsi="楷体" w:eastAsia="仿宋_GB2312"/>
          <w:sz w:val="32"/>
          <w:szCs w:val="32"/>
          <w:highlight w:val="none"/>
        </w:rPr>
        <w:t>高标准建设中关村应急装备产业园</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深化应用牵引</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抓好应急装备救援试点，积极拓展应急救援等应用场景</w:t>
      </w:r>
      <w:bookmarkEnd w:id="154"/>
      <w:bookmarkEnd w:id="155"/>
      <w:bookmarkEnd w:id="156"/>
      <w:bookmarkEnd w:id="157"/>
      <w:bookmarkEnd w:id="158"/>
      <w:bookmarkEnd w:id="159"/>
      <w:r>
        <w:rPr>
          <w:rFonts w:hint="eastAsia" w:ascii="仿宋_GB2312" w:hAnsi="楷体" w:eastAsia="仿宋_GB2312"/>
          <w:sz w:val="32"/>
          <w:szCs w:val="32"/>
          <w:highlight w:val="none"/>
        </w:rPr>
        <w:t>。</w:t>
      </w:r>
      <w:bookmarkStart w:id="161" w:name="_Toc8372"/>
      <w:bookmarkStart w:id="162" w:name="_Toc17358"/>
      <w:bookmarkStart w:id="163" w:name="_Toc26293"/>
      <w:bookmarkStart w:id="164" w:name="_Toc12456"/>
      <w:bookmarkStart w:id="165" w:name="_Toc28380"/>
      <w:bookmarkStart w:id="166" w:name="_Toc27239"/>
      <w:bookmarkStart w:id="167" w:name="_Toc8039"/>
      <w:r>
        <w:rPr>
          <w:rFonts w:hint="eastAsia" w:ascii="仿宋_GB2312" w:hAnsi="楷体" w:eastAsia="仿宋_GB2312"/>
          <w:sz w:val="32"/>
          <w:szCs w:val="32"/>
          <w:highlight w:val="none"/>
        </w:rPr>
        <w:t>夯实产业支撑，加快推进高性能防护材料、超分子新能源安全材料等产业化项目建设。</w:t>
      </w:r>
    </w:p>
    <w:bookmarkEnd w:id="161"/>
    <w:bookmarkEnd w:id="162"/>
    <w:bookmarkEnd w:id="163"/>
    <w:bookmarkEnd w:id="164"/>
    <w:bookmarkEnd w:id="165"/>
    <w:bookmarkEnd w:id="166"/>
    <w:bookmarkEnd w:id="167"/>
    <w:p w14:paraId="6F5AF4CB">
      <w:pPr>
        <w:pStyle w:val="4"/>
        <w:spacing w:before="0" w:after="160" w:line="560" w:lineRule="exact"/>
        <w:ind w:firstLine="640" w:firstLineChars="200"/>
        <w:rPr>
          <w:rFonts w:hint="eastAsia" w:ascii="楷体_GB2312" w:hAnsi="楷体_GB2312" w:eastAsia="楷体_GB2312" w:cs="楷体_GB2312"/>
          <w:b w:val="0"/>
          <w:color w:val="191919"/>
          <w:highlight w:val="none"/>
          <w:shd w:val="clear" w:color="auto" w:fill="FFFFFF"/>
        </w:rPr>
      </w:pPr>
      <w:bookmarkStart w:id="168" w:name="_Toc17386"/>
      <w:r>
        <w:rPr>
          <w:rFonts w:hint="eastAsia" w:ascii="楷体_GB2312" w:hAnsi="楷体_GB2312" w:eastAsia="楷体_GB2312" w:cs="楷体_GB2312"/>
          <w:b w:val="0"/>
          <w:color w:val="191919"/>
          <w:highlight w:val="none"/>
          <w:shd w:val="clear" w:color="auto" w:fill="FFFFFF"/>
          <w:lang w:eastAsia="zh-CN"/>
        </w:rPr>
        <w:t>（二）</w:t>
      </w:r>
      <w:r>
        <w:rPr>
          <w:rFonts w:hint="eastAsia" w:ascii="楷体_GB2312" w:hAnsi="楷体_GB2312" w:eastAsia="楷体_GB2312" w:cs="楷体_GB2312"/>
          <w:b w:val="0"/>
          <w:color w:val="191919"/>
          <w:highlight w:val="none"/>
          <w:shd w:val="clear" w:color="auto" w:fill="FFFFFF"/>
        </w:rPr>
        <w:t>构筑“集中连片、高端集聚、空间拓展”的</w:t>
      </w:r>
      <w:r>
        <w:rPr>
          <w:rFonts w:hint="eastAsia" w:ascii="楷体_GB2312" w:hAnsi="楷体_GB2312" w:eastAsia="楷体_GB2312" w:cs="楷体_GB2312"/>
          <w:b w:val="0"/>
          <w:color w:val="191919"/>
          <w:highlight w:val="none"/>
          <w:shd w:val="clear" w:color="auto" w:fill="FFFFFF"/>
          <w:lang w:val="en-US" w:eastAsia="zh-CN"/>
        </w:rPr>
        <w:t>产业集群承载空间</w:t>
      </w:r>
      <w:bookmarkEnd w:id="168"/>
    </w:p>
    <w:p w14:paraId="0CE80922">
      <w:pPr>
        <w:spacing w:after="160" w:line="560" w:lineRule="exact"/>
        <w:ind w:firstLine="643" w:firstLineChars="200"/>
        <w:rPr>
          <w:rFonts w:hint="eastAsia" w:ascii="仿宋_GB2312" w:hAnsi="楷体" w:eastAsia="仿宋_GB2312"/>
          <w:sz w:val="32"/>
          <w:szCs w:val="32"/>
          <w:highlight w:val="none"/>
        </w:rPr>
      </w:pPr>
      <w:bookmarkStart w:id="169" w:name="_Toc21043"/>
      <w:bookmarkStart w:id="170" w:name="_Toc9402"/>
      <w:bookmarkStart w:id="171" w:name="_Toc790"/>
      <w:bookmarkStart w:id="172" w:name="_Toc29699"/>
      <w:bookmarkStart w:id="173" w:name="_Toc17730"/>
      <w:bookmarkStart w:id="174" w:name="_Toc32597"/>
      <w:bookmarkStart w:id="175" w:name="_Toc7986"/>
      <w:bookmarkStart w:id="176" w:name="_Toc20952"/>
      <w:r>
        <w:rPr>
          <w:rFonts w:hint="eastAsia" w:ascii="仿宋_GB2312" w:hAnsi="楷体" w:eastAsia="仿宋_GB2312"/>
          <w:b/>
          <w:bCs/>
          <w:sz w:val="32"/>
          <w:szCs w:val="32"/>
          <w:highlight w:val="none"/>
        </w:rPr>
        <w:t>优化园区产业空间布局</w:t>
      </w:r>
      <w:bookmarkEnd w:id="169"/>
      <w:bookmarkEnd w:id="170"/>
      <w:bookmarkEnd w:id="171"/>
      <w:bookmarkEnd w:id="172"/>
      <w:bookmarkEnd w:id="173"/>
      <w:bookmarkEnd w:id="174"/>
      <w:bookmarkEnd w:id="175"/>
      <w:r>
        <w:rPr>
          <w:rFonts w:hint="eastAsia" w:ascii="仿宋_GB2312" w:hAnsi="楷体" w:eastAsia="仿宋_GB2312"/>
          <w:b/>
          <w:bCs/>
          <w:sz w:val="32"/>
          <w:szCs w:val="32"/>
          <w:highlight w:val="none"/>
          <w:lang w:eastAsia="zh-CN"/>
        </w:rPr>
        <w:t>。</w:t>
      </w:r>
      <w:r>
        <w:rPr>
          <w:rFonts w:hint="eastAsia" w:ascii="仿宋_GB2312" w:hAnsi="楷体" w:eastAsia="仿宋_GB2312"/>
          <w:b w:val="0"/>
          <w:bCs w:val="0"/>
          <w:sz w:val="32"/>
          <w:szCs w:val="32"/>
          <w:highlight w:val="none"/>
          <w:lang w:val="en-US" w:eastAsia="zh-CN"/>
        </w:rPr>
        <w:t>紧抓</w:t>
      </w:r>
      <w:r>
        <w:rPr>
          <w:rFonts w:hint="eastAsia" w:ascii="仿宋_GB2312" w:hAnsi="楷体" w:eastAsia="仿宋_GB2312"/>
          <w:sz w:val="32"/>
          <w:szCs w:val="32"/>
          <w:highlight w:val="none"/>
        </w:rPr>
        <w:t>全国高校绿色能源区域技术转移转化中心</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北京</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成功获批</w:t>
      </w:r>
      <w:r>
        <w:rPr>
          <w:rFonts w:hint="eastAsia" w:ascii="仿宋_GB2312" w:hAnsi="楷体" w:eastAsia="仿宋_GB2312"/>
          <w:sz w:val="32"/>
          <w:szCs w:val="32"/>
          <w:highlight w:val="none"/>
          <w:lang w:val="en-US" w:eastAsia="zh-CN"/>
        </w:rPr>
        <w:t>的重大机遇，</w:t>
      </w:r>
      <w:r>
        <w:rPr>
          <w:rFonts w:hint="eastAsia" w:ascii="仿宋_GB2312" w:hAnsi="楷体" w:eastAsia="仿宋_GB2312"/>
          <w:sz w:val="32"/>
          <w:szCs w:val="32"/>
          <w:highlight w:val="none"/>
        </w:rPr>
        <w:t>秉持</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集中连片、高端集聚</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空间拓展</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发展</w:t>
      </w:r>
      <w:r>
        <w:rPr>
          <w:rFonts w:hint="eastAsia" w:ascii="仿宋_GB2312" w:hAnsi="楷体" w:eastAsia="仿宋_GB2312"/>
          <w:sz w:val="32"/>
          <w:szCs w:val="32"/>
          <w:highlight w:val="none"/>
        </w:rPr>
        <w:t>导向，主动融入全区</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1+3</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重要功能区布局，系统构建特色鲜明、功能互补的产业集群空间布局，聚焦打造</w:t>
      </w:r>
      <w:r>
        <w:rPr>
          <w:rFonts w:hint="eastAsia" w:ascii="仿宋_GB2312" w:hAnsi="楷体" w:eastAsia="仿宋_GB2312"/>
          <w:b w:val="0"/>
          <w:bCs w:val="0"/>
          <w:sz w:val="32"/>
          <w:szCs w:val="32"/>
          <w:highlight w:val="none"/>
          <w:lang w:eastAsia="zh-CN"/>
        </w:rPr>
        <w:t>“</w:t>
      </w:r>
      <w:r>
        <w:rPr>
          <w:rFonts w:hint="eastAsia" w:ascii="仿宋_GB2312" w:hAnsi="楷体" w:eastAsia="仿宋_GB2312"/>
          <w:b w:val="0"/>
          <w:bCs w:val="0"/>
          <w:sz w:val="32"/>
          <w:szCs w:val="32"/>
          <w:highlight w:val="none"/>
        </w:rPr>
        <w:t>窦店新智制造发展片区、燕房转型发展片区、良乡大学城创新发展片区</w:t>
      </w:r>
      <w:r>
        <w:rPr>
          <w:rFonts w:hint="eastAsia" w:ascii="仿宋_GB2312" w:hAnsi="楷体" w:eastAsia="仿宋_GB2312"/>
          <w:b w:val="0"/>
          <w:bCs w:val="0"/>
          <w:sz w:val="32"/>
          <w:szCs w:val="32"/>
          <w:highlight w:val="none"/>
          <w:lang w:eastAsia="zh-CN"/>
        </w:rPr>
        <w:t>”</w:t>
      </w:r>
      <w:r>
        <w:rPr>
          <w:rFonts w:hint="eastAsia" w:ascii="仿宋_GB2312" w:hAnsi="楷体" w:eastAsia="仿宋_GB2312"/>
          <w:sz w:val="32"/>
          <w:szCs w:val="32"/>
          <w:highlight w:val="none"/>
          <w:lang w:eastAsia="zh-CN"/>
        </w:rPr>
        <w:t>等</w:t>
      </w:r>
      <w:r>
        <w:rPr>
          <w:rFonts w:hint="eastAsia" w:ascii="仿宋_GB2312" w:hAnsi="楷体" w:eastAsia="仿宋_GB2312"/>
          <w:sz w:val="32"/>
          <w:szCs w:val="32"/>
          <w:highlight w:val="none"/>
        </w:rPr>
        <w:t>核心板块，形成错位发展、协同联动、集约高效的现代化产业空间格局，全面提升</w:t>
      </w:r>
      <w:r>
        <w:rPr>
          <w:rFonts w:hint="eastAsia" w:ascii="仿宋_GB2312" w:hAnsi="楷体" w:eastAsia="仿宋_GB2312"/>
          <w:sz w:val="32"/>
          <w:szCs w:val="32"/>
          <w:highlight w:val="none"/>
          <w:lang w:eastAsia="zh-CN"/>
        </w:rPr>
        <w:t>中关村房山园</w:t>
      </w:r>
      <w:r>
        <w:rPr>
          <w:rFonts w:hint="eastAsia" w:ascii="仿宋_GB2312" w:hAnsi="楷体" w:eastAsia="仿宋_GB2312"/>
          <w:sz w:val="32"/>
          <w:szCs w:val="32"/>
          <w:highlight w:val="none"/>
        </w:rPr>
        <w:t>产业承载能级和集约化发展水平。</w:t>
      </w:r>
      <w:bookmarkStart w:id="177" w:name="_Toc31054"/>
    </w:p>
    <w:p w14:paraId="427E1C6B">
      <w:pPr>
        <w:spacing w:after="160" w:line="560" w:lineRule="exact"/>
        <w:ind w:firstLine="643" w:firstLineChars="200"/>
        <w:rPr>
          <w:rFonts w:hint="eastAsia" w:ascii="仿宋_GB2312" w:hAnsi="楷体" w:eastAsia="仿宋_GB2312"/>
          <w:sz w:val="32"/>
          <w:szCs w:val="32"/>
          <w:highlight w:val="none"/>
          <w:lang w:eastAsia="zh-CN"/>
        </w:rPr>
      </w:pPr>
      <w:r>
        <w:rPr>
          <w:rFonts w:hint="eastAsia" w:ascii="仿宋_GB2312" w:hAnsi="楷体" w:eastAsia="仿宋_GB2312"/>
          <w:b/>
          <w:bCs/>
          <w:sz w:val="32"/>
          <w:szCs w:val="32"/>
          <w:highlight w:val="none"/>
        </w:rPr>
        <w:t>窦店新智制造发展片区</w:t>
      </w:r>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lang w:eastAsia="zh-CN"/>
        </w:rPr>
        <w:t>聚焦绿色能源和高精尖产业，打造以绿色能源为主导，智能制造、智慧医工为特色，现代物流、科创服务为支撑的产业集聚区。</w:t>
      </w:r>
      <w:r>
        <w:rPr>
          <w:rFonts w:hint="eastAsia" w:ascii="仿宋_GB2312" w:hAnsi="楷体" w:eastAsia="仿宋_GB2312"/>
          <w:sz w:val="32"/>
          <w:szCs w:val="32"/>
          <w:highlight w:val="none"/>
        </w:rPr>
        <w:t>依托北京高端制造业基地，大力发展新型储能、新能源汽车等先进制造业，加速</w:t>
      </w:r>
      <w:r>
        <w:rPr>
          <w:rFonts w:hint="eastAsia" w:ascii="仿宋_GB2312" w:hAnsi="楷体" w:eastAsia="仿宋_GB2312"/>
          <w:sz w:val="32"/>
          <w:szCs w:val="32"/>
          <w:highlight w:val="none"/>
          <w:lang w:val="en-US" w:eastAsia="zh-CN"/>
        </w:rPr>
        <w:t>推进</w:t>
      </w:r>
      <w:r>
        <w:rPr>
          <w:rFonts w:hint="eastAsia" w:ascii="仿宋_GB2312" w:hAnsi="楷体" w:eastAsia="仿宋_GB2312"/>
          <w:sz w:val="32"/>
          <w:szCs w:val="32"/>
          <w:highlight w:val="none"/>
        </w:rPr>
        <w:t>海博思创储能系统超级工厂、高性能固态锂</w:t>
      </w:r>
      <w:r>
        <w:rPr>
          <w:rFonts w:hint="eastAsia" w:ascii="仿宋_GB2312" w:hAnsi="楷体" w:eastAsia="仿宋_GB2312"/>
          <w:sz w:val="32"/>
          <w:szCs w:val="32"/>
          <w:highlight w:val="none"/>
          <w:lang w:val="en-US" w:eastAsia="zh-CN"/>
        </w:rPr>
        <w:t>离子</w:t>
      </w:r>
      <w:r>
        <w:rPr>
          <w:rFonts w:hint="eastAsia" w:ascii="仿宋_GB2312" w:hAnsi="楷体" w:eastAsia="仿宋_GB2312"/>
          <w:sz w:val="32"/>
          <w:szCs w:val="32"/>
          <w:highlight w:val="none"/>
        </w:rPr>
        <w:t>电池量产</w:t>
      </w:r>
      <w:r>
        <w:rPr>
          <w:rFonts w:hint="eastAsia" w:ascii="仿宋_GB2312" w:hAnsi="楷体" w:eastAsia="仿宋_GB2312"/>
          <w:sz w:val="32"/>
          <w:szCs w:val="32"/>
          <w:highlight w:val="none"/>
          <w:lang w:val="en-US" w:eastAsia="zh-CN"/>
        </w:rPr>
        <w:t>建设</w:t>
      </w:r>
      <w:r>
        <w:rPr>
          <w:rFonts w:hint="eastAsia" w:ascii="仿宋_GB2312" w:hAnsi="楷体" w:eastAsia="仿宋_GB2312"/>
          <w:sz w:val="32"/>
          <w:szCs w:val="32"/>
          <w:highlight w:val="none"/>
        </w:rPr>
        <w:t>、新型储能装备研发及产业化项目等重点项目落地，承接技术中试、成果熟化等关键环节落位，引领区域制造业向高端化、智能化、绿色化方向发展</w:t>
      </w:r>
      <w:r>
        <w:rPr>
          <w:rFonts w:hint="eastAsia" w:ascii="仿宋_GB2312" w:hAnsi="楷体" w:eastAsia="仿宋_GB2312"/>
          <w:sz w:val="32"/>
          <w:szCs w:val="32"/>
          <w:highlight w:val="none"/>
          <w:lang w:eastAsia="zh-CN"/>
        </w:rPr>
        <w:t>。</w:t>
      </w:r>
    </w:p>
    <w:p w14:paraId="3D7C7C79">
      <w:pPr>
        <w:spacing w:after="160" w:line="560" w:lineRule="exact"/>
        <w:ind w:firstLine="643" w:firstLineChars="200"/>
        <w:rPr>
          <w:rFonts w:hint="eastAsia" w:ascii="仿宋_GB2312" w:hAnsi="楷体" w:eastAsia="仿宋_GB2312"/>
          <w:sz w:val="32"/>
          <w:szCs w:val="32"/>
          <w:highlight w:val="none"/>
          <w:lang w:eastAsia="zh-CN"/>
        </w:rPr>
      </w:pPr>
      <w:r>
        <w:rPr>
          <w:rFonts w:hint="eastAsia" w:ascii="仿宋_GB2312" w:hAnsi="楷体" w:eastAsia="仿宋_GB2312"/>
          <w:b/>
          <w:bCs/>
          <w:sz w:val="32"/>
          <w:szCs w:val="32"/>
          <w:highlight w:val="none"/>
        </w:rPr>
        <w:t>燕房转型发展片区</w:t>
      </w:r>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lang w:eastAsia="zh-CN"/>
        </w:rPr>
        <w:t>立足石化产业基础与转型发展需求，</w:t>
      </w:r>
      <w:r>
        <w:rPr>
          <w:rFonts w:hint="eastAsia" w:ascii="仿宋_GB2312" w:hAnsi="楷体" w:eastAsia="仿宋_GB2312"/>
          <w:sz w:val="32"/>
          <w:szCs w:val="32"/>
          <w:highlight w:val="none"/>
        </w:rPr>
        <w:t>紧抓北京石墨烯创新中心落地等重大机遇，聚焦石墨烯等战略前沿材料的研发与产业化，积极承接“三城一区”新材料技术成果转化项目，培育新材料领域的品牌企业与专精特新中小企业。</w:t>
      </w:r>
      <w:r>
        <w:rPr>
          <w:rFonts w:hint="eastAsia" w:ascii="仿宋_GB2312" w:hAnsi="楷体" w:eastAsia="仿宋_GB2312"/>
          <w:sz w:val="32"/>
          <w:szCs w:val="32"/>
          <w:highlight w:val="none"/>
          <w:lang w:eastAsia="zh-CN"/>
        </w:rPr>
        <w:t>依托新能源、新材料两大主导产业，</w:t>
      </w:r>
      <w:r>
        <w:rPr>
          <w:rFonts w:hint="eastAsia" w:ascii="仿宋_GB2312" w:hAnsi="楷体" w:eastAsia="仿宋_GB2312"/>
          <w:sz w:val="32"/>
          <w:szCs w:val="32"/>
          <w:highlight w:val="none"/>
        </w:rPr>
        <w:t>推动绿色能源</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新材料中试先导区建设，吸引产业</w:t>
      </w:r>
      <w:r>
        <w:rPr>
          <w:rFonts w:hint="eastAsia" w:ascii="仿宋_GB2312" w:hAnsi="楷体" w:eastAsia="仿宋_GB2312"/>
          <w:sz w:val="32"/>
          <w:szCs w:val="32"/>
          <w:highlight w:val="none"/>
          <w:lang w:val="en-US" w:eastAsia="zh-CN"/>
        </w:rPr>
        <w:t>链</w:t>
      </w:r>
      <w:r>
        <w:rPr>
          <w:rFonts w:hint="eastAsia" w:ascii="仿宋_GB2312" w:hAnsi="楷体" w:eastAsia="仿宋_GB2312"/>
          <w:sz w:val="32"/>
          <w:szCs w:val="32"/>
          <w:highlight w:val="none"/>
        </w:rPr>
        <w:t>上下游企业集聚</w:t>
      </w:r>
      <w:r>
        <w:rPr>
          <w:rFonts w:hint="eastAsia" w:ascii="仿宋_GB2312" w:hAnsi="楷体" w:eastAsia="仿宋_GB2312"/>
          <w:sz w:val="32"/>
          <w:szCs w:val="32"/>
          <w:highlight w:val="none"/>
          <w:lang w:eastAsia="zh-CN"/>
        </w:rPr>
        <w:t>。</w:t>
      </w:r>
    </w:p>
    <w:p w14:paraId="6BBFF4B0">
      <w:pPr>
        <w:spacing w:after="160" w:line="560" w:lineRule="exact"/>
        <w:ind w:firstLine="643" w:firstLineChars="200"/>
        <w:rPr>
          <w:rFonts w:hint="eastAsia" w:ascii="仿宋_GB2312" w:hAnsi="楷体" w:eastAsia="仿宋_GB2312"/>
          <w:sz w:val="32"/>
          <w:szCs w:val="32"/>
          <w:highlight w:val="none"/>
        </w:rPr>
      </w:pPr>
      <w:r>
        <w:rPr>
          <w:rFonts w:hint="eastAsia" w:ascii="仿宋_GB2312" w:hAnsi="楷体" w:eastAsia="仿宋_GB2312"/>
          <w:b/>
          <w:bCs/>
          <w:sz w:val="32"/>
          <w:szCs w:val="32"/>
          <w:highlight w:val="none"/>
        </w:rPr>
        <w:t>良乡大学城创新发展片区</w:t>
      </w:r>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rPr>
        <w:t>以“科创赋能、校城共生”为核心，通过优化功能配置、深化产学研融合、完善服务配套，打造充满活力的科教融合引领区</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重点承担科技研发、成果转化和科技服务等高附加值环节，发挥北理工国家级创新平台集群、北京市绿色能源产教融合基地作用，积极布局新一代信息技术、智能制造、医药健康等战略性产业，为科技创新与成果转化提供全周期、专业化的科技服务</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推进</w:t>
      </w:r>
      <w:r>
        <w:rPr>
          <w:rFonts w:hint="eastAsia" w:ascii="仿宋_GB2312" w:hAnsi="楷体" w:eastAsia="仿宋_GB2312"/>
          <w:sz w:val="32"/>
          <w:szCs w:val="32"/>
          <w:highlight w:val="none"/>
        </w:rPr>
        <w:t>原始创新与技术应用策源地</w:t>
      </w:r>
      <w:r>
        <w:rPr>
          <w:rFonts w:hint="eastAsia" w:ascii="仿宋_GB2312" w:hAnsi="楷体" w:eastAsia="仿宋_GB2312"/>
          <w:sz w:val="32"/>
          <w:szCs w:val="32"/>
          <w:highlight w:val="none"/>
          <w:lang w:val="en-US" w:eastAsia="zh-CN"/>
        </w:rPr>
        <w:t>建设</w:t>
      </w:r>
      <w:r>
        <w:rPr>
          <w:rFonts w:hint="eastAsia" w:ascii="仿宋_GB2312" w:hAnsi="楷体" w:eastAsia="仿宋_GB2312"/>
          <w:sz w:val="32"/>
          <w:szCs w:val="32"/>
          <w:highlight w:val="none"/>
        </w:rPr>
        <w:t>。</w:t>
      </w:r>
    </w:p>
    <w:bookmarkEnd w:id="160"/>
    <w:bookmarkEnd w:id="176"/>
    <w:bookmarkEnd w:id="177"/>
    <w:p w14:paraId="66010582">
      <w:pPr>
        <w:spacing w:after="160" w:line="560" w:lineRule="exact"/>
        <w:ind w:firstLine="643" w:firstLineChars="200"/>
        <w:rPr>
          <w:rFonts w:hint="eastAsia" w:ascii="仿宋_GB2312" w:hAnsi="楷体" w:eastAsia="仿宋_GB2312"/>
          <w:sz w:val="32"/>
          <w:szCs w:val="32"/>
          <w:highlight w:val="none"/>
        </w:rPr>
      </w:pPr>
      <w:bookmarkStart w:id="178" w:name="_Toc24401"/>
      <w:bookmarkStart w:id="179" w:name="_Toc3666"/>
      <w:r>
        <w:rPr>
          <w:rFonts w:hint="eastAsia" w:ascii="仿宋_GB2312" w:hAnsi="楷体" w:eastAsia="仿宋_GB2312"/>
          <w:b/>
          <w:bCs/>
          <w:sz w:val="32"/>
          <w:szCs w:val="32"/>
          <w:highlight w:val="none"/>
        </w:rPr>
        <w:t>盘活低效用地提升利用效能</w:t>
      </w:r>
      <w:bookmarkEnd w:id="178"/>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rPr>
        <w:t>全面梳理低效闲置空间，结合建设用地增减挂钩政策，推进</w:t>
      </w:r>
      <w:r>
        <w:rPr>
          <w:rFonts w:hint="eastAsia" w:ascii="仿宋_GB2312" w:hAnsi="楷体" w:eastAsia="仿宋_GB2312"/>
          <w:sz w:val="32"/>
          <w:szCs w:val="32"/>
          <w:highlight w:val="none"/>
          <w:lang w:eastAsia="zh-CN"/>
        </w:rPr>
        <w:t>中关村房山园</w:t>
      </w:r>
      <w:r>
        <w:rPr>
          <w:rFonts w:hint="eastAsia" w:ascii="仿宋_GB2312" w:hAnsi="楷体" w:eastAsia="仿宋_GB2312"/>
          <w:sz w:val="32"/>
          <w:szCs w:val="32"/>
          <w:highlight w:val="none"/>
        </w:rPr>
        <w:t>产业空间精细化布局，优化用地效能。按照“一地一策”原则，探索土地混合开发、空间复合利用和土地用途依法合理转换，积极推动基础设施领域不动产投资信托基金（REITs）在园区存量资产盘活中的应用</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推动闲置用地盘活利用和低效用地再开发，提升产业空间土地利用效率。创新用地政策，探索产业混合用地供给模式和二次开发模式，提高土地利用效率，实现土地资源的高效配置。重点推进北京石化新材料科技产业基地核心区东区等重点区域的土地前期开发工作，加快高精尖产业项目落地。</w:t>
      </w:r>
    </w:p>
    <w:p w14:paraId="508655CA">
      <w:pPr>
        <w:spacing w:after="160" w:line="560" w:lineRule="exact"/>
        <w:ind w:firstLine="643" w:firstLineChars="200"/>
        <w:rPr>
          <w:rFonts w:hint="eastAsia" w:ascii="仿宋_GB2312" w:hAnsi="楷体" w:eastAsia="仿宋_GB2312"/>
          <w:sz w:val="32"/>
          <w:szCs w:val="32"/>
          <w:highlight w:val="none"/>
        </w:rPr>
      </w:pPr>
      <w:bookmarkStart w:id="180" w:name="_Toc25741"/>
      <w:r>
        <w:rPr>
          <w:rFonts w:hint="eastAsia" w:ascii="仿宋_GB2312" w:hAnsi="楷体" w:eastAsia="仿宋_GB2312"/>
          <w:b/>
          <w:bCs/>
          <w:sz w:val="32"/>
          <w:szCs w:val="32"/>
          <w:highlight w:val="none"/>
        </w:rPr>
        <w:t>完善园区基础配套设施建设</w:t>
      </w:r>
      <w:bookmarkEnd w:id="180"/>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rPr>
        <w:t>优化园区内外交通路网体系，提升区域交通服务质效</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加快</w:t>
      </w:r>
      <w:r>
        <w:rPr>
          <w:rFonts w:hint="eastAsia" w:ascii="仿宋_GB2312" w:hAnsi="楷体" w:eastAsia="仿宋_GB2312"/>
          <w:sz w:val="32"/>
          <w:szCs w:val="32"/>
          <w:highlight w:val="none"/>
        </w:rPr>
        <w:t>京东方生命科技产业园等重点区域周边配套道路建设，</w:t>
      </w:r>
      <w:r>
        <w:rPr>
          <w:rFonts w:hint="eastAsia" w:ascii="仿宋_GB2312" w:hAnsi="楷体" w:eastAsia="仿宋_GB2312"/>
          <w:sz w:val="32"/>
          <w:szCs w:val="32"/>
          <w:highlight w:val="none"/>
          <w:lang w:val="en-US" w:eastAsia="zh-CN"/>
        </w:rPr>
        <w:t>结合北京高端制造业基地、北京绿色能源和新材料产业基地等重要功能区建设，促进交通与产业融合发展</w:t>
      </w:r>
      <w:r>
        <w:rPr>
          <w:rFonts w:hint="eastAsia" w:ascii="仿宋_GB2312" w:hAnsi="楷体" w:eastAsia="仿宋_GB2312"/>
          <w:sz w:val="32"/>
          <w:szCs w:val="32"/>
          <w:highlight w:val="none"/>
        </w:rPr>
        <w:t>。聚焦补短板、强弱项，加快优化水、电、气、热等基础设施功能布局，新建220千伏长安站、110千伏望楚站等电力设施，</w:t>
      </w:r>
      <w:r>
        <w:rPr>
          <w:rFonts w:hint="eastAsia" w:ascii="仿宋_GB2312" w:hAnsi="楷体" w:eastAsia="仿宋_GB2312"/>
          <w:sz w:val="32"/>
          <w:szCs w:val="32"/>
          <w:highlight w:val="none"/>
          <w:lang w:val="en-US" w:eastAsia="zh-CN"/>
        </w:rPr>
        <w:t>推进窦店东区再生水厂等设施建设，</w:t>
      </w:r>
      <w:r>
        <w:rPr>
          <w:rFonts w:hint="eastAsia" w:ascii="仿宋_GB2312" w:hAnsi="楷体" w:eastAsia="仿宋_GB2312"/>
          <w:sz w:val="32"/>
          <w:szCs w:val="32"/>
          <w:highlight w:val="none"/>
        </w:rPr>
        <w:t>提升</w:t>
      </w:r>
      <w:r>
        <w:rPr>
          <w:rFonts w:hint="eastAsia" w:ascii="仿宋_GB2312" w:hAnsi="楷体" w:eastAsia="仿宋_GB2312"/>
          <w:sz w:val="32"/>
          <w:szCs w:val="32"/>
          <w:highlight w:val="none"/>
          <w:lang w:eastAsia="zh-CN"/>
        </w:rPr>
        <w:t>中关村房山园</w:t>
      </w:r>
      <w:r>
        <w:rPr>
          <w:rFonts w:hint="eastAsia" w:ascii="仿宋_GB2312" w:hAnsi="楷体" w:eastAsia="仿宋_GB2312"/>
          <w:sz w:val="32"/>
          <w:szCs w:val="32"/>
          <w:highlight w:val="none"/>
        </w:rPr>
        <w:t>基础设施运行效率和服务品质</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以服务企业发展和科技创新人群为</w:t>
      </w:r>
      <w:r>
        <w:rPr>
          <w:rFonts w:hint="eastAsia" w:ascii="仿宋_GB2312" w:hAnsi="楷体" w:eastAsia="仿宋_GB2312"/>
          <w:sz w:val="32"/>
          <w:szCs w:val="32"/>
          <w:highlight w:val="none"/>
          <w:lang w:val="en-US" w:eastAsia="zh-CN"/>
        </w:rPr>
        <w:t>导向</w:t>
      </w:r>
      <w:r>
        <w:rPr>
          <w:rFonts w:hint="eastAsia" w:ascii="仿宋_GB2312" w:hAnsi="楷体" w:eastAsia="仿宋_GB2312"/>
          <w:sz w:val="32"/>
          <w:szCs w:val="32"/>
          <w:highlight w:val="none"/>
        </w:rPr>
        <w:t>，</w:t>
      </w:r>
      <w:r>
        <w:rPr>
          <w:rFonts w:hint="eastAsia" w:ascii="仿宋_GB2312" w:hAnsi="楷体" w:eastAsia="仿宋_GB2312"/>
          <w:sz w:val="32"/>
          <w:szCs w:val="32"/>
          <w:highlight w:val="none"/>
          <w:lang w:val="en-US" w:eastAsia="zh-CN"/>
        </w:rPr>
        <w:t>完善</w:t>
      </w:r>
      <w:r>
        <w:rPr>
          <w:rFonts w:hint="eastAsia" w:ascii="仿宋_GB2312" w:hAnsi="楷体" w:eastAsia="仿宋_GB2312"/>
          <w:sz w:val="32"/>
          <w:szCs w:val="32"/>
          <w:highlight w:val="none"/>
        </w:rPr>
        <w:t>交通通勤、商业服务、休闲娱乐、体育运动、文化服务等公共设施</w:t>
      </w:r>
      <w:r>
        <w:rPr>
          <w:rFonts w:hint="eastAsia" w:ascii="仿宋_GB2312" w:hAnsi="楷体" w:eastAsia="仿宋_GB2312"/>
          <w:sz w:val="32"/>
          <w:szCs w:val="32"/>
          <w:highlight w:val="none"/>
          <w:lang w:val="en-US" w:eastAsia="zh-CN"/>
        </w:rPr>
        <w:t>配套</w:t>
      </w:r>
      <w:r>
        <w:rPr>
          <w:rFonts w:hint="eastAsia" w:ascii="仿宋_GB2312" w:hAnsi="楷体" w:eastAsia="仿宋_GB2312"/>
          <w:sz w:val="32"/>
          <w:szCs w:val="32"/>
          <w:highlight w:val="none"/>
          <w:lang w:eastAsia="zh-CN"/>
        </w:rPr>
        <w:t>，打造产城融合、功能完善的创新社区</w:t>
      </w:r>
      <w:r>
        <w:rPr>
          <w:rFonts w:hint="eastAsia" w:ascii="仿宋_GB2312" w:hAnsi="楷体" w:eastAsia="仿宋_GB2312"/>
          <w:sz w:val="32"/>
          <w:szCs w:val="32"/>
          <w:highlight w:val="none"/>
        </w:rPr>
        <w:t>。加强与周边区域协作，完善公租房、租赁型人才公寓等居住配套，</w:t>
      </w:r>
      <w:r>
        <w:rPr>
          <w:rFonts w:hint="eastAsia" w:ascii="仿宋_GB2312" w:hAnsi="楷体" w:eastAsia="仿宋_GB2312"/>
          <w:sz w:val="32"/>
          <w:szCs w:val="32"/>
          <w:highlight w:val="none"/>
          <w:lang w:val="en-US" w:eastAsia="zh-CN"/>
        </w:rPr>
        <w:t>引导</w:t>
      </w:r>
      <w:r>
        <w:rPr>
          <w:rFonts w:hint="eastAsia" w:ascii="仿宋_GB2312" w:hAnsi="楷体" w:eastAsia="仿宋_GB2312"/>
          <w:sz w:val="32"/>
          <w:szCs w:val="32"/>
          <w:highlight w:val="none"/>
        </w:rPr>
        <w:t>教育、医疗设施</w:t>
      </w:r>
      <w:r>
        <w:rPr>
          <w:rFonts w:hint="eastAsia" w:ascii="仿宋_GB2312" w:hAnsi="楷体" w:eastAsia="仿宋_GB2312"/>
          <w:sz w:val="32"/>
          <w:szCs w:val="32"/>
          <w:highlight w:val="none"/>
          <w:lang w:val="en-US" w:eastAsia="zh-CN"/>
        </w:rPr>
        <w:t>合理布局</w:t>
      </w:r>
      <w:r>
        <w:rPr>
          <w:rFonts w:hint="eastAsia" w:ascii="仿宋_GB2312" w:hAnsi="楷体" w:eastAsia="仿宋_GB2312"/>
          <w:sz w:val="32"/>
          <w:szCs w:val="32"/>
          <w:highlight w:val="none"/>
        </w:rPr>
        <w:t>，推动园区内部及与周边镇街的产城融合深度发展。</w:t>
      </w:r>
    </w:p>
    <w:p w14:paraId="0E286D78">
      <w:pPr>
        <w:spacing w:after="160" w:line="560" w:lineRule="exact"/>
        <w:ind w:firstLine="643" w:firstLineChars="200"/>
        <w:rPr>
          <w:rFonts w:hint="eastAsia" w:ascii="仿宋_GB2312" w:hAnsi="楷体" w:eastAsia="仿宋_GB2312"/>
          <w:sz w:val="32"/>
          <w:szCs w:val="32"/>
          <w:highlight w:val="none"/>
        </w:rPr>
      </w:pPr>
      <w:bookmarkStart w:id="181" w:name="_Toc30925"/>
      <w:bookmarkStart w:id="182" w:name="_Toc11710"/>
      <w:bookmarkStart w:id="183" w:name="_Toc28213"/>
      <w:bookmarkStart w:id="184" w:name="_Toc21241"/>
      <w:bookmarkStart w:id="185" w:name="_Toc11940"/>
      <w:bookmarkStart w:id="186" w:name="_Toc10084"/>
      <w:bookmarkStart w:id="187" w:name="_Toc21265"/>
      <w:bookmarkStart w:id="188" w:name="_Toc20168"/>
      <w:r>
        <w:rPr>
          <w:rFonts w:hint="eastAsia" w:ascii="仿宋_GB2312" w:hAnsi="楷体" w:eastAsia="仿宋_GB2312"/>
          <w:b/>
          <w:bCs/>
          <w:sz w:val="32"/>
          <w:szCs w:val="32"/>
          <w:highlight w:val="none"/>
        </w:rPr>
        <w:t>引导园区绿色</w:t>
      </w:r>
      <w:bookmarkEnd w:id="181"/>
      <w:bookmarkEnd w:id="182"/>
      <w:bookmarkEnd w:id="183"/>
      <w:bookmarkEnd w:id="184"/>
      <w:r>
        <w:rPr>
          <w:rFonts w:hint="eastAsia" w:ascii="仿宋_GB2312" w:hAnsi="楷体" w:eastAsia="仿宋_GB2312"/>
          <w:b/>
          <w:bCs/>
          <w:sz w:val="32"/>
          <w:szCs w:val="32"/>
          <w:highlight w:val="none"/>
        </w:rPr>
        <w:t>安全</w:t>
      </w:r>
      <w:bookmarkEnd w:id="185"/>
      <w:bookmarkEnd w:id="186"/>
      <w:bookmarkEnd w:id="187"/>
      <w:r>
        <w:rPr>
          <w:rFonts w:hint="eastAsia" w:ascii="仿宋_GB2312" w:hAnsi="楷体" w:eastAsia="仿宋_GB2312"/>
          <w:b/>
          <w:bCs/>
          <w:sz w:val="32"/>
          <w:szCs w:val="32"/>
          <w:highlight w:val="none"/>
        </w:rPr>
        <w:t>发展</w:t>
      </w:r>
      <w:bookmarkEnd w:id="188"/>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rPr>
        <w:t>坚持绿色低碳与安全发展并重，推动中关村房山园在绿色转型与安全生产领域协同并进。强化绿色低碳发展导向</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发挥主导产业优势，聚焦新能源技术、新型储能、氢能等核心领域，加快绿色技术创新突破</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加大对绿色技术研发机构和企业的扶持力度，推动绿色技术成果在园区加速转化落地，助力园区绿色产业集聚发展。筑牢安全生产发展底线</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将</w:t>
      </w:r>
      <w:r>
        <w:rPr>
          <w:rFonts w:hint="eastAsia" w:ascii="仿宋_GB2312" w:hAnsi="楷体" w:eastAsia="仿宋_GB2312"/>
          <w:sz w:val="32"/>
          <w:szCs w:val="32"/>
          <w:highlight w:val="none"/>
        </w:rPr>
        <w:t>安全生产科学技术研究和开发推广应用工作纳入园区发展规划，构建安全生产技术支撑体系</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全面落实持证上岗制度</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强化生产经营单位主要负责人的安全</w:t>
      </w:r>
      <w:r>
        <w:rPr>
          <w:rFonts w:hint="eastAsia" w:ascii="仿宋_GB2312" w:hAnsi="楷体" w:eastAsia="仿宋_GB2312"/>
          <w:sz w:val="32"/>
          <w:szCs w:val="32"/>
          <w:highlight w:val="none"/>
          <w:lang w:val="en-US" w:eastAsia="zh-CN"/>
        </w:rPr>
        <w:t>责任意识</w:t>
      </w:r>
      <w:r>
        <w:rPr>
          <w:rFonts w:hint="eastAsia" w:ascii="仿宋_GB2312" w:hAnsi="楷体" w:eastAsia="仿宋_GB2312"/>
          <w:sz w:val="32"/>
          <w:szCs w:val="32"/>
          <w:highlight w:val="none"/>
        </w:rPr>
        <w:t>，督促园区内生产经营单位加强对从业人员的厂级、车间、班组三级教育和轮岗培训</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对采用</w:t>
      </w:r>
      <w:r>
        <w:rPr>
          <w:rFonts w:hint="eastAsia" w:ascii="仿宋_GB2312" w:hAnsi="楷体" w:eastAsia="仿宋_GB2312"/>
          <w:sz w:val="32"/>
          <w:szCs w:val="32"/>
          <w:highlight w:val="none"/>
        </w:rPr>
        <w:t>新工艺、新技术、新材料、新设备</w:t>
      </w:r>
      <w:r>
        <w:rPr>
          <w:rFonts w:hint="eastAsia" w:ascii="仿宋_GB2312" w:hAnsi="楷体" w:eastAsia="仿宋_GB2312"/>
          <w:sz w:val="32"/>
          <w:szCs w:val="32"/>
          <w:highlight w:val="none"/>
          <w:lang w:val="en-US" w:eastAsia="zh-CN"/>
        </w:rPr>
        <w:t>的企业</w:t>
      </w:r>
      <w:r>
        <w:rPr>
          <w:rFonts w:hint="eastAsia" w:ascii="仿宋_GB2312" w:hAnsi="楷体" w:eastAsia="仿宋_GB2312"/>
          <w:sz w:val="32"/>
          <w:szCs w:val="32"/>
          <w:highlight w:val="none"/>
        </w:rPr>
        <w:t>，严格开展专项培训，提升从业人员安全知识和操作技能，以高水平安全保障园区高质量发展。</w:t>
      </w:r>
    </w:p>
    <w:p w14:paraId="1D283C9B">
      <w:pPr>
        <w:spacing w:after="160" w:line="560" w:lineRule="exact"/>
        <w:ind w:firstLine="643" w:firstLineChars="200"/>
        <w:rPr>
          <w:rFonts w:hint="eastAsia" w:ascii="仿宋_GB2312" w:hAnsi="楷体" w:eastAsia="仿宋_GB2312"/>
          <w:sz w:val="32"/>
          <w:szCs w:val="32"/>
          <w:highlight w:val="none"/>
        </w:rPr>
      </w:pPr>
      <w:r>
        <w:rPr>
          <w:rFonts w:hint="eastAsia" w:ascii="仿宋_GB2312" w:hAnsi="楷体" w:eastAsia="仿宋_GB2312"/>
          <w:b/>
          <w:bCs/>
          <w:sz w:val="32"/>
          <w:szCs w:val="32"/>
          <w:highlight w:val="none"/>
        </w:rPr>
        <w:t>塑造花园式</w:t>
      </w:r>
      <w:r>
        <w:rPr>
          <w:rFonts w:hint="eastAsia" w:ascii="仿宋_GB2312" w:hAnsi="楷体" w:eastAsia="仿宋_GB2312"/>
          <w:b/>
          <w:bCs/>
          <w:sz w:val="32"/>
          <w:szCs w:val="32"/>
          <w:highlight w:val="none"/>
          <w:lang w:val="en-US" w:eastAsia="zh-CN"/>
        </w:rPr>
        <w:t>智慧低碳</w:t>
      </w:r>
      <w:r>
        <w:rPr>
          <w:rFonts w:hint="eastAsia" w:ascii="仿宋_GB2312" w:hAnsi="楷体" w:eastAsia="仿宋_GB2312"/>
          <w:b/>
          <w:bCs/>
          <w:sz w:val="32"/>
          <w:szCs w:val="32"/>
          <w:highlight w:val="none"/>
        </w:rPr>
        <w:t>园区</w:t>
      </w:r>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rPr>
        <w:t>增强北京高端制造业基地区域吸引力，升级“花园前店”与“绿色后厂”空间品质，推进京东方生命科技产业基地内外环境品质优化提升，打造连续、安全、舒适的慢行系统，串联工作园区与居住社区，营造多元化花园式交互场景。统筹提升北京绿色能源和新材料产业基地生产研发环境、道路景观风貌、生态绿廊功能，加强智慧低碳韧性园区建设。</w:t>
      </w:r>
    </w:p>
    <w:bookmarkEnd w:id="179"/>
    <w:p w14:paraId="57245EBD">
      <w:pPr>
        <w:pStyle w:val="4"/>
        <w:spacing w:before="0" w:after="160" w:line="560" w:lineRule="exact"/>
        <w:ind w:firstLine="640" w:firstLineChars="200"/>
        <w:rPr>
          <w:rFonts w:hint="eastAsia" w:ascii="楷体_GB2312" w:hAnsi="楷体_GB2312" w:eastAsia="楷体_GB2312" w:cs="楷体_GB2312"/>
          <w:b w:val="0"/>
          <w:color w:val="191919"/>
          <w:highlight w:val="none"/>
          <w:shd w:val="clear" w:color="auto" w:fill="FFFFFF"/>
        </w:rPr>
      </w:pPr>
      <w:bookmarkStart w:id="189" w:name="_Toc11630"/>
      <w:bookmarkStart w:id="190" w:name="_Toc24097"/>
      <w:bookmarkStart w:id="191" w:name="_Toc20854"/>
      <w:bookmarkStart w:id="192" w:name="_Toc3786"/>
      <w:bookmarkStart w:id="193" w:name="_Toc21218"/>
      <w:bookmarkStart w:id="194" w:name="_Toc2344"/>
      <w:bookmarkStart w:id="195" w:name="_Toc16998"/>
      <w:bookmarkStart w:id="196" w:name="_Toc22849"/>
      <w:bookmarkStart w:id="197" w:name="_Toc29628"/>
      <w:r>
        <w:rPr>
          <w:rFonts w:hint="eastAsia" w:ascii="楷体_GB2312" w:hAnsi="楷体_GB2312" w:eastAsia="楷体_GB2312" w:cs="楷体_GB2312"/>
          <w:b w:val="0"/>
          <w:color w:val="191919"/>
          <w:highlight w:val="none"/>
          <w:shd w:val="clear" w:color="auto" w:fill="FFFFFF"/>
          <w:lang w:eastAsia="zh-CN"/>
        </w:rPr>
        <w:t>（三）</w:t>
      </w:r>
      <w:r>
        <w:rPr>
          <w:rFonts w:hint="eastAsia" w:ascii="楷体_GB2312" w:hAnsi="楷体_GB2312" w:eastAsia="楷体_GB2312" w:cs="楷体_GB2312"/>
          <w:b w:val="0"/>
          <w:color w:val="191919"/>
          <w:highlight w:val="none"/>
          <w:shd w:val="clear" w:color="auto" w:fill="FFFFFF"/>
        </w:rPr>
        <w:t>聚势赋能提升科技成果转化成效</w:t>
      </w:r>
      <w:bookmarkEnd w:id="189"/>
    </w:p>
    <w:p w14:paraId="6AB4284A">
      <w:pPr>
        <w:spacing w:after="160" w:line="560" w:lineRule="exact"/>
        <w:ind w:firstLine="643" w:firstLineChars="200"/>
        <w:rPr>
          <w:rFonts w:hint="eastAsia" w:ascii="仿宋_GB2312" w:hAnsi="楷体" w:eastAsia="仿宋_GB2312"/>
          <w:sz w:val="32"/>
          <w:szCs w:val="32"/>
          <w:highlight w:val="none"/>
        </w:rPr>
      </w:pPr>
      <w:bookmarkStart w:id="198" w:name="_Toc24963"/>
      <w:r>
        <w:rPr>
          <w:rFonts w:hint="eastAsia" w:ascii="仿宋_GB2312" w:hAnsi="楷体" w:eastAsia="仿宋_GB2312"/>
          <w:b/>
          <w:bCs/>
          <w:sz w:val="32"/>
          <w:szCs w:val="32"/>
          <w:highlight w:val="none"/>
        </w:rPr>
        <w:t>深化协同机制，激活成果转化源头动力</w:t>
      </w:r>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lang w:eastAsia="zh-CN"/>
        </w:rPr>
        <w:t>以打通科技成果转化堵点为核心，</w:t>
      </w:r>
      <w:r>
        <w:rPr>
          <w:rFonts w:hint="eastAsia" w:ascii="仿宋_GB2312" w:hAnsi="楷体" w:eastAsia="仿宋_GB2312"/>
          <w:sz w:val="32"/>
          <w:szCs w:val="32"/>
          <w:highlight w:val="none"/>
        </w:rPr>
        <w:t>深化科技成果转化政策改革</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紧抓</w:t>
      </w:r>
      <w:r>
        <w:rPr>
          <w:rFonts w:hint="eastAsia" w:ascii="仿宋_GB2312" w:hAnsi="楷体" w:eastAsia="仿宋_GB2312"/>
          <w:sz w:val="32"/>
          <w:szCs w:val="32"/>
          <w:highlight w:val="none"/>
        </w:rPr>
        <w:t>新一轮中关村先行先试改革契机，围绕制约科技成果转化的</w:t>
      </w:r>
      <w:r>
        <w:rPr>
          <w:rFonts w:hint="eastAsia" w:ascii="仿宋_GB2312" w:hAnsi="楷体" w:eastAsia="仿宋_GB2312"/>
          <w:sz w:val="32"/>
          <w:szCs w:val="32"/>
          <w:highlight w:val="none"/>
          <w:lang w:val="en-US" w:eastAsia="zh-CN"/>
        </w:rPr>
        <w:t>制度性障碍</w:t>
      </w:r>
      <w:r>
        <w:rPr>
          <w:rFonts w:hint="eastAsia" w:ascii="仿宋_GB2312" w:hAnsi="楷体" w:eastAsia="仿宋_GB2312"/>
          <w:sz w:val="32"/>
          <w:szCs w:val="32"/>
          <w:highlight w:val="none"/>
        </w:rPr>
        <w:t>，加大政策试点探索力度</w:t>
      </w:r>
      <w:r>
        <w:rPr>
          <w:rFonts w:hint="eastAsia" w:ascii="仿宋_GB2312" w:hAnsi="楷体" w:eastAsia="仿宋_GB2312"/>
          <w:sz w:val="32"/>
          <w:szCs w:val="32"/>
          <w:highlight w:val="none"/>
          <w:lang w:eastAsia="zh-CN"/>
        </w:rPr>
        <w:t>，营造有利于成果转化的制度环境</w:t>
      </w:r>
      <w:r>
        <w:rPr>
          <w:rFonts w:hint="eastAsia" w:ascii="仿宋_GB2312" w:hAnsi="楷体" w:eastAsia="仿宋_GB2312"/>
          <w:sz w:val="32"/>
          <w:szCs w:val="32"/>
          <w:highlight w:val="none"/>
        </w:rPr>
        <w:t>。</w:t>
      </w:r>
      <w:r>
        <w:rPr>
          <w:rFonts w:hint="eastAsia" w:ascii="仿宋_GB2312" w:hAnsi="楷体" w:eastAsia="仿宋_GB2312"/>
          <w:sz w:val="32"/>
          <w:szCs w:val="32"/>
          <w:highlight w:val="none"/>
          <w:lang w:eastAsia="zh-CN"/>
        </w:rPr>
        <w:t>强化龙头带动与源头协同，支持园区龙头企业牵头组建创新联合体，开展关键共性技术研发及科技成果中试和示范应用；</w:t>
      </w:r>
      <w:r>
        <w:rPr>
          <w:rFonts w:hint="eastAsia" w:ascii="仿宋_GB2312" w:hAnsi="楷体" w:eastAsia="仿宋_GB2312"/>
          <w:sz w:val="32"/>
          <w:szCs w:val="32"/>
          <w:highlight w:val="none"/>
          <w:lang w:val="en-US" w:eastAsia="zh-CN"/>
        </w:rPr>
        <w:t>深化</w:t>
      </w:r>
      <w:r>
        <w:rPr>
          <w:rFonts w:hint="eastAsia" w:ascii="仿宋_GB2312" w:hAnsi="楷体" w:eastAsia="仿宋_GB2312"/>
          <w:sz w:val="32"/>
          <w:szCs w:val="32"/>
          <w:highlight w:val="none"/>
        </w:rPr>
        <w:t>基础研究与市场需求的协同联动，主动对接国家级重大科学计划，</w:t>
      </w:r>
      <w:r>
        <w:rPr>
          <w:rFonts w:hint="eastAsia" w:ascii="仿宋_GB2312" w:hAnsi="楷体" w:eastAsia="仿宋_GB2312"/>
          <w:sz w:val="32"/>
          <w:szCs w:val="32"/>
          <w:highlight w:val="none"/>
          <w:lang w:val="en-US" w:eastAsia="zh-CN"/>
        </w:rPr>
        <w:t>加强</w:t>
      </w:r>
      <w:r>
        <w:rPr>
          <w:rFonts w:hint="eastAsia" w:ascii="仿宋_GB2312" w:hAnsi="楷体" w:eastAsia="仿宋_GB2312"/>
          <w:sz w:val="32"/>
          <w:szCs w:val="32"/>
          <w:highlight w:val="none"/>
        </w:rPr>
        <w:t>与国内领先科研院所、重点实验室</w:t>
      </w:r>
      <w:r>
        <w:rPr>
          <w:rFonts w:hint="eastAsia" w:ascii="仿宋_GB2312" w:hAnsi="楷体" w:eastAsia="仿宋_GB2312"/>
          <w:sz w:val="32"/>
          <w:szCs w:val="32"/>
          <w:highlight w:val="none"/>
          <w:lang w:val="en-US" w:eastAsia="zh-CN"/>
        </w:rPr>
        <w:t>及</w:t>
      </w:r>
      <w:r>
        <w:rPr>
          <w:rFonts w:hint="eastAsia" w:ascii="仿宋_GB2312" w:hAnsi="楷体" w:eastAsia="仿宋_GB2312"/>
          <w:sz w:val="32"/>
          <w:szCs w:val="32"/>
          <w:highlight w:val="none"/>
        </w:rPr>
        <w:t>行业领军</w:t>
      </w:r>
      <w:r>
        <w:rPr>
          <w:rFonts w:hint="eastAsia" w:ascii="仿宋_GB2312" w:hAnsi="楷体" w:eastAsia="仿宋_GB2312"/>
          <w:sz w:val="32"/>
          <w:szCs w:val="32"/>
          <w:highlight w:val="none"/>
          <w:lang w:val="en-US" w:eastAsia="zh-CN"/>
        </w:rPr>
        <w:t>人才</w:t>
      </w:r>
      <w:r>
        <w:rPr>
          <w:rFonts w:hint="eastAsia" w:ascii="仿宋_GB2312" w:hAnsi="楷体" w:eastAsia="仿宋_GB2312"/>
          <w:sz w:val="32"/>
          <w:szCs w:val="32"/>
          <w:highlight w:val="none"/>
        </w:rPr>
        <w:t>的合作，力争取得一批原始创新成果。全面融入首都创新格局，充分发挥科教资源聚集优势，深化与“三城一区”</w:t>
      </w:r>
      <w:r>
        <w:rPr>
          <w:rFonts w:hint="eastAsia" w:ascii="仿宋_GB2312" w:hAnsi="楷体" w:eastAsia="仿宋_GB2312"/>
          <w:sz w:val="32"/>
          <w:szCs w:val="32"/>
          <w:highlight w:val="none"/>
          <w:lang w:val="en-US" w:eastAsia="zh-CN"/>
        </w:rPr>
        <w:t>主平台联动发展</w:t>
      </w:r>
      <w:r>
        <w:rPr>
          <w:rFonts w:hint="eastAsia" w:ascii="仿宋_GB2312" w:hAnsi="楷体" w:eastAsia="仿宋_GB2312"/>
          <w:sz w:val="32"/>
          <w:szCs w:val="32"/>
          <w:highlight w:val="none"/>
        </w:rPr>
        <w:t>，</w:t>
      </w:r>
      <w:r>
        <w:rPr>
          <w:rFonts w:hint="eastAsia" w:ascii="仿宋_GB2312" w:hAnsi="楷体" w:eastAsia="仿宋_GB2312"/>
          <w:sz w:val="32"/>
          <w:szCs w:val="32"/>
          <w:highlight w:val="none"/>
          <w:lang w:val="en-US" w:eastAsia="zh-CN"/>
        </w:rPr>
        <w:t>积极承接科技成果转化与产业转移，</w:t>
      </w:r>
      <w:r>
        <w:rPr>
          <w:rFonts w:hint="eastAsia" w:ascii="仿宋_GB2312" w:hAnsi="楷体" w:eastAsia="仿宋_GB2312"/>
          <w:sz w:val="32"/>
          <w:szCs w:val="32"/>
          <w:highlight w:val="none"/>
        </w:rPr>
        <w:t>联合开展产业导向的基础研究和技术攻关</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实施概念验证、中试小试等专项行动，建设绿色能源新材料中试先导区，促进创新链产业链资金链人才链深度融合</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引导园区企业与驻区高校、科研院所共建研发中心，全面提升区域产业创新引领和辐射带动能力，全面激活创新发展新引擎。</w:t>
      </w:r>
    </w:p>
    <w:bookmarkEnd w:id="198"/>
    <w:p w14:paraId="544D08D7">
      <w:pPr>
        <w:spacing w:after="160" w:line="560" w:lineRule="exact"/>
        <w:ind w:firstLine="643" w:firstLineChars="200"/>
        <w:rPr>
          <w:rFonts w:hint="eastAsia" w:ascii="仿宋_GB2312" w:hAnsi="楷体" w:eastAsia="仿宋_GB2312"/>
          <w:sz w:val="32"/>
          <w:szCs w:val="32"/>
          <w:highlight w:val="none"/>
        </w:rPr>
      </w:pPr>
      <w:r>
        <w:rPr>
          <w:rFonts w:hint="eastAsia" w:ascii="仿宋_GB2312" w:hAnsi="楷体" w:eastAsia="仿宋_GB2312"/>
          <w:b/>
          <w:bCs/>
          <w:sz w:val="32"/>
          <w:szCs w:val="32"/>
          <w:highlight w:val="none"/>
        </w:rPr>
        <w:t>健全服务矩阵，提升转化过程专业效能</w:t>
      </w:r>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rPr>
        <w:t>做强专业服务机构，支持</w:t>
      </w:r>
      <w:r>
        <w:rPr>
          <w:rFonts w:hint="eastAsia" w:ascii="仿宋_GB2312" w:hAnsi="楷体" w:eastAsia="仿宋_GB2312"/>
          <w:sz w:val="32"/>
          <w:szCs w:val="32"/>
          <w:highlight w:val="none"/>
          <w:lang w:val="en-US" w:eastAsia="zh-CN"/>
        </w:rPr>
        <w:t>培育一批</w:t>
      </w:r>
      <w:r>
        <w:rPr>
          <w:rFonts w:hint="eastAsia" w:ascii="仿宋_GB2312" w:hAnsi="楷体" w:eastAsia="仿宋_GB2312"/>
          <w:sz w:val="32"/>
          <w:szCs w:val="32"/>
          <w:highlight w:val="none"/>
        </w:rPr>
        <w:t>市场化、专业化、机制灵活的标杆技术转移机构，提供成果评估、专利布局、团队搭建、股权设计等全流程服务</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优化供需对接，</w:t>
      </w:r>
      <w:r>
        <w:rPr>
          <w:rFonts w:hint="eastAsia" w:ascii="仿宋_GB2312" w:hAnsi="楷体" w:eastAsia="仿宋_GB2312"/>
          <w:sz w:val="32"/>
          <w:szCs w:val="32"/>
          <w:highlight w:val="none"/>
        </w:rPr>
        <w:t>围绕产业</w:t>
      </w:r>
      <w:r>
        <w:rPr>
          <w:rFonts w:hint="eastAsia" w:ascii="仿宋_GB2312" w:hAnsi="楷体" w:eastAsia="仿宋_GB2312"/>
          <w:sz w:val="32"/>
          <w:szCs w:val="32"/>
          <w:highlight w:val="none"/>
          <w:lang w:val="en-US" w:eastAsia="zh-CN"/>
        </w:rPr>
        <w:t>发展</w:t>
      </w:r>
      <w:r>
        <w:rPr>
          <w:rFonts w:hint="eastAsia" w:ascii="仿宋_GB2312" w:hAnsi="楷体" w:eastAsia="仿宋_GB2312"/>
          <w:sz w:val="32"/>
          <w:szCs w:val="32"/>
          <w:highlight w:val="none"/>
        </w:rPr>
        <w:t>定位</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建立科技成果供给和企业需求精准匹配</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高效转化</w:t>
      </w:r>
      <w:r>
        <w:rPr>
          <w:rFonts w:hint="eastAsia" w:ascii="仿宋_GB2312" w:hAnsi="楷体" w:eastAsia="仿宋_GB2312"/>
          <w:sz w:val="32"/>
          <w:szCs w:val="32"/>
          <w:highlight w:val="none"/>
          <w:lang w:val="en-US" w:eastAsia="zh-CN"/>
        </w:rPr>
        <w:t>的对接机制</w:t>
      </w:r>
      <w:r>
        <w:rPr>
          <w:rFonts w:hint="eastAsia" w:ascii="仿宋_GB2312" w:hAnsi="楷体" w:eastAsia="仿宋_GB2312"/>
          <w:sz w:val="32"/>
          <w:szCs w:val="32"/>
          <w:highlight w:val="none"/>
          <w:lang w:eastAsia="zh-CN"/>
        </w:rPr>
        <w:t>。强化技术平台支撑，引入大数据、人工智能等技术手段，提升成果信息处理与可视化分析能力，</w:t>
      </w:r>
      <w:r>
        <w:rPr>
          <w:rFonts w:hint="eastAsia" w:ascii="仿宋_GB2312" w:hAnsi="楷体" w:eastAsia="仿宋_GB2312"/>
          <w:sz w:val="32"/>
          <w:szCs w:val="32"/>
          <w:highlight w:val="none"/>
        </w:rPr>
        <w:t>为企业提供精准决策支持。加强技术转移人才培养，依托技术经理人队伍与专业培训体系，培育一批懂技术、通市场、善转化的复合型人才。</w:t>
      </w:r>
    </w:p>
    <w:p w14:paraId="1480B8AE">
      <w:pPr>
        <w:spacing w:after="160" w:line="560" w:lineRule="exact"/>
        <w:ind w:firstLine="643" w:firstLineChars="200"/>
        <w:rPr>
          <w:rFonts w:hint="eastAsia" w:ascii="仿宋_GB2312" w:hAnsi="楷体" w:eastAsia="仿宋_GB2312"/>
          <w:sz w:val="32"/>
          <w:szCs w:val="32"/>
          <w:highlight w:val="none"/>
        </w:rPr>
      </w:pPr>
      <w:r>
        <w:rPr>
          <w:rFonts w:hint="eastAsia" w:ascii="仿宋_GB2312" w:hAnsi="楷体" w:eastAsia="仿宋_GB2312"/>
          <w:b/>
          <w:bCs/>
          <w:sz w:val="32"/>
          <w:szCs w:val="32"/>
          <w:highlight w:val="none"/>
        </w:rPr>
        <w:t>强化平台赋能，构建全链条转化支撑体系</w:t>
      </w:r>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rPr>
        <w:t>以建设全国高校绿色能源区域技术转移转化中心（北京）为引领，打造</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一核两翼</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空间布局</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以</w:t>
      </w:r>
      <w:r>
        <w:rPr>
          <w:rFonts w:hint="eastAsia" w:ascii="仿宋_GB2312" w:hAnsi="楷体" w:eastAsia="仿宋_GB2312"/>
          <w:sz w:val="32"/>
          <w:szCs w:val="32"/>
          <w:highlight w:val="none"/>
        </w:rPr>
        <w:t>窦店组团和燕房组团为两翼，强化储能、氢能、能源材料三大产业链牵引带动作用，打通成果挖掘、筛选、验证、孵化、培育、应用全链条，</w:t>
      </w:r>
      <w:r>
        <w:rPr>
          <w:rFonts w:hint="eastAsia" w:ascii="仿宋_GB2312" w:hAnsi="楷体" w:eastAsia="仿宋_GB2312"/>
          <w:sz w:val="32"/>
          <w:szCs w:val="32"/>
          <w:highlight w:val="none"/>
          <w:lang w:val="en-US" w:eastAsia="zh-CN"/>
        </w:rPr>
        <w:t>构建</w:t>
      </w:r>
      <w:r>
        <w:rPr>
          <w:rFonts w:hint="eastAsia" w:ascii="仿宋_GB2312" w:hAnsi="楷体" w:eastAsia="仿宋_GB2312"/>
          <w:sz w:val="32"/>
          <w:szCs w:val="32"/>
          <w:highlight w:val="none"/>
        </w:rPr>
        <w:t>绿色能源领域</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一站式</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公共转化平台。</w:t>
      </w:r>
      <w:r>
        <w:rPr>
          <w:rFonts w:hint="eastAsia" w:ascii="仿宋_GB2312" w:hAnsi="楷体" w:eastAsia="仿宋_GB2312"/>
          <w:sz w:val="32"/>
          <w:szCs w:val="32"/>
          <w:highlight w:val="none"/>
          <w:lang w:val="en-US" w:eastAsia="zh-CN"/>
        </w:rPr>
        <w:t>推动</w:t>
      </w:r>
      <w:r>
        <w:rPr>
          <w:rFonts w:hint="eastAsia" w:ascii="仿宋_GB2312" w:hAnsi="楷体" w:eastAsia="仿宋_GB2312"/>
          <w:sz w:val="32"/>
          <w:szCs w:val="32"/>
          <w:highlight w:val="none"/>
        </w:rPr>
        <w:t>企业建设概念验证、中试验证、检验检测</w:t>
      </w:r>
      <w:r>
        <w:rPr>
          <w:rFonts w:hint="eastAsia" w:ascii="仿宋_GB2312" w:hAnsi="楷体" w:eastAsia="仿宋_GB2312"/>
          <w:sz w:val="32"/>
          <w:szCs w:val="32"/>
          <w:highlight w:val="none"/>
          <w:lang w:val="en-US" w:eastAsia="zh-CN"/>
        </w:rPr>
        <w:t>等服务</w:t>
      </w:r>
      <w:r>
        <w:rPr>
          <w:rFonts w:hint="eastAsia" w:ascii="仿宋_GB2312" w:hAnsi="楷体" w:eastAsia="仿宋_GB2312"/>
          <w:sz w:val="32"/>
          <w:szCs w:val="32"/>
          <w:highlight w:val="none"/>
        </w:rPr>
        <w:t>平台</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为提升科技成果成熟度提供支撑。引导科技企业孵化器完善超前孵化能力，推动前沿、颠覆性技术转化为创业项目</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lang w:val="en-US" w:eastAsia="zh-CN"/>
        </w:rPr>
        <w:t>积极</w:t>
      </w:r>
      <w:r>
        <w:rPr>
          <w:rFonts w:hint="eastAsia" w:ascii="仿宋_GB2312" w:hAnsi="楷体" w:eastAsia="仿宋_GB2312"/>
          <w:sz w:val="32"/>
          <w:szCs w:val="32"/>
          <w:highlight w:val="none"/>
        </w:rPr>
        <w:t>引导高校、科研院所按照先使用后付费方式</w:t>
      </w:r>
      <w:r>
        <w:rPr>
          <w:rFonts w:hint="eastAsia" w:ascii="仿宋_GB2312" w:hAnsi="楷体" w:eastAsia="仿宋_GB2312"/>
          <w:sz w:val="32"/>
          <w:szCs w:val="32"/>
          <w:highlight w:val="none"/>
          <w:lang w:val="en-US" w:eastAsia="zh-CN"/>
        </w:rPr>
        <w:t>将</w:t>
      </w:r>
      <w:r>
        <w:rPr>
          <w:rFonts w:hint="eastAsia" w:ascii="仿宋_GB2312" w:hAnsi="楷体" w:eastAsia="仿宋_GB2312"/>
          <w:sz w:val="32"/>
          <w:szCs w:val="32"/>
          <w:highlight w:val="none"/>
        </w:rPr>
        <w:t>科技创新成果许可给中小微企业使用</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整合各类资源，搭建技术服务、科创融资、知识产权、供应链与物流、人才与人力资源、政策与政务服务等</w:t>
      </w:r>
      <w:r>
        <w:rPr>
          <w:rFonts w:hint="eastAsia" w:ascii="仿宋_GB2312" w:hAnsi="楷体" w:eastAsia="仿宋_GB2312"/>
          <w:sz w:val="32"/>
          <w:szCs w:val="32"/>
          <w:highlight w:val="none"/>
          <w:lang w:val="en-US" w:eastAsia="zh-CN"/>
        </w:rPr>
        <w:t>产业服务</w:t>
      </w:r>
      <w:r>
        <w:rPr>
          <w:rFonts w:hint="eastAsia" w:ascii="仿宋_GB2312" w:hAnsi="楷体" w:eastAsia="仿宋_GB2312"/>
          <w:sz w:val="32"/>
          <w:szCs w:val="32"/>
          <w:highlight w:val="none"/>
        </w:rPr>
        <w:t>平台</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提升</w:t>
      </w:r>
      <w:r>
        <w:rPr>
          <w:rFonts w:hint="eastAsia" w:ascii="仿宋_GB2312" w:hAnsi="楷体" w:eastAsia="仿宋_GB2312"/>
          <w:sz w:val="32"/>
          <w:szCs w:val="32"/>
          <w:highlight w:val="none"/>
          <w:lang w:eastAsia="zh-CN"/>
        </w:rPr>
        <w:t>中关村房山园</w:t>
      </w:r>
      <w:r>
        <w:rPr>
          <w:rFonts w:hint="eastAsia" w:ascii="仿宋_GB2312" w:hAnsi="楷体" w:eastAsia="仿宋_GB2312"/>
          <w:sz w:val="32"/>
          <w:szCs w:val="32"/>
          <w:highlight w:val="none"/>
        </w:rPr>
        <w:t>科技成果转化平台服务效能</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促进京津冀科技成果转化协作</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加强京津冀科技成果转化供需对接，积极参与京津冀产业链供应链大会等产业对接活动，吸引一批关联度高、带动性强的企业和项目落地。</w:t>
      </w:r>
    </w:p>
    <w:p w14:paraId="3A7BDF92">
      <w:pPr>
        <w:spacing w:after="160" w:line="560" w:lineRule="exact"/>
        <w:ind w:firstLine="643" w:firstLineChars="200"/>
        <w:rPr>
          <w:rFonts w:hint="eastAsia" w:ascii="仿宋_GB2312" w:hAnsi="楷体" w:eastAsia="仿宋_GB2312"/>
          <w:sz w:val="32"/>
          <w:szCs w:val="32"/>
          <w:highlight w:val="none"/>
        </w:rPr>
      </w:pPr>
      <w:r>
        <w:rPr>
          <w:rFonts w:hint="eastAsia" w:ascii="仿宋_GB2312" w:hAnsi="楷体" w:eastAsia="仿宋_GB2312"/>
          <w:b/>
          <w:bCs/>
          <w:sz w:val="32"/>
          <w:szCs w:val="32"/>
          <w:highlight w:val="none"/>
        </w:rPr>
        <w:t>升级孵化载体</w:t>
      </w:r>
      <w:r>
        <w:rPr>
          <w:rFonts w:hint="eastAsia" w:ascii="仿宋_GB2312" w:hAnsi="楷体" w:eastAsia="仿宋_GB2312"/>
          <w:b/>
          <w:bCs/>
          <w:sz w:val="32"/>
          <w:szCs w:val="32"/>
          <w:highlight w:val="none"/>
          <w:lang w:eastAsia="zh-CN"/>
        </w:rPr>
        <w:t>，</w:t>
      </w:r>
      <w:r>
        <w:rPr>
          <w:rFonts w:hint="eastAsia" w:ascii="仿宋_GB2312" w:hAnsi="楷体" w:eastAsia="仿宋_GB2312"/>
          <w:b/>
          <w:bCs/>
          <w:sz w:val="32"/>
          <w:szCs w:val="32"/>
          <w:highlight w:val="none"/>
        </w:rPr>
        <w:t>完善梯度培育生态闭环</w:t>
      </w:r>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rPr>
        <w:t>加快推动孵化载体专业化、特色化升级，系统构建“孵化—成长—壮大”全生命周期梯度培育体系，着力提升科技成果转化创办企业的承载与服务能力。一是推进孵化载体提质升级</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建设一批优质标杆孵化器，围绕绿色能源、新材料、智能制造、智慧医工等重点产业方向，建设一批优质标杆孵化器，为转化创办企业提供充足的优质空间载体。二是完善全生命周期梯度培育机制</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健全独角兽企业挖掘培育机制，根据企业不同发展阶段精准匹配服务资源</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对初创企业提供免费办公场地、创业培训等基础服务</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对成长型企业对接产业链资源和专业技术升级支持</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对壮大期企业提供上市辅导、市场拓展等增值服务，形成覆盖企业全成长周期的服务闭环。三是强化精准服务与资源赋能</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实施“一业一策”“一企一单”专属服务套餐，切实降低转化创办企业经营成本</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将重点企业纳入“服务包”机制，及时协调解决发展中的堵点难点问题</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整合科技创新孵化网络资源，加大高新技术企业、行业领军企业培育力度，助力企业实现快速成长与高质量发展。</w:t>
      </w:r>
    </w:p>
    <w:bookmarkEnd w:id="190"/>
    <w:bookmarkEnd w:id="191"/>
    <w:bookmarkEnd w:id="192"/>
    <w:bookmarkEnd w:id="193"/>
    <w:bookmarkEnd w:id="194"/>
    <w:bookmarkEnd w:id="195"/>
    <w:bookmarkEnd w:id="196"/>
    <w:p w14:paraId="070B5950">
      <w:pPr>
        <w:pStyle w:val="4"/>
        <w:spacing w:before="0" w:after="160" w:line="560" w:lineRule="exact"/>
        <w:ind w:firstLine="640" w:firstLineChars="200"/>
        <w:rPr>
          <w:rFonts w:hint="eastAsia" w:ascii="楷体_GB2312" w:hAnsi="楷体_GB2312" w:eastAsia="楷体_GB2312" w:cs="楷体_GB2312"/>
          <w:b w:val="0"/>
          <w:color w:val="191919"/>
          <w:highlight w:val="none"/>
          <w:shd w:val="clear" w:color="auto" w:fill="FFFFFF"/>
        </w:rPr>
      </w:pPr>
      <w:bookmarkStart w:id="199" w:name="_Toc32604"/>
      <w:r>
        <w:rPr>
          <w:rFonts w:hint="eastAsia" w:ascii="楷体_GB2312" w:hAnsi="楷体_GB2312" w:eastAsia="楷体_GB2312" w:cs="楷体_GB2312"/>
          <w:b w:val="0"/>
          <w:color w:val="191919"/>
          <w:highlight w:val="none"/>
          <w:shd w:val="clear" w:color="auto" w:fill="FFFFFF"/>
          <w:lang w:eastAsia="zh-CN"/>
        </w:rPr>
        <w:t>（四）</w:t>
      </w:r>
      <w:r>
        <w:rPr>
          <w:rFonts w:hint="eastAsia" w:ascii="楷体_GB2312" w:hAnsi="楷体_GB2312" w:eastAsia="楷体_GB2312" w:cs="楷体_GB2312"/>
          <w:b w:val="0"/>
          <w:color w:val="191919"/>
          <w:highlight w:val="none"/>
          <w:shd w:val="clear" w:color="auto" w:fill="FFFFFF"/>
        </w:rPr>
        <w:t>提升园区产业创新生态</w:t>
      </w:r>
      <w:bookmarkEnd w:id="197"/>
      <w:bookmarkEnd w:id="199"/>
    </w:p>
    <w:p w14:paraId="6E52BFBB">
      <w:pPr>
        <w:spacing w:after="160" w:line="560" w:lineRule="exact"/>
        <w:ind w:firstLine="643" w:firstLineChars="200"/>
        <w:rPr>
          <w:rFonts w:hint="eastAsia" w:ascii="仿宋_GB2312" w:hAnsi="楷体" w:eastAsia="仿宋_GB2312"/>
          <w:sz w:val="32"/>
          <w:szCs w:val="32"/>
          <w:highlight w:val="none"/>
        </w:rPr>
      </w:pPr>
      <w:bookmarkStart w:id="200" w:name="_Toc27495"/>
      <w:bookmarkStart w:id="201" w:name="_Toc14623"/>
      <w:bookmarkStart w:id="202" w:name="_Toc18897"/>
      <w:bookmarkStart w:id="203" w:name="_Toc10783"/>
      <w:bookmarkStart w:id="204" w:name="_Toc26258"/>
      <w:bookmarkStart w:id="205" w:name="_Toc18895"/>
      <w:bookmarkStart w:id="206" w:name="_Toc26002"/>
      <w:r>
        <w:rPr>
          <w:rFonts w:hint="eastAsia" w:ascii="仿宋_GB2312" w:hAnsi="楷体" w:eastAsia="仿宋_GB2312"/>
          <w:b/>
          <w:bCs/>
          <w:sz w:val="32"/>
          <w:szCs w:val="32"/>
          <w:highlight w:val="none"/>
        </w:rPr>
        <w:t>打造一流营商环境生态</w:t>
      </w:r>
      <w:bookmarkEnd w:id="200"/>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rPr>
        <w:t>全面落实国家关于营造市场化、法治化、国际化一流营商环境的</w:t>
      </w:r>
      <w:r>
        <w:rPr>
          <w:rFonts w:hint="eastAsia" w:ascii="仿宋_GB2312" w:hAnsi="楷体" w:eastAsia="仿宋_GB2312"/>
          <w:sz w:val="32"/>
          <w:szCs w:val="32"/>
          <w:highlight w:val="none"/>
          <w:lang w:val="en-US" w:eastAsia="zh-CN"/>
        </w:rPr>
        <w:t>总体</w:t>
      </w:r>
      <w:r>
        <w:rPr>
          <w:rFonts w:hint="eastAsia" w:ascii="仿宋_GB2312" w:hAnsi="楷体" w:eastAsia="仿宋_GB2312"/>
          <w:sz w:val="32"/>
          <w:szCs w:val="32"/>
          <w:highlight w:val="none"/>
        </w:rPr>
        <w:t>要求</w:t>
      </w:r>
      <w:r>
        <w:rPr>
          <w:rFonts w:hint="eastAsia" w:ascii="仿宋_GB2312" w:hAnsi="楷体" w:eastAsia="仿宋_GB2312"/>
          <w:sz w:val="32"/>
          <w:szCs w:val="32"/>
          <w:highlight w:val="none"/>
          <w:lang w:eastAsia="zh-CN"/>
        </w:rPr>
        <w:t>，着力构建便捷高效、开放包容、活力强劲的营商生态。持续深化</w:t>
      </w:r>
      <w:r>
        <w:rPr>
          <w:rFonts w:hint="eastAsia" w:ascii="仿宋_GB2312" w:hAnsi="楷体" w:eastAsia="仿宋_GB2312"/>
          <w:sz w:val="32"/>
          <w:szCs w:val="32"/>
          <w:highlight w:val="none"/>
          <w:lang w:val="en-US" w:eastAsia="zh-CN"/>
        </w:rPr>
        <w:t>“</w:t>
      </w:r>
      <w:r>
        <w:rPr>
          <w:rFonts w:hint="eastAsia" w:ascii="仿宋_GB2312" w:hAnsi="楷体" w:eastAsia="仿宋_GB2312"/>
          <w:sz w:val="32"/>
          <w:szCs w:val="32"/>
          <w:highlight w:val="none"/>
          <w:lang w:eastAsia="zh-CN"/>
        </w:rPr>
        <w:t>高效办成一件事</w:t>
      </w:r>
      <w:r>
        <w:rPr>
          <w:rFonts w:hint="eastAsia" w:ascii="仿宋_GB2312" w:hAnsi="楷体" w:eastAsia="仿宋_GB2312"/>
          <w:sz w:val="32"/>
          <w:szCs w:val="32"/>
          <w:highlight w:val="none"/>
          <w:lang w:val="en-US" w:eastAsia="zh-CN"/>
        </w:rPr>
        <w:t>”</w:t>
      </w:r>
      <w:r>
        <w:rPr>
          <w:rFonts w:hint="eastAsia" w:ascii="仿宋_GB2312" w:hAnsi="楷体" w:eastAsia="仿宋_GB2312"/>
          <w:sz w:val="32"/>
          <w:szCs w:val="32"/>
          <w:highlight w:val="none"/>
          <w:lang w:eastAsia="zh-CN"/>
        </w:rPr>
        <w:t>改革，推行惠企政策直达快享</w:t>
      </w:r>
      <w:r>
        <w:rPr>
          <w:rFonts w:hint="eastAsia" w:ascii="仿宋_GB2312" w:hAnsi="楷体" w:eastAsia="仿宋_GB2312"/>
          <w:sz w:val="32"/>
          <w:szCs w:val="32"/>
          <w:highlight w:val="none"/>
        </w:rPr>
        <w:t>。提升</w:t>
      </w:r>
      <w:r>
        <w:rPr>
          <w:rFonts w:hint="eastAsia" w:ascii="仿宋_GB2312" w:hAnsi="楷体" w:eastAsia="仿宋_GB2312"/>
          <w:sz w:val="32"/>
          <w:szCs w:val="32"/>
          <w:highlight w:val="none"/>
          <w:lang w:val="en-US" w:eastAsia="zh-CN"/>
        </w:rPr>
        <w:t>园区</w:t>
      </w:r>
      <w:r>
        <w:rPr>
          <w:rFonts w:hint="eastAsia" w:ascii="仿宋_GB2312" w:hAnsi="楷体" w:eastAsia="仿宋_GB2312"/>
          <w:sz w:val="32"/>
          <w:szCs w:val="32"/>
          <w:highlight w:val="none"/>
        </w:rPr>
        <w:t>服务品质，推进“服务包”机制高效运行，为企业量身定制个性化服务方案。实施产业链织网工程，组织上下游企业开展形式多样的对接活动，完善</w:t>
      </w:r>
      <w:r>
        <w:rPr>
          <w:rFonts w:hint="eastAsia" w:ascii="仿宋_GB2312" w:hAnsi="楷体" w:eastAsia="仿宋_GB2312"/>
          <w:sz w:val="32"/>
          <w:szCs w:val="32"/>
          <w:highlight w:val="none"/>
          <w:lang w:eastAsia="zh-CN"/>
        </w:rPr>
        <w:t>产业链供应链</w:t>
      </w:r>
      <w:r>
        <w:rPr>
          <w:rFonts w:hint="eastAsia" w:ascii="仿宋_GB2312" w:hAnsi="楷体" w:eastAsia="仿宋_GB2312"/>
          <w:sz w:val="32"/>
          <w:szCs w:val="32"/>
          <w:highlight w:val="none"/>
        </w:rPr>
        <w:t>配套。针对重大招商项目，建立“一对一”服务专班，提供从项目洽谈、签约落地到投产运营的全流程跟踪服务，及时协调解决项目推进过程中的各类问题。</w:t>
      </w:r>
    </w:p>
    <w:p w14:paraId="45BE8223">
      <w:pPr>
        <w:spacing w:after="160" w:line="560" w:lineRule="exact"/>
        <w:ind w:firstLine="643" w:firstLineChars="200"/>
        <w:rPr>
          <w:rFonts w:hint="eastAsia" w:ascii="仿宋_GB2312" w:hAnsi="楷体" w:eastAsia="仿宋_GB2312"/>
          <w:sz w:val="32"/>
          <w:szCs w:val="32"/>
          <w:highlight w:val="none"/>
        </w:rPr>
      </w:pPr>
      <w:bookmarkStart w:id="207" w:name="_Toc23491"/>
      <w:r>
        <w:rPr>
          <w:rFonts w:hint="eastAsia" w:ascii="仿宋_GB2312" w:hAnsi="楷体" w:eastAsia="仿宋_GB2312"/>
          <w:b/>
          <w:bCs/>
          <w:sz w:val="32"/>
          <w:szCs w:val="32"/>
          <w:highlight w:val="none"/>
        </w:rPr>
        <w:t>做大做强金融服务生态</w:t>
      </w:r>
      <w:bookmarkEnd w:id="207"/>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rPr>
        <w:t>充分发挥基金产业</w:t>
      </w:r>
      <w:r>
        <w:rPr>
          <w:rFonts w:hint="eastAsia" w:ascii="仿宋_GB2312" w:hAnsi="楷体" w:eastAsia="仿宋_GB2312"/>
          <w:sz w:val="32"/>
          <w:szCs w:val="32"/>
          <w:highlight w:val="none"/>
          <w:lang w:val="en-US" w:eastAsia="zh-CN"/>
        </w:rPr>
        <w:t>引导</w:t>
      </w:r>
      <w:r>
        <w:rPr>
          <w:rFonts w:hint="eastAsia" w:ascii="仿宋_GB2312" w:hAnsi="楷体" w:eastAsia="仿宋_GB2312"/>
          <w:sz w:val="32"/>
          <w:szCs w:val="32"/>
          <w:highlight w:val="none"/>
        </w:rPr>
        <w:t>作用。加快产融结合项目落地</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提升金融服务实体经济质效，用好新材料百亿产业基金，面向石墨烯、高分子复合材料、新型能源材料等前沿领域，</w:t>
      </w:r>
      <w:r>
        <w:rPr>
          <w:rFonts w:hint="eastAsia" w:ascii="仿宋_GB2312" w:hAnsi="楷体" w:eastAsia="仿宋_GB2312"/>
          <w:sz w:val="32"/>
          <w:szCs w:val="32"/>
          <w:highlight w:val="none"/>
          <w:lang w:val="en-US" w:eastAsia="zh-CN"/>
        </w:rPr>
        <w:t>重点</w:t>
      </w:r>
      <w:r>
        <w:rPr>
          <w:rFonts w:hint="eastAsia" w:ascii="仿宋_GB2312" w:hAnsi="楷体" w:eastAsia="仿宋_GB2312"/>
          <w:sz w:val="32"/>
          <w:szCs w:val="32"/>
          <w:highlight w:val="none"/>
        </w:rPr>
        <w:t>扶持种子期、初创期的优质新材料企业。积极发展耐心资本</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持续发挥中关村（房山）高精尖产业基金</w:t>
      </w:r>
      <w:r>
        <w:rPr>
          <w:rFonts w:hint="eastAsia" w:ascii="仿宋_GB2312" w:hAnsi="楷体" w:eastAsia="仿宋_GB2312"/>
          <w:sz w:val="32"/>
          <w:szCs w:val="32"/>
          <w:highlight w:val="none"/>
          <w:lang w:val="en-US" w:eastAsia="zh-CN"/>
        </w:rPr>
        <w:t>引导</w:t>
      </w:r>
      <w:r>
        <w:rPr>
          <w:rFonts w:hint="eastAsia" w:ascii="仿宋_GB2312" w:hAnsi="楷体" w:eastAsia="仿宋_GB2312"/>
          <w:sz w:val="32"/>
          <w:szCs w:val="32"/>
          <w:highlight w:val="none"/>
        </w:rPr>
        <w:t>作用，推动二期基金设立</w:t>
      </w:r>
      <w:r>
        <w:rPr>
          <w:rFonts w:hint="eastAsia" w:ascii="仿宋_GB2312" w:hAnsi="楷体" w:eastAsia="仿宋_GB2312"/>
          <w:sz w:val="32"/>
          <w:szCs w:val="32"/>
          <w:highlight w:val="none"/>
          <w:lang w:eastAsia="zh-CN"/>
        </w:rPr>
        <w:t>，</w:t>
      </w:r>
      <w:r>
        <w:rPr>
          <w:rFonts w:hint="eastAsia" w:ascii="仿宋_GB2312" w:hAnsi="楷体" w:eastAsia="仿宋_GB2312"/>
          <w:sz w:val="32"/>
          <w:szCs w:val="32"/>
          <w:highlight w:val="none"/>
        </w:rPr>
        <w:t>研究扩大</w:t>
      </w:r>
      <w:r>
        <w:rPr>
          <w:rFonts w:hint="eastAsia" w:ascii="仿宋_GB2312" w:hAnsi="楷体" w:eastAsia="仿宋_GB2312"/>
          <w:sz w:val="32"/>
          <w:szCs w:val="32"/>
          <w:highlight w:val="none"/>
          <w:lang w:eastAsia="zh-CN"/>
        </w:rPr>
        <w:t>房山北汽产投绿色能源基金</w:t>
      </w:r>
      <w:r>
        <w:rPr>
          <w:rFonts w:hint="eastAsia" w:ascii="仿宋_GB2312" w:hAnsi="楷体" w:eastAsia="仿宋_GB2312"/>
          <w:sz w:val="32"/>
          <w:szCs w:val="32"/>
          <w:highlight w:val="none"/>
        </w:rPr>
        <w:t>规模。优化科创基金运作机制，设立早期项目风险补偿资金池，对高精尖产业研发—量产关键环节给予风险补偿，降低企业创新风险。建设知识产权质押融资服务平台，提供在线评估、质押登记、融资咨询等一站式服务，提高融资效率。深化银政合作与风险分担，构建政府、银行、企业三方共担风险机制，提高金融机构的参与积极性。</w:t>
      </w:r>
    </w:p>
    <w:p w14:paraId="7EE352B2">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rPr>
      </w:pPr>
      <w:bookmarkStart w:id="208" w:name="_Toc9156"/>
      <w:r>
        <w:rPr>
          <w:rFonts w:hint="eastAsia" w:ascii="仿宋_GB2312" w:hAnsi="楷体" w:eastAsia="仿宋_GB2312"/>
          <w:b/>
          <w:bCs/>
          <w:sz w:val="32"/>
          <w:szCs w:val="32"/>
          <w:highlight w:val="none"/>
        </w:rPr>
        <w:t>打造创新人才发展生态</w:t>
      </w:r>
      <w:bookmarkEnd w:id="208"/>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rPr>
        <w:t>深入实施教育科技人才</w:t>
      </w:r>
      <w:r>
        <w:rPr>
          <w:rFonts w:hint="eastAsia" w:ascii="仿宋_GB2312" w:hAnsi="楷体" w:eastAsia="仿宋_GB2312"/>
          <w:sz w:val="32"/>
          <w:szCs w:val="32"/>
          <w:highlight w:val="none"/>
          <w:lang w:val="en-US" w:eastAsia="zh-CN"/>
        </w:rPr>
        <w:t>一体化</w:t>
      </w:r>
      <w:r>
        <w:rPr>
          <w:rFonts w:hint="eastAsia" w:ascii="仿宋_GB2312" w:hAnsi="楷体" w:eastAsia="仿宋_GB2312"/>
          <w:sz w:val="32"/>
          <w:szCs w:val="32"/>
          <w:highlight w:val="none"/>
        </w:rPr>
        <w:t>发展战略，以创新能力、质量、实效、贡献为导向，激发人才创新创造动力活力。深度融入“房山聚源计划”，建立战略人才绿色通道，畅通驻区高校毕业生留区发展通道，大力引进“双一流”硕士、博士等青年拔尖人才。积极对接“朱雀计划”，支持引进国际化科技项目经理人、技术经纪人等专业人才。有序推进园区博士后科研工作站建设，开展博士后专家房山行活动，积极承办或参与各类创新创业大赛，吸引更多科创项目、科研团队落地。牢固树立人才是第一资源理念，加快推进北京高水平人才高地建设，营造高水平人才发展环境，建设高品质人才社区，实施“优居计划”，积极筹建国际医院、国际学校，开展“人才政策进园区”“人才工作进企业”系列活动，提升人才服务精准度与获得感</w:t>
      </w:r>
      <w:r>
        <w:rPr>
          <w:rFonts w:hint="eastAsia" w:ascii="仿宋_GB2312" w:hAnsi="楷体" w:eastAsia="仿宋_GB2312"/>
          <w:sz w:val="32"/>
          <w:szCs w:val="32"/>
          <w:highlight w:val="none"/>
          <w:lang w:eastAsia="zh-CN"/>
        </w:rPr>
        <w:t>。</w:t>
      </w:r>
    </w:p>
    <w:bookmarkEnd w:id="201"/>
    <w:bookmarkEnd w:id="202"/>
    <w:bookmarkEnd w:id="203"/>
    <w:bookmarkEnd w:id="204"/>
    <w:bookmarkEnd w:id="205"/>
    <w:p w14:paraId="6FED3612">
      <w:pPr>
        <w:spacing w:after="160" w:line="560" w:lineRule="exact"/>
        <w:ind w:firstLine="643" w:firstLineChars="200"/>
        <w:rPr>
          <w:rFonts w:hint="eastAsia" w:ascii="仿宋_GB2312" w:hAnsi="楷体" w:eastAsia="仿宋_GB2312"/>
          <w:sz w:val="32"/>
          <w:szCs w:val="32"/>
          <w:highlight w:val="none"/>
        </w:rPr>
      </w:pPr>
      <w:bookmarkStart w:id="209" w:name="_Toc10591"/>
      <w:bookmarkStart w:id="210" w:name="_Toc2250"/>
      <w:bookmarkStart w:id="211" w:name="_Toc23916"/>
      <w:bookmarkStart w:id="212" w:name="_Toc30868"/>
      <w:bookmarkStart w:id="213" w:name="_Toc31785"/>
      <w:bookmarkStart w:id="214" w:name="_Toc25642"/>
      <w:bookmarkStart w:id="215" w:name="_Toc27260"/>
      <w:r>
        <w:rPr>
          <w:rFonts w:hint="eastAsia" w:ascii="仿宋_GB2312" w:hAnsi="楷体" w:eastAsia="仿宋_GB2312"/>
          <w:b/>
          <w:bCs/>
          <w:sz w:val="32"/>
          <w:szCs w:val="32"/>
          <w:highlight w:val="none"/>
        </w:rPr>
        <w:t>强化政策保障护航生态</w:t>
      </w:r>
      <w:bookmarkEnd w:id="209"/>
      <w:bookmarkEnd w:id="210"/>
      <w:bookmarkEnd w:id="211"/>
      <w:bookmarkEnd w:id="212"/>
      <w:r>
        <w:rPr>
          <w:rFonts w:hint="eastAsia" w:ascii="仿宋_GB2312" w:hAnsi="楷体" w:eastAsia="仿宋_GB2312"/>
          <w:b/>
          <w:bCs/>
          <w:sz w:val="32"/>
          <w:szCs w:val="32"/>
          <w:highlight w:val="none"/>
          <w:lang w:eastAsia="zh-CN"/>
        </w:rPr>
        <w:t>。</w:t>
      </w:r>
      <w:r>
        <w:rPr>
          <w:rFonts w:hint="eastAsia" w:ascii="仿宋_GB2312" w:hAnsi="楷体" w:eastAsia="仿宋_GB2312"/>
          <w:sz w:val="32"/>
          <w:szCs w:val="32"/>
          <w:highlight w:val="none"/>
        </w:rPr>
        <w:t>依据房山区促进高精尖产业发展扶持措施，进一步提升对</w:t>
      </w:r>
      <w:r>
        <w:rPr>
          <w:rFonts w:hint="eastAsia" w:ascii="仿宋_GB2312" w:hAnsi="楷体" w:eastAsia="仿宋_GB2312"/>
          <w:sz w:val="32"/>
          <w:szCs w:val="32"/>
          <w:highlight w:val="none"/>
          <w:lang w:eastAsia="zh-CN"/>
        </w:rPr>
        <w:t>中关村房山园</w:t>
      </w:r>
      <w:r>
        <w:rPr>
          <w:rFonts w:hint="eastAsia" w:ascii="仿宋_GB2312" w:hAnsi="楷体" w:eastAsia="仿宋_GB2312"/>
          <w:sz w:val="32"/>
          <w:szCs w:val="32"/>
          <w:highlight w:val="none"/>
        </w:rPr>
        <w:t>内科技企业的资金支持力度，重点向绿色能源、新材料、智慧医工、智能制造等领域开展前沿技术研究、关键核心技术攻关的企业倾斜，助力企业突破技术瓶颈，提升核心竞争力。</w:t>
      </w:r>
      <w:bookmarkEnd w:id="206"/>
      <w:bookmarkEnd w:id="213"/>
      <w:bookmarkEnd w:id="214"/>
      <w:bookmarkEnd w:id="215"/>
      <w:bookmarkStart w:id="216" w:name="_Toc7970"/>
      <w:bookmarkStart w:id="217" w:name="_Toc17749"/>
      <w:bookmarkStart w:id="218" w:name="_Toc32342"/>
      <w:r>
        <w:rPr>
          <w:rFonts w:hint="eastAsia" w:ascii="仿宋_GB2312" w:hAnsi="楷体" w:eastAsia="仿宋_GB2312"/>
          <w:sz w:val="32"/>
          <w:szCs w:val="32"/>
          <w:highlight w:val="none"/>
        </w:rPr>
        <w:t>深化重点领域关键环节改革，完善专精特新服务站、特色园区等专业服务体系，推动专精特新企业区域集聚和高质量发展。</w:t>
      </w:r>
      <w:r>
        <w:rPr>
          <w:rFonts w:hint="eastAsia" w:ascii="仿宋_GB2312" w:hAnsi="楷体" w:eastAsia="仿宋_GB2312"/>
          <w:sz w:val="32"/>
          <w:szCs w:val="32"/>
          <w:highlight w:val="none"/>
          <w:lang w:val="en-US" w:eastAsia="zh-CN"/>
        </w:rPr>
        <w:t>优化</w:t>
      </w:r>
      <w:r>
        <w:rPr>
          <w:rFonts w:hint="eastAsia" w:ascii="仿宋_GB2312" w:hAnsi="楷体" w:eastAsia="仿宋_GB2312"/>
          <w:sz w:val="32"/>
          <w:szCs w:val="32"/>
          <w:highlight w:val="none"/>
        </w:rPr>
        <w:t>潜在独角兽企业培育机制，健全服务企业承担科技项目、设立创新平台等工作机制。健全促进各类先进生产要素向发展新质生产力集聚的体制机制。</w:t>
      </w:r>
    </w:p>
    <w:bookmarkEnd w:id="216"/>
    <w:bookmarkEnd w:id="217"/>
    <w:bookmarkEnd w:id="218"/>
    <w:p w14:paraId="6693E054">
      <w:pPr>
        <w:spacing w:after="160" w:line="560" w:lineRule="exact"/>
        <w:ind w:firstLine="640" w:firstLineChars="200"/>
        <w:rPr>
          <w:rFonts w:hint="eastAsia" w:ascii="仿宋_GB2312" w:hAnsi="楷体" w:eastAsia="仿宋_GB2312"/>
          <w:sz w:val="32"/>
          <w:szCs w:val="32"/>
          <w:highlight w:val="none"/>
        </w:rPr>
        <w:sectPr>
          <w:pgSz w:w="11906" w:h="16838"/>
          <w:pgMar w:top="1440" w:right="1800" w:bottom="1440" w:left="1800" w:header="851" w:footer="992" w:gutter="0"/>
          <w:pgNumType w:fmt="decimal"/>
          <w:cols w:space="425" w:num="1"/>
          <w:docGrid w:type="lines" w:linePitch="312" w:charSpace="0"/>
        </w:sectPr>
      </w:pPr>
      <w:bookmarkStart w:id="219" w:name="_Toc24417"/>
      <w:bookmarkStart w:id="220" w:name="_Toc835"/>
      <w:bookmarkStart w:id="221" w:name="_Toc8993"/>
      <w:bookmarkStart w:id="222" w:name="_Toc14776"/>
      <w:bookmarkStart w:id="223" w:name="_Toc11640"/>
      <w:bookmarkStart w:id="224" w:name="_Toc30135"/>
      <w:bookmarkStart w:id="225" w:name="_Toc10516"/>
      <w:bookmarkStart w:id="226" w:name="_Toc22535"/>
    </w:p>
    <w:p w14:paraId="5211D5E4">
      <w:pPr>
        <w:pStyle w:val="3"/>
        <w:keepNext w:val="0"/>
        <w:keepLines w:val="0"/>
        <w:spacing w:after="160"/>
        <w:ind w:firstLine="640"/>
        <w:rPr>
          <w:rFonts w:hint="eastAsia" w:ascii="黑体" w:hAnsi="黑体"/>
          <w:szCs w:val="32"/>
          <w:highlight w:val="none"/>
        </w:rPr>
      </w:pPr>
      <w:bookmarkStart w:id="227" w:name="_Toc13351"/>
      <w:bookmarkStart w:id="228" w:name="_Toc30673"/>
      <w:r>
        <w:rPr>
          <w:rFonts w:hint="eastAsia" w:ascii="黑体" w:hAnsi="黑体"/>
          <w:szCs w:val="32"/>
          <w:highlight w:val="none"/>
        </w:rPr>
        <w:t>四</w:t>
      </w:r>
      <w:r>
        <w:rPr>
          <w:rFonts w:hint="eastAsia" w:ascii="黑体" w:hAnsi="黑体"/>
          <w:szCs w:val="32"/>
          <w:highlight w:val="none"/>
          <w:lang w:eastAsia="zh-CN"/>
        </w:rPr>
        <w:t>、</w:t>
      </w:r>
      <w:r>
        <w:rPr>
          <w:rFonts w:hint="eastAsia" w:ascii="黑体" w:hAnsi="黑体"/>
          <w:szCs w:val="32"/>
          <w:highlight w:val="none"/>
        </w:rPr>
        <w:t>保障</w:t>
      </w:r>
      <w:bookmarkEnd w:id="219"/>
      <w:r>
        <w:rPr>
          <w:rFonts w:hint="eastAsia" w:ascii="黑体" w:hAnsi="黑体"/>
          <w:szCs w:val="32"/>
          <w:highlight w:val="none"/>
        </w:rPr>
        <w:t>措施</w:t>
      </w:r>
      <w:bookmarkEnd w:id="220"/>
      <w:bookmarkEnd w:id="221"/>
      <w:bookmarkEnd w:id="222"/>
      <w:bookmarkEnd w:id="223"/>
      <w:bookmarkEnd w:id="224"/>
      <w:bookmarkEnd w:id="225"/>
      <w:bookmarkEnd w:id="226"/>
      <w:bookmarkEnd w:id="227"/>
      <w:bookmarkEnd w:id="228"/>
    </w:p>
    <w:p w14:paraId="2CBF0D24">
      <w:pPr>
        <w:pStyle w:val="4"/>
        <w:spacing w:before="0" w:after="160" w:line="560" w:lineRule="exact"/>
        <w:ind w:firstLine="640" w:firstLineChars="200"/>
        <w:rPr>
          <w:rFonts w:hint="default" w:ascii="楷体_GB2312" w:hAnsi="楷体_GB2312" w:eastAsia="楷体_GB2312" w:cs="楷体_GB2312"/>
          <w:b w:val="0"/>
          <w:color w:val="191919"/>
          <w:highlight w:val="none"/>
          <w:shd w:val="clear" w:color="auto" w:fill="FFFFFF"/>
          <w:lang w:val="en-US" w:eastAsia="zh-CN"/>
        </w:rPr>
      </w:pPr>
      <w:bookmarkStart w:id="229" w:name="_Toc13986"/>
      <w:bookmarkStart w:id="230" w:name="_Toc27159"/>
      <w:bookmarkStart w:id="231" w:name="_Toc23142"/>
      <w:bookmarkStart w:id="232" w:name="_Toc31851"/>
      <w:bookmarkStart w:id="233" w:name="_Toc32380"/>
      <w:bookmarkStart w:id="234" w:name="_Toc32004"/>
      <w:bookmarkStart w:id="235" w:name="_Toc1876"/>
      <w:bookmarkStart w:id="236" w:name="_Toc24172"/>
      <w:bookmarkStart w:id="237" w:name="_Toc6369"/>
      <w:bookmarkStart w:id="238" w:name="_Toc24234"/>
      <w:r>
        <w:rPr>
          <w:rFonts w:hint="eastAsia" w:ascii="楷体_GB2312" w:hAnsi="楷体_GB2312" w:eastAsia="楷体_GB2312" w:cs="楷体_GB2312"/>
          <w:b w:val="0"/>
          <w:color w:val="191919"/>
          <w:highlight w:val="none"/>
          <w:shd w:val="clear" w:color="auto" w:fill="FFFFFF"/>
          <w:lang w:eastAsia="zh-CN"/>
        </w:rPr>
        <w:t>（一）</w:t>
      </w:r>
      <w:r>
        <w:rPr>
          <w:rFonts w:hint="eastAsia" w:ascii="楷体_GB2312" w:hAnsi="楷体_GB2312" w:eastAsia="楷体_GB2312" w:cs="楷体_GB2312"/>
          <w:b w:val="0"/>
          <w:color w:val="191919"/>
          <w:highlight w:val="none"/>
          <w:shd w:val="clear" w:color="auto" w:fill="FFFFFF"/>
          <w:lang w:val="en-US" w:eastAsia="zh-CN"/>
        </w:rPr>
        <w:t>全面加强党的领导</w:t>
      </w:r>
      <w:bookmarkEnd w:id="229"/>
    </w:p>
    <w:p w14:paraId="0333D314">
      <w:pPr>
        <w:spacing w:after="160" w:line="560" w:lineRule="exact"/>
        <w:ind w:firstLine="640" w:firstLineChars="200"/>
        <w:rPr>
          <w:rFonts w:hint="eastAsia" w:ascii="仿宋_GB2312" w:hAnsi="楷体" w:eastAsia="仿宋_GB2312"/>
          <w:sz w:val="32"/>
          <w:szCs w:val="32"/>
          <w:highlight w:val="none"/>
        </w:rPr>
      </w:pPr>
      <w:r>
        <w:rPr>
          <w:rFonts w:hint="eastAsia" w:ascii="仿宋_GB2312" w:hAnsi="楷体" w:eastAsia="仿宋_GB2312"/>
          <w:sz w:val="32"/>
          <w:szCs w:val="32"/>
          <w:highlight w:val="none"/>
          <w:lang w:val="en-US" w:eastAsia="zh-CN"/>
        </w:rPr>
        <w:t>深入</w:t>
      </w:r>
      <w:r>
        <w:rPr>
          <w:rFonts w:hint="eastAsia" w:ascii="仿宋_GB2312" w:hAnsi="楷体" w:eastAsia="仿宋_GB2312"/>
          <w:sz w:val="32"/>
          <w:szCs w:val="32"/>
          <w:highlight w:val="none"/>
        </w:rPr>
        <w:t>贯彻</w:t>
      </w:r>
      <w:r>
        <w:rPr>
          <w:rFonts w:hint="eastAsia" w:ascii="仿宋_GB2312" w:hAnsi="楷体" w:eastAsia="仿宋_GB2312"/>
          <w:sz w:val="32"/>
          <w:szCs w:val="32"/>
          <w:highlight w:val="none"/>
          <w:lang w:val="en-US" w:eastAsia="zh-CN"/>
        </w:rPr>
        <w:t>党中央决策部署，</w:t>
      </w:r>
      <w:r>
        <w:rPr>
          <w:rFonts w:hint="eastAsia" w:ascii="仿宋_GB2312" w:hAnsi="楷体" w:eastAsia="仿宋_GB2312"/>
          <w:sz w:val="32"/>
          <w:szCs w:val="32"/>
          <w:highlight w:val="none"/>
        </w:rPr>
        <w:t>将党的领导贯穿规划实施全过程。切实转变工作作风，全面</w:t>
      </w:r>
      <w:r>
        <w:rPr>
          <w:rFonts w:hint="eastAsia" w:ascii="仿宋_GB2312" w:hAnsi="楷体" w:eastAsia="仿宋_GB2312"/>
          <w:sz w:val="32"/>
          <w:szCs w:val="32"/>
          <w:highlight w:val="none"/>
          <w:lang w:val="en-US" w:eastAsia="zh-CN"/>
        </w:rPr>
        <w:t>提升</w:t>
      </w:r>
      <w:r>
        <w:rPr>
          <w:rFonts w:hint="eastAsia" w:ascii="仿宋_GB2312" w:hAnsi="楷体" w:eastAsia="仿宋_GB2312"/>
          <w:sz w:val="32"/>
          <w:szCs w:val="32"/>
          <w:highlight w:val="none"/>
          <w:lang w:eastAsia="zh-CN"/>
        </w:rPr>
        <w:t>各级领导干部</w:t>
      </w:r>
      <w:r>
        <w:rPr>
          <w:rFonts w:hint="eastAsia" w:ascii="仿宋_GB2312" w:hAnsi="楷体" w:eastAsia="仿宋_GB2312"/>
          <w:sz w:val="32"/>
          <w:szCs w:val="32"/>
          <w:highlight w:val="none"/>
        </w:rPr>
        <w:t>履职能力，引导广大党员干部统一</w:t>
      </w:r>
      <w:r>
        <w:rPr>
          <w:rFonts w:hint="eastAsia" w:ascii="仿宋_GB2312" w:hAnsi="楷体" w:eastAsia="仿宋_GB2312"/>
          <w:sz w:val="32"/>
          <w:szCs w:val="32"/>
          <w:highlight w:val="none"/>
          <w:lang w:val="en-US" w:eastAsia="zh-CN"/>
        </w:rPr>
        <w:t>思想</w:t>
      </w:r>
      <w:r>
        <w:rPr>
          <w:rFonts w:hint="eastAsia" w:ascii="仿宋_GB2312" w:hAnsi="楷体" w:eastAsia="仿宋_GB2312"/>
          <w:sz w:val="32"/>
          <w:szCs w:val="32"/>
          <w:highlight w:val="none"/>
        </w:rPr>
        <w:t>认识，以钉钉子精神抓好“十五五”规划各项任务落实。</w:t>
      </w:r>
    </w:p>
    <w:p w14:paraId="5A9E6355">
      <w:pPr>
        <w:pStyle w:val="4"/>
        <w:spacing w:before="0" w:after="160" w:line="560" w:lineRule="exact"/>
        <w:ind w:firstLine="640" w:firstLineChars="200"/>
        <w:rPr>
          <w:rFonts w:hint="default" w:ascii="楷体_GB2312" w:hAnsi="楷体_GB2312" w:eastAsia="楷体_GB2312" w:cs="楷体_GB2312"/>
          <w:b w:val="0"/>
          <w:color w:val="191919"/>
          <w:highlight w:val="none"/>
          <w:shd w:val="clear" w:color="auto" w:fill="FFFFFF"/>
          <w:lang w:val="en-US"/>
        </w:rPr>
      </w:pPr>
      <w:bookmarkStart w:id="239" w:name="_Toc26833"/>
      <w:r>
        <w:rPr>
          <w:rFonts w:hint="eastAsia" w:ascii="楷体_GB2312" w:hAnsi="楷体_GB2312" w:eastAsia="楷体_GB2312" w:cs="楷体_GB2312"/>
          <w:b w:val="0"/>
          <w:color w:val="191919"/>
          <w:highlight w:val="none"/>
          <w:shd w:val="clear" w:color="auto" w:fill="FFFFFF"/>
          <w:lang w:eastAsia="zh-CN"/>
        </w:rPr>
        <w:t>（二）</w:t>
      </w:r>
      <w:r>
        <w:rPr>
          <w:rFonts w:hint="eastAsia" w:ascii="楷体_GB2312" w:hAnsi="楷体_GB2312" w:eastAsia="楷体_GB2312" w:cs="楷体_GB2312"/>
          <w:b w:val="0"/>
          <w:color w:val="191919"/>
          <w:highlight w:val="none"/>
          <w:shd w:val="clear" w:color="auto" w:fill="FFFFFF"/>
          <w:lang w:val="en-US" w:eastAsia="zh-CN"/>
        </w:rPr>
        <w:t>增强政策协同支撑</w:t>
      </w:r>
      <w:bookmarkEnd w:id="239"/>
    </w:p>
    <w:p w14:paraId="65AC625C">
      <w:pPr>
        <w:spacing w:after="160" w:line="560" w:lineRule="exact"/>
        <w:ind w:firstLine="640" w:firstLineChars="200"/>
        <w:rPr>
          <w:rFonts w:hint="eastAsia" w:ascii="仿宋_GB2312" w:hAnsi="楷体" w:eastAsia="仿宋_GB2312"/>
          <w:b w:val="0"/>
          <w:bCs w:val="0"/>
          <w:sz w:val="32"/>
          <w:szCs w:val="32"/>
          <w:highlight w:val="none"/>
        </w:rPr>
      </w:pPr>
      <w:r>
        <w:rPr>
          <w:rFonts w:hint="eastAsia" w:ascii="仿宋_GB2312" w:hAnsi="楷体" w:eastAsia="仿宋_GB2312"/>
          <w:b w:val="0"/>
          <w:bCs w:val="0"/>
          <w:sz w:val="32"/>
          <w:szCs w:val="32"/>
          <w:highlight w:val="none"/>
          <w:lang w:val="en-US" w:eastAsia="zh-CN"/>
        </w:rPr>
        <w:t>坚持规划定方向，围绕本规划确定的中关村房山园产业定位，优化资金、土地、数据、人才、环保、用能等资源要素的合理配置，加强各项支持政策与本规划实施的衔接协调。</w:t>
      </w:r>
      <w:r>
        <w:rPr>
          <w:rFonts w:hint="eastAsia" w:ascii="仿宋_GB2312" w:hAnsi="楷体" w:eastAsia="仿宋_GB2312"/>
          <w:b w:val="0"/>
          <w:bCs w:val="0"/>
          <w:sz w:val="32"/>
          <w:szCs w:val="32"/>
          <w:highlight w:val="none"/>
        </w:rPr>
        <w:t>组建由行业产业专家、企业家、投资机构、智库机构、专业人才等组成的园区发展专家委员会，为园区发展战略制定、产业方向选择、园区发展重大决策制定等提供智力支持。</w:t>
      </w:r>
      <w:r>
        <w:rPr>
          <w:rFonts w:hint="eastAsia" w:ascii="仿宋_GB2312" w:hAnsi="楷体" w:eastAsia="仿宋_GB2312"/>
          <w:b w:val="0"/>
          <w:bCs w:val="0"/>
          <w:sz w:val="32"/>
          <w:szCs w:val="32"/>
          <w:highlight w:val="none"/>
          <w:lang w:val="en-US" w:eastAsia="zh-CN"/>
        </w:rPr>
        <w:t>积极</w:t>
      </w:r>
      <w:r>
        <w:rPr>
          <w:rFonts w:hint="eastAsia" w:ascii="仿宋_GB2312" w:hAnsi="楷体" w:eastAsia="仿宋_GB2312"/>
          <w:b w:val="0"/>
          <w:bCs w:val="0"/>
          <w:sz w:val="32"/>
          <w:szCs w:val="32"/>
          <w:highlight w:val="none"/>
        </w:rPr>
        <w:t>争取中关村先行先试改革政策在</w:t>
      </w:r>
      <w:r>
        <w:rPr>
          <w:rFonts w:hint="eastAsia" w:ascii="仿宋_GB2312" w:hAnsi="楷体" w:eastAsia="仿宋_GB2312"/>
          <w:b w:val="0"/>
          <w:bCs w:val="0"/>
          <w:sz w:val="32"/>
          <w:szCs w:val="32"/>
          <w:highlight w:val="none"/>
          <w:lang w:eastAsia="zh-CN"/>
        </w:rPr>
        <w:t>中关村房山园</w:t>
      </w:r>
      <w:r>
        <w:rPr>
          <w:rFonts w:hint="eastAsia" w:ascii="仿宋_GB2312" w:hAnsi="楷体" w:eastAsia="仿宋_GB2312"/>
          <w:b w:val="0"/>
          <w:bCs w:val="0"/>
          <w:sz w:val="32"/>
          <w:szCs w:val="32"/>
          <w:highlight w:val="none"/>
        </w:rPr>
        <w:t>落地</w:t>
      </w:r>
      <w:r>
        <w:rPr>
          <w:rFonts w:hint="eastAsia" w:ascii="仿宋_GB2312" w:hAnsi="楷体" w:eastAsia="仿宋_GB2312"/>
          <w:b w:val="0"/>
          <w:bCs w:val="0"/>
          <w:sz w:val="32"/>
          <w:szCs w:val="32"/>
          <w:highlight w:val="none"/>
          <w:lang w:eastAsia="zh-CN"/>
        </w:rPr>
        <w:t>，重点推动职务科技成果赋权改革、科技成果资产单列管理等试点政策在园区先行先试，</w:t>
      </w:r>
      <w:r>
        <w:rPr>
          <w:rFonts w:hint="eastAsia" w:ascii="仿宋_GB2312" w:hAnsi="楷体" w:eastAsia="仿宋_GB2312"/>
          <w:b w:val="0"/>
          <w:bCs w:val="0"/>
          <w:sz w:val="32"/>
          <w:szCs w:val="32"/>
          <w:highlight w:val="none"/>
        </w:rPr>
        <w:t>争取扩大</w:t>
      </w:r>
      <w:r>
        <w:rPr>
          <w:rFonts w:hint="eastAsia" w:ascii="仿宋_GB2312" w:hAnsi="楷体" w:eastAsia="仿宋_GB2312"/>
          <w:b w:val="0"/>
          <w:bCs w:val="0"/>
          <w:sz w:val="32"/>
          <w:szCs w:val="32"/>
          <w:highlight w:val="none"/>
          <w:lang w:val="en-US" w:eastAsia="zh-CN"/>
        </w:rPr>
        <w:t>中关村房山园</w:t>
      </w:r>
      <w:r>
        <w:rPr>
          <w:rFonts w:hint="eastAsia" w:ascii="仿宋_GB2312" w:hAnsi="楷体" w:eastAsia="仿宋_GB2312"/>
          <w:b w:val="0"/>
          <w:bCs w:val="0"/>
          <w:sz w:val="32"/>
          <w:szCs w:val="32"/>
          <w:highlight w:val="none"/>
        </w:rPr>
        <w:t>政策区的空间范围。用足用好房山区促进高精尖产业发展扶持措施，围绕创新型企业梯度培育</w:t>
      </w:r>
      <w:r>
        <w:rPr>
          <w:rFonts w:hint="eastAsia" w:ascii="仿宋_GB2312" w:hAnsi="楷体" w:eastAsia="仿宋_GB2312"/>
          <w:b w:val="0"/>
          <w:bCs w:val="0"/>
          <w:sz w:val="32"/>
          <w:szCs w:val="32"/>
          <w:highlight w:val="none"/>
          <w:lang w:eastAsia="zh-CN"/>
        </w:rPr>
        <w:t>、</w:t>
      </w:r>
      <w:r>
        <w:rPr>
          <w:rFonts w:hint="eastAsia" w:ascii="仿宋_GB2312" w:hAnsi="楷体" w:eastAsia="仿宋_GB2312"/>
          <w:b w:val="0"/>
          <w:bCs w:val="0"/>
          <w:sz w:val="32"/>
          <w:szCs w:val="32"/>
          <w:highlight w:val="none"/>
        </w:rPr>
        <w:t>产业创新升级、科技成果转化等</w:t>
      </w:r>
      <w:r>
        <w:rPr>
          <w:rFonts w:hint="eastAsia" w:ascii="仿宋_GB2312" w:hAnsi="楷体" w:eastAsia="仿宋_GB2312"/>
          <w:b w:val="0"/>
          <w:bCs w:val="0"/>
          <w:sz w:val="32"/>
          <w:szCs w:val="32"/>
          <w:highlight w:val="none"/>
          <w:lang w:val="en-US" w:eastAsia="zh-CN"/>
        </w:rPr>
        <w:t>重点</w:t>
      </w:r>
      <w:r>
        <w:rPr>
          <w:rFonts w:hint="eastAsia" w:ascii="仿宋_GB2312" w:hAnsi="楷体" w:eastAsia="仿宋_GB2312"/>
          <w:b w:val="0"/>
          <w:bCs w:val="0"/>
          <w:sz w:val="32"/>
          <w:szCs w:val="32"/>
          <w:highlight w:val="none"/>
        </w:rPr>
        <w:t>方向</w:t>
      </w:r>
      <w:r>
        <w:rPr>
          <w:rFonts w:hint="eastAsia" w:ascii="仿宋_GB2312" w:hAnsi="楷体" w:eastAsia="仿宋_GB2312"/>
          <w:b w:val="0"/>
          <w:bCs w:val="0"/>
          <w:sz w:val="32"/>
          <w:szCs w:val="32"/>
          <w:highlight w:val="none"/>
          <w:lang w:val="en-US" w:eastAsia="zh-CN"/>
        </w:rPr>
        <w:t>持续发力</w:t>
      </w:r>
      <w:r>
        <w:rPr>
          <w:rFonts w:hint="eastAsia" w:ascii="仿宋_GB2312" w:hAnsi="楷体" w:eastAsia="仿宋_GB2312"/>
          <w:b w:val="0"/>
          <w:bCs w:val="0"/>
          <w:sz w:val="32"/>
          <w:szCs w:val="32"/>
          <w:highlight w:val="none"/>
          <w:lang w:eastAsia="zh-CN"/>
        </w:rPr>
        <w:t>，</w:t>
      </w:r>
      <w:r>
        <w:rPr>
          <w:rFonts w:hint="eastAsia" w:ascii="仿宋_GB2312" w:hAnsi="楷体" w:eastAsia="仿宋_GB2312"/>
          <w:b w:val="0"/>
          <w:bCs w:val="0"/>
          <w:sz w:val="32"/>
          <w:szCs w:val="32"/>
          <w:highlight w:val="none"/>
        </w:rPr>
        <w:t>吸引一批高精尖企业入驻集聚。</w:t>
      </w:r>
    </w:p>
    <w:p w14:paraId="10835DC6">
      <w:pPr>
        <w:pStyle w:val="4"/>
        <w:spacing w:before="0" w:after="160" w:line="560" w:lineRule="exact"/>
        <w:ind w:firstLine="640" w:firstLineChars="200"/>
        <w:rPr>
          <w:rFonts w:hint="default" w:ascii="楷体_GB2312" w:hAnsi="楷体_GB2312" w:eastAsia="楷体_GB2312" w:cs="楷体_GB2312"/>
          <w:b w:val="0"/>
          <w:color w:val="191919"/>
          <w:highlight w:val="none"/>
          <w:shd w:val="clear" w:color="auto" w:fill="FFFFFF"/>
          <w:lang w:val="en-US" w:eastAsia="zh-CN"/>
        </w:rPr>
      </w:pPr>
      <w:bookmarkStart w:id="240" w:name="_Toc4307"/>
      <w:r>
        <w:rPr>
          <w:rFonts w:hint="eastAsia" w:ascii="楷体_GB2312" w:hAnsi="楷体_GB2312" w:eastAsia="楷体_GB2312" w:cs="楷体_GB2312"/>
          <w:b w:val="0"/>
          <w:color w:val="191919"/>
          <w:highlight w:val="none"/>
          <w:shd w:val="clear" w:color="auto" w:fill="FFFFFF"/>
          <w:lang w:eastAsia="zh-CN"/>
        </w:rPr>
        <w:t>（三）</w:t>
      </w:r>
      <w:r>
        <w:rPr>
          <w:rFonts w:hint="eastAsia" w:ascii="楷体_GB2312" w:hAnsi="楷体_GB2312" w:eastAsia="楷体_GB2312" w:cs="楷体_GB2312"/>
          <w:b w:val="0"/>
          <w:color w:val="191919"/>
          <w:highlight w:val="none"/>
          <w:shd w:val="clear" w:color="auto" w:fill="FFFFFF"/>
          <w:lang w:val="en-US" w:eastAsia="zh-CN"/>
        </w:rPr>
        <w:t>加强规划统筹实施</w:t>
      </w:r>
      <w:bookmarkEnd w:id="240"/>
    </w:p>
    <w:p w14:paraId="3F2FB61B">
      <w:pPr>
        <w:spacing w:after="160" w:line="560" w:lineRule="exact"/>
        <w:ind w:firstLine="640" w:firstLineChars="200"/>
        <w:rPr>
          <w:rFonts w:hint="eastAsia" w:ascii="仿宋_GB2312" w:hAnsi="楷体" w:eastAsia="仿宋_GB2312"/>
          <w:b w:val="0"/>
          <w:bCs w:val="0"/>
          <w:sz w:val="32"/>
          <w:szCs w:val="32"/>
          <w:highlight w:val="none"/>
        </w:rPr>
      </w:pPr>
      <w:r>
        <w:rPr>
          <w:rFonts w:hint="eastAsia" w:ascii="仿宋_GB2312" w:hAnsi="楷体" w:eastAsia="仿宋_GB2312"/>
          <w:b w:val="0"/>
          <w:bCs w:val="0"/>
          <w:sz w:val="32"/>
          <w:szCs w:val="32"/>
          <w:highlight w:val="none"/>
        </w:rPr>
        <w:t>突出本</w:t>
      </w:r>
      <w:r>
        <w:rPr>
          <w:rFonts w:hint="eastAsia" w:ascii="仿宋_GB2312" w:hAnsi="楷体" w:eastAsia="仿宋_GB2312"/>
          <w:b w:val="0"/>
          <w:bCs w:val="0"/>
          <w:sz w:val="32"/>
          <w:szCs w:val="32"/>
          <w:highlight w:val="none"/>
          <w:lang w:val="en-US" w:eastAsia="zh-CN"/>
        </w:rPr>
        <w:t>规划</w:t>
      </w:r>
      <w:r>
        <w:rPr>
          <w:rFonts w:hint="eastAsia" w:ascii="仿宋_GB2312" w:hAnsi="楷体" w:eastAsia="仿宋_GB2312"/>
          <w:b w:val="0"/>
          <w:bCs w:val="0"/>
          <w:sz w:val="32"/>
          <w:szCs w:val="32"/>
          <w:highlight w:val="none"/>
        </w:rPr>
        <w:t>的引领作用，强化空间、</w:t>
      </w:r>
      <w:r>
        <w:rPr>
          <w:rFonts w:hint="eastAsia" w:ascii="仿宋_GB2312" w:hAnsi="楷体" w:eastAsia="仿宋_GB2312"/>
          <w:b w:val="0"/>
          <w:bCs w:val="0"/>
          <w:sz w:val="32"/>
          <w:szCs w:val="32"/>
          <w:highlight w:val="none"/>
          <w:lang w:val="en-US" w:eastAsia="zh-CN"/>
        </w:rPr>
        <w:t>产业、区域发展</w:t>
      </w:r>
      <w:r>
        <w:rPr>
          <w:rFonts w:hint="eastAsia" w:ascii="仿宋_GB2312" w:hAnsi="楷体" w:eastAsia="仿宋_GB2312"/>
          <w:b w:val="0"/>
          <w:bCs w:val="0"/>
          <w:sz w:val="32"/>
          <w:szCs w:val="32"/>
          <w:highlight w:val="none"/>
        </w:rPr>
        <w:t>和年度计划等与本</w:t>
      </w:r>
      <w:r>
        <w:rPr>
          <w:rFonts w:hint="eastAsia" w:ascii="仿宋_GB2312" w:hAnsi="楷体" w:eastAsia="仿宋_GB2312"/>
          <w:b w:val="0"/>
          <w:bCs w:val="0"/>
          <w:sz w:val="32"/>
          <w:szCs w:val="32"/>
          <w:highlight w:val="none"/>
          <w:lang w:val="en-US" w:eastAsia="zh-CN"/>
        </w:rPr>
        <w:t>规划</w:t>
      </w:r>
      <w:r>
        <w:rPr>
          <w:rFonts w:hint="eastAsia" w:ascii="仿宋_GB2312" w:hAnsi="楷体" w:eastAsia="仿宋_GB2312"/>
          <w:b w:val="0"/>
          <w:bCs w:val="0"/>
          <w:sz w:val="32"/>
          <w:szCs w:val="32"/>
          <w:highlight w:val="none"/>
        </w:rPr>
        <w:t>在主要目标、发展方向、总体布局、重大政策、重点任务等方面的衔接协调，形成规划合力。</w:t>
      </w:r>
      <w:r>
        <w:rPr>
          <w:rFonts w:hint="eastAsia" w:ascii="仿宋_GB2312" w:hAnsi="楷体" w:eastAsia="仿宋_GB2312"/>
          <w:b w:val="0"/>
          <w:bCs w:val="0"/>
          <w:sz w:val="32"/>
          <w:szCs w:val="32"/>
          <w:highlight w:val="none"/>
          <w:lang w:val="en-US" w:eastAsia="zh-CN"/>
        </w:rPr>
        <w:t>细化分解规划指标和重点任务，明确任务分工，形成任务清单，落实责任主体。强化</w:t>
      </w:r>
      <w:r>
        <w:rPr>
          <w:rFonts w:hint="eastAsia" w:ascii="仿宋_GB2312" w:hAnsi="楷体" w:eastAsia="仿宋_GB2312"/>
          <w:b w:val="0"/>
          <w:bCs w:val="0"/>
          <w:sz w:val="32"/>
          <w:szCs w:val="32"/>
          <w:highlight w:val="none"/>
        </w:rPr>
        <w:t>重大项目带动</w:t>
      </w:r>
      <w:r>
        <w:rPr>
          <w:rFonts w:hint="eastAsia" w:ascii="仿宋_GB2312" w:hAnsi="楷体" w:eastAsia="仿宋_GB2312"/>
          <w:b w:val="0"/>
          <w:bCs w:val="0"/>
          <w:sz w:val="32"/>
          <w:szCs w:val="32"/>
          <w:highlight w:val="none"/>
          <w:lang w:val="en-US" w:eastAsia="zh-CN"/>
        </w:rPr>
        <w:t>作用</w:t>
      </w:r>
      <w:r>
        <w:rPr>
          <w:rFonts w:hint="eastAsia" w:ascii="仿宋_GB2312" w:hAnsi="楷体" w:eastAsia="仿宋_GB2312"/>
          <w:b w:val="0"/>
          <w:bCs w:val="0"/>
          <w:sz w:val="32"/>
          <w:szCs w:val="32"/>
          <w:highlight w:val="none"/>
          <w:lang w:eastAsia="zh-CN"/>
        </w:rPr>
        <w:t>，</w:t>
      </w:r>
      <w:r>
        <w:rPr>
          <w:rFonts w:hint="eastAsia" w:ascii="仿宋_GB2312" w:hAnsi="楷体" w:eastAsia="仿宋_GB2312"/>
          <w:b w:val="0"/>
          <w:bCs w:val="0"/>
          <w:sz w:val="32"/>
          <w:szCs w:val="32"/>
          <w:highlight w:val="none"/>
        </w:rPr>
        <w:t>坚持项目跟着规划走，谋划实施一批切实引领</w:t>
      </w:r>
      <w:r>
        <w:rPr>
          <w:rFonts w:hint="eastAsia" w:ascii="仿宋_GB2312" w:hAnsi="楷体" w:eastAsia="仿宋_GB2312"/>
          <w:b w:val="0"/>
          <w:bCs w:val="0"/>
          <w:sz w:val="32"/>
          <w:szCs w:val="32"/>
          <w:highlight w:val="none"/>
          <w:lang w:val="en-US" w:eastAsia="zh-CN"/>
        </w:rPr>
        <w:t>中关村房山园产业</w:t>
      </w:r>
      <w:r>
        <w:rPr>
          <w:rFonts w:hint="eastAsia" w:ascii="仿宋_GB2312" w:hAnsi="楷体" w:eastAsia="仿宋_GB2312"/>
          <w:b w:val="0"/>
          <w:bCs w:val="0"/>
          <w:sz w:val="32"/>
          <w:szCs w:val="32"/>
          <w:highlight w:val="none"/>
        </w:rPr>
        <w:t>高质量</w:t>
      </w:r>
      <w:r>
        <w:rPr>
          <w:rFonts w:hint="eastAsia" w:ascii="仿宋_GB2312" w:hAnsi="楷体" w:eastAsia="仿宋_GB2312"/>
          <w:b w:val="0"/>
          <w:bCs w:val="0"/>
          <w:sz w:val="32"/>
          <w:szCs w:val="32"/>
          <w:highlight w:val="none"/>
          <w:lang w:val="en-US" w:eastAsia="zh-CN"/>
        </w:rPr>
        <w:t>发展</w:t>
      </w:r>
      <w:r>
        <w:rPr>
          <w:rFonts w:hint="eastAsia" w:ascii="仿宋_GB2312" w:hAnsi="楷体" w:eastAsia="仿宋_GB2312"/>
          <w:b w:val="0"/>
          <w:bCs w:val="0"/>
          <w:sz w:val="32"/>
          <w:szCs w:val="32"/>
          <w:highlight w:val="none"/>
        </w:rPr>
        <w:t>的标志性重大项目。加强部门</w:t>
      </w:r>
      <w:r>
        <w:rPr>
          <w:rFonts w:hint="eastAsia" w:ascii="仿宋_GB2312" w:hAnsi="楷体" w:eastAsia="仿宋_GB2312"/>
          <w:b w:val="0"/>
          <w:bCs w:val="0"/>
          <w:sz w:val="32"/>
          <w:szCs w:val="32"/>
          <w:highlight w:val="none"/>
          <w:lang w:val="en-US" w:eastAsia="zh-CN"/>
        </w:rPr>
        <w:t>间的</w:t>
      </w:r>
      <w:r>
        <w:rPr>
          <w:rFonts w:hint="eastAsia" w:ascii="仿宋_GB2312" w:hAnsi="楷体" w:eastAsia="仿宋_GB2312"/>
          <w:b w:val="0"/>
          <w:bCs w:val="0"/>
          <w:sz w:val="32"/>
          <w:szCs w:val="32"/>
          <w:highlight w:val="none"/>
        </w:rPr>
        <w:t>协同配合</w:t>
      </w:r>
      <w:r>
        <w:rPr>
          <w:rFonts w:hint="eastAsia" w:ascii="仿宋_GB2312" w:hAnsi="楷体" w:eastAsia="仿宋_GB2312"/>
          <w:b w:val="0"/>
          <w:bCs w:val="0"/>
          <w:sz w:val="32"/>
          <w:szCs w:val="32"/>
          <w:highlight w:val="none"/>
          <w:lang w:eastAsia="zh-CN"/>
        </w:rPr>
        <w:t>、</w:t>
      </w:r>
      <w:r>
        <w:rPr>
          <w:rFonts w:hint="eastAsia" w:ascii="仿宋_GB2312" w:hAnsi="楷体" w:eastAsia="仿宋_GB2312"/>
          <w:b w:val="0"/>
          <w:bCs w:val="0"/>
          <w:sz w:val="32"/>
          <w:szCs w:val="32"/>
          <w:highlight w:val="none"/>
          <w:lang w:val="en-US" w:eastAsia="zh-CN"/>
        </w:rPr>
        <w:t>形成合力，</w:t>
      </w:r>
      <w:r>
        <w:rPr>
          <w:rFonts w:hint="eastAsia" w:ascii="仿宋_GB2312" w:hAnsi="楷体" w:eastAsia="仿宋_GB2312"/>
          <w:b w:val="0"/>
          <w:bCs w:val="0"/>
          <w:sz w:val="32"/>
          <w:szCs w:val="32"/>
          <w:highlight w:val="none"/>
        </w:rPr>
        <w:t>在政策支持、资源配置、项目审批等方面</w:t>
      </w:r>
      <w:r>
        <w:rPr>
          <w:rFonts w:hint="eastAsia" w:ascii="仿宋_GB2312" w:hAnsi="楷体" w:eastAsia="仿宋_GB2312"/>
          <w:b w:val="0"/>
          <w:bCs w:val="0"/>
          <w:sz w:val="32"/>
          <w:szCs w:val="32"/>
          <w:highlight w:val="none"/>
          <w:lang w:val="en-US" w:eastAsia="zh-CN"/>
        </w:rPr>
        <w:t>为企业提供</w:t>
      </w:r>
      <w:r>
        <w:rPr>
          <w:rFonts w:hint="eastAsia" w:ascii="仿宋_GB2312" w:hAnsi="楷体" w:eastAsia="仿宋_GB2312"/>
          <w:b w:val="0"/>
          <w:bCs w:val="0"/>
          <w:sz w:val="32"/>
          <w:szCs w:val="32"/>
          <w:highlight w:val="none"/>
        </w:rPr>
        <w:t>有力保障。</w:t>
      </w:r>
    </w:p>
    <w:bookmarkEnd w:id="230"/>
    <w:bookmarkEnd w:id="231"/>
    <w:bookmarkEnd w:id="232"/>
    <w:bookmarkEnd w:id="233"/>
    <w:bookmarkEnd w:id="234"/>
    <w:bookmarkEnd w:id="235"/>
    <w:bookmarkEnd w:id="236"/>
    <w:bookmarkEnd w:id="237"/>
    <w:bookmarkEnd w:id="238"/>
    <w:p w14:paraId="26C938EA">
      <w:pPr>
        <w:pStyle w:val="4"/>
        <w:spacing w:before="0" w:after="160" w:line="560" w:lineRule="exact"/>
        <w:ind w:firstLine="640" w:firstLineChars="200"/>
        <w:rPr>
          <w:rFonts w:hint="default" w:ascii="楷体_GB2312" w:hAnsi="楷体_GB2312" w:eastAsia="楷体_GB2312" w:cs="楷体_GB2312"/>
          <w:b w:val="0"/>
          <w:color w:val="191919"/>
          <w:highlight w:val="none"/>
          <w:shd w:val="clear" w:color="auto" w:fill="FFFFFF"/>
          <w:lang w:val="en-US"/>
        </w:rPr>
      </w:pPr>
      <w:bookmarkStart w:id="241" w:name="_Toc3982"/>
      <w:bookmarkStart w:id="242" w:name="_Toc24839"/>
      <w:bookmarkStart w:id="243" w:name="_Toc7453"/>
      <w:bookmarkStart w:id="244" w:name="_Toc20137"/>
      <w:bookmarkStart w:id="245" w:name="_Toc1659"/>
      <w:bookmarkStart w:id="246" w:name="_Toc31629"/>
      <w:bookmarkStart w:id="247" w:name="_Toc1896"/>
      <w:bookmarkStart w:id="248" w:name="_Toc7330"/>
      <w:bookmarkStart w:id="249" w:name="_Toc599"/>
      <w:bookmarkStart w:id="250" w:name="_Toc32205"/>
      <w:r>
        <w:rPr>
          <w:rFonts w:hint="eastAsia" w:ascii="楷体_GB2312" w:hAnsi="楷体_GB2312" w:eastAsia="楷体_GB2312" w:cs="楷体_GB2312"/>
          <w:b w:val="0"/>
          <w:color w:val="191919"/>
          <w:highlight w:val="none"/>
          <w:shd w:val="clear" w:color="auto" w:fill="FFFFFF"/>
          <w:lang w:eastAsia="zh-CN"/>
        </w:rPr>
        <w:t>（四）</w:t>
      </w:r>
      <w:r>
        <w:rPr>
          <w:rFonts w:hint="eastAsia" w:ascii="楷体_GB2312" w:hAnsi="楷体_GB2312" w:eastAsia="楷体_GB2312" w:cs="楷体_GB2312"/>
          <w:b w:val="0"/>
          <w:color w:val="191919"/>
          <w:highlight w:val="none"/>
          <w:shd w:val="clear" w:color="auto" w:fill="FFFFFF"/>
          <w:lang w:val="en-US" w:eastAsia="zh-CN"/>
        </w:rPr>
        <w:t>强化规划</w:t>
      </w:r>
      <w:bookmarkEnd w:id="241"/>
      <w:bookmarkEnd w:id="242"/>
      <w:bookmarkEnd w:id="243"/>
      <w:bookmarkEnd w:id="244"/>
      <w:bookmarkEnd w:id="245"/>
      <w:bookmarkEnd w:id="246"/>
      <w:bookmarkEnd w:id="247"/>
      <w:bookmarkEnd w:id="248"/>
      <w:bookmarkEnd w:id="249"/>
      <w:r>
        <w:rPr>
          <w:rFonts w:hint="eastAsia" w:ascii="楷体_GB2312" w:hAnsi="楷体_GB2312" w:eastAsia="楷体_GB2312" w:cs="楷体_GB2312"/>
          <w:b w:val="0"/>
          <w:color w:val="191919"/>
          <w:highlight w:val="none"/>
          <w:shd w:val="clear" w:color="auto" w:fill="FFFFFF"/>
          <w:lang w:val="en-US" w:eastAsia="zh-CN"/>
        </w:rPr>
        <w:t>监测评价</w:t>
      </w:r>
      <w:bookmarkEnd w:id="250"/>
    </w:p>
    <w:p w14:paraId="30D05373">
      <w:pPr>
        <w:spacing w:after="160" w:line="560" w:lineRule="exact"/>
        <w:ind w:firstLine="640" w:firstLineChars="200"/>
        <w:rPr>
          <w:rFonts w:hint="eastAsia"/>
        </w:rPr>
      </w:pPr>
      <w:r>
        <w:rPr>
          <w:rFonts w:hint="eastAsia" w:ascii="仿宋_GB2312" w:hAnsi="楷体" w:eastAsia="仿宋_GB2312"/>
          <w:b w:val="0"/>
          <w:bCs w:val="0"/>
          <w:sz w:val="32"/>
          <w:szCs w:val="32"/>
          <w:highlight w:val="none"/>
        </w:rPr>
        <w:t>建立健全动态监测</w:t>
      </w:r>
      <w:r>
        <w:rPr>
          <w:rFonts w:hint="eastAsia" w:ascii="仿宋_GB2312" w:hAnsi="楷体" w:eastAsia="仿宋_GB2312"/>
          <w:b w:val="0"/>
          <w:bCs w:val="0"/>
          <w:sz w:val="32"/>
          <w:szCs w:val="32"/>
          <w:highlight w:val="none"/>
          <w:lang w:eastAsia="zh-CN"/>
        </w:rPr>
        <w:t>、</w:t>
      </w:r>
      <w:r>
        <w:rPr>
          <w:rFonts w:hint="eastAsia" w:ascii="仿宋_GB2312" w:hAnsi="楷体" w:eastAsia="仿宋_GB2312"/>
          <w:b w:val="0"/>
          <w:bCs w:val="0"/>
          <w:sz w:val="32"/>
          <w:szCs w:val="32"/>
          <w:highlight w:val="none"/>
        </w:rPr>
        <w:t>中期评估</w:t>
      </w:r>
      <w:r>
        <w:rPr>
          <w:rFonts w:hint="eastAsia" w:ascii="仿宋_GB2312" w:hAnsi="楷体" w:eastAsia="仿宋_GB2312"/>
          <w:b w:val="0"/>
          <w:bCs w:val="0"/>
          <w:sz w:val="32"/>
          <w:szCs w:val="32"/>
          <w:highlight w:val="none"/>
          <w:lang w:eastAsia="zh-CN"/>
        </w:rPr>
        <w:t>、</w:t>
      </w:r>
      <w:r>
        <w:rPr>
          <w:rFonts w:hint="eastAsia" w:ascii="仿宋_GB2312" w:hAnsi="楷体" w:eastAsia="仿宋_GB2312"/>
          <w:b w:val="0"/>
          <w:bCs w:val="0"/>
          <w:sz w:val="32"/>
          <w:szCs w:val="32"/>
          <w:highlight w:val="none"/>
        </w:rPr>
        <w:t>总结评估的规划实施全周期管理机制，加强形势跟踪和风险研判，根据监测评估情况及时提出加强和改进规划实施的政策举措。</w:t>
      </w:r>
      <w:r>
        <w:rPr>
          <w:rFonts w:hint="eastAsia" w:ascii="仿宋_GB2312" w:hAnsi="楷体" w:eastAsia="仿宋_GB2312"/>
          <w:b w:val="0"/>
          <w:bCs w:val="0"/>
          <w:sz w:val="32"/>
          <w:szCs w:val="32"/>
          <w:highlight w:val="none"/>
          <w:lang w:val="en-US" w:eastAsia="zh-CN"/>
        </w:rPr>
        <w:t>开展</w:t>
      </w:r>
      <w:r>
        <w:rPr>
          <w:rFonts w:hint="eastAsia" w:ascii="仿宋_GB2312" w:hAnsi="楷体" w:eastAsia="仿宋_GB2312"/>
          <w:b w:val="0"/>
          <w:bCs w:val="0"/>
          <w:sz w:val="32"/>
          <w:szCs w:val="32"/>
          <w:highlight w:val="none"/>
        </w:rPr>
        <w:t>年度监测分析、中期评估和末期总结评估，鼓励</w:t>
      </w:r>
      <w:r>
        <w:rPr>
          <w:rFonts w:hint="eastAsia" w:ascii="仿宋_GB2312" w:hAnsi="楷体" w:eastAsia="仿宋_GB2312"/>
          <w:b w:val="0"/>
          <w:bCs w:val="0"/>
          <w:sz w:val="32"/>
          <w:szCs w:val="32"/>
          <w:highlight w:val="none"/>
          <w:lang w:val="en-US" w:eastAsia="zh-CN"/>
        </w:rPr>
        <w:t>引入</w:t>
      </w:r>
      <w:r>
        <w:rPr>
          <w:rFonts w:hint="eastAsia" w:ascii="仿宋_GB2312" w:hAnsi="楷体" w:eastAsia="仿宋_GB2312"/>
          <w:b w:val="0"/>
          <w:bCs w:val="0"/>
          <w:sz w:val="32"/>
          <w:szCs w:val="32"/>
          <w:highlight w:val="none"/>
        </w:rPr>
        <w:t>第三方评估。强化监测评估结果应用，</w:t>
      </w:r>
      <w:r>
        <w:rPr>
          <w:rFonts w:hint="eastAsia" w:ascii="仿宋_GB2312" w:hAnsi="楷体" w:eastAsia="仿宋_GB2312"/>
          <w:b w:val="0"/>
          <w:bCs w:val="0"/>
          <w:sz w:val="32"/>
          <w:szCs w:val="32"/>
          <w:highlight w:val="none"/>
          <w:lang w:val="en-US" w:eastAsia="zh-CN"/>
        </w:rPr>
        <w:t>促进各单位</w:t>
      </w:r>
      <w:r>
        <w:rPr>
          <w:rFonts w:hint="eastAsia" w:ascii="仿宋_GB2312" w:hAnsi="楷体" w:eastAsia="仿宋_GB2312"/>
          <w:b w:val="0"/>
          <w:bCs w:val="0"/>
          <w:sz w:val="32"/>
          <w:szCs w:val="32"/>
          <w:highlight w:val="none"/>
        </w:rPr>
        <w:t>明确工作目标</w:t>
      </w:r>
      <w:r>
        <w:rPr>
          <w:rFonts w:hint="eastAsia" w:ascii="仿宋_GB2312" w:hAnsi="楷体" w:eastAsia="仿宋_GB2312"/>
          <w:b w:val="0"/>
          <w:bCs w:val="0"/>
          <w:sz w:val="32"/>
          <w:szCs w:val="32"/>
          <w:highlight w:val="none"/>
          <w:lang w:val="en-US" w:eastAsia="zh-CN"/>
        </w:rPr>
        <w:t>与</w:t>
      </w:r>
      <w:r>
        <w:rPr>
          <w:rFonts w:hint="eastAsia" w:ascii="仿宋_GB2312" w:hAnsi="楷体" w:eastAsia="仿宋_GB2312"/>
          <w:b w:val="0"/>
          <w:bCs w:val="0"/>
          <w:sz w:val="32"/>
          <w:szCs w:val="32"/>
          <w:highlight w:val="none"/>
        </w:rPr>
        <w:t>责任分工，压实责任、细化措施、完善机制、创新政策，确保各项举措落实落地、见到实效。将规划实施情况纳入各级领导干部考核评价</w:t>
      </w:r>
      <w:r>
        <w:rPr>
          <w:rFonts w:hint="eastAsia" w:ascii="仿宋_GB2312" w:hAnsi="楷体" w:eastAsia="仿宋_GB2312"/>
          <w:b w:val="0"/>
          <w:bCs w:val="0"/>
          <w:sz w:val="32"/>
          <w:szCs w:val="32"/>
          <w:highlight w:val="none"/>
          <w:lang w:eastAsia="zh-CN"/>
        </w:rPr>
        <w:t>，</w:t>
      </w:r>
      <w:r>
        <w:rPr>
          <w:rFonts w:hint="eastAsia" w:ascii="仿宋_GB2312" w:hAnsi="楷体" w:eastAsia="仿宋_GB2312"/>
          <w:b w:val="0"/>
          <w:bCs w:val="0"/>
          <w:sz w:val="32"/>
          <w:szCs w:val="32"/>
          <w:highlight w:val="none"/>
        </w:rPr>
        <w:t>结合评估结果强化监督考核问责，确保规划落实。</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2"/>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E279C">
    <w:pPr>
      <w:pStyle w:val="12"/>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F5618">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EF4058">
                          <w:pPr>
                            <w:pStyle w:val="12"/>
                            <w:rPr>
                              <w:rFonts w:hint="default" w:ascii="Times New Roman" w:hAnsi="Times New Roman" w:cs="Times New Roman"/>
                              <w:sz w:val="18"/>
                              <w:szCs w:val="24"/>
                            </w:rPr>
                          </w:pPr>
                          <w:r>
                            <w:rPr>
                              <w:rFonts w:hint="default" w:ascii="Times New Roman" w:hAnsi="Times New Roman" w:cs="Times New Roman"/>
                              <w:sz w:val="18"/>
                              <w:szCs w:val="24"/>
                            </w:rPr>
                            <w:fldChar w:fldCharType="begin"/>
                          </w:r>
                          <w:r>
                            <w:rPr>
                              <w:rFonts w:hint="default" w:ascii="Times New Roman" w:hAnsi="Times New Roman" w:cs="Times New Roman"/>
                              <w:sz w:val="18"/>
                              <w:szCs w:val="24"/>
                            </w:rPr>
                            <w:instrText xml:space="preserve"> PAGE  \* MERGEFORMAT </w:instrText>
                          </w:r>
                          <w:r>
                            <w:rPr>
                              <w:rFonts w:hint="default" w:ascii="Times New Roman" w:hAnsi="Times New Roman" w:cs="Times New Roman"/>
                              <w:sz w:val="18"/>
                              <w:szCs w:val="24"/>
                            </w:rPr>
                            <w:fldChar w:fldCharType="separate"/>
                          </w:r>
                          <w:r>
                            <w:rPr>
                              <w:rFonts w:hint="default" w:ascii="Times New Roman" w:hAnsi="Times New Roman" w:cs="Times New Roman"/>
                              <w:sz w:val="18"/>
                              <w:szCs w:val="24"/>
                            </w:rPr>
                            <w:t>1</w:t>
                          </w:r>
                          <w:r>
                            <w:rPr>
                              <w:rFonts w:hint="default" w:ascii="Times New Roman" w:hAnsi="Times New Roman" w:cs="Times New Roman"/>
                              <w:sz w:val="18"/>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EF4058">
                    <w:pPr>
                      <w:pStyle w:val="12"/>
                      <w:rPr>
                        <w:rFonts w:hint="default" w:ascii="Times New Roman" w:hAnsi="Times New Roman" w:cs="Times New Roman"/>
                        <w:sz w:val="18"/>
                        <w:szCs w:val="24"/>
                      </w:rPr>
                    </w:pPr>
                    <w:r>
                      <w:rPr>
                        <w:rFonts w:hint="default" w:ascii="Times New Roman" w:hAnsi="Times New Roman" w:cs="Times New Roman"/>
                        <w:sz w:val="18"/>
                        <w:szCs w:val="24"/>
                      </w:rPr>
                      <w:fldChar w:fldCharType="begin"/>
                    </w:r>
                    <w:r>
                      <w:rPr>
                        <w:rFonts w:hint="default" w:ascii="Times New Roman" w:hAnsi="Times New Roman" w:cs="Times New Roman"/>
                        <w:sz w:val="18"/>
                        <w:szCs w:val="24"/>
                      </w:rPr>
                      <w:instrText xml:space="preserve"> PAGE  \* MERGEFORMAT </w:instrText>
                    </w:r>
                    <w:r>
                      <w:rPr>
                        <w:rFonts w:hint="default" w:ascii="Times New Roman" w:hAnsi="Times New Roman" w:cs="Times New Roman"/>
                        <w:sz w:val="18"/>
                        <w:szCs w:val="24"/>
                      </w:rPr>
                      <w:fldChar w:fldCharType="separate"/>
                    </w:r>
                    <w:r>
                      <w:rPr>
                        <w:rFonts w:hint="default" w:ascii="Times New Roman" w:hAnsi="Times New Roman" w:cs="Times New Roman"/>
                        <w:sz w:val="18"/>
                        <w:szCs w:val="24"/>
                      </w:rPr>
                      <w:t>1</w:t>
                    </w:r>
                    <w:r>
                      <w:rPr>
                        <w:rFonts w:hint="default" w:ascii="Times New Roman" w:hAnsi="Times New Roman" w:cs="Times New Roman"/>
                        <w:sz w:val="18"/>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D90"/>
    <w:rsid w:val="00005746"/>
    <w:rsid w:val="00012995"/>
    <w:rsid w:val="00012B23"/>
    <w:rsid w:val="00021B56"/>
    <w:rsid w:val="000244C1"/>
    <w:rsid w:val="00026589"/>
    <w:rsid w:val="000312EE"/>
    <w:rsid w:val="00033F2A"/>
    <w:rsid w:val="00036B69"/>
    <w:rsid w:val="0003719E"/>
    <w:rsid w:val="000543B4"/>
    <w:rsid w:val="00056993"/>
    <w:rsid w:val="00060831"/>
    <w:rsid w:val="000664AE"/>
    <w:rsid w:val="00074C02"/>
    <w:rsid w:val="000813F9"/>
    <w:rsid w:val="0008196D"/>
    <w:rsid w:val="00095AF3"/>
    <w:rsid w:val="000A2137"/>
    <w:rsid w:val="000A6549"/>
    <w:rsid w:val="000A72FF"/>
    <w:rsid w:val="000A74C4"/>
    <w:rsid w:val="000B5548"/>
    <w:rsid w:val="000B5A09"/>
    <w:rsid w:val="000C174C"/>
    <w:rsid w:val="000C1A37"/>
    <w:rsid w:val="000C1CCD"/>
    <w:rsid w:val="000C51BF"/>
    <w:rsid w:val="000E0C61"/>
    <w:rsid w:val="001007DF"/>
    <w:rsid w:val="0010098D"/>
    <w:rsid w:val="0010378B"/>
    <w:rsid w:val="001047CE"/>
    <w:rsid w:val="00107D5F"/>
    <w:rsid w:val="00113BB5"/>
    <w:rsid w:val="0012083F"/>
    <w:rsid w:val="001254BF"/>
    <w:rsid w:val="00141DD7"/>
    <w:rsid w:val="00143241"/>
    <w:rsid w:val="00143E6A"/>
    <w:rsid w:val="00146C9F"/>
    <w:rsid w:val="0015118E"/>
    <w:rsid w:val="001512F0"/>
    <w:rsid w:val="00164008"/>
    <w:rsid w:val="001706CB"/>
    <w:rsid w:val="0017458B"/>
    <w:rsid w:val="001A21D0"/>
    <w:rsid w:val="001B2299"/>
    <w:rsid w:val="001B43F4"/>
    <w:rsid w:val="001C3456"/>
    <w:rsid w:val="001C3569"/>
    <w:rsid w:val="001D5839"/>
    <w:rsid w:val="001F2E8E"/>
    <w:rsid w:val="00201549"/>
    <w:rsid w:val="002039AA"/>
    <w:rsid w:val="00222871"/>
    <w:rsid w:val="002276E3"/>
    <w:rsid w:val="00232B6E"/>
    <w:rsid w:val="002438B8"/>
    <w:rsid w:val="002501FC"/>
    <w:rsid w:val="00252CF8"/>
    <w:rsid w:val="002609F5"/>
    <w:rsid w:val="00263117"/>
    <w:rsid w:val="0027394E"/>
    <w:rsid w:val="00280A8F"/>
    <w:rsid w:val="002814E2"/>
    <w:rsid w:val="002827E0"/>
    <w:rsid w:val="00286F02"/>
    <w:rsid w:val="00294444"/>
    <w:rsid w:val="002947E4"/>
    <w:rsid w:val="00294CC1"/>
    <w:rsid w:val="00295D10"/>
    <w:rsid w:val="002A33BF"/>
    <w:rsid w:val="002B3BB3"/>
    <w:rsid w:val="002B7AB4"/>
    <w:rsid w:val="002D08B8"/>
    <w:rsid w:val="002E0AA1"/>
    <w:rsid w:val="002E7A86"/>
    <w:rsid w:val="002F6D90"/>
    <w:rsid w:val="003377D9"/>
    <w:rsid w:val="00343A92"/>
    <w:rsid w:val="00345D2E"/>
    <w:rsid w:val="00346A46"/>
    <w:rsid w:val="00351AE9"/>
    <w:rsid w:val="003538E4"/>
    <w:rsid w:val="00357D6D"/>
    <w:rsid w:val="00371628"/>
    <w:rsid w:val="00376B2C"/>
    <w:rsid w:val="00377D16"/>
    <w:rsid w:val="00392F0E"/>
    <w:rsid w:val="00397ECB"/>
    <w:rsid w:val="003A14F7"/>
    <w:rsid w:val="003A3139"/>
    <w:rsid w:val="003B0208"/>
    <w:rsid w:val="003B47C8"/>
    <w:rsid w:val="003B53D4"/>
    <w:rsid w:val="003C3381"/>
    <w:rsid w:val="003D24F1"/>
    <w:rsid w:val="003E09A8"/>
    <w:rsid w:val="003E58EB"/>
    <w:rsid w:val="003E7D64"/>
    <w:rsid w:val="003F7E98"/>
    <w:rsid w:val="004302A6"/>
    <w:rsid w:val="00434C79"/>
    <w:rsid w:val="00453CC3"/>
    <w:rsid w:val="00462502"/>
    <w:rsid w:val="00463F96"/>
    <w:rsid w:val="004711CB"/>
    <w:rsid w:val="004760E5"/>
    <w:rsid w:val="004944C8"/>
    <w:rsid w:val="004A063F"/>
    <w:rsid w:val="004A654D"/>
    <w:rsid w:val="004A6E98"/>
    <w:rsid w:val="004A7F90"/>
    <w:rsid w:val="004B2459"/>
    <w:rsid w:val="004B2C91"/>
    <w:rsid w:val="004B4A97"/>
    <w:rsid w:val="004B6680"/>
    <w:rsid w:val="004C1370"/>
    <w:rsid w:val="004D4823"/>
    <w:rsid w:val="004D65B1"/>
    <w:rsid w:val="004D71A2"/>
    <w:rsid w:val="004E023F"/>
    <w:rsid w:val="004E2203"/>
    <w:rsid w:val="004F53F8"/>
    <w:rsid w:val="004F6F79"/>
    <w:rsid w:val="005008AB"/>
    <w:rsid w:val="005024C4"/>
    <w:rsid w:val="0050600D"/>
    <w:rsid w:val="0051006A"/>
    <w:rsid w:val="00525C41"/>
    <w:rsid w:val="00540E49"/>
    <w:rsid w:val="00574C96"/>
    <w:rsid w:val="00581B71"/>
    <w:rsid w:val="00590110"/>
    <w:rsid w:val="005A0774"/>
    <w:rsid w:val="005A52EB"/>
    <w:rsid w:val="005B1E74"/>
    <w:rsid w:val="005B7DA1"/>
    <w:rsid w:val="005C20A5"/>
    <w:rsid w:val="005C20DA"/>
    <w:rsid w:val="005C6C42"/>
    <w:rsid w:val="005D69AB"/>
    <w:rsid w:val="005F2BB4"/>
    <w:rsid w:val="005F343C"/>
    <w:rsid w:val="005F71FA"/>
    <w:rsid w:val="006068C5"/>
    <w:rsid w:val="00613509"/>
    <w:rsid w:val="00625831"/>
    <w:rsid w:val="00627A02"/>
    <w:rsid w:val="00630113"/>
    <w:rsid w:val="00632B4F"/>
    <w:rsid w:val="006339CB"/>
    <w:rsid w:val="006342B4"/>
    <w:rsid w:val="00653B1D"/>
    <w:rsid w:val="006543B5"/>
    <w:rsid w:val="00664D12"/>
    <w:rsid w:val="0066548F"/>
    <w:rsid w:val="00681A6C"/>
    <w:rsid w:val="00686588"/>
    <w:rsid w:val="006930F1"/>
    <w:rsid w:val="006A1925"/>
    <w:rsid w:val="006B1A0B"/>
    <w:rsid w:val="006B3852"/>
    <w:rsid w:val="006C3D0B"/>
    <w:rsid w:val="006C4CE4"/>
    <w:rsid w:val="006D36E5"/>
    <w:rsid w:val="006D6E5C"/>
    <w:rsid w:val="006F4463"/>
    <w:rsid w:val="006F59C1"/>
    <w:rsid w:val="0070491D"/>
    <w:rsid w:val="00716D44"/>
    <w:rsid w:val="00724BB2"/>
    <w:rsid w:val="00727F6F"/>
    <w:rsid w:val="007416AB"/>
    <w:rsid w:val="00745A18"/>
    <w:rsid w:val="0074680C"/>
    <w:rsid w:val="007557B8"/>
    <w:rsid w:val="00757F88"/>
    <w:rsid w:val="0076040E"/>
    <w:rsid w:val="00761F54"/>
    <w:rsid w:val="0076223F"/>
    <w:rsid w:val="00770C89"/>
    <w:rsid w:val="00770CED"/>
    <w:rsid w:val="007751BF"/>
    <w:rsid w:val="00777E6B"/>
    <w:rsid w:val="0079092A"/>
    <w:rsid w:val="007A3610"/>
    <w:rsid w:val="007C1BE1"/>
    <w:rsid w:val="007C3BBD"/>
    <w:rsid w:val="007D0BEA"/>
    <w:rsid w:val="007D1420"/>
    <w:rsid w:val="007D4990"/>
    <w:rsid w:val="007E1448"/>
    <w:rsid w:val="00800A1D"/>
    <w:rsid w:val="008060C8"/>
    <w:rsid w:val="00824A3A"/>
    <w:rsid w:val="00834904"/>
    <w:rsid w:val="00835451"/>
    <w:rsid w:val="0084476F"/>
    <w:rsid w:val="00853FF1"/>
    <w:rsid w:val="00861FFD"/>
    <w:rsid w:val="00862A9F"/>
    <w:rsid w:val="00873A6D"/>
    <w:rsid w:val="00882ED5"/>
    <w:rsid w:val="008860C2"/>
    <w:rsid w:val="00890AFE"/>
    <w:rsid w:val="00893CB5"/>
    <w:rsid w:val="008A087A"/>
    <w:rsid w:val="008A7478"/>
    <w:rsid w:val="008C3080"/>
    <w:rsid w:val="008D68E4"/>
    <w:rsid w:val="008E24F5"/>
    <w:rsid w:val="008E302A"/>
    <w:rsid w:val="008E4127"/>
    <w:rsid w:val="008F2FA3"/>
    <w:rsid w:val="008F5C61"/>
    <w:rsid w:val="00905E70"/>
    <w:rsid w:val="0091248B"/>
    <w:rsid w:val="00932A00"/>
    <w:rsid w:val="00935607"/>
    <w:rsid w:val="009366A3"/>
    <w:rsid w:val="00954E4B"/>
    <w:rsid w:val="00961D32"/>
    <w:rsid w:val="00966D18"/>
    <w:rsid w:val="00984670"/>
    <w:rsid w:val="0099688E"/>
    <w:rsid w:val="009978FA"/>
    <w:rsid w:val="009A2BF3"/>
    <w:rsid w:val="009A344A"/>
    <w:rsid w:val="009A5488"/>
    <w:rsid w:val="009A5701"/>
    <w:rsid w:val="009A6DCE"/>
    <w:rsid w:val="009C22ED"/>
    <w:rsid w:val="009D21A5"/>
    <w:rsid w:val="009D2D0A"/>
    <w:rsid w:val="009D4E95"/>
    <w:rsid w:val="009F7C43"/>
    <w:rsid w:val="00A0622E"/>
    <w:rsid w:val="00A10C62"/>
    <w:rsid w:val="00A213A0"/>
    <w:rsid w:val="00A279EA"/>
    <w:rsid w:val="00A35576"/>
    <w:rsid w:val="00A5633F"/>
    <w:rsid w:val="00A61E83"/>
    <w:rsid w:val="00A7175E"/>
    <w:rsid w:val="00A73539"/>
    <w:rsid w:val="00A81B54"/>
    <w:rsid w:val="00A90888"/>
    <w:rsid w:val="00AA1871"/>
    <w:rsid w:val="00AA7652"/>
    <w:rsid w:val="00AA798F"/>
    <w:rsid w:val="00AB2B65"/>
    <w:rsid w:val="00AC0AD1"/>
    <w:rsid w:val="00AE6C83"/>
    <w:rsid w:val="00AF0ADB"/>
    <w:rsid w:val="00AF0CC5"/>
    <w:rsid w:val="00AF127A"/>
    <w:rsid w:val="00AF4320"/>
    <w:rsid w:val="00AF4BD0"/>
    <w:rsid w:val="00B07BF3"/>
    <w:rsid w:val="00B13141"/>
    <w:rsid w:val="00B25BAE"/>
    <w:rsid w:val="00B265E4"/>
    <w:rsid w:val="00B32726"/>
    <w:rsid w:val="00B33C8B"/>
    <w:rsid w:val="00B477C0"/>
    <w:rsid w:val="00B546E0"/>
    <w:rsid w:val="00B63255"/>
    <w:rsid w:val="00B63BB2"/>
    <w:rsid w:val="00B65338"/>
    <w:rsid w:val="00B65C03"/>
    <w:rsid w:val="00B6732B"/>
    <w:rsid w:val="00B70327"/>
    <w:rsid w:val="00B7592E"/>
    <w:rsid w:val="00B816E3"/>
    <w:rsid w:val="00B9010B"/>
    <w:rsid w:val="00B9482E"/>
    <w:rsid w:val="00BA2408"/>
    <w:rsid w:val="00BA410F"/>
    <w:rsid w:val="00BA4792"/>
    <w:rsid w:val="00BB0D9C"/>
    <w:rsid w:val="00BB10A2"/>
    <w:rsid w:val="00BB55DC"/>
    <w:rsid w:val="00BC1441"/>
    <w:rsid w:val="00BC25C0"/>
    <w:rsid w:val="00BC566F"/>
    <w:rsid w:val="00BC7757"/>
    <w:rsid w:val="00BC7AD0"/>
    <w:rsid w:val="00BD5837"/>
    <w:rsid w:val="00BE3D5C"/>
    <w:rsid w:val="00C04B6D"/>
    <w:rsid w:val="00C178EF"/>
    <w:rsid w:val="00C2778F"/>
    <w:rsid w:val="00C341E7"/>
    <w:rsid w:val="00C411F1"/>
    <w:rsid w:val="00C44F2A"/>
    <w:rsid w:val="00C51A56"/>
    <w:rsid w:val="00C5597D"/>
    <w:rsid w:val="00C5707E"/>
    <w:rsid w:val="00C570BE"/>
    <w:rsid w:val="00C62704"/>
    <w:rsid w:val="00C7596A"/>
    <w:rsid w:val="00C76B7C"/>
    <w:rsid w:val="00C852E9"/>
    <w:rsid w:val="00C947C3"/>
    <w:rsid w:val="00CB12EB"/>
    <w:rsid w:val="00CB1A20"/>
    <w:rsid w:val="00CB4A71"/>
    <w:rsid w:val="00CC0259"/>
    <w:rsid w:val="00CD038D"/>
    <w:rsid w:val="00CD1AEB"/>
    <w:rsid w:val="00CD2A4F"/>
    <w:rsid w:val="00CE0817"/>
    <w:rsid w:val="00CE769F"/>
    <w:rsid w:val="00D06C5C"/>
    <w:rsid w:val="00D06C7E"/>
    <w:rsid w:val="00D11517"/>
    <w:rsid w:val="00D13EA2"/>
    <w:rsid w:val="00D149E1"/>
    <w:rsid w:val="00D17BF1"/>
    <w:rsid w:val="00D355A0"/>
    <w:rsid w:val="00D431A7"/>
    <w:rsid w:val="00D4598A"/>
    <w:rsid w:val="00D500B0"/>
    <w:rsid w:val="00D50F17"/>
    <w:rsid w:val="00D60E12"/>
    <w:rsid w:val="00D61DE1"/>
    <w:rsid w:val="00D62852"/>
    <w:rsid w:val="00D64334"/>
    <w:rsid w:val="00D835C9"/>
    <w:rsid w:val="00D86378"/>
    <w:rsid w:val="00D90B06"/>
    <w:rsid w:val="00D96B93"/>
    <w:rsid w:val="00DA1EE9"/>
    <w:rsid w:val="00DB289F"/>
    <w:rsid w:val="00DB3C45"/>
    <w:rsid w:val="00DD0EAA"/>
    <w:rsid w:val="00DD4FC8"/>
    <w:rsid w:val="00DE10BA"/>
    <w:rsid w:val="00DF7AA8"/>
    <w:rsid w:val="00E10685"/>
    <w:rsid w:val="00E14038"/>
    <w:rsid w:val="00E15D44"/>
    <w:rsid w:val="00E1793C"/>
    <w:rsid w:val="00E217FB"/>
    <w:rsid w:val="00E24870"/>
    <w:rsid w:val="00E25854"/>
    <w:rsid w:val="00E312F8"/>
    <w:rsid w:val="00E31EFA"/>
    <w:rsid w:val="00E34560"/>
    <w:rsid w:val="00E36B53"/>
    <w:rsid w:val="00E456E3"/>
    <w:rsid w:val="00E76F7B"/>
    <w:rsid w:val="00E81B2C"/>
    <w:rsid w:val="00E829BE"/>
    <w:rsid w:val="00E94179"/>
    <w:rsid w:val="00EA3AE9"/>
    <w:rsid w:val="00EA4F47"/>
    <w:rsid w:val="00EA6842"/>
    <w:rsid w:val="00EB4047"/>
    <w:rsid w:val="00EC2AF0"/>
    <w:rsid w:val="00EC34FA"/>
    <w:rsid w:val="00ED5B62"/>
    <w:rsid w:val="00EE0109"/>
    <w:rsid w:val="00EE45E3"/>
    <w:rsid w:val="00F04954"/>
    <w:rsid w:val="00F14C53"/>
    <w:rsid w:val="00F14DF5"/>
    <w:rsid w:val="00F15FB0"/>
    <w:rsid w:val="00F240AC"/>
    <w:rsid w:val="00F2460B"/>
    <w:rsid w:val="00F40FF6"/>
    <w:rsid w:val="00F47611"/>
    <w:rsid w:val="00F50EAC"/>
    <w:rsid w:val="00F54CAF"/>
    <w:rsid w:val="00F55DF5"/>
    <w:rsid w:val="00F570BA"/>
    <w:rsid w:val="00F5731A"/>
    <w:rsid w:val="00F645C6"/>
    <w:rsid w:val="00F6589F"/>
    <w:rsid w:val="00F67A00"/>
    <w:rsid w:val="00F70D63"/>
    <w:rsid w:val="00F75881"/>
    <w:rsid w:val="00F815AE"/>
    <w:rsid w:val="00F85E2E"/>
    <w:rsid w:val="00F90331"/>
    <w:rsid w:val="00F947C6"/>
    <w:rsid w:val="00F956ED"/>
    <w:rsid w:val="00F95EA3"/>
    <w:rsid w:val="00FA0BBF"/>
    <w:rsid w:val="00FB3D23"/>
    <w:rsid w:val="00FB41CA"/>
    <w:rsid w:val="00FC1919"/>
    <w:rsid w:val="00FC54FF"/>
    <w:rsid w:val="00FD0324"/>
    <w:rsid w:val="00FD7844"/>
    <w:rsid w:val="00FE2F0F"/>
    <w:rsid w:val="00FF0A6C"/>
    <w:rsid w:val="00FF2B4C"/>
    <w:rsid w:val="0152760C"/>
    <w:rsid w:val="017F56D2"/>
    <w:rsid w:val="01A717A7"/>
    <w:rsid w:val="01D14E0A"/>
    <w:rsid w:val="02151744"/>
    <w:rsid w:val="029C58B6"/>
    <w:rsid w:val="02AF3174"/>
    <w:rsid w:val="04117559"/>
    <w:rsid w:val="04520BF5"/>
    <w:rsid w:val="045E0DE6"/>
    <w:rsid w:val="04865485"/>
    <w:rsid w:val="05706FBD"/>
    <w:rsid w:val="05E5033D"/>
    <w:rsid w:val="05E9713E"/>
    <w:rsid w:val="071311AA"/>
    <w:rsid w:val="0722013F"/>
    <w:rsid w:val="07534298"/>
    <w:rsid w:val="079A6A96"/>
    <w:rsid w:val="07D04198"/>
    <w:rsid w:val="089437C3"/>
    <w:rsid w:val="097E3822"/>
    <w:rsid w:val="09933B89"/>
    <w:rsid w:val="09C850CB"/>
    <w:rsid w:val="0A0400A7"/>
    <w:rsid w:val="0A592132"/>
    <w:rsid w:val="0ACE1E58"/>
    <w:rsid w:val="0B01011B"/>
    <w:rsid w:val="0B187AA4"/>
    <w:rsid w:val="0BA63420"/>
    <w:rsid w:val="0BCB3F2E"/>
    <w:rsid w:val="0C5764CE"/>
    <w:rsid w:val="0D1F2354"/>
    <w:rsid w:val="0D2E508E"/>
    <w:rsid w:val="0D514436"/>
    <w:rsid w:val="0D600EFE"/>
    <w:rsid w:val="0DBC09C5"/>
    <w:rsid w:val="0E4C1E01"/>
    <w:rsid w:val="0EA73BB5"/>
    <w:rsid w:val="0F2F4A9B"/>
    <w:rsid w:val="0F7D6EA5"/>
    <w:rsid w:val="0F8617FF"/>
    <w:rsid w:val="0FED1DEA"/>
    <w:rsid w:val="10191D91"/>
    <w:rsid w:val="107916D9"/>
    <w:rsid w:val="10D12E24"/>
    <w:rsid w:val="11452DE3"/>
    <w:rsid w:val="11554F58"/>
    <w:rsid w:val="116522F5"/>
    <w:rsid w:val="1184749C"/>
    <w:rsid w:val="119D1635"/>
    <w:rsid w:val="122C034D"/>
    <w:rsid w:val="12452986"/>
    <w:rsid w:val="128836BB"/>
    <w:rsid w:val="135C78B3"/>
    <w:rsid w:val="14FE3634"/>
    <w:rsid w:val="15400323"/>
    <w:rsid w:val="162D57EF"/>
    <w:rsid w:val="169709E9"/>
    <w:rsid w:val="16D01B7A"/>
    <w:rsid w:val="1785024A"/>
    <w:rsid w:val="17E54236"/>
    <w:rsid w:val="180A2E6A"/>
    <w:rsid w:val="189B6BED"/>
    <w:rsid w:val="18D42928"/>
    <w:rsid w:val="196C42FB"/>
    <w:rsid w:val="1ADC4159"/>
    <w:rsid w:val="1B0D6EF9"/>
    <w:rsid w:val="1B5C578B"/>
    <w:rsid w:val="1BDF6F43"/>
    <w:rsid w:val="1CE252F3"/>
    <w:rsid w:val="1D4C6A6F"/>
    <w:rsid w:val="1DD918C0"/>
    <w:rsid w:val="1DFB8C63"/>
    <w:rsid w:val="1E264686"/>
    <w:rsid w:val="1E2F4F95"/>
    <w:rsid w:val="1E3E22A2"/>
    <w:rsid w:val="1E8A43AA"/>
    <w:rsid w:val="1F136B5D"/>
    <w:rsid w:val="1F38591E"/>
    <w:rsid w:val="1F4E796B"/>
    <w:rsid w:val="1FA623DF"/>
    <w:rsid w:val="20AC5329"/>
    <w:rsid w:val="21243C8E"/>
    <w:rsid w:val="24473088"/>
    <w:rsid w:val="24BB4C9A"/>
    <w:rsid w:val="24D40F7C"/>
    <w:rsid w:val="25590CF9"/>
    <w:rsid w:val="255C6455"/>
    <w:rsid w:val="2594003D"/>
    <w:rsid w:val="262A6A89"/>
    <w:rsid w:val="267B0FBF"/>
    <w:rsid w:val="26F12335"/>
    <w:rsid w:val="27303ABF"/>
    <w:rsid w:val="27C24AC7"/>
    <w:rsid w:val="28191A54"/>
    <w:rsid w:val="28590CB3"/>
    <w:rsid w:val="29036758"/>
    <w:rsid w:val="29783D35"/>
    <w:rsid w:val="29892BCA"/>
    <w:rsid w:val="29942777"/>
    <w:rsid w:val="29E76B67"/>
    <w:rsid w:val="2AC34B7C"/>
    <w:rsid w:val="2AE27330"/>
    <w:rsid w:val="2BCC7A1A"/>
    <w:rsid w:val="2C025DC0"/>
    <w:rsid w:val="2C086D6A"/>
    <w:rsid w:val="2C796D04"/>
    <w:rsid w:val="2CC147C2"/>
    <w:rsid w:val="2E2312BE"/>
    <w:rsid w:val="2E2C1BCD"/>
    <w:rsid w:val="2E3E68DE"/>
    <w:rsid w:val="2ED40002"/>
    <w:rsid w:val="31376626"/>
    <w:rsid w:val="31C55B22"/>
    <w:rsid w:val="31FB022F"/>
    <w:rsid w:val="32B42E6D"/>
    <w:rsid w:val="334F0F3B"/>
    <w:rsid w:val="33A26F3F"/>
    <w:rsid w:val="33DC6BCD"/>
    <w:rsid w:val="341A0CC9"/>
    <w:rsid w:val="34563267"/>
    <w:rsid w:val="35033E04"/>
    <w:rsid w:val="35844527"/>
    <w:rsid w:val="364D42D9"/>
    <w:rsid w:val="37014501"/>
    <w:rsid w:val="3709455A"/>
    <w:rsid w:val="37DB7F7A"/>
    <w:rsid w:val="37DD2542"/>
    <w:rsid w:val="37F51693"/>
    <w:rsid w:val="387E4B3B"/>
    <w:rsid w:val="388740D5"/>
    <w:rsid w:val="38AD4C0A"/>
    <w:rsid w:val="39593B89"/>
    <w:rsid w:val="3968533E"/>
    <w:rsid w:val="397D1B08"/>
    <w:rsid w:val="3AA83935"/>
    <w:rsid w:val="3AD30195"/>
    <w:rsid w:val="3AF1534C"/>
    <w:rsid w:val="3B29751D"/>
    <w:rsid w:val="3D1630B0"/>
    <w:rsid w:val="3D232B5B"/>
    <w:rsid w:val="3D3F6C08"/>
    <w:rsid w:val="3DE653C4"/>
    <w:rsid w:val="3E0D3DDD"/>
    <w:rsid w:val="3EEB4700"/>
    <w:rsid w:val="3EF831FA"/>
    <w:rsid w:val="40915CFA"/>
    <w:rsid w:val="40CE13E2"/>
    <w:rsid w:val="40DE1F12"/>
    <w:rsid w:val="41EF4D3D"/>
    <w:rsid w:val="42471A72"/>
    <w:rsid w:val="428E5B40"/>
    <w:rsid w:val="429841BF"/>
    <w:rsid w:val="442104D5"/>
    <w:rsid w:val="44340172"/>
    <w:rsid w:val="44A57770"/>
    <w:rsid w:val="46113203"/>
    <w:rsid w:val="4615781C"/>
    <w:rsid w:val="4670321D"/>
    <w:rsid w:val="4695146A"/>
    <w:rsid w:val="46B65754"/>
    <w:rsid w:val="46BB0F95"/>
    <w:rsid w:val="46E81BE2"/>
    <w:rsid w:val="473906E7"/>
    <w:rsid w:val="47C6205A"/>
    <w:rsid w:val="47ED5839"/>
    <w:rsid w:val="486327A4"/>
    <w:rsid w:val="48735D3E"/>
    <w:rsid w:val="48914041"/>
    <w:rsid w:val="48955D35"/>
    <w:rsid w:val="48DE461B"/>
    <w:rsid w:val="49186606"/>
    <w:rsid w:val="491F2BC5"/>
    <w:rsid w:val="493A6F33"/>
    <w:rsid w:val="495248A4"/>
    <w:rsid w:val="49CA551D"/>
    <w:rsid w:val="4AB30710"/>
    <w:rsid w:val="4AE0222D"/>
    <w:rsid w:val="4BEE199F"/>
    <w:rsid w:val="4C112E59"/>
    <w:rsid w:val="4C48252E"/>
    <w:rsid w:val="4C553931"/>
    <w:rsid w:val="4CAC3BE7"/>
    <w:rsid w:val="4CD63E9B"/>
    <w:rsid w:val="4E275DC7"/>
    <w:rsid w:val="4E896D65"/>
    <w:rsid w:val="4F8B39E7"/>
    <w:rsid w:val="4F9269A0"/>
    <w:rsid w:val="4F955F9D"/>
    <w:rsid w:val="4FF3009A"/>
    <w:rsid w:val="503543F6"/>
    <w:rsid w:val="508A77AF"/>
    <w:rsid w:val="51C15F61"/>
    <w:rsid w:val="51FA450E"/>
    <w:rsid w:val="527505D4"/>
    <w:rsid w:val="53376114"/>
    <w:rsid w:val="53987432"/>
    <w:rsid w:val="547F49A0"/>
    <w:rsid w:val="557FBDA3"/>
    <w:rsid w:val="558419F7"/>
    <w:rsid w:val="55B654BC"/>
    <w:rsid w:val="5604752C"/>
    <w:rsid w:val="563E640C"/>
    <w:rsid w:val="57637EEC"/>
    <w:rsid w:val="587B1239"/>
    <w:rsid w:val="59782B75"/>
    <w:rsid w:val="5AA958C1"/>
    <w:rsid w:val="5ABD7B39"/>
    <w:rsid w:val="5B152DB0"/>
    <w:rsid w:val="5BAA7871"/>
    <w:rsid w:val="5BB209FC"/>
    <w:rsid w:val="5BC00E43"/>
    <w:rsid w:val="5C021E51"/>
    <w:rsid w:val="5C13779B"/>
    <w:rsid w:val="5D1E47D6"/>
    <w:rsid w:val="5E1C55F2"/>
    <w:rsid w:val="5E4445B8"/>
    <w:rsid w:val="5EBF067F"/>
    <w:rsid w:val="5EF30BD3"/>
    <w:rsid w:val="601531AE"/>
    <w:rsid w:val="60607DAB"/>
    <w:rsid w:val="607B17DC"/>
    <w:rsid w:val="61161E58"/>
    <w:rsid w:val="61197E53"/>
    <w:rsid w:val="61E83803"/>
    <w:rsid w:val="61FC7E5B"/>
    <w:rsid w:val="62125ECD"/>
    <w:rsid w:val="638E54F2"/>
    <w:rsid w:val="63D95E48"/>
    <w:rsid w:val="66043B4F"/>
    <w:rsid w:val="661F2C0A"/>
    <w:rsid w:val="665C267F"/>
    <w:rsid w:val="66A01D56"/>
    <w:rsid w:val="66DF3B52"/>
    <w:rsid w:val="687F30E3"/>
    <w:rsid w:val="68B44B54"/>
    <w:rsid w:val="690A2D32"/>
    <w:rsid w:val="699DF199"/>
    <w:rsid w:val="69C96805"/>
    <w:rsid w:val="69C97DF8"/>
    <w:rsid w:val="69DA0C40"/>
    <w:rsid w:val="6AB25B1C"/>
    <w:rsid w:val="6AF13082"/>
    <w:rsid w:val="6B7E5E0A"/>
    <w:rsid w:val="6BA918F3"/>
    <w:rsid w:val="6C292B88"/>
    <w:rsid w:val="6CFC21DE"/>
    <w:rsid w:val="6D2F7BD6"/>
    <w:rsid w:val="6D3829D1"/>
    <w:rsid w:val="6DEF2A6B"/>
    <w:rsid w:val="6E4071F4"/>
    <w:rsid w:val="6EC61449"/>
    <w:rsid w:val="6F62294C"/>
    <w:rsid w:val="6FB19D9C"/>
    <w:rsid w:val="70886912"/>
    <w:rsid w:val="70F623CA"/>
    <w:rsid w:val="71A54DE0"/>
    <w:rsid w:val="71B3366E"/>
    <w:rsid w:val="71F617A7"/>
    <w:rsid w:val="72AD34B4"/>
    <w:rsid w:val="72B0424B"/>
    <w:rsid w:val="72D1356D"/>
    <w:rsid w:val="72FD0F71"/>
    <w:rsid w:val="748A45A8"/>
    <w:rsid w:val="754664F5"/>
    <w:rsid w:val="75A650F5"/>
    <w:rsid w:val="75B90985"/>
    <w:rsid w:val="75C26AF5"/>
    <w:rsid w:val="75E41876"/>
    <w:rsid w:val="76931A1A"/>
    <w:rsid w:val="77DFD2F1"/>
    <w:rsid w:val="78526B45"/>
    <w:rsid w:val="78767928"/>
    <w:rsid w:val="7975035A"/>
    <w:rsid w:val="7A0865CA"/>
    <w:rsid w:val="7A294A79"/>
    <w:rsid w:val="7A6C3098"/>
    <w:rsid w:val="7AFB2BD3"/>
    <w:rsid w:val="7BAF66EC"/>
    <w:rsid w:val="7BF3F7FA"/>
    <w:rsid w:val="7C111D99"/>
    <w:rsid w:val="7C295844"/>
    <w:rsid w:val="7C3666C5"/>
    <w:rsid w:val="7C3C31DF"/>
    <w:rsid w:val="7E1D3AF2"/>
    <w:rsid w:val="7E8856DF"/>
    <w:rsid w:val="7EFE67FA"/>
    <w:rsid w:val="7FCD563A"/>
    <w:rsid w:val="9FBDDA30"/>
    <w:rsid w:val="B3FFB17E"/>
    <w:rsid w:val="FDEFB8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line="560" w:lineRule="exact"/>
      <w:ind w:firstLine="200" w:firstLineChars="200"/>
      <w:outlineLvl w:val="0"/>
    </w:pPr>
    <w:rPr>
      <w:rFonts w:ascii="仿宋_GB2312" w:hAnsi="仿宋_GB2312" w:eastAsia="黑体"/>
      <w:bCs/>
      <w:color w:val="191919"/>
      <w:kern w:val="44"/>
      <w:sz w:val="32"/>
      <w:szCs w:val="44"/>
      <w:shd w:val="clear" w:color="auto" w:fill="FFFFFF"/>
    </w:rPr>
  </w:style>
  <w:style w:type="paragraph" w:styleId="4">
    <w:name w:val="heading 2"/>
    <w:basedOn w:val="1"/>
    <w:next w:val="1"/>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szCs w:val="20"/>
    </w:rPr>
  </w:style>
  <w:style w:type="paragraph" w:styleId="6">
    <w:name w:val="annotation text"/>
    <w:basedOn w:val="1"/>
    <w:link w:val="31"/>
    <w:qFormat/>
    <w:uiPriority w:val="0"/>
    <w:pPr>
      <w:jc w:val="left"/>
    </w:pPr>
  </w:style>
  <w:style w:type="paragraph" w:styleId="7">
    <w:name w:val="Body Text"/>
    <w:basedOn w:val="1"/>
    <w:next w:val="8"/>
    <w:qFormat/>
    <w:uiPriority w:val="0"/>
    <w:pPr>
      <w:spacing w:after="120"/>
    </w:pPr>
  </w:style>
  <w:style w:type="paragraph" w:customStyle="1" w:styleId="8">
    <w:name w:val="正文文本 21"/>
    <w:basedOn w:val="1"/>
    <w:qFormat/>
    <w:uiPriority w:val="0"/>
    <w:pPr>
      <w:spacing w:after="120" w:line="480" w:lineRule="auto"/>
      <w:ind w:firstLine="0" w:firstLineChars="0"/>
    </w:pPr>
    <w:rPr>
      <w:rFonts w:ascii="Calibri" w:hAnsi="Calibri" w:eastAsia="宋体" w:cs="Times New Roman"/>
      <w:sz w:val="21"/>
      <w:szCs w:val="24"/>
    </w:rPr>
  </w:style>
  <w:style w:type="paragraph" w:styleId="9">
    <w:name w:val="Body Text Indent"/>
    <w:basedOn w:val="1"/>
    <w:qFormat/>
    <w:uiPriority w:val="0"/>
    <w:pPr>
      <w:spacing w:after="120"/>
      <w:ind w:left="420" w:leftChars="200"/>
    </w:pPr>
    <w:rPr>
      <w:sz w:val="30"/>
    </w:rPr>
  </w:style>
  <w:style w:type="paragraph" w:styleId="10">
    <w:name w:val="toc 3"/>
    <w:basedOn w:val="1"/>
    <w:next w:val="1"/>
    <w:qFormat/>
    <w:uiPriority w:val="0"/>
    <w:pPr>
      <w:ind w:left="840" w:leftChars="400"/>
    </w:pPr>
  </w:style>
  <w:style w:type="paragraph" w:styleId="11">
    <w:name w:val="Balloon Text"/>
    <w:basedOn w:val="1"/>
    <w:semiHidden/>
    <w:unhideWhenUsed/>
    <w:qFormat/>
    <w:uiPriority w:val="99"/>
    <w:pPr>
      <w:spacing w:line="240" w:lineRule="auto"/>
    </w:pPr>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Normal (Web)"/>
    <w:basedOn w:val="1"/>
    <w:qFormat/>
    <w:uiPriority w:val="0"/>
    <w:pPr>
      <w:spacing w:beforeAutospacing="1" w:afterAutospacing="1"/>
      <w:jc w:val="left"/>
    </w:pPr>
    <w:rPr>
      <w:rFonts w:cs="Times New Roman"/>
      <w:kern w:val="0"/>
      <w:sz w:val="24"/>
    </w:rPr>
  </w:style>
  <w:style w:type="paragraph" w:styleId="17">
    <w:name w:val="annotation subject"/>
    <w:basedOn w:val="6"/>
    <w:next w:val="6"/>
    <w:link w:val="32"/>
    <w:qFormat/>
    <w:uiPriority w:val="0"/>
    <w:rPr>
      <w:b/>
      <w:bCs/>
    </w:rPr>
  </w:style>
  <w:style w:type="paragraph" w:styleId="18">
    <w:name w:val="Body Text First Indent"/>
    <w:basedOn w:val="7"/>
    <w:qFormat/>
    <w:uiPriority w:val="0"/>
    <w:pPr>
      <w:ind w:firstLine="420" w:firstLineChars="100"/>
    </w:pPr>
  </w:style>
  <w:style w:type="paragraph" w:styleId="19">
    <w:name w:val="Body Text First Indent 2"/>
    <w:basedOn w:val="9"/>
    <w:qFormat/>
    <w:uiPriority w:val="0"/>
    <w:pPr>
      <w:ind w:firstLine="420" w:firstLineChars="2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annotation reference"/>
    <w:basedOn w:val="22"/>
    <w:qFormat/>
    <w:uiPriority w:val="0"/>
    <w:rPr>
      <w:sz w:val="21"/>
      <w:szCs w:val="21"/>
    </w:rPr>
  </w:style>
  <w:style w:type="paragraph" w:styleId="25">
    <w:name w:val="List Paragraph"/>
    <w:qFormat/>
    <w:uiPriority w:val="0"/>
    <w:rPr>
      <w:rFonts w:asciiTheme="minorHAnsi" w:hAnsiTheme="minorHAnsi" w:eastAsiaTheme="minorEastAsia" w:cstheme="minorBidi"/>
      <w:sz w:val="21"/>
      <w:szCs w:val="22"/>
      <w:lang w:val="en-US" w:eastAsia="zh-CN" w:bidi="ar-SA"/>
    </w:rPr>
  </w:style>
  <w:style w:type="character" w:customStyle="1" w:styleId="26">
    <w:name w:val="font41"/>
    <w:basedOn w:val="22"/>
    <w:qFormat/>
    <w:uiPriority w:val="0"/>
    <w:rPr>
      <w:rFonts w:ascii="黑体" w:hAnsi="宋体" w:eastAsia="黑体" w:cs="黑体"/>
      <w:color w:val="000000"/>
      <w:sz w:val="32"/>
      <w:szCs w:val="32"/>
      <w:u w:val="none"/>
    </w:rPr>
  </w:style>
  <w:style w:type="character" w:customStyle="1" w:styleId="27">
    <w:name w:val="font51"/>
    <w:basedOn w:val="22"/>
    <w:qFormat/>
    <w:uiPriority w:val="0"/>
    <w:rPr>
      <w:rFonts w:ascii="宋体" w:hAnsi="宋体" w:eastAsia="宋体" w:cs="宋体"/>
      <w:b/>
      <w:bCs/>
      <w:color w:val="000000"/>
      <w:sz w:val="22"/>
      <w:szCs w:val="22"/>
      <w:u w:val="none"/>
    </w:rPr>
  </w:style>
  <w:style w:type="character" w:customStyle="1" w:styleId="28">
    <w:name w:val="font61"/>
    <w:basedOn w:val="22"/>
    <w:qFormat/>
    <w:uiPriority w:val="0"/>
    <w:rPr>
      <w:rFonts w:hint="eastAsia" w:ascii="仿宋" w:hAnsi="仿宋" w:eastAsia="仿宋" w:cs="仿宋"/>
      <w:color w:val="000000"/>
      <w:sz w:val="20"/>
      <w:szCs w:val="20"/>
      <w:u w:val="none"/>
    </w:rPr>
  </w:style>
  <w:style w:type="paragraph" w:customStyle="1" w:styleId="29">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0">
    <w:name w:val="修订2"/>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31">
    <w:name w:val="批注文字 字符"/>
    <w:basedOn w:val="22"/>
    <w:link w:val="6"/>
    <w:qFormat/>
    <w:uiPriority w:val="0"/>
    <w:rPr>
      <w:rFonts w:asciiTheme="minorHAnsi" w:hAnsiTheme="minorHAnsi" w:eastAsiaTheme="minorEastAsia" w:cstheme="minorBidi"/>
      <w:kern w:val="2"/>
      <w:sz w:val="21"/>
      <w:szCs w:val="24"/>
    </w:rPr>
  </w:style>
  <w:style w:type="character" w:customStyle="1" w:styleId="32">
    <w:name w:val="批注主题 字符"/>
    <w:basedOn w:val="31"/>
    <w:link w:val="17"/>
    <w:qFormat/>
    <w:uiPriority w:val="0"/>
    <w:rPr>
      <w:rFonts w:asciiTheme="minorHAnsi" w:hAnsiTheme="minorHAnsi" w:eastAsiaTheme="minorEastAsia" w:cstheme="minorBidi"/>
      <w:b/>
      <w:bCs/>
      <w:kern w:val="2"/>
      <w:sz w:val="21"/>
      <w:szCs w:val="24"/>
    </w:rPr>
  </w:style>
  <w:style w:type="paragraph" w:customStyle="1" w:styleId="33">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eac56e20-558e-46ef-af21-3c2d556397a3</errorID>
      <errorWord xmlns="http://schemas.wps.cn/vas-ai-hub/contract-review">先进制造产业集群</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先进制造业集群</item>
      </candidateList>
      <explain xmlns="http://schemas.wps.cn/vas-ai-hub/contract-review">词汇“先进制造业集群”在特定场景下为固定表述形式，请确认此处的“先进制造产业集群”是否存在不当。</explain>
      <paraID xmlns="http://schemas.wps.cn/vas-ai-hub/contract-review">62B74927</paraID>
      <start xmlns="http://schemas.wps.cn/vas-ai-hub/contract-review">78</start>
      <end xmlns="http://schemas.wps.cn/vas-ai-hub/contract-review">86</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3.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1de027-9f77-4459-b800-b4bcf8456fe5}">
  <ds:schemaRefs/>
</ds:datastoreItem>
</file>

<file path=customXml/itemProps3.xml><?xml version="1.0" encoding="utf-8"?>
<ds:datastoreItem xmlns:ds="http://schemas.openxmlformats.org/officeDocument/2006/customXml" ds:itemID="{EDF92887-6F8B-47A1-9435-1F9B291F40BE}">
  <ds:schemaRefs/>
</ds:datastoreItem>
</file>

<file path=docProps/app.xml><?xml version="1.0" encoding="utf-8"?>
<Properties xmlns="http://schemas.openxmlformats.org/officeDocument/2006/extended-properties" xmlns:vt="http://schemas.openxmlformats.org/officeDocument/2006/docPropsVTypes">
  <Template>Normal</Template>
  <Pages>24</Pages>
  <Words>250</Words>
  <Characters>264</Characters>
  <Lines>87</Lines>
  <Paragraphs>24</Paragraphs>
  <TotalTime>10</TotalTime>
  <ScaleCrop>false</ScaleCrop>
  <LinksUpToDate>false</LinksUpToDate>
  <CharactersWithSpaces>288</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2025-10-31T05:50:00Z</dcterms:created>
  <dc:creator>学文</dc:creator>
  <cp:lastModifiedBy>user</cp:lastModifiedBy>
  <cp:lastPrinted>2026-04-24T03:15:00Z</cp:lastPrinted>
  <dcterms:modified xsi:type="dcterms:W3CDTF">2026-07-23T10:24:33Z</dcterms:modified>
  <cp:revision>207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57DAAB2B52234D36ADE81FF3C4A700E1_13</vt:lpwstr>
  </property>
  <property fmtid="{D5CDD505-2E9C-101B-9397-08002B2CF9AE}" pid="4" name="KSOTemplateDocerSaveRecord">
    <vt:lpwstr>eyJoZGlkIjoiMjQwYWZhYWMyZWZjNDc0MjY1NzM1NTg4ODhjMGJkY2QiLCJ1c2VySWQiOiIxMjgxMDU1MjI2In0=</vt:lpwstr>
  </property>
</Properties>
</file>