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4D69C">
      <w:pPr>
        <w:spacing w:line="560" w:lineRule="exact"/>
        <w:jc w:val="center"/>
        <w:rPr>
          <w:rFonts w:hint="eastAsia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关于《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石景山区“十五五”时期</w:t>
      </w:r>
      <w:bookmarkStart w:id="0" w:name="_Toc31791"/>
      <w:bookmarkStart w:id="1" w:name="_Toc26081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地质灾害防治规划</w:t>
      </w:r>
      <w:bookmarkEnd w:id="0"/>
      <w:bookmarkEnd w:id="1"/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》的起草说明</w:t>
      </w:r>
    </w:p>
    <w:p w14:paraId="25E5E3D6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1044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bookmarkStart w:id="3" w:name="_GoBack"/>
      <w:r>
        <w:rPr>
          <w:rFonts w:ascii="Times New Roman" w:hAnsi="Times New Roman" w:eastAsia="黑体" w:cs="Times New Roman"/>
          <w:color w:val="000000"/>
          <w:sz w:val="32"/>
          <w:szCs w:val="32"/>
        </w:rPr>
        <w:t>一、制定背景</w:t>
      </w:r>
    </w:p>
    <w:p w14:paraId="114EB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“十五五”时期是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基本实现社会主义现代化夯实基础、全面发力的关键时期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石景山区作为首都中心城区，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在北京率先基本实现</w:t>
      </w:r>
      <w:r>
        <w:rPr>
          <w:rFonts w:hint="eastAsia" w:eastAsia="仿宋_GB2312" w:cs="Times New Roman"/>
          <w:sz w:val="32"/>
          <w:szCs w:val="32"/>
        </w:rPr>
        <w:t>地质灾害防治体系和防治能力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eastAsia="仿宋_GB2312" w:cs="Times New Roman"/>
          <w:sz w:val="32"/>
          <w:szCs w:val="32"/>
        </w:rPr>
        <w:t>现代化建设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大局中承担着重要使命和责任。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“十四五”以来，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石景山区健全四级联防责任体系和应急预案，建立常态化监测、巡查、预警机制，在地质灾害调查评价、综合治理、应急避险等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取得扎实成效。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“十五五”时期，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极端天气带来的不利影响增多，我区防控模式较为传统，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存量隐患尚未清零，基层防灾存在弱项，智慧防控水平不足，准确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把握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防控形势，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科学编制并有效实施石景山区“十五五”时期地质灾害防治规划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对保障人民群众生命财产安全，推动全区经济社会持续健康发展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具有重大的现实意义。</w:t>
      </w:r>
    </w:p>
    <w:p w14:paraId="6081E1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二、起草文件的主要考虑</w:t>
      </w:r>
    </w:p>
    <w:p w14:paraId="0B613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</w:rPr>
        <w:t>一是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  <w:lang w:val="en-US" w:eastAsia="zh-CN"/>
        </w:rPr>
        <w:t>衔接区级规划纲要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  <w:t>立足首都中心城区安全定位，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将构建适配我区城市更新、生态提升、民生保障的地质灾害防治体系作为石景山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“十五五” 时期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地质灾害防治的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主攻方向，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全面适配石景山区安全发展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任务，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确保地质灾害防治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步调、目标路径与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级战略部署高度统一。</w:t>
      </w:r>
    </w:p>
    <w:p w14:paraId="52FE8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</w:rPr>
        <w:t>二是聚焦地质灾害防治短板。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  <w:t>对标新时代城市安全治理要求，我区地质灾害防治仍存在突出短板，防控模式以单点隐患管控为主，风险区域系统性、全域性防控体系不够健全；工程治理尚未完成，部分老旧治理工程存在效能衰减、运维不足问题；基层防灾能力偏弱，部分避险设施标准不高、疏散条件有限，极端天气应急保障能力有待提升；数字化监测、数据共享、智能研判能力薄弱，依赖人工巡查的传统模式尚未根本转变。</w:t>
      </w:r>
    </w:p>
    <w:p w14:paraId="0FDA9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</w:rPr>
        <w:t>三是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  <w:lang w:val="en-US" w:eastAsia="zh-CN"/>
        </w:rPr>
        <w:t>全面审视地灾防灾形势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6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  <w:t>展望“十五五”规划，我区地质灾害防控形势更趋严峻复杂。一方面，极端强降雨天气多发频发，地质灾害风险显著上升；另一方面，我区建成区密集、人口流动性大，叠加浅山区老旧切坡建房、基础设施防灾标准偏低等历史遗留问题，防控点位多、分布散、压力大。作为首都中心城区，群众安全期盼更高、城市安全管控标准更严，对地质灾害精细化、智能化、系统化防治提出了全新要求。</w:t>
      </w:r>
    </w:p>
    <w:p w14:paraId="5A1DF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三、主要内容</w:t>
      </w:r>
    </w:p>
    <w:p w14:paraId="71CD7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规划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正文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包括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现状与形势，指导思想、原则与目标，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易发区和重点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防治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区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，防治任务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保障措施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五部分。</w:t>
      </w:r>
    </w:p>
    <w:p w14:paraId="145647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第一部分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概括总结</w:t>
      </w:r>
      <w:r>
        <w:rPr>
          <w:rFonts w:ascii="Times New Roman" w:hAnsi="Times New Roman" w:eastAsia="仿宋_GB2312" w:cs="Times New Roman"/>
          <w:color w:val="000000"/>
          <w:sz w:val="32"/>
          <w:szCs w:val="36"/>
        </w:rPr>
        <w:t>了石景山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区地质灾害概况，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“十四五”时期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防治成效、存在问题和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“十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五”面临的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防治形势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。</w:t>
      </w:r>
    </w:p>
    <w:p w14:paraId="063D7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第二部分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清晰阐明了规划编制的指导思想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原则，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提出“十五五”时期“</w:t>
      </w:r>
      <w:r>
        <w:rPr>
          <w:rFonts w:ascii="Times New Roman" w:hAnsi="Times New Roman" w:eastAsia="仿宋_GB2312" w:cs="Times New Roman"/>
          <w:color w:val="000000"/>
          <w:sz w:val="32"/>
          <w:szCs w:val="36"/>
        </w:rPr>
        <w:t>基本建成</w:t>
      </w:r>
      <w:r>
        <w:rPr>
          <w:rFonts w:hint="eastAsia" w:eastAsia="仿宋_GB2312" w:cs="Times New Roman"/>
          <w:sz w:val="32"/>
          <w:szCs w:val="32"/>
        </w:rPr>
        <w:t>统筹高效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</w:rPr>
        <w:t>职责明确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</w:rPr>
        <w:t>防治结合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</w:rPr>
        <w:t>广泛参与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</w:rPr>
        <w:t>与经济社会发展相协调的地质灾害防治体系</w:t>
      </w:r>
      <w:r>
        <w:rPr>
          <w:rFonts w:ascii="Times New Roman" w:hAnsi="Times New Roman" w:eastAsia="仿宋_GB2312" w:cs="Times New Roman"/>
          <w:color w:val="000000"/>
          <w:sz w:val="32"/>
          <w:szCs w:val="36"/>
        </w:rPr>
        <w:t>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发展目标。</w:t>
      </w:r>
    </w:p>
    <w:p w14:paraId="36FE17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center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第三部分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6"/>
          <w:lang w:val="en-US" w:eastAsia="zh-CN"/>
        </w:rPr>
        <w:t>划分了地质灾害易发区和防治分区，提出了针对性的管理要求。</w:t>
      </w:r>
    </w:p>
    <w:p w14:paraId="52FC83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部分</w:t>
      </w:r>
      <w:r>
        <w:rPr>
          <w:rFonts w:hint="eastAsia" w:ascii="Times New Roman" w:hAnsi="Times New Roman" w:eastAsia="仿宋_GB2312" w:cs="Times New Roman"/>
          <w:sz w:val="32"/>
        </w:rPr>
        <w:t>结</w:t>
      </w:r>
      <w:r>
        <w:rPr>
          <w:rFonts w:hint="eastAsia" w:ascii="Times New Roman" w:hAnsi="Times New Roman" w:eastAsia="仿宋_GB2312"/>
          <w:sz w:val="32"/>
          <w:szCs w:val="32"/>
        </w:rPr>
        <w:t>合石景山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区实际，</w:t>
      </w:r>
      <w:r>
        <w:rPr>
          <w:rFonts w:hint="eastAsia" w:ascii="Times New Roman" w:hAnsi="Times New Roman" w:eastAsia="仿宋_GB2312"/>
          <w:sz w:val="32"/>
          <w:szCs w:val="32"/>
        </w:rPr>
        <w:t>提出了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精细地质灾害调查评价、提升监测预警能力、完善防治管理体系、推进综合治理、提升基层防灾能力、提升科技支撑水平</w:t>
      </w:r>
      <w:r>
        <w:rPr>
          <w:rFonts w:hint="eastAsia" w:ascii="Times New Roman" w:hAnsi="Times New Roman" w:eastAsia="仿宋_GB2312"/>
          <w:sz w:val="32"/>
          <w:szCs w:val="32"/>
        </w:rPr>
        <w:t>六大重点任务。</w:t>
      </w:r>
    </w:p>
    <w:p w14:paraId="32C46F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部分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从</w:t>
      </w:r>
      <w:bookmarkStart w:id="2" w:name="_Toc192507545"/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强化组织领导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、加强资金保障、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考核评估、宣传教育</w:t>
      </w:r>
      <w:bookmarkEnd w:id="2"/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等方面提出保障措施，确保规划各项目标任务高质量完成。</w:t>
      </w:r>
    </w:p>
    <w:p w14:paraId="4E193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四、其他需要说明的问题任务</w:t>
      </w:r>
    </w:p>
    <w:p w14:paraId="0942B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。</w:t>
      </w:r>
    </w:p>
    <w:bookmarkEnd w:id="3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64DB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A1540">
                          <w:pPr>
                            <w:pStyle w:val="1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A1540">
                    <w:pPr>
                      <w:pStyle w:val="1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OTdlYTI1ODE1NzRjYjQwMjlmNWZmYzAyYmQ2YzEifQ=="/>
  </w:docVars>
  <w:rsids>
    <w:rsidRoot w:val="00A74D3E"/>
    <w:rsid w:val="00133A77"/>
    <w:rsid w:val="00984F60"/>
    <w:rsid w:val="00A74D3E"/>
    <w:rsid w:val="00C209CA"/>
    <w:rsid w:val="02151639"/>
    <w:rsid w:val="023A2E4D"/>
    <w:rsid w:val="05E82BC0"/>
    <w:rsid w:val="0733430F"/>
    <w:rsid w:val="08444A26"/>
    <w:rsid w:val="085F2DAD"/>
    <w:rsid w:val="09DE0562"/>
    <w:rsid w:val="0A110938"/>
    <w:rsid w:val="0A171CC6"/>
    <w:rsid w:val="0C232BA4"/>
    <w:rsid w:val="0C762CD4"/>
    <w:rsid w:val="0C9D4705"/>
    <w:rsid w:val="0CF85DDF"/>
    <w:rsid w:val="0E1F739B"/>
    <w:rsid w:val="0F903249"/>
    <w:rsid w:val="1090632E"/>
    <w:rsid w:val="114E7FBF"/>
    <w:rsid w:val="11965BC6"/>
    <w:rsid w:val="12296A3A"/>
    <w:rsid w:val="12674CFC"/>
    <w:rsid w:val="12AD1419"/>
    <w:rsid w:val="13C133CE"/>
    <w:rsid w:val="1433594E"/>
    <w:rsid w:val="15D32F45"/>
    <w:rsid w:val="161812A0"/>
    <w:rsid w:val="16220F96"/>
    <w:rsid w:val="169C3C7F"/>
    <w:rsid w:val="16C64858"/>
    <w:rsid w:val="17B1375A"/>
    <w:rsid w:val="17B40B54"/>
    <w:rsid w:val="182932F0"/>
    <w:rsid w:val="18502F73"/>
    <w:rsid w:val="18A84B5D"/>
    <w:rsid w:val="18F51424"/>
    <w:rsid w:val="190D49C0"/>
    <w:rsid w:val="1945415A"/>
    <w:rsid w:val="1A46462D"/>
    <w:rsid w:val="1A9D1D74"/>
    <w:rsid w:val="1B8F5B60"/>
    <w:rsid w:val="1CFD2F9D"/>
    <w:rsid w:val="1D5A3F4C"/>
    <w:rsid w:val="1DB7139E"/>
    <w:rsid w:val="1F130856"/>
    <w:rsid w:val="1F3C7DAD"/>
    <w:rsid w:val="20895851"/>
    <w:rsid w:val="20FF5629"/>
    <w:rsid w:val="21920158"/>
    <w:rsid w:val="222F1E4B"/>
    <w:rsid w:val="23621DAC"/>
    <w:rsid w:val="238E494F"/>
    <w:rsid w:val="24156E1F"/>
    <w:rsid w:val="25AC5561"/>
    <w:rsid w:val="261A4BC0"/>
    <w:rsid w:val="26A10E3D"/>
    <w:rsid w:val="26CD39E1"/>
    <w:rsid w:val="27075144"/>
    <w:rsid w:val="2725381D"/>
    <w:rsid w:val="273E668C"/>
    <w:rsid w:val="27A961FC"/>
    <w:rsid w:val="2976210D"/>
    <w:rsid w:val="298760C9"/>
    <w:rsid w:val="2AB63109"/>
    <w:rsid w:val="2ABB0720"/>
    <w:rsid w:val="2AF43C32"/>
    <w:rsid w:val="2B110340"/>
    <w:rsid w:val="2BC01D66"/>
    <w:rsid w:val="2D3227EF"/>
    <w:rsid w:val="2DA3549B"/>
    <w:rsid w:val="2DD959C6"/>
    <w:rsid w:val="2E861045"/>
    <w:rsid w:val="2FE1240E"/>
    <w:rsid w:val="30297EDA"/>
    <w:rsid w:val="31085D41"/>
    <w:rsid w:val="311F308B"/>
    <w:rsid w:val="31A35A6A"/>
    <w:rsid w:val="32513718"/>
    <w:rsid w:val="33613E2E"/>
    <w:rsid w:val="33A61841"/>
    <w:rsid w:val="34655258"/>
    <w:rsid w:val="3482405C"/>
    <w:rsid w:val="35E64328"/>
    <w:rsid w:val="37182A56"/>
    <w:rsid w:val="372413FB"/>
    <w:rsid w:val="388303A3"/>
    <w:rsid w:val="38D429AD"/>
    <w:rsid w:val="39AB5E03"/>
    <w:rsid w:val="39DC7D6B"/>
    <w:rsid w:val="3AD82C28"/>
    <w:rsid w:val="3BC35686"/>
    <w:rsid w:val="3C1A7270"/>
    <w:rsid w:val="3D7D1865"/>
    <w:rsid w:val="3D851BF5"/>
    <w:rsid w:val="3DF77869"/>
    <w:rsid w:val="3E4800C5"/>
    <w:rsid w:val="3E4D7489"/>
    <w:rsid w:val="3EE002FD"/>
    <w:rsid w:val="3F3E5024"/>
    <w:rsid w:val="405C7915"/>
    <w:rsid w:val="42134546"/>
    <w:rsid w:val="43913221"/>
    <w:rsid w:val="44044A8E"/>
    <w:rsid w:val="443D3AFC"/>
    <w:rsid w:val="45717F01"/>
    <w:rsid w:val="45765517"/>
    <w:rsid w:val="47AB5220"/>
    <w:rsid w:val="483E6094"/>
    <w:rsid w:val="484A4A39"/>
    <w:rsid w:val="49441489"/>
    <w:rsid w:val="49FE1F7F"/>
    <w:rsid w:val="4BB5666E"/>
    <w:rsid w:val="4CA46E0E"/>
    <w:rsid w:val="4E151645"/>
    <w:rsid w:val="4E9E788D"/>
    <w:rsid w:val="4F161B19"/>
    <w:rsid w:val="50B60EBE"/>
    <w:rsid w:val="50D15CF8"/>
    <w:rsid w:val="50FD6AED"/>
    <w:rsid w:val="517D5E7F"/>
    <w:rsid w:val="51C63383"/>
    <w:rsid w:val="52412A09"/>
    <w:rsid w:val="536561F6"/>
    <w:rsid w:val="539F032F"/>
    <w:rsid w:val="543C792C"/>
    <w:rsid w:val="548412D3"/>
    <w:rsid w:val="54BF230B"/>
    <w:rsid w:val="55020B76"/>
    <w:rsid w:val="553D7E00"/>
    <w:rsid w:val="56C87B9D"/>
    <w:rsid w:val="56F73FDE"/>
    <w:rsid w:val="57CC7219"/>
    <w:rsid w:val="57CD4D3F"/>
    <w:rsid w:val="58D269C6"/>
    <w:rsid w:val="592941F7"/>
    <w:rsid w:val="5932754F"/>
    <w:rsid w:val="59D14FBA"/>
    <w:rsid w:val="5A8B33BB"/>
    <w:rsid w:val="5AB75F5E"/>
    <w:rsid w:val="5AF745AD"/>
    <w:rsid w:val="5B8322E4"/>
    <w:rsid w:val="5BD20B76"/>
    <w:rsid w:val="5D1C4608"/>
    <w:rsid w:val="60E23609"/>
    <w:rsid w:val="612E2CF2"/>
    <w:rsid w:val="61D07906"/>
    <w:rsid w:val="625422E5"/>
    <w:rsid w:val="63125EE0"/>
    <w:rsid w:val="639826A5"/>
    <w:rsid w:val="63E43B3C"/>
    <w:rsid w:val="642B176B"/>
    <w:rsid w:val="65256ED5"/>
    <w:rsid w:val="65815AE7"/>
    <w:rsid w:val="666F1DE3"/>
    <w:rsid w:val="66D103A8"/>
    <w:rsid w:val="67A27F96"/>
    <w:rsid w:val="67E61C31"/>
    <w:rsid w:val="683D381B"/>
    <w:rsid w:val="687E455F"/>
    <w:rsid w:val="68D67EF7"/>
    <w:rsid w:val="69012A9A"/>
    <w:rsid w:val="6C30791F"/>
    <w:rsid w:val="6DD8026E"/>
    <w:rsid w:val="6F265009"/>
    <w:rsid w:val="71D451F0"/>
    <w:rsid w:val="72930C07"/>
    <w:rsid w:val="738F5872"/>
    <w:rsid w:val="73DEA8B7"/>
    <w:rsid w:val="745E6FF3"/>
    <w:rsid w:val="769211D6"/>
    <w:rsid w:val="76FD2AF3"/>
    <w:rsid w:val="776963DA"/>
    <w:rsid w:val="77A94A29"/>
    <w:rsid w:val="78000AED"/>
    <w:rsid w:val="78874D6A"/>
    <w:rsid w:val="7A543372"/>
    <w:rsid w:val="7A5B64AE"/>
    <w:rsid w:val="7ACA3634"/>
    <w:rsid w:val="7AD65B35"/>
    <w:rsid w:val="7AFD57B8"/>
    <w:rsid w:val="7B551150"/>
    <w:rsid w:val="7B821819"/>
    <w:rsid w:val="7BA94FF8"/>
    <w:rsid w:val="7C643CE5"/>
    <w:rsid w:val="7D1F7C67"/>
    <w:rsid w:val="7D4E40A8"/>
    <w:rsid w:val="7D9F4904"/>
    <w:rsid w:val="7DD16A88"/>
    <w:rsid w:val="7F2350C1"/>
    <w:rsid w:val="7FE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6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8"/>
    <w:autoRedefine/>
    <w:semiHidden/>
    <w:unhideWhenUsed/>
    <w:qFormat/>
    <w:uiPriority w:val="99"/>
    <w:pPr>
      <w:jc w:val="left"/>
    </w:pPr>
  </w:style>
  <w:style w:type="paragraph" w:styleId="1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30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39"/>
    <w:autoRedefine/>
    <w:semiHidden/>
    <w:unhideWhenUsed/>
    <w:qFormat/>
    <w:uiPriority w:val="99"/>
    <w:rPr>
      <w:b/>
      <w:bCs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autoRedefine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autoRedefine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autoRedefine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autoRedefine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autoRedefine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6">
    <w:name w:val="标题 7 字符"/>
    <w:basedOn w:val="18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autoRedefine/>
    <w:qFormat/>
    <w:uiPriority w:val="21"/>
    <w:rPr>
      <w:i/>
      <w:iCs/>
      <w:color w:val="376092" w:themeColor="accent1" w:themeShade="BF"/>
    </w:rPr>
  </w:style>
  <w:style w:type="paragraph" w:styleId="35">
    <w:name w:val="Intense Quote"/>
    <w:basedOn w:val="1"/>
    <w:next w:val="1"/>
    <w:link w:val="36"/>
    <w:autoRedefine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376092" w:themeColor="accent1" w:themeShade="BF"/>
    </w:rPr>
  </w:style>
  <w:style w:type="character" w:customStyle="1" w:styleId="37">
    <w:name w:val="Intense Reference"/>
    <w:basedOn w:val="18"/>
    <w:autoRedefine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8">
    <w:name w:val="批注文字 字符"/>
    <w:basedOn w:val="18"/>
    <w:link w:val="11"/>
    <w:autoRedefine/>
    <w:semiHidden/>
    <w:qFormat/>
    <w:uiPriority w:val="99"/>
  </w:style>
  <w:style w:type="character" w:customStyle="1" w:styleId="39">
    <w:name w:val="批注主题 字符"/>
    <w:basedOn w:val="38"/>
    <w:link w:val="1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942</Words>
  <Characters>942</Characters>
  <Lines>24</Lines>
  <Paragraphs>17</Paragraphs>
  <TotalTime>2</TotalTime>
  <ScaleCrop>false</ScaleCrop>
  <LinksUpToDate>false</LinksUpToDate>
  <CharactersWithSpaces>942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2026-07-20T09:17:00Z</dcterms:created>
  <dc:creator>XUE</dc:creator>
  <cp:lastModifiedBy>user</cp:lastModifiedBy>
  <dcterms:modified xsi:type="dcterms:W3CDTF">2026-07-22T16:21:55Z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eyJoZGlkIjoiMjgxYzNkYWE2ZTc4OTNlMjBkMTk0NmRiYzNmYWUyMTYiLCJ1c2VySWQiOiIyNjMzOTgzNTkifQ==</vt:lpwstr>
  </property>
  <property fmtid="{D5CDD505-2E9C-101B-9397-08002B2CF9AE}" pid="3" name="KSOProductBuildVer">
    <vt:lpwstr>2052-12.8.2.20327</vt:lpwstr>
  </property>
  <property fmtid="{D5CDD505-2E9C-101B-9397-08002B2CF9AE}" pid="4" name="ICV">
    <vt:lpwstr>ABA97D351A4142E0B521F354D35CD88D_13</vt:lpwstr>
  </property>
</Properties>
</file>