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rPr>
          <w:rFonts w:hint="eastAsia" w:ascii="黑体" w:hAnsi="黑体" w:eastAsia="黑体" w:cs="黑体"/>
          <w:sz w:val="32"/>
          <w:szCs w:val="32"/>
        </w:rPr>
      </w:pPr>
      <w:r>
        <w:rPr>
          <w:rFonts w:hint="eastAsia" w:ascii="黑体" w:hAnsi="黑体" w:eastAsia="黑体" w:cs="黑体"/>
          <w:sz w:val="32"/>
          <w:szCs w:val="32"/>
        </w:rPr>
        <w:t>附件1</w:t>
      </w:r>
    </w:p>
    <w:p>
      <w:pPr>
        <w:pStyle w:val="2"/>
        <w:rPr>
          <w:rFonts w:hint="eastAsia"/>
        </w:rPr>
      </w:pPr>
    </w:p>
    <w:p>
      <w:pPr>
        <w:pStyle w:val="9"/>
        <w:widowControl/>
        <w:spacing w:before="0" w:beforeAutospacing="0" w:after="0" w:afterAutospacing="0" w:line="680" w:lineRule="exact"/>
        <w:jc w:val="center"/>
        <w:textAlignment w:val="baseline"/>
        <w:rPr>
          <w:rStyle w:val="13"/>
          <w:rFonts w:ascii="方正小标宋简体" w:hAnsi="方正小标宋简体" w:eastAsia="方正小标宋简体" w:cs="方正小标宋简体"/>
          <w:b w:val="0"/>
          <w:bCs/>
          <w:color w:val="000000"/>
          <w:sz w:val="44"/>
          <w:szCs w:val="44"/>
          <w:shd w:val="clear" w:color="auto" w:fill="FFFFFF"/>
        </w:rPr>
      </w:pPr>
      <w:bookmarkStart w:id="1" w:name="_GoBack"/>
      <w:bookmarkStart w:id="0" w:name="OLE_LINK1"/>
      <w:r>
        <w:rPr>
          <w:rStyle w:val="13"/>
          <w:rFonts w:hint="eastAsia" w:ascii="方正小标宋简体" w:hAnsi="方正小标宋简体" w:eastAsia="方正小标宋简体" w:cs="方正小标宋简体"/>
          <w:b w:val="0"/>
          <w:bCs/>
          <w:color w:val="000000"/>
          <w:sz w:val="44"/>
          <w:szCs w:val="44"/>
          <w:shd w:val="clear" w:color="auto" w:fill="FFFFFF"/>
        </w:rPr>
        <w:t>开展外国投资者主体资格文件</w:t>
      </w:r>
    </w:p>
    <w:p>
      <w:pPr>
        <w:pStyle w:val="9"/>
        <w:widowControl/>
        <w:spacing w:before="0" w:beforeAutospacing="0" w:after="0" w:afterAutospacing="0" w:line="680" w:lineRule="exact"/>
        <w:jc w:val="center"/>
        <w:textAlignment w:val="baseline"/>
        <w:rPr>
          <w:rStyle w:val="13"/>
          <w:rFonts w:ascii="方正小标宋简体" w:hAnsi="方正小标宋简体" w:eastAsia="方正小标宋简体" w:cs="方正小标宋简体"/>
          <w:b w:val="0"/>
          <w:bCs/>
          <w:color w:val="000000"/>
          <w:sz w:val="44"/>
          <w:szCs w:val="44"/>
          <w:shd w:val="clear" w:color="auto" w:fill="FFFFFF"/>
        </w:rPr>
      </w:pPr>
      <w:r>
        <w:rPr>
          <w:rStyle w:val="13"/>
          <w:rFonts w:hint="eastAsia" w:ascii="方正小标宋简体" w:hAnsi="方正小标宋简体" w:eastAsia="方正小标宋简体" w:cs="方正小标宋简体"/>
          <w:b w:val="0"/>
          <w:bCs/>
          <w:color w:val="000000"/>
          <w:sz w:val="44"/>
          <w:szCs w:val="44"/>
          <w:shd w:val="clear" w:color="auto" w:fill="FFFFFF"/>
        </w:rPr>
        <w:t>互认办法（试行）</w:t>
      </w:r>
      <w:bookmarkEnd w:id="0"/>
    </w:p>
    <w:bookmarkEnd w:id="1"/>
    <w:p>
      <w:pPr>
        <w:tabs>
          <w:tab w:val="left" w:pos="0"/>
        </w:tabs>
        <w:spacing w:line="578" w:lineRule="exact"/>
        <w:jc w:val="center"/>
        <w:rPr>
          <w:rFonts w:ascii="楷体_GB2312" w:hAnsi="楷体_GB2312" w:eastAsia="楷体_GB2312" w:cs="楷体_GB2312"/>
          <w:sz w:val="32"/>
          <w:szCs w:val="32"/>
        </w:rPr>
      </w:pPr>
      <w:r>
        <w:rPr>
          <w:rFonts w:hint="eastAsia" w:ascii="仿宋_GB2312" w:hAnsi="仿宋_GB2312" w:eastAsia="仿宋_GB2312" w:cs="仿宋_GB2312"/>
          <w:color w:val="000000"/>
          <w:sz w:val="32"/>
          <w:szCs w:val="32"/>
          <w:shd w:val="clear" w:color="auto" w:fill="FFFFFF"/>
        </w:rPr>
        <w:t>  </w:t>
      </w:r>
      <w:r>
        <w:rPr>
          <w:rFonts w:hint="eastAsia" w:ascii="楷体_GB2312" w:hAnsi="楷体_GB2312" w:eastAsia="楷体_GB2312" w:cs="楷体_GB2312"/>
          <w:sz w:val="32"/>
          <w:szCs w:val="32"/>
        </w:rPr>
        <w:t>（征求意见稿）</w:t>
      </w:r>
    </w:p>
    <w:p>
      <w:pPr>
        <w:pStyle w:val="9"/>
        <w:widowControl/>
        <w:spacing w:before="0" w:beforeAutospacing="0" w:after="0" w:afterAutospacing="0" w:line="578" w:lineRule="exact"/>
        <w:ind w:firstLine="480"/>
        <w:textAlignment w:val="baseline"/>
        <w:rPr>
          <w:rFonts w:ascii="仿宋_GB2312" w:hAnsi="仿宋_GB2312" w:eastAsia="仿宋_GB2312" w:cs="仿宋_GB2312"/>
          <w:color w:val="000000"/>
          <w:sz w:val="32"/>
          <w:szCs w:val="32"/>
        </w:rPr>
      </w:pPr>
    </w:p>
    <w:p>
      <w:pPr>
        <w:pStyle w:val="9"/>
        <w:widowControl/>
        <w:spacing w:before="0" w:beforeAutospacing="0" w:after="0" w:afterAutospacing="0" w:line="578" w:lineRule="exact"/>
        <w:ind w:firstLine="643" w:firstLineChars="200"/>
        <w:jc w:val="both"/>
        <w:textAlignment w:val="baseline"/>
        <w:rPr>
          <w:rFonts w:ascii="仿宋_GB2312" w:hAnsi="仿宋_GB2312" w:eastAsia="仿宋_GB2312" w:cs="仿宋_GB2312"/>
          <w:color w:val="000000"/>
          <w:sz w:val="32"/>
          <w:szCs w:val="32"/>
        </w:rPr>
      </w:pPr>
      <w:r>
        <w:rPr>
          <w:rStyle w:val="13"/>
          <w:rFonts w:hint="eastAsia" w:ascii="仿宋_GB2312" w:hAnsi="仿宋_GB2312" w:eastAsia="仿宋_GB2312" w:cs="仿宋_GB2312"/>
          <w:color w:val="000000"/>
          <w:sz w:val="32"/>
          <w:szCs w:val="32"/>
          <w:shd w:val="clear" w:color="auto" w:fill="FFFFFF"/>
        </w:rPr>
        <w:t>第一条</w:t>
      </w:r>
      <w:r>
        <w:rPr>
          <w:rFonts w:hint="eastAsia" w:ascii="仿宋_GB2312" w:hAnsi="仿宋_GB2312" w:eastAsia="仿宋_GB2312" w:cs="仿宋_GB2312"/>
          <w:color w:val="000000"/>
          <w:sz w:val="32"/>
          <w:szCs w:val="32"/>
          <w:shd w:val="clear" w:color="auto" w:fill="FFFFFF"/>
        </w:rPr>
        <w:t>　为持续优化营商环境，深化外商投资便利化改革，有效简化外商投资市场主体登记提交的外国投资者主体资格文件等相关材料，制定本办法。</w:t>
      </w:r>
    </w:p>
    <w:p>
      <w:pPr>
        <w:pStyle w:val="9"/>
        <w:widowControl/>
        <w:spacing w:before="0" w:beforeAutospacing="0" w:after="0" w:afterAutospacing="0" w:line="578" w:lineRule="exact"/>
        <w:ind w:firstLine="643" w:firstLineChars="200"/>
        <w:textAlignment w:val="baseline"/>
        <w:rPr>
          <w:rFonts w:ascii="仿宋_GB2312" w:hAnsi="仿宋_GB2312" w:eastAsia="仿宋_GB2312" w:cs="仿宋_GB2312"/>
          <w:color w:val="000000"/>
          <w:sz w:val="32"/>
          <w:szCs w:val="32"/>
        </w:rPr>
      </w:pPr>
      <w:r>
        <w:rPr>
          <w:rStyle w:val="13"/>
          <w:rFonts w:hint="eastAsia" w:ascii="仿宋_GB2312" w:hAnsi="仿宋_GB2312" w:eastAsia="仿宋_GB2312" w:cs="仿宋_GB2312"/>
          <w:color w:val="000000"/>
          <w:sz w:val="32"/>
          <w:szCs w:val="32"/>
          <w:shd w:val="clear" w:color="auto" w:fill="FFFFFF"/>
        </w:rPr>
        <w:t>第二条</w:t>
      </w:r>
      <w:r>
        <w:rPr>
          <w:rFonts w:hint="eastAsia" w:ascii="仿宋_GB2312" w:hAnsi="仿宋_GB2312" w:eastAsia="仿宋_GB2312" w:cs="仿宋_GB2312"/>
          <w:color w:val="000000"/>
          <w:sz w:val="32"/>
          <w:szCs w:val="32"/>
          <w:shd w:val="clear" w:color="auto" w:fill="FFFFFF"/>
        </w:rPr>
        <w:t>　本办法所称外国投资者是指外国的自然人、企业或者其他组织。</w:t>
      </w:r>
    </w:p>
    <w:p>
      <w:pPr>
        <w:pStyle w:val="9"/>
        <w:widowControl/>
        <w:spacing w:before="0" w:beforeAutospacing="0" w:after="0" w:afterAutospacing="0" w:line="578" w:lineRule="exact"/>
        <w:ind w:firstLine="640" w:firstLineChars="200"/>
        <w:jc w:val="both"/>
        <w:textAlignment w:val="baseline"/>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香港特别行政区、澳门特别行政区和台湾地区的投资者参照本办法执行。</w:t>
      </w:r>
    </w:p>
    <w:p>
      <w:pPr>
        <w:pStyle w:val="9"/>
        <w:widowControl/>
        <w:spacing w:before="0" w:beforeAutospacing="0" w:after="0" w:afterAutospacing="0" w:line="578" w:lineRule="exact"/>
        <w:ind w:firstLine="643" w:firstLineChars="200"/>
        <w:textAlignment w:val="baseline"/>
        <w:rPr>
          <w:rFonts w:ascii="仿宋_GB2312" w:hAnsi="仿宋_GB2312" w:eastAsia="仿宋_GB2312" w:cs="仿宋_GB2312"/>
          <w:color w:val="000000"/>
          <w:sz w:val="32"/>
          <w:szCs w:val="32"/>
        </w:rPr>
      </w:pPr>
      <w:r>
        <w:rPr>
          <w:rStyle w:val="13"/>
          <w:rFonts w:hint="eastAsia" w:ascii="仿宋_GB2312" w:hAnsi="仿宋_GB2312" w:eastAsia="仿宋_GB2312" w:cs="仿宋_GB2312"/>
          <w:color w:val="000000"/>
          <w:sz w:val="32"/>
          <w:szCs w:val="32"/>
          <w:shd w:val="clear" w:color="auto" w:fill="FFFFFF"/>
        </w:rPr>
        <w:t>第三条</w:t>
      </w:r>
      <w:r>
        <w:rPr>
          <w:rFonts w:hint="eastAsia" w:ascii="仿宋_GB2312" w:hAnsi="仿宋_GB2312" w:eastAsia="仿宋_GB2312" w:cs="仿宋_GB2312"/>
          <w:color w:val="000000"/>
          <w:sz w:val="32"/>
          <w:szCs w:val="32"/>
          <w:shd w:val="clear" w:color="auto" w:fill="FFFFFF"/>
        </w:rPr>
        <w:t>　本办法适用于在北京市丰台区、青岛市两地市场主体登记机关登记的外商投资市场主体。</w:t>
      </w:r>
    </w:p>
    <w:p>
      <w:pPr>
        <w:pStyle w:val="9"/>
        <w:widowControl/>
        <w:spacing w:before="0" w:beforeAutospacing="0" w:after="0" w:afterAutospacing="0" w:line="578" w:lineRule="exact"/>
        <w:ind w:firstLine="643" w:firstLineChars="200"/>
        <w:textAlignment w:val="baseline"/>
        <w:rPr>
          <w:rFonts w:ascii="仿宋_GB2312" w:hAnsi="仿宋_GB2312" w:eastAsia="仿宋_GB2312" w:cs="仿宋_GB2312"/>
          <w:color w:val="000000"/>
          <w:sz w:val="32"/>
          <w:szCs w:val="32"/>
          <w:shd w:val="clear" w:color="auto" w:fill="FFFFFF"/>
        </w:rPr>
      </w:pPr>
      <w:r>
        <w:rPr>
          <w:rStyle w:val="13"/>
          <w:rFonts w:hint="eastAsia" w:ascii="仿宋_GB2312" w:hAnsi="仿宋_GB2312" w:eastAsia="仿宋_GB2312" w:cs="仿宋_GB2312"/>
          <w:color w:val="000000"/>
          <w:sz w:val="32"/>
          <w:szCs w:val="32"/>
          <w:shd w:val="clear" w:color="auto" w:fill="FFFFFF"/>
        </w:rPr>
        <w:t>第四条</w:t>
      </w:r>
      <w:r>
        <w:rPr>
          <w:rFonts w:hint="eastAsia" w:ascii="仿宋_GB2312" w:hAnsi="仿宋_GB2312" w:eastAsia="仿宋_GB2312" w:cs="仿宋_GB2312"/>
          <w:color w:val="000000"/>
          <w:sz w:val="32"/>
          <w:szCs w:val="32"/>
          <w:shd w:val="clear" w:color="auto" w:fill="FFFFFF"/>
        </w:rPr>
        <w:t>　本办法所指的主体资格文件是指：</w:t>
      </w:r>
    </w:p>
    <w:p>
      <w:pPr>
        <w:pStyle w:val="9"/>
        <w:widowControl/>
        <w:spacing w:before="0" w:beforeAutospacing="0" w:after="0" w:afterAutospacing="0" w:line="578" w:lineRule="exact"/>
        <w:ind w:firstLine="640" w:firstLineChars="200"/>
        <w:textAlignment w:val="baseline"/>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（一）经其本国主管机关公证后送我国驻该国使（领）馆认证或者送与我国有外交关系的第三国驻该国使（领）馆认证，再由我国驻该第三国使（领）馆认证的外国投资者主体资格文件。</w:t>
      </w:r>
    </w:p>
    <w:p>
      <w:pPr>
        <w:pStyle w:val="9"/>
        <w:widowControl/>
        <w:spacing w:before="0" w:beforeAutospacing="0" w:after="0" w:afterAutospacing="0" w:line="578" w:lineRule="exact"/>
        <w:ind w:firstLine="640" w:firstLineChars="200"/>
        <w:jc w:val="both"/>
        <w:textAlignment w:val="baseline"/>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二）投资者所属国为《取消外国公文书认证要求的公约》缔约国的，主体资格文件是指其本国主管机关的公证文书和当地有权机关签发的附加证明书（中国不承认具有主权国家地位以及与中国间不适用公约的国家除外）。</w:t>
      </w:r>
    </w:p>
    <w:p>
      <w:pPr>
        <w:pStyle w:val="9"/>
        <w:widowControl/>
        <w:spacing w:before="0" w:beforeAutospacing="0" w:after="0" w:afterAutospacing="0" w:line="578" w:lineRule="exact"/>
        <w:ind w:firstLine="640" w:firstLineChars="200"/>
        <w:textAlignment w:val="baseline"/>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（三）香港特别行政区、澳门特别行政区和台湾地区投资者的主体资格文件应当按照专项规定或协议依法提供当地公证机构的公证文件。</w:t>
      </w:r>
    </w:p>
    <w:p>
      <w:pPr>
        <w:pStyle w:val="9"/>
        <w:widowControl/>
        <w:spacing w:before="0" w:beforeAutospacing="0" w:after="0" w:afterAutospacing="0" w:line="578" w:lineRule="exact"/>
        <w:ind w:firstLine="640" w:firstLineChars="200"/>
        <w:textAlignment w:val="baseline"/>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rPr>
        <w:t>国家市场监管总局制发的提交材料规范要求发生变化的，以最新要求为准。</w:t>
      </w:r>
    </w:p>
    <w:p>
      <w:pPr>
        <w:pStyle w:val="9"/>
        <w:widowControl/>
        <w:spacing w:before="0" w:beforeAutospacing="0" w:after="0" w:afterAutospacing="0" w:line="578" w:lineRule="exact"/>
        <w:ind w:firstLine="643" w:firstLineChars="200"/>
        <w:jc w:val="both"/>
        <w:textAlignment w:val="baseline"/>
        <w:rPr>
          <w:rFonts w:ascii="仿宋_GB2312" w:hAnsi="仿宋_GB2312" w:eastAsia="仿宋_GB2312" w:cs="仿宋_GB2312"/>
          <w:color w:val="000000"/>
          <w:sz w:val="32"/>
          <w:szCs w:val="32"/>
          <w:shd w:val="clear" w:color="auto" w:fill="FFFFFF"/>
        </w:rPr>
      </w:pPr>
      <w:r>
        <w:rPr>
          <w:rStyle w:val="13"/>
          <w:rFonts w:hint="eastAsia" w:ascii="仿宋_GB2312" w:hAnsi="仿宋_GB2312" w:eastAsia="仿宋_GB2312" w:cs="仿宋_GB2312"/>
          <w:color w:val="000000"/>
          <w:sz w:val="32"/>
          <w:szCs w:val="32"/>
          <w:shd w:val="clear" w:color="auto" w:fill="FFFFFF"/>
        </w:rPr>
        <w:t xml:space="preserve">第五条  </w:t>
      </w:r>
      <w:r>
        <w:rPr>
          <w:rFonts w:hint="eastAsia" w:ascii="仿宋_GB2312" w:hAnsi="仿宋_GB2312" w:eastAsia="仿宋_GB2312" w:cs="仿宋_GB2312"/>
          <w:color w:val="000000"/>
          <w:sz w:val="32"/>
          <w:szCs w:val="32"/>
          <w:shd w:val="clear" w:color="auto" w:fill="FFFFFF"/>
        </w:rPr>
        <w:t>对于已在北京市丰台区、青岛市任一登记机关设立外商投资市场主体的外国投资者，已提交经公证认证的主体资格文件原件的，在主体资格文件的有效期内，或者无明确有效期，且公证认证文件在1年以内的，如该外国投资者再向其他两地投资的，允许该外国投资者提供由已设外商投资市场主体登记机关档案部门出具的加盖档案证明章的主体资格文件复印件作为主体资格材料，并填写《外国（地区）投资者主体资格证明文件互通互认申请书》。主体资格文件原件中有首次限定适用区域的，在互认中三地均予以认可。</w:t>
      </w:r>
    </w:p>
    <w:p>
      <w:pPr>
        <w:pStyle w:val="9"/>
        <w:widowControl/>
        <w:spacing w:before="0" w:beforeAutospacing="0" w:after="0" w:afterAutospacing="0" w:line="578" w:lineRule="exact"/>
        <w:ind w:firstLine="643" w:firstLineChars="200"/>
        <w:jc w:val="both"/>
        <w:textAlignment w:val="baseline"/>
        <w:rPr>
          <w:rFonts w:ascii="仿宋_GB2312" w:hAnsi="仿宋_GB2312" w:eastAsia="仿宋_GB2312" w:cs="仿宋_GB2312"/>
          <w:color w:val="000000"/>
          <w:sz w:val="32"/>
          <w:szCs w:val="32"/>
          <w:shd w:val="clear" w:color="auto" w:fill="FFFFFF"/>
        </w:rPr>
      </w:pPr>
      <w:r>
        <w:rPr>
          <w:rStyle w:val="13"/>
          <w:rFonts w:hint="eastAsia" w:ascii="仿宋_GB2312" w:hAnsi="仿宋_GB2312" w:eastAsia="仿宋_GB2312" w:cs="仿宋_GB2312"/>
          <w:color w:val="000000"/>
          <w:sz w:val="32"/>
          <w:szCs w:val="32"/>
          <w:shd w:val="clear" w:color="auto" w:fill="FFFFFF"/>
        </w:rPr>
        <w:t xml:space="preserve">第六条  </w:t>
      </w:r>
      <w:r>
        <w:rPr>
          <w:rFonts w:hint="eastAsia" w:ascii="仿宋_GB2312" w:hAnsi="仿宋_GB2312" w:eastAsia="仿宋_GB2312" w:cs="仿宋_GB2312"/>
          <w:color w:val="000000"/>
          <w:sz w:val="32"/>
          <w:szCs w:val="32"/>
          <w:shd w:val="clear" w:color="auto" w:fill="FFFFFF"/>
        </w:rPr>
        <w:t>外国投资者按照第五条提供主体资格文件复印件的，应当确认主体资格文件复印件所记载的外国投资者有关信息与投资者当前情况一致，投资者信息真实准确。</w:t>
      </w:r>
    </w:p>
    <w:p>
      <w:pPr>
        <w:pStyle w:val="9"/>
        <w:widowControl/>
        <w:spacing w:before="0" w:beforeAutospacing="0" w:after="0" w:afterAutospacing="0" w:line="578" w:lineRule="exact"/>
        <w:ind w:firstLine="643" w:firstLineChars="200"/>
        <w:jc w:val="both"/>
        <w:textAlignment w:val="baseline"/>
        <w:rPr>
          <w:rFonts w:ascii="仿宋_GB2312" w:hAnsi="仿宋_GB2312" w:eastAsia="仿宋_GB2312" w:cs="仿宋_GB2312"/>
          <w:color w:val="000000"/>
          <w:sz w:val="32"/>
          <w:szCs w:val="32"/>
          <w:shd w:val="clear" w:color="auto" w:fill="FFFFFF"/>
        </w:rPr>
      </w:pPr>
      <w:r>
        <w:rPr>
          <w:rStyle w:val="13"/>
          <w:rFonts w:hint="eastAsia" w:ascii="仿宋_GB2312" w:hAnsi="仿宋_GB2312" w:eastAsia="仿宋_GB2312" w:cs="仿宋_GB2312"/>
          <w:color w:val="000000"/>
          <w:sz w:val="32"/>
          <w:szCs w:val="32"/>
          <w:shd w:val="clear" w:color="auto" w:fill="FFFFFF"/>
        </w:rPr>
        <w:t xml:space="preserve">第七条  </w:t>
      </w:r>
      <w:r>
        <w:rPr>
          <w:rFonts w:hint="eastAsia" w:ascii="仿宋_GB2312" w:hAnsi="仿宋_GB2312" w:eastAsia="仿宋_GB2312" w:cs="仿宋_GB2312"/>
          <w:color w:val="000000"/>
          <w:sz w:val="32"/>
          <w:szCs w:val="32"/>
          <w:shd w:val="clear" w:color="auto" w:fill="FFFFFF"/>
        </w:rPr>
        <w:t>本办法同时适用外商投资市场主体变更、注销登记、备案以及外资并购登记中需要外国投资者提交主体资格文件的情形。</w:t>
      </w:r>
    </w:p>
    <w:p>
      <w:pPr>
        <w:pStyle w:val="9"/>
        <w:widowControl/>
        <w:spacing w:before="0" w:beforeAutospacing="0" w:after="0" w:afterAutospacing="0" w:line="578" w:lineRule="exact"/>
        <w:ind w:firstLine="643" w:firstLineChars="200"/>
        <w:textAlignment w:val="baseline"/>
        <w:rPr>
          <w:rFonts w:ascii="仿宋_GB2312" w:hAnsi="仿宋_GB2312" w:eastAsia="仿宋_GB2312" w:cs="仿宋_GB2312"/>
          <w:color w:val="000000"/>
          <w:sz w:val="32"/>
          <w:szCs w:val="32"/>
        </w:rPr>
      </w:pPr>
      <w:r>
        <w:rPr>
          <w:rStyle w:val="13"/>
          <w:rFonts w:hint="eastAsia" w:ascii="仿宋_GB2312" w:hAnsi="仿宋_GB2312" w:eastAsia="仿宋_GB2312" w:cs="仿宋_GB2312"/>
          <w:color w:val="000000"/>
          <w:sz w:val="32"/>
          <w:szCs w:val="32"/>
          <w:shd w:val="clear" w:color="auto" w:fill="FFFFFF"/>
        </w:rPr>
        <w:t>第八条</w:t>
      </w:r>
      <w:r>
        <w:rPr>
          <w:rFonts w:hint="eastAsia" w:ascii="仿宋_GB2312" w:hAnsi="仿宋_GB2312" w:eastAsia="仿宋_GB2312" w:cs="仿宋_GB2312"/>
          <w:color w:val="000000"/>
          <w:sz w:val="32"/>
          <w:szCs w:val="32"/>
          <w:shd w:val="clear" w:color="auto" w:fill="FFFFFF"/>
        </w:rPr>
        <w:t>　北京市丰台区、青岛市两地市场主体登记机关加强协同配合，信息共享，并根据职能职责做好事中事后监管工作。</w:t>
      </w:r>
    </w:p>
    <w:p>
      <w:pPr>
        <w:pStyle w:val="9"/>
        <w:widowControl/>
        <w:spacing w:before="0" w:beforeAutospacing="0" w:after="0" w:afterAutospacing="0" w:line="578" w:lineRule="exact"/>
        <w:ind w:firstLine="643" w:firstLineChars="200"/>
        <w:textAlignment w:val="baseline"/>
        <w:rPr>
          <w:rFonts w:ascii="仿宋_GB2312" w:hAnsi="仿宋_GB2312" w:eastAsia="仿宋_GB2312" w:cs="仿宋_GB2312"/>
          <w:color w:val="000000"/>
          <w:sz w:val="32"/>
          <w:szCs w:val="32"/>
        </w:rPr>
      </w:pPr>
      <w:r>
        <w:rPr>
          <w:rStyle w:val="13"/>
          <w:rFonts w:hint="eastAsia" w:ascii="仿宋_GB2312" w:hAnsi="仿宋_GB2312" w:eastAsia="仿宋_GB2312" w:cs="仿宋_GB2312"/>
          <w:color w:val="000000"/>
          <w:sz w:val="32"/>
          <w:szCs w:val="32"/>
          <w:shd w:val="clear" w:color="auto" w:fill="FFFFFF"/>
        </w:rPr>
        <w:t>第九条</w:t>
      </w:r>
      <w:r>
        <w:rPr>
          <w:rFonts w:hint="eastAsia" w:ascii="仿宋_GB2312" w:hAnsi="仿宋_GB2312" w:eastAsia="仿宋_GB2312" w:cs="仿宋_GB2312"/>
          <w:color w:val="000000"/>
          <w:sz w:val="32"/>
          <w:szCs w:val="32"/>
          <w:shd w:val="clear" w:color="auto" w:fill="FFFFFF"/>
        </w:rPr>
        <w:t>　北京市丰台区、青岛市两地市场主体登记机关按照北京市、山东省人民政府部署要求，积极构建开放型经济新体制，持续简化外国投资者主体资格文件，不断提升外商投资市场主体登记便利化水平，推动形成全面开放新格局。</w:t>
      </w:r>
    </w:p>
    <w:p>
      <w:pPr>
        <w:ind w:firstLine="643" w:firstLineChars="200"/>
      </w:pPr>
      <w:r>
        <w:rPr>
          <w:rStyle w:val="13"/>
          <w:rFonts w:hint="eastAsia" w:ascii="仿宋_GB2312" w:hAnsi="仿宋_GB2312" w:eastAsia="仿宋_GB2312" w:cs="仿宋_GB2312"/>
          <w:color w:val="000000"/>
          <w:sz w:val="32"/>
          <w:szCs w:val="32"/>
          <w:shd w:val="clear" w:color="auto" w:fill="FFFFFF"/>
        </w:rPr>
        <w:t xml:space="preserve">第十条  </w:t>
      </w:r>
      <w:r>
        <w:rPr>
          <w:rStyle w:val="13"/>
          <w:rFonts w:hint="eastAsia" w:ascii="仿宋_GB2312" w:hAnsi="仿宋_GB2312" w:eastAsia="仿宋_GB2312" w:cs="仿宋_GB2312"/>
          <w:b w:val="0"/>
          <w:bCs/>
          <w:color w:val="000000"/>
          <w:sz w:val="32"/>
          <w:szCs w:val="32"/>
          <w:shd w:val="clear" w:color="auto" w:fill="FFFFFF"/>
        </w:rPr>
        <w:t>本办法自2026年</w:t>
      </w:r>
      <w:r>
        <w:rPr>
          <w:rStyle w:val="13"/>
          <w:rFonts w:hint="eastAsia" w:ascii="仿宋_GB2312" w:hAnsi="仿宋_GB2312" w:cs="仿宋_GB2312" w:eastAsiaTheme="minorEastAsia"/>
          <w:b w:val="0"/>
          <w:bCs/>
          <w:color w:val="000000"/>
          <w:sz w:val="32"/>
          <w:szCs w:val="32"/>
          <w:shd w:val="clear" w:color="auto" w:fill="FFFFFF"/>
        </w:rPr>
        <w:t>9</w:t>
      </w:r>
      <w:r>
        <w:rPr>
          <w:rStyle w:val="13"/>
          <w:rFonts w:hint="eastAsia" w:ascii="仿宋_GB2312" w:hAnsi="仿宋_GB2312" w:eastAsia="仿宋_GB2312" w:cs="仿宋_GB2312"/>
          <w:b w:val="0"/>
          <w:bCs/>
          <w:color w:val="000000"/>
          <w:sz w:val="32"/>
          <w:szCs w:val="32"/>
          <w:shd w:val="clear" w:color="auto" w:fill="FFFFFF"/>
        </w:rPr>
        <w:t>月</w:t>
      </w:r>
      <w:r>
        <w:rPr>
          <w:rStyle w:val="13"/>
          <w:rFonts w:hint="eastAsia" w:ascii="仿宋_GB2312" w:hAnsi="仿宋_GB2312" w:cs="仿宋_GB2312" w:eastAsiaTheme="minorEastAsia"/>
          <w:b w:val="0"/>
          <w:bCs/>
          <w:color w:val="000000"/>
          <w:sz w:val="32"/>
          <w:szCs w:val="32"/>
          <w:shd w:val="clear" w:color="auto" w:fill="FFFFFF"/>
        </w:rPr>
        <w:t>1</w:t>
      </w:r>
      <w:r>
        <w:rPr>
          <w:rStyle w:val="13"/>
          <w:rFonts w:hint="eastAsia" w:ascii="仿宋_GB2312" w:hAnsi="仿宋_GB2312" w:eastAsia="仿宋_GB2312" w:cs="仿宋_GB2312"/>
          <w:b w:val="0"/>
          <w:bCs/>
          <w:color w:val="000000"/>
          <w:sz w:val="32"/>
          <w:szCs w:val="32"/>
          <w:shd w:val="clear" w:color="auto" w:fill="FFFFFF"/>
        </w:rPr>
        <w:t>日起施行，有效期至2029年</w:t>
      </w:r>
      <w:r>
        <w:rPr>
          <w:rStyle w:val="13"/>
          <w:rFonts w:hint="eastAsia" w:ascii="仿宋_GB2312" w:hAnsi="仿宋_GB2312" w:cs="仿宋_GB2312" w:eastAsiaTheme="minorEastAsia"/>
          <w:b w:val="0"/>
          <w:bCs/>
          <w:color w:val="000000"/>
          <w:sz w:val="32"/>
          <w:szCs w:val="32"/>
          <w:shd w:val="clear" w:color="auto" w:fill="FFFFFF"/>
        </w:rPr>
        <w:t>9</w:t>
      </w:r>
      <w:r>
        <w:rPr>
          <w:rStyle w:val="13"/>
          <w:rFonts w:hint="eastAsia" w:ascii="仿宋_GB2312" w:hAnsi="仿宋_GB2312" w:eastAsia="仿宋_GB2312" w:cs="仿宋_GB2312"/>
          <w:b w:val="0"/>
          <w:bCs/>
          <w:color w:val="000000"/>
          <w:sz w:val="32"/>
          <w:szCs w:val="32"/>
          <w:shd w:val="clear" w:color="auto" w:fill="FFFFFF"/>
        </w:rPr>
        <w:t>月</w:t>
      </w:r>
      <w:r>
        <w:rPr>
          <w:rStyle w:val="13"/>
          <w:rFonts w:hint="eastAsia" w:ascii="仿宋_GB2312" w:hAnsi="仿宋_GB2312" w:cs="仿宋_GB2312" w:eastAsiaTheme="minorEastAsia"/>
          <w:b w:val="0"/>
          <w:bCs/>
          <w:color w:val="000000"/>
          <w:sz w:val="32"/>
          <w:szCs w:val="32"/>
          <w:shd w:val="clear" w:color="auto" w:fill="FFFFFF"/>
        </w:rPr>
        <w:t>1</w:t>
      </w:r>
      <w:r>
        <w:rPr>
          <w:rStyle w:val="13"/>
          <w:rFonts w:hint="eastAsia" w:ascii="仿宋_GB2312" w:hAnsi="仿宋_GB2312" w:eastAsia="仿宋_GB2312" w:cs="仿宋_GB2312"/>
          <w:b w:val="0"/>
          <w:bCs/>
          <w:color w:val="000000"/>
          <w:sz w:val="32"/>
          <w:szCs w:val="32"/>
          <w:shd w:val="clear" w:color="auto" w:fill="FFFFFF"/>
        </w:rPr>
        <w:t>日。</w:t>
      </w:r>
    </w:p>
    <w:p>
      <w:pPr>
        <w:pStyle w:val="4"/>
        <w:ind w:firstLine="420"/>
      </w:pPr>
    </w:p>
    <w:p>
      <w:pPr>
        <w:ind w:firstLine="640" w:firstLineChars="200"/>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附件：</w:t>
      </w:r>
      <w:r>
        <w:rPr>
          <w:rFonts w:hint="eastAsia" w:ascii="仿宋_GB2312" w:hAnsi="仿宋_GB2312" w:eastAsia="仿宋_GB2312" w:cs="仿宋_GB2312"/>
          <w:color w:val="000000"/>
          <w:sz w:val="32"/>
          <w:szCs w:val="32"/>
          <w:shd w:val="clear" w:color="auto" w:fill="FFFFFF"/>
        </w:rPr>
        <w:t>《外国（地区）投资者主体资格证明文件互通互认申请书》。</w:t>
      </w: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sectPr>
          <w:footerReference r:id="rId3" w:type="default"/>
          <w:footerReference r:id="rId4" w:type="even"/>
          <w:pgSz w:w="11906" w:h="16838"/>
          <w:pgMar w:top="1440" w:right="1803" w:bottom="1440" w:left="1803" w:header="720" w:footer="720" w:gutter="0"/>
          <w:pgNumType w:fmt="numberInDash"/>
          <w:cols w:space="720" w:num="1"/>
          <w:docGrid w:type="lines" w:linePitch="319" w:charSpace="0"/>
        </w:sectPr>
      </w:pPr>
    </w:p>
    <w:p>
      <w:pPr>
        <w:spacing w:line="578" w:lineRule="exact"/>
        <w:ind w:right="-99" w:rightChars="-47"/>
      </w:pPr>
      <w:r>
        <w:drawing>
          <wp:anchor distT="0" distB="0" distL="114300" distR="114300" simplePos="0" relativeHeight="251659264" behindDoc="0" locked="0" layoutInCell="1" allowOverlap="1">
            <wp:simplePos x="0" y="0"/>
            <wp:positionH relativeFrom="column">
              <wp:posOffset>-40005</wp:posOffset>
            </wp:positionH>
            <wp:positionV relativeFrom="paragraph">
              <wp:posOffset>-120650</wp:posOffset>
            </wp:positionV>
            <wp:extent cx="5270500" cy="6432550"/>
            <wp:effectExtent l="19050" t="0" r="6350" b="0"/>
            <wp:wrapNone/>
            <wp:docPr id="1" name="图片 0" descr="微信图片_20260720070815_933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微信图片_20260720070815_933_2.jpg"/>
                    <pic:cNvPicPr>
                      <a:picLocks noChangeAspect="1"/>
                    </pic:cNvPicPr>
                  </pic:nvPicPr>
                  <pic:blipFill>
                    <a:blip r:embed="rId7"/>
                    <a:stretch>
                      <a:fillRect/>
                    </a:stretch>
                  </pic:blipFill>
                  <pic:spPr>
                    <a:xfrm>
                      <a:off x="0" y="0"/>
                      <a:ext cx="5270500" cy="6432550"/>
                    </a:xfrm>
                    <a:prstGeom prst="rect">
                      <a:avLst/>
                    </a:prstGeom>
                  </pic:spPr>
                </pic:pic>
              </a:graphicData>
            </a:graphic>
          </wp:anchor>
        </w:drawing>
      </w:r>
    </w:p>
    <w:sectPr>
      <w:footerReference r:id="rId5" w:type="default"/>
      <w:pgSz w:w="11906" w:h="16838"/>
      <w:pgMar w:top="1440" w:right="1803" w:bottom="1440" w:left="1803" w:header="720" w:footer="720" w:gutter="0"/>
      <w:pgNumType w:fmt="numberInDash"/>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文本框 4"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s0lY7tAAAAAFAQAADwAAAAAAAAABACAA&#10;AAA4AAAAZHJzL2Rvd25yZXYueG1sUEsBAhQAFAAAAAgAh07iQNwyNWo4AgAAcAQAAA4AAAAAAAAA&#10;AQAgAAAANQEAAGRycy9lMm9Eb2MueG1sUEsFBgAAAAAGAAYAWQEAAN8FAAAAAA==&#10;">
          <v:path/>
          <v:fill on="f" focussize="0,0"/>
          <v:stroke on="f" weight="0.5pt" joinstyle="miter"/>
          <v:imagedata o:title=""/>
          <o:lock v:ext="edit"/>
          <v:textbox inset="0mm,0mm,0mm,0mm" style="mso-fit-shape-to-text:t;">
            <w:txbxContent>
              <w:p>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w:r>
    <w:r>
      <w:pict>
        <v:shape id="_x0000_s3074" o:spid="_x0000_s3074"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RWs83NwIAAHE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kVrPNzcCAABxBAAADgAAAAAAAAAB&#10;ACAAAAA1AQAAZHJzL2Uyb0RvYy54bWxQSwUGAAAAAAYABgBZAQAA3gUAAAAA&#10;">
          <v:path/>
          <v:fill on="f" focussize="0,0"/>
          <v:stroke on="f" weight="0.5pt" joinstyle="miter"/>
          <v:imagedata o:title=""/>
          <o:lock v:ext="edit"/>
          <v:textbox inset="0mm,0mm,0mm,0mm" style="mso-fit-shape-to-text:t;">
            <w:txbxContent>
              <w:p>
                <w:pPr>
                  <w:pStyle w:val="6"/>
                  <w:rPr>
                    <w:sz w:val="28"/>
                    <w:szCs w:val="2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700"/>
      <w:rPr>
        <w:rFonts w:ascii="宋体" w:hAns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3073" o:spid="_x0000_s3073"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eGo9fOAIAAG8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s0lY7tAAAAAFAQAADwAAAAAAAAABACAA&#10;AAA4AAAAZHJzL2Rvd25yZXYueG1sUEsBAhQAFAAAAAgAh07iQF4aj184AgAAbwQAAA4AAAAAAAAA&#10;AQAgAAAANQEAAGRycy9lMm9Eb2MueG1sUEsFBgAAAAAGAAYAWQEAAN8FAAAAAA==&#10;">
          <v:path/>
          <v:fill on="f" focussize="0,0"/>
          <v:stroke on="f" weight="0.5pt" joinstyle="miter"/>
          <v:imagedata o:title=""/>
          <o:lock v:ext="edit"/>
          <v:textbox inset="0mm,0mm,0mm,0mm" style="mso-fit-shape-to-text:t;">
            <w:txbxContent>
              <w:p>
                <w:pPr>
                  <w:pStyle w:val="6"/>
                  <w:rPr>
                    <w:sz w:val="28"/>
                    <w:szCs w:val="28"/>
                  </w:rPr>
                </w:pP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QyNWM1Mzk5NDFlMmU3YThjMWFmNDM4ZWY5M2ViYTEifQ=="/>
  </w:docVars>
  <w:rsids>
    <w:rsidRoot w:val="00172A27"/>
    <w:rsid w:val="00043595"/>
    <w:rsid w:val="00077CAA"/>
    <w:rsid w:val="00134291"/>
    <w:rsid w:val="00150EAD"/>
    <w:rsid w:val="00172A27"/>
    <w:rsid w:val="001B4BDE"/>
    <w:rsid w:val="001C2133"/>
    <w:rsid w:val="00217AF2"/>
    <w:rsid w:val="00263287"/>
    <w:rsid w:val="00320CC6"/>
    <w:rsid w:val="00383047"/>
    <w:rsid w:val="003C28DE"/>
    <w:rsid w:val="004F490E"/>
    <w:rsid w:val="00707ADA"/>
    <w:rsid w:val="008468DD"/>
    <w:rsid w:val="0099188B"/>
    <w:rsid w:val="00B736EC"/>
    <w:rsid w:val="00E333F8"/>
    <w:rsid w:val="00E469CE"/>
    <w:rsid w:val="00FE5EBF"/>
    <w:rsid w:val="00FF6018"/>
    <w:rsid w:val="010D1849"/>
    <w:rsid w:val="012B0DF9"/>
    <w:rsid w:val="01CA1BFC"/>
    <w:rsid w:val="01F05575"/>
    <w:rsid w:val="031047EE"/>
    <w:rsid w:val="03454AD1"/>
    <w:rsid w:val="037A17DE"/>
    <w:rsid w:val="03AB1764"/>
    <w:rsid w:val="03E964CF"/>
    <w:rsid w:val="041845FF"/>
    <w:rsid w:val="05C84B8B"/>
    <w:rsid w:val="05E416E8"/>
    <w:rsid w:val="06FE1FBF"/>
    <w:rsid w:val="074A1D85"/>
    <w:rsid w:val="07BE70C4"/>
    <w:rsid w:val="07EA7B88"/>
    <w:rsid w:val="07F414F5"/>
    <w:rsid w:val="084330B0"/>
    <w:rsid w:val="086D0162"/>
    <w:rsid w:val="08744F7A"/>
    <w:rsid w:val="08961326"/>
    <w:rsid w:val="08C85FE2"/>
    <w:rsid w:val="09DA6C83"/>
    <w:rsid w:val="0A856C30"/>
    <w:rsid w:val="0A951CC1"/>
    <w:rsid w:val="0A9A7472"/>
    <w:rsid w:val="0A9F54E4"/>
    <w:rsid w:val="0AB3259A"/>
    <w:rsid w:val="0AB461A0"/>
    <w:rsid w:val="0ABE309E"/>
    <w:rsid w:val="0B044500"/>
    <w:rsid w:val="0B0D7FE7"/>
    <w:rsid w:val="0B314F07"/>
    <w:rsid w:val="0B49285F"/>
    <w:rsid w:val="0B720764"/>
    <w:rsid w:val="0B85488E"/>
    <w:rsid w:val="0BBC792E"/>
    <w:rsid w:val="0BE74F15"/>
    <w:rsid w:val="0C416492"/>
    <w:rsid w:val="0C822B95"/>
    <w:rsid w:val="0CB40DE6"/>
    <w:rsid w:val="0CC260FF"/>
    <w:rsid w:val="0CD753EE"/>
    <w:rsid w:val="0CD9182E"/>
    <w:rsid w:val="0CEF04C3"/>
    <w:rsid w:val="0D141031"/>
    <w:rsid w:val="0D542EEE"/>
    <w:rsid w:val="0D546496"/>
    <w:rsid w:val="0DB11EBF"/>
    <w:rsid w:val="0DDE17CD"/>
    <w:rsid w:val="0E134225"/>
    <w:rsid w:val="0E157728"/>
    <w:rsid w:val="0F16254C"/>
    <w:rsid w:val="0F2138C1"/>
    <w:rsid w:val="0FD10D03"/>
    <w:rsid w:val="0FED4DB0"/>
    <w:rsid w:val="102B33B7"/>
    <w:rsid w:val="1097590F"/>
    <w:rsid w:val="10BD35C7"/>
    <w:rsid w:val="117619C8"/>
    <w:rsid w:val="11AD6C16"/>
    <w:rsid w:val="11E6296C"/>
    <w:rsid w:val="135C7F4F"/>
    <w:rsid w:val="137F4C8C"/>
    <w:rsid w:val="13BC40B3"/>
    <w:rsid w:val="1456146C"/>
    <w:rsid w:val="1574797F"/>
    <w:rsid w:val="15763D67"/>
    <w:rsid w:val="15915971"/>
    <w:rsid w:val="16591B36"/>
    <w:rsid w:val="165C08BD"/>
    <w:rsid w:val="16BC409B"/>
    <w:rsid w:val="16E86EC4"/>
    <w:rsid w:val="17B907F9"/>
    <w:rsid w:val="17EB6A4A"/>
    <w:rsid w:val="180767D4"/>
    <w:rsid w:val="181E3DA1"/>
    <w:rsid w:val="18692C43"/>
    <w:rsid w:val="187E1E79"/>
    <w:rsid w:val="188127C0"/>
    <w:rsid w:val="18F54C3F"/>
    <w:rsid w:val="1AA71539"/>
    <w:rsid w:val="1AD14166"/>
    <w:rsid w:val="1B2A2B62"/>
    <w:rsid w:val="1B83540D"/>
    <w:rsid w:val="1BE475CF"/>
    <w:rsid w:val="1C411EE7"/>
    <w:rsid w:val="1C61021D"/>
    <w:rsid w:val="1CC04164"/>
    <w:rsid w:val="1D0C6137"/>
    <w:rsid w:val="1D3640D0"/>
    <w:rsid w:val="1D692577"/>
    <w:rsid w:val="1DC51D0D"/>
    <w:rsid w:val="1E605FE6"/>
    <w:rsid w:val="1E9239B5"/>
    <w:rsid w:val="1EDC50AE"/>
    <w:rsid w:val="1EFC6908"/>
    <w:rsid w:val="1EFE2F32"/>
    <w:rsid w:val="1EFE7AF5"/>
    <w:rsid w:val="1F356A41"/>
    <w:rsid w:val="1F6E7EA0"/>
    <w:rsid w:val="1FCB1452"/>
    <w:rsid w:val="1FF32AA6"/>
    <w:rsid w:val="20A0003D"/>
    <w:rsid w:val="20A830A0"/>
    <w:rsid w:val="20BE70E9"/>
    <w:rsid w:val="21820804"/>
    <w:rsid w:val="2184758B"/>
    <w:rsid w:val="21A70A44"/>
    <w:rsid w:val="2228590F"/>
    <w:rsid w:val="226F7E57"/>
    <w:rsid w:val="22A144DF"/>
    <w:rsid w:val="22BD28C6"/>
    <w:rsid w:val="231F4DAE"/>
    <w:rsid w:val="234165E7"/>
    <w:rsid w:val="23944D6C"/>
    <w:rsid w:val="23DA54E1"/>
    <w:rsid w:val="2440128C"/>
    <w:rsid w:val="2489657E"/>
    <w:rsid w:val="248C1FA7"/>
    <w:rsid w:val="24AB32D3"/>
    <w:rsid w:val="25087828"/>
    <w:rsid w:val="25A20AAE"/>
    <w:rsid w:val="25AB3597"/>
    <w:rsid w:val="26A420F1"/>
    <w:rsid w:val="26F25B1C"/>
    <w:rsid w:val="27355BE4"/>
    <w:rsid w:val="277D04F8"/>
    <w:rsid w:val="28675334"/>
    <w:rsid w:val="28B81B5C"/>
    <w:rsid w:val="28E571A8"/>
    <w:rsid w:val="291E1C4A"/>
    <w:rsid w:val="299711CA"/>
    <w:rsid w:val="29A22DDE"/>
    <w:rsid w:val="2A9B642A"/>
    <w:rsid w:val="2AC63595"/>
    <w:rsid w:val="2AFB78AF"/>
    <w:rsid w:val="2BBA6680"/>
    <w:rsid w:val="2BC94961"/>
    <w:rsid w:val="2C1959E5"/>
    <w:rsid w:val="2C7176F9"/>
    <w:rsid w:val="2CC80BFF"/>
    <w:rsid w:val="2D103FBE"/>
    <w:rsid w:val="2DE64CDC"/>
    <w:rsid w:val="2DE95C61"/>
    <w:rsid w:val="2DF36C4C"/>
    <w:rsid w:val="2E1A5B6C"/>
    <w:rsid w:val="2E61676A"/>
    <w:rsid w:val="2F444040"/>
    <w:rsid w:val="2F594BBE"/>
    <w:rsid w:val="2F6B65A7"/>
    <w:rsid w:val="2F7C41F6"/>
    <w:rsid w:val="2FCA28F3"/>
    <w:rsid w:val="2FDD2EE6"/>
    <w:rsid w:val="304325BD"/>
    <w:rsid w:val="31044BF9"/>
    <w:rsid w:val="311D630A"/>
    <w:rsid w:val="31982EEE"/>
    <w:rsid w:val="320D547F"/>
    <w:rsid w:val="323572CB"/>
    <w:rsid w:val="326225B7"/>
    <w:rsid w:val="32C25E54"/>
    <w:rsid w:val="32F90D41"/>
    <w:rsid w:val="33705E64"/>
    <w:rsid w:val="338813BB"/>
    <w:rsid w:val="33A40354"/>
    <w:rsid w:val="340A7470"/>
    <w:rsid w:val="342401BA"/>
    <w:rsid w:val="349415D2"/>
    <w:rsid w:val="349D074D"/>
    <w:rsid w:val="34A36867"/>
    <w:rsid w:val="35267A47"/>
    <w:rsid w:val="35BC15AC"/>
    <w:rsid w:val="35DD5D68"/>
    <w:rsid w:val="35E80BFF"/>
    <w:rsid w:val="363105C2"/>
    <w:rsid w:val="365F4711"/>
    <w:rsid w:val="36EB32BB"/>
    <w:rsid w:val="37FE7262"/>
    <w:rsid w:val="38206A7D"/>
    <w:rsid w:val="38265C2B"/>
    <w:rsid w:val="38910B5D"/>
    <w:rsid w:val="38C44830"/>
    <w:rsid w:val="38FE3710"/>
    <w:rsid w:val="391D7CAB"/>
    <w:rsid w:val="392748D4"/>
    <w:rsid w:val="39390072"/>
    <w:rsid w:val="39486B76"/>
    <w:rsid w:val="39FB5AC6"/>
    <w:rsid w:val="3A0451BC"/>
    <w:rsid w:val="3A137144"/>
    <w:rsid w:val="3B013DDA"/>
    <w:rsid w:val="3B227B92"/>
    <w:rsid w:val="3B3B2CBA"/>
    <w:rsid w:val="3B9C785C"/>
    <w:rsid w:val="3BC726E7"/>
    <w:rsid w:val="3BCD2229"/>
    <w:rsid w:val="3D142E25"/>
    <w:rsid w:val="3DDA38B1"/>
    <w:rsid w:val="3E1619AB"/>
    <w:rsid w:val="3E612E6B"/>
    <w:rsid w:val="3EA41EE6"/>
    <w:rsid w:val="3EBE03DF"/>
    <w:rsid w:val="3F112F5F"/>
    <w:rsid w:val="3F1907ED"/>
    <w:rsid w:val="3F5F1E28"/>
    <w:rsid w:val="3F945626"/>
    <w:rsid w:val="3FAD3650"/>
    <w:rsid w:val="3FFB62C1"/>
    <w:rsid w:val="40487E84"/>
    <w:rsid w:val="4099698A"/>
    <w:rsid w:val="40C43051"/>
    <w:rsid w:val="40D668CB"/>
    <w:rsid w:val="40DB59AA"/>
    <w:rsid w:val="41440580"/>
    <w:rsid w:val="41654DD9"/>
    <w:rsid w:val="41B45A71"/>
    <w:rsid w:val="41F1357E"/>
    <w:rsid w:val="41F64A9D"/>
    <w:rsid w:val="4259696B"/>
    <w:rsid w:val="4298064E"/>
    <w:rsid w:val="42DA493A"/>
    <w:rsid w:val="43043580"/>
    <w:rsid w:val="4345603A"/>
    <w:rsid w:val="436701B1"/>
    <w:rsid w:val="437E0353"/>
    <w:rsid w:val="43875D58"/>
    <w:rsid w:val="43BF6C09"/>
    <w:rsid w:val="43CB2750"/>
    <w:rsid w:val="446B0F88"/>
    <w:rsid w:val="447E11A1"/>
    <w:rsid w:val="44881A1F"/>
    <w:rsid w:val="44F639B0"/>
    <w:rsid w:val="45267D82"/>
    <w:rsid w:val="45457CE0"/>
    <w:rsid w:val="459B24FF"/>
    <w:rsid w:val="45DB36CD"/>
    <w:rsid w:val="45FC4796"/>
    <w:rsid w:val="46157D2B"/>
    <w:rsid w:val="4627185B"/>
    <w:rsid w:val="46CD3559"/>
    <w:rsid w:val="46F84EBF"/>
    <w:rsid w:val="47633879"/>
    <w:rsid w:val="47801D13"/>
    <w:rsid w:val="48377C91"/>
    <w:rsid w:val="48931C1D"/>
    <w:rsid w:val="48FA28C6"/>
    <w:rsid w:val="49446C09"/>
    <w:rsid w:val="495530D2"/>
    <w:rsid w:val="49B14CB3"/>
    <w:rsid w:val="4A133393"/>
    <w:rsid w:val="4A537A00"/>
    <w:rsid w:val="4A904687"/>
    <w:rsid w:val="4A944BE6"/>
    <w:rsid w:val="4AB54D91"/>
    <w:rsid w:val="4AF30483"/>
    <w:rsid w:val="4BBE3C6D"/>
    <w:rsid w:val="4BC11DD5"/>
    <w:rsid w:val="4BEF49A6"/>
    <w:rsid w:val="4CC20A7E"/>
    <w:rsid w:val="4CD70457"/>
    <w:rsid w:val="4CDC17D6"/>
    <w:rsid w:val="4D505D63"/>
    <w:rsid w:val="4D7C12A3"/>
    <w:rsid w:val="4DE275AF"/>
    <w:rsid w:val="4E4A131D"/>
    <w:rsid w:val="4E703C3C"/>
    <w:rsid w:val="4ECB310D"/>
    <w:rsid w:val="4F4F32AA"/>
    <w:rsid w:val="4FD40B4F"/>
    <w:rsid w:val="500D4962"/>
    <w:rsid w:val="508E61B5"/>
    <w:rsid w:val="50C11E70"/>
    <w:rsid w:val="50FB45EB"/>
    <w:rsid w:val="510C18CF"/>
    <w:rsid w:val="513A7953"/>
    <w:rsid w:val="516E10A7"/>
    <w:rsid w:val="51BC11FC"/>
    <w:rsid w:val="51DD57B0"/>
    <w:rsid w:val="51E67A6C"/>
    <w:rsid w:val="52133DB3"/>
    <w:rsid w:val="52146C98"/>
    <w:rsid w:val="521A6FC1"/>
    <w:rsid w:val="524F1749"/>
    <w:rsid w:val="527D3EB6"/>
    <w:rsid w:val="529F5C8E"/>
    <w:rsid w:val="52AD561D"/>
    <w:rsid w:val="530E5304"/>
    <w:rsid w:val="5382528E"/>
    <w:rsid w:val="53A350BC"/>
    <w:rsid w:val="54067A66"/>
    <w:rsid w:val="54792424"/>
    <w:rsid w:val="54B34707"/>
    <w:rsid w:val="54BB2D50"/>
    <w:rsid w:val="551A792E"/>
    <w:rsid w:val="5523023E"/>
    <w:rsid w:val="55A0308A"/>
    <w:rsid w:val="55A34512"/>
    <w:rsid w:val="55EE5ED0"/>
    <w:rsid w:val="5617074A"/>
    <w:rsid w:val="562148DD"/>
    <w:rsid w:val="568F518F"/>
    <w:rsid w:val="56DA342C"/>
    <w:rsid w:val="570C5B60"/>
    <w:rsid w:val="571E7E2A"/>
    <w:rsid w:val="578A062C"/>
    <w:rsid w:val="57AC6B77"/>
    <w:rsid w:val="586A40C8"/>
    <w:rsid w:val="58B13C92"/>
    <w:rsid w:val="5903498B"/>
    <w:rsid w:val="590D65AA"/>
    <w:rsid w:val="592959DB"/>
    <w:rsid w:val="59F861A7"/>
    <w:rsid w:val="5A6A0A65"/>
    <w:rsid w:val="5A6B363A"/>
    <w:rsid w:val="5A882213"/>
    <w:rsid w:val="5AA2226A"/>
    <w:rsid w:val="5AD72890"/>
    <w:rsid w:val="5AE14D89"/>
    <w:rsid w:val="5B6D2853"/>
    <w:rsid w:val="5C0D40B5"/>
    <w:rsid w:val="5C5E2199"/>
    <w:rsid w:val="5D29082D"/>
    <w:rsid w:val="5D6E7690"/>
    <w:rsid w:val="5D780039"/>
    <w:rsid w:val="5E0D2DD9"/>
    <w:rsid w:val="5E167DE6"/>
    <w:rsid w:val="5E230798"/>
    <w:rsid w:val="5E316A9C"/>
    <w:rsid w:val="5E394D59"/>
    <w:rsid w:val="5E48019C"/>
    <w:rsid w:val="5E600820"/>
    <w:rsid w:val="5E72057F"/>
    <w:rsid w:val="5F1A6278"/>
    <w:rsid w:val="5F4366D9"/>
    <w:rsid w:val="5F517BED"/>
    <w:rsid w:val="5F714E49"/>
    <w:rsid w:val="5F7D55BA"/>
    <w:rsid w:val="5F8A1207"/>
    <w:rsid w:val="5FAF7F87"/>
    <w:rsid w:val="5FDB7B52"/>
    <w:rsid w:val="5FDF2D92"/>
    <w:rsid w:val="601125AA"/>
    <w:rsid w:val="606E2944"/>
    <w:rsid w:val="607D18D9"/>
    <w:rsid w:val="60FF98CA"/>
    <w:rsid w:val="61B81BC2"/>
    <w:rsid w:val="61BA4B64"/>
    <w:rsid w:val="61DA7617"/>
    <w:rsid w:val="62E742D1"/>
    <w:rsid w:val="63504428"/>
    <w:rsid w:val="63752C3C"/>
    <w:rsid w:val="638739E3"/>
    <w:rsid w:val="63AE625C"/>
    <w:rsid w:val="63B71127"/>
    <w:rsid w:val="63D970DD"/>
    <w:rsid w:val="63E4504B"/>
    <w:rsid w:val="640A35A3"/>
    <w:rsid w:val="64333354"/>
    <w:rsid w:val="646E75D0"/>
    <w:rsid w:val="649D011F"/>
    <w:rsid w:val="65070414"/>
    <w:rsid w:val="656A1DF2"/>
    <w:rsid w:val="657A208C"/>
    <w:rsid w:val="65D2271B"/>
    <w:rsid w:val="65D652E1"/>
    <w:rsid w:val="66264AE6"/>
    <w:rsid w:val="66C7096D"/>
    <w:rsid w:val="66FC6E93"/>
    <w:rsid w:val="670757B2"/>
    <w:rsid w:val="674B0C82"/>
    <w:rsid w:val="67507AD2"/>
    <w:rsid w:val="6759381B"/>
    <w:rsid w:val="677C2F7F"/>
    <w:rsid w:val="67A7359A"/>
    <w:rsid w:val="67B71637"/>
    <w:rsid w:val="67E95C2A"/>
    <w:rsid w:val="680D48A3"/>
    <w:rsid w:val="68A152C4"/>
    <w:rsid w:val="68B735CD"/>
    <w:rsid w:val="68D04215"/>
    <w:rsid w:val="693465ED"/>
    <w:rsid w:val="694507EA"/>
    <w:rsid w:val="69A01157"/>
    <w:rsid w:val="69BE3F8A"/>
    <w:rsid w:val="6A321D4B"/>
    <w:rsid w:val="6A5B188A"/>
    <w:rsid w:val="6A953FED"/>
    <w:rsid w:val="6ABC062A"/>
    <w:rsid w:val="6AD305BA"/>
    <w:rsid w:val="6B057B25"/>
    <w:rsid w:val="6B786C75"/>
    <w:rsid w:val="6BA55531"/>
    <w:rsid w:val="6BA8152C"/>
    <w:rsid w:val="6BAB02B2"/>
    <w:rsid w:val="6BD858FE"/>
    <w:rsid w:val="6C040E0C"/>
    <w:rsid w:val="6C7A1884"/>
    <w:rsid w:val="6D0262E5"/>
    <w:rsid w:val="6D983F61"/>
    <w:rsid w:val="6DA5433C"/>
    <w:rsid w:val="6E095813"/>
    <w:rsid w:val="6E9857DD"/>
    <w:rsid w:val="6EA165BF"/>
    <w:rsid w:val="6EC923CE"/>
    <w:rsid w:val="6EFC1923"/>
    <w:rsid w:val="6F050034"/>
    <w:rsid w:val="6F4C29A7"/>
    <w:rsid w:val="6F5632B7"/>
    <w:rsid w:val="6F7076E4"/>
    <w:rsid w:val="6F715165"/>
    <w:rsid w:val="6F8B78DC"/>
    <w:rsid w:val="6FAA5C3A"/>
    <w:rsid w:val="703E1BEC"/>
    <w:rsid w:val="703F3234"/>
    <w:rsid w:val="70D95B95"/>
    <w:rsid w:val="71494DE5"/>
    <w:rsid w:val="71D4494F"/>
    <w:rsid w:val="71E61073"/>
    <w:rsid w:val="73A338C6"/>
    <w:rsid w:val="73BA4C09"/>
    <w:rsid w:val="744F7262"/>
    <w:rsid w:val="74624BFD"/>
    <w:rsid w:val="74721F92"/>
    <w:rsid w:val="748735F2"/>
    <w:rsid w:val="748B489E"/>
    <w:rsid w:val="74E53270"/>
    <w:rsid w:val="7553580B"/>
    <w:rsid w:val="75876F5E"/>
    <w:rsid w:val="763060F9"/>
    <w:rsid w:val="770976EA"/>
    <w:rsid w:val="776F3D64"/>
    <w:rsid w:val="786E0F20"/>
    <w:rsid w:val="788159C2"/>
    <w:rsid w:val="78E73168"/>
    <w:rsid w:val="78F072FB"/>
    <w:rsid w:val="792F355C"/>
    <w:rsid w:val="792F3EBC"/>
    <w:rsid w:val="79483CBD"/>
    <w:rsid w:val="79566C9F"/>
    <w:rsid w:val="797C27AB"/>
    <w:rsid w:val="79D85F74"/>
    <w:rsid w:val="79EB30D7"/>
    <w:rsid w:val="7A5F3F1E"/>
    <w:rsid w:val="7A733BF4"/>
    <w:rsid w:val="7BD834BB"/>
    <w:rsid w:val="7C4F208D"/>
    <w:rsid w:val="7C682DAA"/>
    <w:rsid w:val="7D5C0959"/>
    <w:rsid w:val="7D99311C"/>
    <w:rsid w:val="7E5E6CCB"/>
    <w:rsid w:val="7E9B3FC3"/>
    <w:rsid w:val="7FB83339"/>
    <w:rsid w:val="7FD11006"/>
    <w:rsid w:val="7FEA71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5"/>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9"/>
    <w:pPr>
      <w:keepNext/>
      <w:keepLines/>
      <w:spacing w:before="260" w:after="260" w:line="416" w:lineRule="auto"/>
      <w:outlineLvl w:val="1"/>
    </w:pPr>
    <w:rPr>
      <w:rFonts w:ascii="Cambria" w:hAnsi="Cambria"/>
      <w:b/>
      <w:bCs/>
      <w:kern w:val="0"/>
      <w:sz w:val="32"/>
      <w:szCs w:val="32"/>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99"/>
    <w:rPr>
      <w:rFonts w:ascii="宋体" w:hAnsi="Courier New"/>
    </w:rPr>
  </w:style>
  <w:style w:type="paragraph" w:styleId="4">
    <w:name w:val="Normal Indent"/>
    <w:basedOn w:val="1"/>
    <w:next w:val="1"/>
    <w:qFormat/>
    <w:uiPriority w:val="0"/>
    <w:pPr>
      <w:ind w:firstLine="200" w:firstLineChars="200"/>
    </w:pPr>
  </w:style>
  <w:style w:type="paragraph" w:styleId="5">
    <w:name w:val="Balloon Text"/>
    <w:basedOn w:val="1"/>
    <w:link w:val="19"/>
    <w:uiPriority w:val="0"/>
    <w:rPr>
      <w:sz w:val="18"/>
      <w:szCs w:val="18"/>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9">
    <w:name w:val="Normal (Web)"/>
    <w:basedOn w:val="1"/>
    <w:qFormat/>
    <w:uiPriority w:val="0"/>
    <w:pPr>
      <w:spacing w:before="100" w:beforeAutospacing="1" w:after="100" w:afterAutospacing="1"/>
      <w:jc w:val="left"/>
    </w:pPr>
    <w:rPr>
      <w:kern w:val="0"/>
      <w:sz w:val="24"/>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page number"/>
    <w:basedOn w:val="12"/>
    <w:unhideWhenUsed/>
    <w:qFormat/>
    <w:uiPriority w:val="99"/>
  </w:style>
  <w:style w:type="character" w:styleId="15">
    <w:name w:val="annotation reference"/>
    <w:basedOn w:val="12"/>
    <w:qFormat/>
    <w:uiPriority w:val="99"/>
    <w:rPr>
      <w:sz w:val="21"/>
      <w:szCs w:val="21"/>
    </w:rPr>
  </w:style>
  <w:style w:type="paragraph" w:customStyle="1" w:styleId="16">
    <w:name w:val="列出段落1"/>
    <w:basedOn w:val="1"/>
    <w:unhideWhenUsed/>
    <w:qFormat/>
    <w:uiPriority w:val="99"/>
    <w:pPr>
      <w:ind w:firstLine="420" w:firstLineChars="200"/>
    </w:pPr>
  </w:style>
  <w:style w:type="paragraph" w:styleId="17">
    <w:name w:val="List Paragraph"/>
    <w:basedOn w:val="1"/>
    <w:qFormat/>
    <w:uiPriority w:val="34"/>
    <w:pPr>
      <w:ind w:firstLine="420" w:firstLineChars="200"/>
    </w:pPr>
    <w:rPr>
      <w:rFonts w:ascii="Calibri" w:hAnsi="Calibri"/>
      <w:szCs w:val="22"/>
    </w:rPr>
  </w:style>
  <w:style w:type="paragraph" w:customStyle="1" w:styleId="18">
    <w:name w:val="正文 A"/>
    <w:qFormat/>
    <w:uiPriority w:val="0"/>
    <w:pPr>
      <w:framePr w:wrap="around" w:vAnchor="margin" w:hAnchor="text" w:yAlign="top"/>
      <w:widowControl w:val="0"/>
      <w:jc w:val="both"/>
    </w:pPr>
    <w:rPr>
      <w:rFonts w:ascii="Times New Roman" w:hAnsi="Times New Roman" w:eastAsia="Arial Unicode MS" w:cs="Arial Unicode MS"/>
      <w:color w:val="000000"/>
      <w:kern w:val="2"/>
      <w:sz w:val="21"/>
      <w:szCs w:val="21"/>
      <w:lang w:val="en-US" w:eastAsia="zh-CN" w:bidi="ar-SA"/>
    </w:rPr>
  </w:style>
  <w:style w:type="character" w:customStyle="1" w:styleId="19">
    <w:name w:val="批注框文本 Char"/>
    <w:basedOn w:val="12"/>
    <w:link w:val="5"/>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3074"/>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168</Words>
  <Characters>958</Characters>
  <Lines>7</Lines>
  <Paragraphs>2</Paragraphs>
  <TotalTime>35</TotalTime>
  <ScaleCrop>false</ScaleCrop>
  <LinksUpToDate>false</LinksUpToDate>
  <CharactersWithSpaces>1124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2024-01-21T22:14:00Z</dcterms:created>
  <dc:creator>Administrator</dc:creator>
  <cp:lastModifiedBy>渐行渐远</cp:lastModifiedBy>
  <cp:lastPrinted>2025-03-04T14:39:00Z</cp:lastPrinted>
  <dcterms:modified xsi:type="dcterms:W3CDTF">2026-07-20T07:33:16Z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CB0449492CBD4F4481C0DD4BB2FD4F8A_13</vt:lpwstr>
  </property>
  <property fmtid="{D5CDD505-2E9C-101B-9397-08002B2CF9AE}" pid="4" name="KSOTemplateDocerSaveRecord">
    <vt:lpwstr>eyJoZGlkIjoiYzQyYTAwNDMxYzBjY2M1N2VhODRkM2ZlZDc4NDEyZGIiLCJ1c2VySWQiOiIzNjg3NzAwMDYifQ==</vt:lpwstr>
  </property>
</Properties>
</file>