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昌平区促进高质量充分就业若干措施</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的起草说明</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spacing w:beforeAutospacing="0" w:afterAutospacing="0"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起草背景</w:t>
      </w:r>
    </w:p>
    <w:p>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2024年9月，中共中央、国务院印发《关于实施就业优先战略促进高质量充分就业的意见》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2025年8月，北京市委、市政府出台《</w:t>
      </w:r>
      <w:r>
        <w:rPr>
          <w:rFonts w:hint="eastAsia" w:ascii="仿宋_GB2312" w:hAnsi="Times New Roman" w:eastAsia="仿宋_GB2312"/>
          <w:color w:val="000000" w:themeColor="text1"/>
          <w:sz w:val="32"/>
          <w:szCs w:val="32"/>
          <w:highlight w:val="none"/>
          <w:u w:val="none"/>
          <w14:textFill>
            <w14:solidFill>
              <w14:schemeClr w14:val="tx1"/>
            </w14:solidFill>
          </w14:textFill>
        </w:rPr>
        <w:t>关于促进高质量充分就业的实施意见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》。为贯彻落实上述文件精神，</w:t>
      </w:r>
      <w:r>
        <w:rPr>
          <w:rFonts w:hint="eastAsia" w:ascii="仿宋_GB2312" w:hAnsi="Times New Roman" w:eastAsia="仿宋_GB2312"/>
          <w:color w:val="000000" w:themeColor="text1"/>
          <w:sz w:val="32"/>
          <w:szCs w:val="32"/>
          <w:highlight w:val="none"/>
          <w:u w:val="none"/>
          <w14:textFill>
            <w14:solidFill>
              <w14:schemeClr w14:val="tx1"/>
            </w14:solidFill>
          </w14:textFill>
        </w:rPr>
        <w:t>加快推进</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昌平区</w:t>
      </w:r>
      <w:r>
        <w:rPr>
          <w:rFonts w:hint="eastAsia" w:ascii="仿宋_GB2312" w:hAnsi="Times New Roman" w:eastAsia="仿宋_GB2312"/>
          <w:color w:val="000000" w:themeColor="text1"/>
          <w:sz w:val="32"/>
          <w:szCs w:val="32"/>
          <w:highlight w:val="none"/>
          <w:u w:val="none"/>
          <w14:textFill>
            <w14:solidFill>
              <w14:schemeClr w14:val="tx1"/>
            </w14:solidFill>
          </w14:textFill>
        </w:rPr>
        <w:t>高质量充分就业</w:t>
      </w:r>
      <w:r>
        <w:rPr>
          <w:rFonts w:hint="eastAsia" w:ascii="仿宋_GB2312" w:hAnsi="仿宋_GB2312" w:eastAsia="仿宋_GB2312" w:cs="仿宋_GB2312"/>
          <w:b w:val="0"/>
          <w:bCs w:val="0"/>
          <w:kern w:val="2"/>
          <w:sz w:val="32"/>
          <w:szCs w:val="32"/>
          <w:lang w:val="en-US" w:eastAsia="zh-CN" w:bidi="ar-SA"/>
        </w:rPr>
        <w:t>，结合本区实际，昌平区人力社保局牵头起草了《昌平区促进高质量充分就业若干措施（征求意见稿）》。</w:t>
      </w:r>
    </w:p>
    <w:p>
      <w:pPr>
        <w:pStyle w:val="6"/>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二、起草过程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lang w:eastAsia="zh-CN"/>
          <w14:textFill>
            <w14:solidFill>
              <w14:schemeClr w14:val="tx1"/>
            </w14:solidFill>
          </w14:textFill>
        </w:rPr>
        <w:t>（一）统筹谋划与调查研讨。</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认真组织学习</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相关</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文件精神，</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2025年11月-2026年</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月，</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针对</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技能培训、公共就业服务、调解仲裁、就业创业等相关</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业务，</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开展</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多轮</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调查研究和座谈</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仿宋_GB2312" w:hAnsi="Times New Roman" w:eastAsia="仿宋_GB2312" w:cs="Times New Roman"/>
          <w:color w:val="000000" w:themeColor="text1"/>
          <w:sz w:val="32"/>
          <w:szCs w:val="32"/>
          <w:highlight w:val="none"/>
          <w:u w:val="none"/>
          <w:lang w:eastAsia="zh-CN"/>
          <w14:textFill>
            <w14:solidFill>
              <w14:schemeClr w14:val="tx1"/>
            </w14:solidFill>
          </w14:textFill>
        </w:rPr>
        <w:t>全面梳理</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现行相关政策执行实施</w:t>
      </w:r>
      <w:r>
        <w:rPr>
          <w:rFonts w:hint="default" w:ascii="仿宋_GB2312" w:hAnsi="Times New Roman" w:eastAsia="仿宋_GB2312" w:cs="Times New Roman"/>
          <w:color w:val="000000" w:themeColor="text1"/>
          <w:sz w:val="32"/>
          <w:szCs w:val="32"/>
          <w:highlight w:val="none"/>
          <w:u w:val="none"/>
          <w:lang w:eastAsia="zh-CN"/>
          <w14:textFill>
            <w14:solidFill>
              <w14:schemeClr w14:val="tx1"/>
            </w14:solidFill>
          </w14:textFill>
        </w:rPr>
        <w:t>情况</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形成《昌平区现行区级就业创业政策存在问题及建议》调研报告</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eastAsia="zh-CN"/>
          <w14:textFill>
            <w14:solidFill>
              <w14:schemeClr w14:val="tx1"/>
            </w14:solidFill>
          </w14:textFill>
        </w:rPr>
        <w:t>（二）文件起草及修改完善。</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在前期调查研究的基础上，</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202</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6</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年</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月底</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启动</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文件起草工作。</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文件起草过程中，</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局主要和</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主管领导全程参与，</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并亲自把关审核，进行了多轮修改与完善，于2026年</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5</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月</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初</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完成初稿。2025年</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5</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月-</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6</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月，</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两轮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向区财政局、区市场监管局、区人才局、区政府办、区农业农村局、区妇联、区残联等</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56个</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相关单位征求意见，</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区财政局、</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区发展改革委、区经信局、区国资委等单位反馈意见</w:t>
      </w:r>
      <w:r>
        <w:rPr>
          <w:rFonts w:hint="eastAsia" w:ascii="仿宋_GB2312" w:eastAsia="仿宋_GB2312" w:cs="Times New Roman"/>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0条，采纳意见</w:t>
      </w:r>
      <w:r>
        <w:rPr>
          <w:rFonts w:hint="eastAsia" w:ascii="仿宋_GB2312" w:eastAsia="仿宋_GB2312" w:cs="Times New Roman"/>
          <w:color w:val="000000" w:themeColor="text1"/>
          <w:kern w:val="2"/>
          <w:sz w:val="32"/>
          <w:szCs w:val="32"/>
          <w:highlight w:val="none"/>
          <w:u w:val="none"/>
          <w:lang w:val="en-US" w:eastAsia="zh-CN" w:bidi="ar-SA"/>
          <w14:textFill>
            <w14:solidFill>
              <w14:schemeClr w14:val="tx1"/>
            </w14:solidFill>
          </w14:textFill>
        </w:rPr>
        <w:t>15</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条</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并同步进行内部合法性审查及公平竞争审查，根据反馈意见进行修改完善。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baseline"/>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CN"/>
        </w:rPr>
        <w:t>、主要内容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若干措施》围绕推动经济社会与就业协调联动、加快塑造现代化人力资源、多措并举稳岗扩岗、强化重点群体就业支持、健全就业公共服务体系、营造良好就业生态六个维度，提出15条工作措施。主要内容如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bidi="ar-SA"/>
          <w14:textFill>
            <w14:solidFill>
              <w14:schemeClr w14:val="tx1"/>
            </w14:solidFill>
          </w14:textFill>
        </w:rPr>
        <w:t>一是推动经济社会与就业协调联动，构建就业友好型发展方式。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从强化就业优先导向、产业就业协调联动两方面提出具体工作措施，包括建立完善重大改革、重大政策、重大项目就业影响评估机制，健全企业重大裁减员失业风险评估机制；提出打造城乡劳动力高质量就业集聚区、青年人才创新创业生态区、回天地区职住平衡就业样板区、农村劳动力绿色就业集聚区等就业友好型发展片区，增强就业吸纳能力。</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kern w:val="2"/>
          <w:sz w:val="32"/>
          <w:szCs w:val="32"/>
          <w:highlight w:val="none"/>
          <w:u w:val="none"/>
          <w:lang w:val="en-US" w:eastAsia="zh-CN" w:bidi="ar-SA"/>
          <w14:textFill>
            <w14:solidFill>
              <w14:schemeClr w14:val="tx1"/>
            </w14:solidFill>
          </w14:textFill>
        </w:rPr>
        <w:t>二是加快塑造现代化人力资源，着力破解结构性就业矛盾。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优化职业技能培训评价模式，包括提供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免费职业技能培训和职业技能鉴定（评价）</w:t>
      </w:r>
      <w:r>
        <w:rPr>
          <w:rFonts w:hint="eastAsia" w:ascii="仿宋_GB2312" w:hAnsi="仿宋_GB2312" w:eastAsia="仿宋_GB2312" w:cs="仿宋_GB2312"/>
          <w:b w:val="0"/>
          <w:color w:val="000000" w:themeColor="text1"/>
          <w:sz w:val="31"/>
          <w:szCs w:val="3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支持培训机构和用人单位共同推行“岗位需要+技能培训+就业服务”的项目制培训模式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聘请专家参与民办职业技能培训机构设立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、技能评价质量督导</w:t>
      </w:r>
      <w:r>
        <w:rPr>
          <w:rFonts w:hint="eastAsia" w:ascii="仿宋_GB2312" w:hAnsi="仿宋_GB2312" w:eastAsia="仿宋_GB2312" w:cs="仿宋_GB2312"/>
          <w:color w:val="000000" w:themeColor="text1"/>
          <w:sz w:val="32"/>
          <w:szCs w:val="32"/>
          <w:highlight w:val="none"/>
          <w14:textFill>
            <w14:solidFill>
              <w14:schemeClr w14:val="tx1"/>
            </w14:solidFill>
          </w14:textFill>
        </w:rPr>
        <w:t>及技能大师工作室评审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强化高端人才培养选拔力度，包括鼓励具有职业培训条件的单位结合实际需求组织举办高技能人才技能研修班，</w:t>
      </w:r>
      <w:bookmarkStart w:id="0" w:name="OLE_LINK1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实施促进高技能人才发展专项政策，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支持技能大师工作室建设，</w:t>
      </w:r>
      <w:bookmarkEnd w:id="0"/>
      <w:r>
        <w:rPr>
          <w:rFonts w:hint="eastAsia" w:ascii="仿宋_GB2312" w:hAnsi="仿宋_GB2312" w:eastAsia="仿宋_GB2312" w:cs="仿宋_GB2312"/>
          <w:color w:val="000000" w:themeColor="text1"/>
          <w:sz w:val="31"/>
          <w:szCs w:val="31"/>
          <w:highlight w:val="none"/>
          <w14:textFill>
            <w14:solidFill>
              <w14:schemeClr w14:val="tx1"/>
            </w14:solidFill>
          </w14:textFill>
        </w:rPr>
        <w:t>聚焦区域产业发展</w:t>
      </w:r>
      <w:r>
        <w:rPr>
          <w:rFonts w:hint="eastAsia" w:ascii="仿宋_GB2312" w:hAnsi="仿宋_GB2312" w:eastAsia="仿宋_GB2312" w:cs="仿宋_GB2312"/>
          <w:color w:val="000000" w:themeColor="text1"/>
          <w:sz w:val="31"/>
          <w:szCs w:val="31"/>
          <w:highlight w:val="none"/>
          <w:lang w:eastAsia="zh-CN"/>
          <w14:textFill>
            <w14:solidFill>
              <w14:schemeClr w14:val="tx1"/>
            </w14:solidFill>
          </w14:textFill>
        </w:rPr>
        <w:t>开展</w:t>
      </w:r>
      <w:r>
        <w:rPr>
          <w:rFonts w:hint="eastAsia" w:ascii="仿宋_GB2312" w:hAnsi="仿宋_GB2312" w:eastAsia="仿宋_GB2312" w:cs="仿宋_GB2312"/>
          <w:color w:val="000000" w:themeColor="text1"/>
          <w:sz w:val="31"/>
          <w:szCs w:val="31"/>
          <w:highlight w:val="none"/>
          <w14:textFill>
            <w14:solidFill>
              <w14:schemeClr w14:val="tx1"/>
            </w14:solidFill>
          </w14:textFill>
        </w:rPr>
        <w:t>职业技能竞赛</w:t>
      </w:r>
      <w:r>
        <w:rPr>
          <w:rFonts w:hint="eastAsia" w:ascii="仿宋_GB2312" w:hAnsi="仿宋_GB2312" w:eastAsia="仿宋_GB2312" w:cs="仿宋_GB2312"/>
          <w:color w:val="000000" w:themeColor="text1"/>
          <w:sz w:val="31"/>
          <w:szCs w:val="31"/>
          <w:highlight w:val="none"/>
          <w:lang w:eastAsia="zh-CN"/>
          <w14:textFill>
            <w14:solidFill>
              <w14:schemeClr w14:val="tx1"/>
            </w14:solidFill>
          </w14:textFill>
        </w:rPr>
        <w:t>等措施。</w:t>
      </w:r>
    </w:p>
    <w:p>
      <w:pPr>
        <w:keepNext w:val="0"/>
        <w:keepLines w:val="0"/>
        <w:pageBreakBefore w:val="0"/>
        <w:widowControl w:val="0"/>
        <w:suppressAutoHyphens/>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bidi="ar-SA"/>
          <w14:textFill>
            <w14:solidFill>
              <w14:schemeClr w14:val="tx1"/>
            </w14:solidFill>
          </w14:textFill>
        </w:rPr>
        <w:t>三是多措并举稳岗扩岗，激发就业新空间。</w:t>
      </w:r>
      <w:r>
        <w:rPr>
          <w:rFonts w:hint="eastAsia" w:ascii="仿宋_GB2312" w:hAnsi="仿宋_GB2312" w:eastAsia="仿宋_GB2312" w:cs="仿宋_GB2312"/>
          <w:strike w:val="0"/>
          <w:dstrike w:val="0"/>
          <w:color w:val="000000" w:themeColor="text1"/>
          <w:kern w:val="2"/>
          <w:sz w:val="32"/>
          <w:szCs w:val="32"/>
          <w:highlight w:val="none"/>
          <w:u w:val="none"/>
          <w:lang w:val="en-US" w:eastAsia="zh-CN" w:bidi="ar-SA"/>
          <w14:textFill>
            <w14:solidFill>
              <w14:schemeClr w14:val="tx1"/>
            </w14:solidFill>
          </w14:textFill>
        </w:rPr>
        <w:t>支持各类用人单位稳岗扩岗，</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综合运用</w:t>
      </w:r>
      <w:r>
        <w:rPr>
          <w:rFonts w:hint="eastAsia" w:ascii="仿宋_GB2312" w:hAnsi="仿宋_GB2312" w:eastAsia="仿宋_GB2312" w:cs="仿宋_GB2312"/>
          <w:color w:val="000000" w:themeColor="text1"/>
          <w:sz w:val="32"/>
          <w:szCs w:val="32"/>
          <w:highlight w:val="none"/>
          <w14:textFill>
            <w14:solidFill>
              <w14:schemeClr w14:val="tx1"/>
            </w14:solidFill>
          </w14:textFill>
        </w:rPr>
        <w:t>金融、</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财政、税收、社保、就业等政策，</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引导各类主体更好履行稳岗扩岗社会责任</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kern w:val="2"/>
          <w:sz w:val="32"/>
          <w:szCs w:val="32"/>
          <w:highlight w:val="none"/>
          <w:u w:val="none"/>
          <w:lang w:val="en-US" w:eastAsia="zh-CN" w:bidi="ar-SA"/>
          <w14:textFill>
            <w14:solidFill>
              <w14:schemeClr w14:val="tx1"/>
            </w14:solidFill>
          </w14:textFill>
        </w:rPr>
        <w:t>包括回天地区公共服务类岗位稳岗补贴、企业职工继续留用社会保险补贴、企业扩岗补贴、</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企业一次性</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开办</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补贴</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等具体政策。</w:t>
      </w:r>
      <w:r>
        <w:rPr>
          <w:rFonts w:hint="eastAsia" w:ascii="仿宋_GB2312" w:hAnsi="仿宋_GB2312" w:eastAsia="仿宋_GB2312" w:cs="仿宋_GB2312"/>
          <w:strike w:val="0"/>
          <w:dstrike w:val="0"/>
          <w:color w:val="000000" w:themeColor="text1"/>
          <w:kern w:val="2"/>
          <w:sz w:val="32"/>
          <w:szCs w:val="32"/>
          <w:highlight w:val="none"/>
          <w:u w:val="none"/>
          <w:lang w:val="en-US" w:eastAsia="zh-CN" w:bidi="ar-SA"/>
          <w14:textFill>
            <w14:solidFill>
              <w14:schemeClr w14:val="tx1"/>
            </w14:solidFill>
          </w14:textFill>
        </w:rPr>
        <w:t>释放创业带动就业倍增效应，立足区域实际，巩固国家创业型城市建设，构建“创业培训、创业服务、创业孵化、创业活动”四创联动体系，具体包括</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自主创业补贴、</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创业孵化补贴</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创业服务补贴等政策支持，不断优化创业政策环境。</w:t>
      </w:r>
    </w:p>
    <w:p>
      <w:pPr>
        <w:keepNext w:val="0"/>
        <w:keepLines w:val="0"/>
        <w:pageBreakBefore w:val="0"/>
        <w:widowControl w:val="0"/>
        <w:suppressAutoHyphens/>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bidi="ar-SA"/>
          <w14:textFill>
            <w14:solidFill>
              <w14:schemeClr w14:val="tx1"/>
            </w14:solidFill>
          </w14:textFill>
        </w:rPr>
        <w:t>四是强化重点群体就业支持，激发就业新活力。</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聚焦青年群体，</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强化政策资源协同，深入推进校地融合，拓宽就业实习补贴覆盖面；聚焦退役军人、农村劳动力等</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重点群体，通过健全服务体系，</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加强技能培训和政策扶持，加大劳务品牌创建力度，加强对口协作地区劳务协作，积极推进妇女居家灵活就业等具体举措加大就业服务保障力度；聚焦困难人员，通过落实残疾人就业创业等扶持政策，加强职业介绍、专场招聘等就业帮扶，挖掘高质量公益性岗位，确保零就业家庭动态清零；聚焦新就业群体，加快建设零工市场服务体系，建立完善数智化供求匹配平台，全面推动零工市场规范化发展，加强新就业形态劳动者职业技能培训和劳动权益维护。</w:t>
      </w:r>
    </w:p>
    <w:p>
      <w:pPr>
        <w:keepNext w:val="0"/>
        <w:keepLines w:val="0"/>
        <w:pageBreakBefore w:val="0"/>
        <w:widowControl w:val="0"/>
        <w:suppressAutoHyphens/>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strike w:val="0"/>
          <w:dstrike w:val="0"/>
          <w:color w:val="000000" w:themeColor="text1"/>
          <w:kern w:val="2"/>
          <w:sz w:val="32"/>
          <w:szCs w:val="32"/>
          <w:highlight w:val="none"/>
          <w:u w:val="none"/>
          <w:lang w:val="en-US" w:eastAsia="zh-CN" w:bidi="ar-SA"/>
          <w14:textFill>
            <w14:solidFill>
              <w14:schemeClr w14:val="tx1"/>
            </w14:solidFill>
          </w14:textFill>
        </w:rPr>
        <w:t>五是健全就业公共服务体系，扩大就业服务供给。</w:t>
      </w:r>
      <w:r>
        <w:rPr>
          <w:rFonts w:hint="eastAsia" w:ascii="仿宋_GB2312" w:hAnsi="仿宋_GB2312" w:eastAsia="仿宋_GB2312" w:cs="仿宋_GB2312"/>
          <w:b w:val="0"/>
          <w:bCs/>
          <w:color w:val="000000" w:themeColor="text1"/>
          <w:kern w:val="2"/>
          <w:sz w:val="32"/>
          <w:szCs w:val="32"/>
          <w:highlight w:val="none"/>
          <w:lang w:val="en-US" w:eastAsia="zh-CN" w:bidi="ar"/>
          <w14:textFill>
            <w14:solidFill>
              <w14:schemeClr w14:val="tx1"/>
            </w14:solidFill>
          </w14:textFill>
        </w:rPr>
        <w:t>优化就业公共服务机制，</w:t>
      </w:r>
      <w:r>
        <w:rPr>
          <w:rFonts w:hint="eastAsia" w:ascii="仿宋_GB2312" w:hAnsi="仿宋_GB2312" w:eastAsia="仿宋_GB2312" w:cs="仿宋_GB2312"/>
          <w:strike w:val="0"/>
          <w:dstrike w:val="0"/>
          <w:color w:val="000000" w:themeColor="text1"/>
          <w:kern w:val="2"/>
          <w:sz w:val="32"/>
          <w:szCs w:val="32"/>
          <w:highlight w:val="none"/>
          <w:u w:val="none"/>
          <w:lang w:val="en-US" w:eastAsia="zh-CN" w:bidi="ar-SA"/>
          <w14:textFill>
            <w14:solidFill>
              <w14:schemeClr w14:val="tx1"/>
            </w14:solidFill>
          </w14:textFill>
        </w:rPr>
        <w:t>包括构建并完善“区级统筹-特色赋能-基层触达”的公共就业服务体系，加快培育高质量充分就业示范地区和公共就业创业服务示范单位（基地），强化“家门口”就业服务等具体举措；</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包括</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就业服务站点资金支持、鼓励职业指导等取证培训；鼓励企事业单位建立创业就业指导工作室</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职业规划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14:textFill>
            <w14:solidFill>
              <w14:schemeClr w14:val="tx1"/>
            </w14:solidFill>
          </w14:textFill>
        </w:rPr>
        <w:t>职业指导技能竞赛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一次性奖励</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等具体政策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数字赋能就业公共服务，打造数智人社一体化平台，</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推动数智人社一体化平台</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持续、稳定、安全运行，给予</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运维费用保障。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推动人力资源服务业提质增效，包括统筹激活国有资本引领效能，加快区级人力资源服务产业园建设，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鼓励人力资源服务企业设立行业零工市场或零工驿站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等具体举措</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highlight w:val="yellow"/>
          <w:lang w:eastAsia="zh-CN"/>
        </w:rPr>
      </w:pPr>
      <w:r>
        <w:rPr>
          <w:rFonts w:hint="eastAsia" w:ascii="仿宋_GB2312" w:hAnsi="仿宋_GB2312" w:eastAsia="仿宋_GB2312" w:cs="仿宋_GB2312"/>
          <w:b/>
          <w:bCs/>
          <w:strike w:val="0"/>
          <w:dstrike w:val="0"/>
          <w:color w:val="000000" w:themeColor="text1"/>
          <w:kern w:val="2"/>
          <w:sz w:val="32"/>
          <w:szCs w:val="32"/>
          <w:highlight w:val="none"/>
          <w:u w:val="none"/>
          <w:lang w:val="en-US" w:eastAsia="zh-CN" w:bidi="ar-SA"/>
          <w14:textFill>
            <w14:solidFill>
              <w14:schemeClr w14:val="tx1"/>
            </w14:solidFill>
          </w14:textFill>
        </w:rPr>
        <w:t>六是营造良好就业生态，凝聚就业工作合力。</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维护劳动关系和谐稳定</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加强基层劳动调解体系建设，健全“大调解圈”，扩大调解组织覆盖面</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加强调解队伍能力建设，构建“一站式”联合调解模式</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等具体措施</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加强组织保障，</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坚持把党的领导贯彻到促进高质量充分就业工作的各领域全过程</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有效发挥各级书记抓就业作用，充分发挥昌平区就业促进和劳动保护工作联席会议制度效能，增强各成员单位工作合力</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等具体措施。</w:t>
      </w:r>
    </w:p>
    <w:sectPr>
      <w:footerReference r:id="rId3" w:type="default"/>
      <w:pgSz w:w="11907" w:h="16840"/>
      <w:pgMar w:top="2098" w:right="1531" w:bottom="1984" w:left="1531" w:header="851"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BD0A2"/>
    <w:multiLevelType w:val="singleLevel"/>
    <w:tmpl w:val="7A6BD0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F5867"/>
    <w:rsid w:val="05597273"/>
    <w:rsid w:val="05B9677F"/>
    <w:rsid w:val="07A33243"/>
    <w:rsid w:val="08CD182F"/>
    <w:rsid w:val="0FD347C5"/>
    <w:rsid w:val="101849AC"/>
    <w:rsid w:val="12353229"/>
    <w:rsid w:val="13121477"/>
    <w:rsid w:val="168801D3"/>
    <w:rsid w:val="18972975"/>
    <w:rsid w:val="196B5912"/>
    <w:rsid w:val="19D76B01"/>
    <w:rsid w:val="1C290437"/>
    <w:rsid w:val="204717F0"/>
    <w:rsid w:val="26D42108"/>
    <w:rsid w:val="29931445"/>
    <w:rsid w:val="2B602E99"/>
    <w:rsid w:val="2E8E6DE5"/>
    <w:rsid w:val="2F657304"/>
    <w:rsid w:val="309169AB"/>
    <w:rsid w:val="32A511B0"/>
    <w:rsid w:val="337D0D7C"/>
    <w:rsid w:val="33AB50A9"/>
    <w:rsid w:val="34C317E7"/>
    <w:rsid w:val="389651C1"/>
    <w:rsid w:val="3AD779C8"/>
    <w:rsid w:val="41201454"/>
    <w:rsid w:val="43AF5867"/>
    <w:rsid w:val="43C0243F"/>
    <w:rsid w:val="46482D64"/>
    <w:rsid w:val="48802C4C"/>
    <w:rsid w:val="4C39104D"/>
    <w:rsid w:val="4DF416CF"/>
    <w:rsid w:val="500D4CCA"/>
    <w:rsid w:val="51A26755"/>
    <w:rsid w:val="58504839"/>
    <w:rsid w:val="5E0B097C"/>
    <w:rsid w:val="5EE65C71"/>
    <w:rsid w:val="6155787B"/>
    <w:rsid w:val="629E5C56"/>
    <w:rsid w:val="63B24986"/>
    <w:rsid w:val="646F46F5"/>
    <w:rsid w:val="64EF6613"/>
    <w:rsid w:val="66903B55"/>
    <w:rsid w:val="70D672AA"/>
    <w:rsid w:val="78726FB7"/>
    <w:rsid w:val="78A15E61"/>
    <w:rsid w:val="7980696F"/>
    <w:rsid w:val="7DDA0BB1"/>
    <w:rsid w:val="7DE762AB"/>
    <w:rsid w:val="7F2253CF"/>
    <w:rsid w:val="7FB0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楷体_GB2312" w:hAnsi="Times New Roman" w:eastAsia="楷体_GB2312" w:cs="Times New Roman"/>
      <w:kern w:val="2"/>
      <w:sz w:val="28"/>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next w:val="1"/>
    <w:qFormat/>
    <w:uiPriority w:val="0"/>
    <w:pPr>
      <w:adjustRightInd w:val="0"/>
      <w:spacing w:line="560" w:lineRule="atLeast"/>
      <w:jc w:val="center"/>
      <w:textAlignment w:val="baseline"/>
    </w:pPr>
    <w:rPr>
      <w:rFonts w:ascii="宋体"/>
      <w:sz w:val="44"/>
    </w:rPr>
  </w:style>
  <w:style w:type="paragraph" w:styleId="5">
    <w:name w:val="Body Text Indent"/>
    <w:basedOn w:val="1"/>
    <w:next w:val="2"/>
    <w:qFormat/>
    <w:uiPriority w:val="0"/>
    <w:pPr>
      <w:spacing w:line="560" w:lineRule="exact"/>
      <w:ind w:firstLine="640" w:firstLineChars="200"/>
    </w:pPr>
    <w:rPr>
      <w:sz w:val="32"/>
    </w:rPr>
  </w:style>
  <w:style w:type="paragraph" w:styleId="6">
    <w:name w:val="Plain Text"/>
    <w:basedOn w:val="1"/>
    <w:next w:val="1"/>
    <w:qFormat/>
    <w:uiPriority w:val="0"/>
    <w:rPr>
      <w:rFonts w:ascii="宋体" w:hAnsi="Courier New"/>
      <w:szCs w:val="21"/>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jc w:val="left"/>
    </w:pPr>
    <w:rPr>
      <w:rFonts w:asciiTheme="minorHAnsi" w:hAnsiTheme="minorHAnsi" w:eastAsiaTheme="minorEastAsia"/>
      <w:kern w:val="0"/>
      <w:sz w:val="24"/>
    </w:rPr>
  </w:style>
  <w:style w:type="paragraph" w:styleId="11">
    <w:name w:val="Body Text First Indent 2"/>
    <w:basedOn w:val="5"/>
    <w:qFormat/>
    <w:uiPriority w:val="0"/>
    <w:pPr>
      <w:ind w:firstLine="420" w:firstLineChars="200"/>
    </w:pPr>
    <w:rPr>
      <w:rFonts w:eastAsia="宋体"/>
    </w:rPr>
  </w:style>
  <w:style w:type="character" w:styleId="14">
    <w:name w:val="page number"/>
    <w:basedOn w:val="13"/>
    <w:qFormat/>
    <w:uiPriority w:val="0"/>
  </w:style>
  <w:style w:type="character" w:styleId="15">
    <w:name w:val="footnote reference"/>
    <w:basedOn w:val="13"/>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1631</Words>
  <Characters>1672</Characters>
  <Lines>0</Lines>
  <Paragraphs>0</Paragraphs>
  <TotalTime>16</TotalTime>
  <ScaleCrop>false</ScaleCrop>
  <LinksUpToDate>false</LinksUpToDate>
  <CharactersWithSpaces>1672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2024-01-04T16:08:00Z</dcterms:created>
  <dc:creator>Administrator</dc:creator>
  <cp:lastModifiedBy>wwww</cp:lastModifiedBy>
  <cp:lastPrinted>2026-05-06T17:19:00Z</cp:lastPrinted>
  <dcterms:modified xsi:type="dcterms:W3CDTF">2026-07-10T07:03:39Z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eyJoZGlkIjoiOWE1MWM3MzU1YjA0YjdjOWYwOTdhMzhmOTc1NWMzNjYiLCJ1c2VySWQiOiIxMzAyMDE0MzUzIn0=</vt:lpwstr>
  </property>
  <property fmtid="{D5CDD505-2E9C-101B-9397-08002B2CF9AE}" pid="4" name="ICV">
    <vt:lpwstr>0179348CC51B4CF48C5FD36B27C3CF8F_12</vt:lpwstr>
  </property>
</Properties>
</file>