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3B9F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_GBK" w:hAnsi="方正小标宋_GBK" w:eastAsia="方正小标宋_GBK" w:cs="方正小标宋_GBK"/>
          <w:color w:val="auto"/>
          <w:kern w:val="0"/>
          <w:sz w:val="44"/>
          <w:szCs w:val="44"/>
          <w:highlight w:val="none"/>
          <w:u w:val="none"/>
          <w:lang w:val="en-US" w:eastAsia="zh-CN" w:bidi="ar"/>
        </w:rPr>
      </w:pPr>
      <w:r>
        <w:rPr>
          <w:rFonts w:hint="eastAsia" w:ascii="方正小标宋_GBK" w:hAnsi="方正小标宋_GBK" w:eastAsia="方正小标宋_GBK" w:cs="方正小标宋_GBK"/>
          <w:color w:val="auto"/>
          <w:kern w:val="0"/>
          <w:sz w:val="44"/>
          <w:szCs w:val="44"/>
          <w:highlight w:val="none"/>
          <w:u w:val="none"/>
          <w:lang w:val="en-US" w:eastAsia="zh-CN" w:bidi="ar"/>
        </w:rPr>
        <w:t>《密云区帐篷露营地管理实施细则</w:t>
      </w:r>
    </w:p>
    <w:p w14:paraId="70FA281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_GBK" w:hAnsi="方正小标宋_GBK" w:eastAsia="方正小标宋_GBK" w:cs="方正小标宋_GBK"/>
          <w:color w:val="auto"/>
          <w:kern w:val="0"/>
          <w:sz w:val="44"/>
          <w:szCs w:val="44"/>
          <w:highlight w:val="none"/>
          <w:u w:val="none"/>
          <w:lang w:val="en-US" w:eastAsia="zh-CN" w:bidi="ar"/>
        </w:rPr>
      </w:pPr>
      <w:r>
        <w:rPr>
          <w:rFonts w:hint="eastAsia" w:ascii="方正小标宋_GBK" w:hAnsi="方正小标宋_GBK" w:eastAsia="方正小标宋_GBK" w:cs="方正小标宋_GBK"/>
          <w:color w:val="auto"/>
          <w:kern w:val="0"/>
          <w:sz w:val="44"/>
          <w:szCs w:val="44"/>
          <w:highlight w:val="none"/>
          <w:u w:val="none"/>
          <w:lang w:val="en-US" w:eastAsia="zh-CN" w:bidi="ar"/>
        </w:rPr>
        <w:t>（征求意见稿）》的起草说明</w:t>
      </w:r>
    </w:p>
    <w:p w14:paraId="0B5166FA">
      <w:pPr>
        <w:keepNext w:val="0"/>
        <w:keepLines w:val="0"/>
        <w:pageBreakBefore w:val="0"/>
        <w:kinsoku/>
        <w:wordWrap/>
        <w:overflowPunct/>
        <w:topLinePunct w:val="0"/>
        <w:autoSpaceDE/>
        <w:autoSpaceDN/>
        <w:bidi w:val="0"/>
        <w:adjustRightInd/>
        <w:snapToGrid/>
        <w:spacing w:line="560" w:lineRule="exact"/>
        <w:textAlignment w:val="auto"/>
        <w:rPr>
          <w:rFonts w:hint="eastAsia"/>
        </w:rPr>
      </w:pPr>
    </w:p>
    <w:p w14:paraId="7E59BA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b w:val="0"/>
          <w:bCs/>
          <w:color w:val="auto"/>
          <w:sz w:val="32"/>
          <w:szCs w:val="32"/>
          <w:lang w:val="en-US" w:eastAsia="zh-CN"/>
        </w:rPr>
        <w:t>一、政策背景</w:t>
      </w:r>
    </w:p>
    <w:p w14:paraId="2055B02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为深入落实北京市文化和旅游局等十五个部门联合印发的《北京市帐篷露营地管理办法》（京文旅发〔2026〕32号）及北京市文化和旅游局印发的《关于加强野营管理的若干措施》等文件要求，结合密云区实际，密</w:t>
      </w:r>
      <w:bookmarkStart w:id="0" w:name="_GoBack"/>
      <w:bookmarkEnd w:id="0"/>
      <w:r>
        <w:rPr>
          <w:rFonts w:hint="eastAsia" w:ascii="仿宋_GB2312" w:hAnsi="仿宋_GB2312" w:eastAsia="仿宋_GB2312" w:cs="仿宋_GB2312"/>
          <w:color w:val="auto"/>
          <w:sz w:val="32"/>
          <w:szCs w:val="32"/>
          <w:highlight w:val="none"/>
          <w:u w:val="none"/>
          <w:lang w:val="en-US" w:eastAsia="zh-CN"/>
        </w:rPr>
        <w:t>云区文旅局联合多部门起草了《密云区帐篷露营地管理实施细则》（以下简称《实施细则》），旨在进一步加强密云区帐篷露营地规范管理，筑牢安全防线，促进帐篷露营业态健康发展。</w:t>
      </w:r>
    </w:p>
    <w:p w14:paraId="03E63F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b w:val="0"/>
          <w:bCs/>
          <w:color w:val="auto"/>
          <w:sz w:val="32"/>
          <w:szCs w:val="32"/>
          <w:lang w:val="en-US" w:eastAsia="zh-CN"/>
        </w:rPr>
        <w:t>二、起草过程</w:t>
      </w:r>
    </w:p>
    <w:p w14:paraId="645AF9BF">
      <w:pPr>
        <w:keepNext w:val="0"/>
        <w:keepLines w:val="0"/>
        <w:pageBreakBefore w:val="0"/>
        <w:widowControl w:val="0"/>
        <w:wordWrap/>
        <w:overflowPunct/>
        <w:topLinePunct w:val="0"/>
        <w:bidi w:val="0"/>
        <w:spacing w:line="54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highlight w:val="none"/>
          <w:lang w:eastAsia="zh-CN"/>
        </w:rPr>
        <w:t>在</w:t>
      </w:r>
      <w:r>
        <w:rPr>
          <w:rFonts w:hint="eastAsia" w:ascii="仿宋_GB2312" w:hAnsi="仿宋_GB2312" w:eastAsia="仿宋_GB2312" w:cs="仿宋_GB2312"/>
          <w:color w:val="auto"/>
          <w:sz w:val="32"/>
          <w:szCs w:val="32"/>
          <w:highlight w:val="none"/>
          <w:u w:val="none"/>
          <w:lang w:val="en-US" w:eastAsia="zh-CN"/>
        </w:rPr>
        <w:t>《实施细则》</w:t>
      </w:r>
      <w:r>
        <w:rPr>
          <w:rFonts w:hint="eastAsia" w:ascii="仿宋_GB2312" w:hAnsi="仿宋_GB2312" w:eastAsia="仿宋_GB2312" w:cs="仿宋_GB2312"/>
          <w:color w:val="auto"/>
          <w:sz w:val="32"/>
          <w:szCs w:val="32"/>
          <w:highlight w:val="none"/>
          <w:lang w:eastAsia="zh-CN"/>
        </w:rPr>
        <w:t>起草过程中，</w:t>
      </w:r>
      <w:r>
        <w:rPr>
          <w:rFonts w:hint="eastAsia" w:ascii="仿宋_GB2312" w:hAnsi="仿宋_GB2312" w:eastAsia="仿宋_GB2312" w:cs="仿宋_GB2312"/>
          <w:b w:val="0"/>
          <w:color w:val="auto"/>
          <w:sz w:val="32"/>
          <w:szCs w:val="32"/>
          <w:highlight w:val="none"/>
          <w:lang w:val="en-US" w:eastAsia="zh-CN"/>
        </w:rPr>
        <w:t>区文旅局</w:t>
      </w:r>
      <w:r>
        <w:rPr>
          <w:rFonts w:hint="eastAsia" w:ascii="仿宋_GB2312" w:hAnsi="仿宋_GB2312" w:eastAsia="仿宋_GB2312" w:cs="仿宋_GB2312"/>
          <w:b w:val="0"/>
          <w:color w:val="auto"/>
          <w:sz w:val="32"/>
          <w:szCs w:val="32"/>
          <w:highlight w:val="none"/>
          <w:lang w:eastAsia="zh-CN"/>
        </w:rPr>
        <w:t>多次</w:t>
      </w:r>
      <w:r>
        <w:rPr>
          <w:rFonts w:hint="eastAsia" w:ascii="仿宋_GB2312" w:hAnsi="仿宋_GB2312" w:eastAsia="仿宋_GB2312" w:cs="仿宋_GB2312"/>
          <w:color w:val="auto"/>
          <w:sz w:val="32"/>
          <w:szCs w:val="32"/>
          <w:highlight w:val="none"/>
          <w:lang w:val="en-US" w:eastAsia="zh-CN"/>
        </w:rPr>
        <w:t>征求相关区直部门及各镇街（地区）意见，不断完善细则内容，</w:t>
      </w:r>
      <w:r>
        <w:rPr>
          <w:rFonts w:hint="eastAsia" w:ascii="仿宋_GB2312" w:hAnsi="仿宋_GB2312" w:eastAsia="仿宋_GB2312" w:cs="仿宋_GB2312"/>
          <w:color w:val="auto"/>
          <w:sz w:val="32"/>
          <w:szCs w:val="32"/>
        </w:rPr>
        <w:t>形成了</w:t>
      </w:r>
      <w:r>
        <w:rPr>
          <w:rFonts w:hint="eastAsia" w:ascii="仿宋_GB2312" w:hAnsi="仿宋_GB2312" w:eastAsia="仿宋_GB2312" w:cs="仿宋_GB2312"/>
          <w:color w:val="auto"/>
          <w:kern w:val="0"/>
          <w:sz w:val="32"/>
          <w:szCs w:val="32"/>
          <w:lang w:val="en-US" w:eastAsia="zh-CN" w:bidi="ar"/>
        </w:rPr>
        <w:t>《密云区帐篷露营地管理实施细则（征求意见稿）》</w:t>
      </w:r>
      <w:r>
        <w:rPr>
          <w:rFonts w:hint="eastAsia" w:ascii="仿宋_GB2312" w:hAnsi="仿宋_GB2312" w:eastAsia="仿宋_GB2312" w:cs="仿宋_GB2312"/>
          <w:color w:val="auto"/>
          <w:sz w:val="32"/>
          <w:szCs w:val="32"/>
        </w:rPr>
        <w:t>。</w:t>
      </w:r>
    </w:p>
    <w:p w14:paraId="32A1EF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三、起草依据</w:t>
      </w:r>
    </w:p>
    <w:p w14:paraId="00429E1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本《实施细则》主要依据《中华人民共和国旅游法》《中华人民共和国安全生产法》《中华人民共和国治安管理处罚法》《森林草原防灭火条例》《北京市旅游条例》等相关法律法规，以及文化和旅游部等部门《关于推动露营旅游休闲健康有序发展的指导意见》《北京市推动旅游业高质量发展的实施意见》等政策文件，同时依据《北京市帐篷露营地管理办法》（京文旅发〔2026〕32号）《北京市文化和旅游局关于加强野营管理的若干措施》等要求，参照《帐篷露营地设施与服务规范》（DB11/T 2400-2025）及相关国家和地方标准，确保细则的合法性、合规性和可操作性。严格遵循安全生产、治安管理、应急处置等领域的法定要求。</w:t>
      </w:r>
    </w:p>
    <w:p w14:paraId="522914D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b w:val="0"/>
          <w:bCs/>
          <w:color w:val="auto"/>
          <w:sz w:val="32"/>
          <w:szCs w:val="32"/>
          <w:lang w:val="en-US" w:eastAsia="zh-CN"/>
        </w:rPr>
        <w:t>四、主要内容</w:t>
      </w:r>
    </w:p>
    <w:p w14:paraId="1CE5E76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《密云区帐篷露营地管理实施细则》共七章二十三条，系统规定了帐篷露营地从选址设立、运营管理到动态监管的全流程要求。核心内容如下：</w:t>
      </w:r>
    </w:p>
    <w:p w14:paraId="0355314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明确适用范围。清晰界定本细则适用的帐篷露营地是指有明确经营主体、合法经营，以帐篷为主要设施，面向大众旅游休闲需求，向消费者提供以帐篷为核心体验的露营服务或空间的场地。房车、木屋、太空舱、集装箱等固定或半固定建筑结构为主要设施的不适用本细则。</w:t>
      </w:r>
    </w:p>
    <w:p w14:paraId="5DC501D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规范选址设立要求。从选址、土地使用、生态保护等方面提出明确要求。强调帐篷露营地选址应当科学合理、远离洪涝、山洪、地质灾害等自然灾害多发地和危险野生动植物活动区域。划定明确红线——不得占用永久基本农田及储备区、一般耕地、自然保护区核心保护区、河道及水库管理范围、一级饮用水水源保护区、生态保护红线范围；不改变土地现状用途、不固化现状地面、不建设固定设施、不破坏生态环境，避让设施农业备案项目区域；严禁未批先建、超标准建设及擅自改变用途。设立实行全链条管理，新设立营地须向属地镇街提供相关材料，经区级相关部门联合检查合格后方可营业，从源头上把好准入关。</w:t>
      </w:r>
    </w:p>
    <w:p w14:paraId="6D947DE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厘清各方责任。构建了“经营主体承担主体责任、场地提供方承担监管责任、上级主管部门承担主管责任”的三级责任体系。明确了安全生产、消防安全、治安管理、森林防火、防汛应急等方面的具体要求。</w:t>
      </w:r>
    </w:p>
    <w:p w14:paraId="7B7CEA8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四）细化安全管理。从多维度构建全链条安全管理体系。在安全生产基础管理方面，经营主体需制定安全生产规章制度，配备专职或兼职安全生产管理人员，储备应急物资，制定应急预案并组织应急演练。在治安管理方面，公共区域视频监控全覆盖并有效运行维护，视频图像连续不间断存储时长应不少于30日；对所有进入营地的游客登记身份信息，安装使用公安机关信息采集系统。在森林防火与用火用电安全方面，严格按照《森林草原防灭火条例》落实森林火灾防控和野外用火管理相关规定，在设立帐篷露营地时做到森林防火设施“四同步”（同步规划、同步设计、同步施工、同步验收），按照操作规范安全用火、用电、用油、用气，谨慎使用大容量户外移动电源。在防汛与极端天气应对方面，经营主体应落实防汛和极端天气应对主体责任，及时掌握预警信息；辖区发布蓝色及以上气象灾害预警或启动防汛四级及以上应急响应时，营地必须立即停止服务、关停并疏散游客，纳入属地“叫应”体系。</w:t>
      </w:r>
    </w:p>
    <w:p w14:paraId="3F700E8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五）明确部门及属地职责。明确了各相关区级部门的具体职责及各镇街（地区）的属地管理责任。镇街负责日常巡查、动态建账、问题上报，职能部门依职责处置，形成条块结合的工作格局。各镇街应将帐篷露营地纳入本辖区应急管理体系，在极端天气时督促经营主体落实预警“叫应”、场地关停、人员转移等管控措施。</w:t>
      </w:r>
    </w:p>
    <w:p w14:paraId="07DFF1C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六）建立动态监管机制。建立常态化巡查和联合检查机制，实行“白名单”管理制度，对规范运营的减少检查频次、优先政策支持，对存在问题的加强监管。同时明确存量营地给予3个月整改期、情况特殊的可延至5个月，逾期未达标依法处置。此外，鼓励品牌化发展，规范电商平台核验责任。</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5E5CF72-948E-4C48-87FA-A476EF1E520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362239C-EE63-4540-A45A-E0400280701B}"/>
  </w:font>
  <w:font w:name="Arial Unicode MS">
    <w:altName w:val="宋体"/>
    <w:panose1 w:val="020B0604020202020204"/>
    <w:charset w:val="86"/>
    <w:family w:val="auto"/>
    <w:pitch w:val="default"/>
    <w:sig w:usb0="00000000" w:usb1="00000000" w:usb2="0000003F" w:usb3="00000000" w:csb0="603F01FF" w:csb1="FFFF0000"/>
  </w:font>
  <w:font w:name="方正小标宋_GBK">
    <w:panose1 w:val="02000000000000000000"/>
    <w:charset w:val="86"/>
    <w:family w:val="script"/>
    <w:pitch w:val="default"/>
    <w:sig w:usb0="A00002BF" w:usb1="38CF7CFA" w:usb2="00082016" w:usb3="00000000" w:csb0="00040001" w:csb1="00000000"/>
    <w:embedRegular r:id="rId3" w:fontKey="{3E989461-A671-41C2-B74C-93042CB98AC7}"/>
  </w:font>
  <w:font w:name="仿宋_GB2312">
    <w:panose1 w:val="02010609030101010101"/>
    <w:charset w:val="86"/>
    <w:family w:val="auto"/>
    <w:pitch w:val="default"/>
    <w:sig w:usb0="00000001" w:usb1="080E0000" w:usb2="00000000" w:usb3="00000000" w:csb0="00040000" w:csb1="00000000"/>
    <w:embedRegular r:id="rId4" w:fontKey="{9AC6811C-6E80-41F3-A5DF-39B6DE36426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4YzFhMGNiNWM4NTJmYjVlYjgyODg0ZDA5YWE1YTMifQ=="/>
  </w:docVars>
  <w:rsids>
    <w:rsidRoot w:val="00000000"/>
    <w:rsid w:val="07DC0503"/>
    <w:rsid w:val="1B701236"/>
    <w:rsid w:val="35471961"/>
    <w:rsid w:val="4167622A"/>
    <w:rsid w:val="48397FA1"/>
    <w:rsid w:val="49D43EBC"/>
    <w:rsid w:val="56E659AC"/>
    <w:rsid w:val="5EFFDBE6"/>
    <w:rsid w:val="698259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4"/>
    <w:unhideWhenUsed/>
    <w:qFormat/>
    <w:uiPriority w:val="0"/>
    <w:rPr>
      <w:rFonts w:ascii="Arial Unicode MS" w:hAnsi="Arial Unicode MS" w:eastAsia="Arial Unicode MS" w:cs="Arial Unicode MS"/>
      <w:sz w:val="32"/>
      <w:szCs w:val="32"/>
      <w:lang w:val="zh-CN" w:bidi="zh-CN"/>
    </w:rPr>
  </w:style>
  <w:style w:type="paragraph" w:customStyle="1" w:styleId="4">
    <w:name w:val="toc 1_b958cacf-7e5f-454f-8c5b-6e15b77831f9"/>
    <w:next w:val="1"/>
    <w:qFormat/>
    <w:uiPriority w:val="0"/>
    <w:pPr>
      <w:wordWrap w:val="0"/>
      <w:jc w:val="both"/>
    </w:pPr>
    <w:rPr>
      <w:rFonts w:ascii="Calibri" w:hAnsi="Calibri" w:eastAsia="宋体" w:cs="Times New Roman"/>
      <w:sz w:val="21"/>
      <w:szCs w:val="22"/>
      <w:lang w:val="en-US" w:eastAsia="zh-CN" w:bidi="ar-SA"/>
    </w:rPr>
  </w:style>
  <w:style w:type="paragraph" w:styleId="5">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1805</Words>
  <Characters>1827</Characters>
  <Lines>0</Lines>
  <Paragraphs>0</Paragraphs>
  <TotalTime>0</TotalTime>
  <ScaleCrop>false</ScaleCrop>
  <LinksUpToDate>false</LinksUpToDate>
  <CharactersWithSpaces>1828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2026-07-10T10:50:00Z</dcterms:created>
  <dc:creator>jillian789</dc:creator>
  <cp:lastModifiedBy>孙彤</cp:lastModifiedBy>
  <cp:lastPrinted>2026-07-10T14:52:00Z</cp:lastPrinted>
  <dcterms:modified xsi:type="dcterms:W3CDTF">2026-07-13T02:25:04Z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KSOTemplateDocerSaveRecord">
    <vt:lpwstr>eyJoZGlkIjoiM2M2ZTA0YjFkMzY1NTA4NDI4OTYyNTM0ZTRmZDFmZjUiLCJ1c2VySWQiOiIzNDUyMjM3MjgifQ==</vt:lpwstr>
  </property>
  <property fmtid="{D5CDD505-2E9C-101B-9397-08002B2CF9AE}" pid="4" name="ICV">
    <vt:lpwstr>DBA437F314E24542A88D3E94809942B0_12</vt:lpwstr>
  </property>
</Properties>
</file>