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DF85F">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u w:val="none"/>
          <w:lang w:val="en-US" w:eastAsia="zh-CN"/>
        </w:rPr>
      </w:pPr>
      <w:bookmarkStart w:id="0" w:name="_GoBack"/>
      <w:r>
        <w:rPr>
          <w:rFonts w:hint="eastAsia" w:ascii="方正小标宋简体" w:hAnsi="方正小标宋简体" w:eastAsia="方正小标宋简体" w:cs="方正小标宋简体"/>
          <w:color w:val="auto"/>
          <w:sz w:val="44"/>
          <w:szCs w:val="44"/>
          <w:highlight w:val="none"/>
          <w:u w:val="none"/>
          <w:lang w:val="en-US" w:eastAsia="zh-CN"/>
        </w:rPr>
        <w:t>密云区帐篷露营地管理实施细则</w:t>
      </w:r>
    </w:p>
    <w:p w14:paraId="41434586">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u w:val="none"/>
          <w:lang w:val="en-US" w:eastAsia="zh-CN"/>
        </w:rPr>
      </w:pPr>
      <w:r>
        <w:rPr>
          <w:rFonts w:hint="eastAsia" w:ascii="楷体_GB2312" w:hAnsi="楷体_GB2312" w:eastAsia="楷体_GB2312" w:cs="楷体_GB2312"/>
          <w:color w:val="auto"/>
          <w:sz w:val="32"/>
          <w:szCs w:val="32"/>
          <w:highlight w:val="none"/>
          <w:u w:val="none"/>
          <w:lang w:val="en-US" w:eastAsia="zh-CN"/>
        </w:rPr>
        <w:t>（征求意见稿）</w:t>
      </w:r>
    </w:p>
    <w:p w14:paraId="213775C7">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 </w:t>
      </w:r>
    </w:p>
    <w:p w14:paraId="235004A2">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val="en-US" w:eastAsia="zh-CN"/>
        </w:rPr>
        <w:t>第一章 总则</w:t>
      </w:r>
    </w:p>
    <w:p w14:paraId="2614BE1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eastAsia="zh-CN"/>
        </w:rPr>
        <w:t>第一条</w:t>
      </w:r>
      <w:r>
        <w:rPr>
          <w:rFonts w:hint="eastAsia" w:ascii="仿宋_GB2312" w:hAnsi="仿宋_GB2312" w:eastAsia="仿宋_GB2312" w:cs="仿宋_GB2312"/>
          <w:color w:val="auto"/>
          <w:sz w:val="32"/>
          <w:szCs w:val="32"/>
          <w:highlight w:val="none"/>
          <w:u w:val="none"/>
          <w:lang w:val="en-US" w:eastAsia="zh-CN"/>
        </w:rPr>
        <w:t xml:space="preserve">  为进一步加强密云区帐篷露营地规范管理，促进帐篷露营地健康有序发展，根据北京市文化和旅游局等十五部门联合印发的《北京市帐篷露营地管理办法》（京文旅发〔2026〕32号）、《北京市文化和旅游局关于加强野营管理的若干措施》及相关法律法规，落实《北京市推动旅游业高质量发展的实施意见》和关于安全生产的相关要求，结合密云区实际，制定本细则。</w:t>
      </w:r>
    </w:p>
    <w:p w14:paraId="6E1109ED">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color w:val="auto"/>
          <w:u w:val="none"/>
        </w:rPr>
      </w:pPr>
      <w:r>
        <w:rPr>
          <w:rFonts w:hint="eastAsia" w:ascii="黑体" w:hAnsi="黑体" w:eastAsia="黑体" w:cs="黑体"/>
          <w:color w:val="auto"/>
          <w:sz w:val="32"/>
          <w:szCs w:val="32"/>
          <w:highlight w:val="none"/>
          <w:u w:val="none"/>
          <w:lang w:val="en-US" w:eastAsia="zh-CN"/>
        </w:rPr>
        <w:t>第二</w:t>
      </w:r>
      <w:r>
        <w:rPr>
          <w:rFonts w:hint="eastAsia" w:ascii="黑体" w:hAnsi="黑体" w:eastAsia="黑体" w:cs="黑体"/>
          <w:color w:val="auto"/>
          <w:sz w:val="32"/>
          <w:szCs w:val="32"/>
          <w:highlight w:val="none"/>
          <w:u w:val="none"/>
          <w:lang w:eastAsia="zh-CN"/>
        </w:rPr>
        <w:t>条</w:t>
      </w:r>
      <w:r>
        <w:rPr>
          <w:rFonts w:hint="eastAsia" w:ascii="仿宋_GB2312" w:hAnsi="仿宋_GB2312" w:eastAsia="仿宋_GB2312" w:cs="仿宋_GB2312"/>
          <w:color w:val="auto"/>
          <w:sz w:val="32"/>
          <w:szCs w:val="32"/>
          <w:highlight w:val="none"/>
          <w:u w:val="none"/>
          <w:lang w:val="en-US" w:eastAsia="zh-CN"/>
        </w:rPr>
        <w:t xml:space="preserve">  本细则适用的帐篷露营地，是指有明确经营主体，合法经营，以帐篷为主要设施，面向大众旅游休闲需求，向消费者提供以帐篷为核心体验的露营服务或空间的场地。房车、木屋、太空舱、集装箱等固定或半固定建筑结构为主要设施的不适用本细则。</w:t>
      </w:r>
    </w:p>
    <w:p w14:paraId="50C3CDF4">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color w:val="auto"/>
          <w:u w:val="none"/>
        </w:rPr>
      </w:pPr>
    </w:p>
    <w:p w14:paraId="59386332">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 第二章 选址及设立</w:t>
      </w:r>
    </w:p>
    <w:p w14:paraId="1EC31E4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color w:val="auto"/>
          <w:u w:val="none"/>
        </w:rPr>
      </w:pPr>
      <w:r>
        <w:rPr>
          <w:rFonts w:hint="eastAsia" w:ascii="黑体" w:hAnsi="黑体" w:eastAsia="黑体" w:cs="黑体"/>
          <w:color w:val="auto"/>
          <w:sz w:val="32"/>
          <w:szCs w:val="32"/>
          <w:highlight w:val="none"/>
          <w:u w:val="none"/>
          <w:lang w:val="en-US" w:eastAsia="zh-CN"/>
        </w:rPr>
        <w:t>第三</w:t>
      </w:r>
      <w:r>
        <w:rPr>
          <w:rFonts w:hint="eastAsia" w:ascii="黑体" w:hAnsi="黑体" w:eastAsia="黑体" w:cs="黑体"/>
          <w:color w:val="auto"/>
          <w:sz w:val="32"/>
          <w:szCs w:val="32"/>
          <w:highlight w:val="none"/>
          <w:u w:val="none"/>
          <w:lang w:eastAsia="zh-CN"/>
        </w:rPr>
        <w:t>条</w:t>
      </w:r>
      <w:r>
        <w:rPr>
          <w:rFonts w:hint="eastAsia" w:ascii="仿宋_GB2312" w:hAnsi="仿宋_GB2312" w:eastAsia="仿宋_GB2312" w:cs="仿宋_GB2312"/>
          <w:color w:val="auto"/>
          <w:sz w:val="32"/>
          <w:szCs w:val="32"/>
          <w:highlight w:val="none"/>
          <w:u w:val="none"/>
          <w:lang w:val="en-US" w:eastAsia="zh-CN"/>
        </w:rPr>
        <w:t xml:space="preserve">  帐篷露营地的设立和运营应符合相关法律法规及规章制度要求，符合《密云区分区规划（国土空间规划）（2017年-2035年）》、镇街国土空间规划以及密云水库水源保护等要求。符合《帐篷露营地设施与服务规范》（DB11/T 2400-2025）规范，符合自然保护地总体规划、市区两级生物多样性保护和密云区（2021-2035年）林地保护利用规划要求。</w:t>
      </w:r>
    </w:p>
    <w:p w14:paraId="50E4C18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第四</w:t>
      </w:r>
      <w:r>
        <w:rPr>
          <w:rFonts w:hint="eastAsia" w:ascii="黑体" w:hAnsi="黑体" w:eastAsia="黑体" w:cs="黑体"/>
          <w:color w:val="auto"/>
          <w:sz w:val="32"/>
          <w:szCs w:val="32"/>
          <w:highlight w:val="none"/>
          <w:u w:val="none"/>
          <w:lang w:eastAsia="zh-CN"/>
        </w:rPr>
        <w:t>条</w:t>
      </w:r>
      <w:r>
        <w:rPr>
          <w:rFonts w:hint="eastAsia" w:ascii="仿宋_GB2312" w:hAnsi="仿宋_GB2312" w:eastAsia="仿宋_GB2312" w:cs="仿宋_GB2312"/>
          <w:color w:val="auto"/>
          <w:sz w:val="32"/>
          <w:szCs w:val="32"/>
          <w:highlight w:val="none"/>
          <w:u w:val="none"/>
          <w:lang w:val="en-US" w:eastAsia="zh-CN"/>
        </w:rPr>
        <w:t xml:space="preserve">  帐篷露营地选址应当科学合理、注意安全，设立在远离洪涝、山洪、地质灾害等自然灾害多发地和危险野生动植物活动区域。需遵守以下规定：</w:t>
      </w:r>
    </w:p>
    <w:p w14:paraId="0BAC1A5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（一）不得占用永久基本农田及储备区、一般耕地、自然保护区核心保护区、河道及水库管理范围、一级饮用水水源保护区、生态保护红线范围；</w:t>
      </w:r>
    </w:p>
    <w:p w14:paraId="3A8B70C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（二）不改变土地现状用途、不固化现状地面、不建设固定设施、不破坏生态环境，避让设施农业备案项目区域；</w:t>
      </w:r>
    </w:p>
    <w:p w14:paraId="0B04597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（三）严禁未批先建、超标准建设及擅自改变用途，依法依规使用土地；</w:t>
      </w:r>
    </w:p>
    <w:p w14:paraId="307E175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（四）设立帐篷露营地涉及占用林地的，仅限占用Ⅳ级保护林地，并按照直接为林业生产经营服务工程设施有关标准和规定，办理园林绿化相关审批手续；</w:t>
      </w:r>
    </w:p>
    <w:p w14:paraId="7C4447C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（五）如需为帐篷露营地建设点状配套设施，需符合《关于加强点状配套设施用地管理促进乡村振兴的指导意见》（京规自发〔2026〕2号）中相关要求，并按照该政策有关规定办理。</w:t>
      </w:r>
    </w:p>
    <w:p w14:paraId="518CD84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第五条  </w:t>
      </w:r>
      <w:r>
        <w:rPr>
          <w:rFonts w:hint="eastAsia" w:ascii="仿宋_GB2312" w:hAnsi="仿宋_GB2312" w:eastAsia="仿宋_GB2312" w:cs="仿宋_GB2312"/>
          <w:color w:val="auto"/>
          <w:sz w:val="32"/>
          <w:szCs w:val="32"/>
          <w:highlight w:val="none"/>
          <w:u w:val="none"/>
          <w:lang w:val="en-US" w:eastAsia="zh-CN"/>
        </w:rPr>
        <w:t>各镇街（地区）加强对辖区内帐篷露营地建立动态台账、巡查检查等日常管理，及时向区文旅局报送辖区内帐篷露营地台账情况，指导经营主体规范建设帐篷露营地。</w:t>
      </w:r>
    </w:p>
    <w:p w14:paraId="18823BB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第六条</w:t>
      </w:r>
      <w:r>
        <w:rPr>
          <w:rFonts w:hint="eastAsia" w:ascii="仿宋_GB2312" w:hAnsi="仿宋_GB2312" w:eastAsia="仿宋_GB2312" w:cs="仿宋_GB2312"/>
          <w:color w:val="auto"/>
          <w:sz w:val="32"/>
          <w:szCs w:val="32"/>
          <w:highlight w:val="none"/>
          <w:u w:val="none"/>
          <w:lang w:val="en-US" w:eastAsia="zh-CN"/>
        </w:rPr>
        <w:t xml:space="preserve">  新设立的帐篷露营地应向属地镇街（地区）提供以下材料：</w:t>
      </w:r>
    </w:p>
    <w:p w14:paraId="3F3D1DF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（一）《密云区帐篷露营地设立信息表》（附件1）；</w:t>
      </w:r>
    </w:p>
    <w:p w14:paraId="5270080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（二）经营主体营业执照；</w:t>
      </w:r>
    </w:p>
    <w:p w14:paraId="57F41C8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（三）拟选址位置图、用地现状说明、用地涉及相关部门出具的审批或准许证明材料；</w:t>
      </w:r>
    </w:p>
    <w:p w14:paraId="5AD1087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（四）项目矢量坐标图电子版材料(包括不限于帐篷露营地经营范围、帐篷坐标点位、附属设施矢量坐标等)；</w:t>
      </w:r>
    </w:p>
    <w:p w14:paraId="7D5FB28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（五）初步经营方案（含计划帐篷数量、配套需求、经营内容等）；</w:t>
      </w:r>
    </w:p>
    <w:p w14:paraId="0153CE63">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（六）其他需要提供的材料。</w:t>
      </w:r>
    </w:p>
    <w:p w14:paraId="7AD31F3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第七条</w:t>
      </w:r>
      <w:r>
        <w:rPr>
          <w:rFonts w:hint="eastAsia" w:ascii="仿宋_GB2312" w:hAnsi="仿宋_GB2312" w:eastAsia="仿宋_GB2312" w:cs="仿宋_GB2312"/>
          <w:color w:val="auto"/>
          <w:sz w:val="32"/>
          <w:szCs w:val="32"/>
          <w:highlight w:val="none"/>
          <w:u w:val="none"/>
          <w:lang w:val="en-US" w:eastAsia="zh-CN"/>
        </w:rPr>
        <w:t xml:space="preserve">  具备条件并完成材料提供的新设立帐篷露营地，须经过各镇街（地区）、区级相关部门共同组织的开业联合检查，检查合格后可对外营业。</w:t>
      </w:r>
    </w:p>
    <w:p w14:paraId="538B8DEE">
      <w:pPr>
        <w:pStyle w:val="2"/>
        <w:ind w:left="0" w:leftChars="0" w:firstLine="0" w:firstLineChars="0"/>
        <w:rPr>
          <w:rFonts w:hint="eastAsia"/>
          <w:u w:val="none"/>
          <w:lang w:val="en-US" w:eastAsia="zh-CN"/>
        </w:rPr>
      </w:pPr>
    </w:p>
    <w:p w14:paraId="05F8CFA2">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第三章 经营主体责任</w:t>
      </w:r>
    </w:p>
    <w:p w14:paraId="0F4EE77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第八条  </w:t>
      </w:r>
      <w:r>
        <w:rPr>
          <w:rFonts w:hint="eastAsia" w:ascii="仿宋_GB2312" w:hAnsi="仿宋_GB2312" w:eastAsia="仿宋_GB2312" w:cs="仿宋_GB2312"/>
          <w:color w:val="auto"/>
          <w:sz w:val="32"/>
          <w:szCs w:val="32"/>
          <w:highlight w:val="none"/>
          <w:u w:val="none"/>
          <w:lang w:val="en-US" w:eastAsia="zh-CN"/>
        </w:rPr>
        <w:t>帐篷露营地经营主体承担经营单位主体责任。帐篷露营地所在场地提供方承担场地使用监管责任。帐篷露营地所在场地提供方的上级主管部门承担该场地主管责任。</w:t>
      </w:r>
    </w:p>
    <w:p w14:paraId="62A15E2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帐篷露营地经营主体应规范登记注册，涉及夜间住宿、食品经营、举办大型群众性活动应依法依规办理相关手续。明码标价，发布游客须知，提供真实准确的宣传营销信息，告知游客遵守《北京市帐篷露营文明公约》。</w:t>
      </w:r>
    </w:p>
    <w:p w14:paraId="0577A9C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第九条  </w:t>
      </w:r>
      <w:r>
        <w:rPr>
          <w:rFonts w:hint="eastAsia" w:ascii="仿宋_GB2312" w:hAnsi="仿宋_GB2312" w:eastAsia="仿宋_GB2312" w:cs="仿宋_GB2312"/>
          <w:color w:val="auto"/>
          <w:sz w:val="32"/>
          <w:szCs w:val="32"/>
          <w:highlight w:val="none"/>
          <w:u w:val="none"/>
          <w:lang w:val="en-US" w:eastAsia="zh-CN"/>
        </w:rPr>
        <w:t>帐篷露营地经营主体或场地提供方应在帐篷露营地配备安保、保洁人员并在人流高峰期间加强巡查；应根据帐篷露营地空间容量和环境容量科学核定瞬间最大承载量，合理规划帐篷布局；配齐环卫设施，落实生活垃圾分类管理责任人制度，不得未经处理达标直接向环境排放生活污水；规范游客行为，加强噪声污染防治宣传引导；保护露营地周边动植物资源，减少对周边生态系统的影响；场地提供方应实行场地轮换制度，合理规划开放和绿化养管周期，避免植被退化。</w:t>
      </w:r>
    </w:p>
    <w:p w14:paraId="1ECA770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帐篷露营地经营主体应在营地周边及主要出入口设置标识，明确空间范围、开放时间、活动内容、咨询投诉渠道、监督电话等信息，并及时动态更新发布。鼓励有条件的帐篷露营地提供停车、淋浴、生活用水、自动售卖等便利服务。</w:t>
      </w:r>
    </w:p>
    <w:p w14:paraId="7236630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第十条  </w:t>
      </w:r>
      <w:r>
        <w:rPr>
          <w:rFonts w:hint="eastAsia" w:ascii="仿宋_GB2312" w:hAnsi="仿宋_GB2312" w:eastAsia="仿宋_GB2312" w:cs="仿宋_GB2312"/>
          <w:color w:val="auto"/>
          <w:sz w:val="32"/>
          <w:szCs w:val="32"/>
          <w:highlight w:val="none"/>
          <w:u w:val="none"/>
          <w:lang w:val="en-US" w:eastAsia="zh-CN"/>
        </w:rPr>
        <w:t>帐篷露营地经营主体承担安全管理主体责任，应制定安全生产规章制度，配备专职或兼职安全生产管理人员，建立健全全员安全生产责任制。配备必要的监测预警、消防设施设备，储备应急物资，制定应急预案，强化值班值守，按规定组织应急演练；强化安全风险分级管控和隐患排查治理，及时发现、消除事故隐患并如实记录；开展安全生产教育培训并建立培训档案。</w:t>
      </w:r>
    </w:p>
    <w:p w14:paraId="06A9EF1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第十一条  </w:t>
      </w:r>
      <w:r>
        <w:rPr>
          <w:rFonts w:hint="eastAsia" w:ascii="仿宋_GB2312" w:hAnsi="仿宋_GB2312" w:eastAsia="仿宋_GB2312" w:cs="仿宋_GB2312"/>
          <w:color w:val="auto"/>
          <w:sz w:val="32"/>
          <w:szCs w:val="32"/>
          <w:highlight w:val="none"/>
          <w:u w:val="none"/>
          <w:lang w:val="en-US" w:eastAsia="zh-CN"/>
        </w:rPr>
        <w:t>帐篷露营地经营主体应配合做好治安管理，强化现场人流监测疏导、应急处置等工作。公共区域视频监控全覆盖并有效运行维护，视频图像连续不间断存储时长应不少于30日。帐篷露营地经营主体应当对所有进入帐篷露营地的游客登记身份信息，安装使用公安机关的信息采集系统。</w:t>
      </w:r>
    </w:p>
    <w:p w14:paraId="6B84C7D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第十二条  </w:t>
      </w:r>
      <w:r>
        <w:rPr>
          <w:rFonts w:hint="eastAsia" w:ascii="仿宋_GB2312" w:hAnsi="仿宋_GB2312" w:eastAsia="仿宋_GB2312" w:cs="仿宋_GB2312"/>
          <w:color w:val="auto"/>
          <w:sz w:val="32"/>
          <w:szCs w:val="32"/>
          <w:highlight w:val="none"/>
          <w:u w:val="none"/>
          <w:lang w:val="en-US" w:eastAsia="zh-CN"/>
        </w:rPr>
        <w:t>帐篷露营地经营主体应按照《森林草原防灭火条例》，落实森林火灾防控和野外用火管理相关规定，在设立帐篷露营地时，做到蓄水池、消防栓、水泵、灭火器等森林防火设施建设“四同步”（即在林地内各类工程建设中，同步规划、同步设计、同步施工、同步验收森林防灭火设施）。按照操作规范安全用火、用电、用油、用气，谨慎使用大容量户外移动电源，并强化对游客的防火宣传教育，明确告知游客用火、用电、用油、用气安全要求，严防煤气中毒等安全事故发生。</w:t>
      </w:r>
    </w:p>
    <w:p w14:paraId="703D644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第十三条  </w:t>
      </w:r>
      <w:r>
        <w:rPr>
          <w:rFonts w:hint="eastAsia" w:ascii="仿宋_GB2312" w:hAnsi="仿宋_GB2312" w:eastAsia="仿宋_GB2312" w:cs="仿宋_GB2312"/>
          <w:color w:val="auto"/>
          <w:sz w:val="32"/>
          <w:szCs w:val="32"/>
          <w:highlight w:val="none"/>
          <w:u w:val="none"/>
          <w:lang w:val="en-US" w:eastAsia="zh-CN"/>
        </w:rPr>
        <w:t>帐篷露营地经营主体应配备与露营地规模和类型相匹配的紧急救援场所和器材，明确定点联系医院等医疗机构。帐篷露营地经营主体应定期开展帐篷露营地从业人员安全生产教育和培训，确保从业人员具备必要的安全生产知识；教育和培训的内容须符合相关法律、法规规定；建立安全生产教育和培训档案，如实记录教育和培训时间、内容、参加人员及考核结果情况；不得安排未经教育培训或考核不合格人员上岗作业。</w:t>
      </w:r>
    </w:p>
    <w:p w14:paraId="0A9E26E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帐篷露营地经营主体应与帐篷露营地所在场地提供方签订安全生产和消防安全管理协议，明确各自的安全管理职责。应在帐篷露营地及周边设置野外安全导览标识和安全提示，严格天幕、帐篷的风绳、地钉等安全管理，有条件的营地应对天幕进行分区管理。</w:t>
      </w:r>
    </w:p>
    <w:p w14:paraId="3724EF3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第十四条  </w:t>
      </w:r>
      <w:r>
        <w:rPr>
          <w:rFonts w:hint="eastAsia" w:ascii="仿宋_GB2312" w:hAnsi="仿宋_GB2312" w:eastAsia="仿宋_GB2312" w:cs="仿宋_GB2312"/>
          <w:color w:val="auto"/>
          <w:sz w:val="32"/>
          <w:szCs w:val="32"/>
          <w:highlight w:val="none"/>
          <w:u w:val="none"/>
          <w:lang w:val="en-US" w:eastAsia="zh-CN"/>
        </w:rPr>
        <w:t>帐篷露营地经营主体应落实防汛和极端天气应对主体责任，及时了解并掌握预警信息，制定针对汛期和极端天气的安全生产工作方案和应急预案并加强演练，落实临灾预警</w:t>
      </w:r>
      <w:r>
        <w:rPr>
          <w:rFonts w:hint="eastAsia" w:ascii="仿宋_GB2312" w:hAnsi="仿宋_GB2312" w:eastAsia="仿宋_GB2312" w:cs="仿宋_GB2312"/>
          <w:color w:val="auto"/>
          <w:spacing w:val="-11"/>
          <w:sz w:val="32"/>
          <w:szCs w:val="32"/>
          <w:highlight w:val="none"/>
          <w:u w:val="none"/>
          <w:lang w:val="en-US" w:eastAsia="zh-CN"/>
        </w:rPr>
        <w:t>“叫应”和跟踪反馈机制，强化预警“叫应”闭环管理和转移避险。</w:t>
      </w:r>
    </w:p>
    <w:p w14:paraId="0771259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辖区发布蓝色及以上气象灾害预警（暴雨、大风、冰雹、寒潮、暴雪等）、洪水预警、地质灾害气象风险预警、山洪灾害风险预警或启动防汛四级及以上应急响应时，帐篷露营地经营主体应立即停止露营服务，及时向属地报告并对外发布信息，妥善劝返或安全转移游客。对于无法劝返的游客，应纳入属地网格管理和预警“叫应”范围。</w:t>
      </w:r>
    </w:p>
    <w:p w14:paraId="357F92C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p>
    <w:p w14:paraId="2E4744A0">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第四章 部门及属地职责</w:t>
      </w:r>
    </w:p>
    <w:p w14:paraId="4B7E3C1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第十五条  </w:t>
      </w:r>
      <w:r>
        <w:rPr>
          <w:rFonts w:hint="eastAsia" w:ascii="仿宋_GB2312" w:hAnsi="仿宋_GB2312" w:eastAsia="仿宋_GB2312" w:cs="仿宋_GB2312"/>
          <w:color w:val="auto"/>
          <w:sz w:val="32"/>
          <w:szCs w:val="32"/>
          <w:highlight w:val="none"/>
          <w:u w:val="none"/>
          <w:lang w:val="en-US" w:eastAsia="zh-CN"/>
        </w:rPr>
        <w:t>区级各职能部门依职责开展工作并履行本部门职责范围内的其他安全责任和管理责任。各镇街（地区）依职责做好辖区内帐篷露营地统筹协调和管理，对辖区内发现违法违规设立及经营帐篷露营地行为，及时上报对应职能部门依法依规予以查处，引导帐篷露营地有序发展。</w:t>
      </w:r>
    </w:p>
    <w:p w14:paraId="33976B5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区文化和旅游局：负责全区帐篷露营地及野营管理的统筹协调工作，汇总重要事项并及时提请区政府调度处置。做好帐篷露营地相关宣传引导工作，统计全区帐篷露营地运营情况并及时公布帐篷露营地“白名单”。</w:t>
      </w:r>
    </w:p>
    <w:p w14:paraId="4C852FC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区文明办：负责指导文明露营相关工作，倡导市民安全露营、文明露营、环保露营，对野营活动加强正面宣传引导。</w:t>
      </w:r>
    </w:p>
    <w:p w14:paraId="033252A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市公安局密云分局：负责帐篷露营地治安管理工作，督促帐篷露营地经营主体落实住宿登记、实名信息采集等治安管理制度。</w:t>
      </w:r>
    </w:p>
    <w:p w14:paraId="207046D6">
      <w:pPr>
        <w:pStyle w:val="3"/>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市规划自然资源委密云分局：负责指导镇街（地区）帐篷露营地设立前开展现状地类审查，</w:t>
      </w:r>
      <w:r>
        <w:rPr>
          <w:rFonts w:hint="eastAsia" w:ascii="仿宋_GB2312" w:hAnsi="仿宋_GB2312" w:eastAsia="仿宋_GB2312" w:cs="仿宋_GB2312"/>
          <w:snapToGrid w:val="0"/>
          <w:kern w:val="0"/>
          <w:sz w:val="32"/>
          <w:szCs w:val="32"/>
          <w:u w:val="none"/>
          <w:lang w:val="en-US" w:eastAsia="zh-CN" w:bidi="ar-SA"/>
        </w:rPr>
        <w:t>根据各镇政府需求，协调相关技术单位协助开展地质灾害隐患排查，</w:t>
      </w:r>
      <w:r>
        <w:rPr>
          <w:rFonts w:hint="eastAsia" w:ascii="仿宋_GB2312" w:hAnsi="仿宋_GB2312" w:eastAsia="仿宋_GB2312" w:cs="仿宋_GB2312"/>
          <w:color w:val="auto"/>
          <w:sz w:val="32"/>
          <w:szCs w:val="32"/>
          <w:highlight w:val="none"/>
          <w:u w:val="none"/>
          <w:lang w:val="en-US" w:eastAsia="zh-CN"/>
        </w:rPr>
        <w:t>指导点状配套设施用地政策在本区落地执行。</w:t>
      </w:r>
    </w:p>
    <w:p w14:paraId="1D262B7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区生态环境局：负责指导镇街（地区）开展帐篷露营地生态环境监管。</w:t>
      </w:r>
    </w:p>
    <w:p w14:paraId="40F16AD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区城市管理委：负责指导镇街（地区）、各行业管理单位做好帐篷露营地生活垃圾分类投放桶站设置、维护和收运，场地清扫保洁及公共厕所监督管理。监督指导镇街（地区）、行业管理单位，在环境卫生责任区范围内的野营活动，落实生活垃圾分类、环境卫生，以及执法监督管理等相关工作。</w:t>
      </w:r>
    </w:p>
    <w:p w14:paraId="44A43EE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区水务局：负责指导镇街（地区）、帐篷露营地经营主体协助开展山洪风险评估核查。协同做好权属河道、水库管理范围内野营活动的监督管理等工作。</w:t>
      </w:r>
    </w:p>
    <w:p w14:paraId="344AEDB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区农业农村局：负责指导镇街（地区）在农业园区范围内开展帐篷露营活动，防止野营破坏农业生产。</w:t>
      </w:r>
    </w:p>
    <w:p w14:paraId="6440D89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区卫生健康委：负责指导帐篷露营地及野营活动中发生的食物中毒、疾病传染等公共卫生事件的医疗救治和紧急医学救援工作。做好合法固定建筑物内公共场所卫生许可和卫生监管工作。</w:t>
      </w:r>
    </w:p>
    <w:p w14:paraId="635968B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区应急局：负责指导应对安全生产类、自然灾害类等突发事件和综合防灾减灾救灾工作。</w:t>
      </w:r>
    </w:p>
    <w:p w14:paraId="4495267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区市场监管局：负责依法办理经营主体登记注册、合法建筑内食品经营许可和开展食品安全监管工作。</w:t>
      </w:r>
    </w:p>
    <w:p w14:paraId="0453D61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区体育局：负责指导监督在帐篷露营地规范开展露营运动。</w:t>
      </w:r>
    </w:p>
    <w:p w14:paraId="3A2A809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区园林绿化局：负责指导镇街（地区）、企业在符合条件的自然保护地、林下经济示范区、风景名胜区等范围开展露营活动的监管工作。负责所属风景名胜区范围内的野营活动的行业管理。指导属地镇政府做好森林火灾防控和野外用火管理。</w:t>
      </w:r>
    </w:p>
    <w:p w14:paraId="67C0AD87">
      <w:pPr>
        <w:keepNext w:val="0"/>
        <w:keepLines w:val="0"/>
        <w:pageBreakBefore w:val="0"/>
        <w:kinsoku/>
        <w:wordWrap/>
        <w:overflowPunct/>
        <w:topLinePunct w:val="0"/>
        <w:autoSpaceDE/>
        <w:autoSpaceDN/>
        <w:bidi w:val="0"/>
        <w:adjustRightInd/>
        <w:snapToGrid/>
        <w:spacing w:line="560" w:lineRule="exact"/>
        <w:textAlignment w:val="auto"/>
        <w:rPr>
          <w:rFonts w:hint="default" w:eastAsia="仿宋_GB2312" w:asciiTheme="minorHAnsi" w:hAnsiTheme="minorHAnsi" w:cstheme="minorBidi"/>
          <w:color w:val="auto"/>
          <w:kern w:val="2"/>
          <w:sz w:val="32"/>
          <w:szCs w:val="24"/>
          <w:u w:val="none"/>
          <w:lang w:val="en-US" w:eastAsia="zh-CN" w:bidi="ar-SA"/>
        </w:rPr>
      </w:pPr>
      <w:r>
        <w:rPr>
          <w:rFonts w:hint="eastAsia"/>
          <w:color w:val="auto"/>
          <w:u w:val="none"/>
          <w:lang w:val="en-US" w:eastAsia="zh-CN"/>
        </w:rPr>
        <w:t xml:space="preserve">    </w:t>
      </w:r>
      <w:r>
        <w:rPr>
          <w:rFonts w:hint="eastAsia" w:eastAsia="仿宋_GB2312" w:asciiTheme="minorHAnsi" w:hAnsiTheme="minorHAnsi" w:cstheme="minorBidi"/>
          <w:color w:val="auto"/>
          <w:kern w:val="2"/>
          <w:sz w:val="32"/>
          <w:szCs w:val="24"/>
          <w:u w:val="none"/>
          <w:lang w:val="en-US" w:eastAsia="zh-CN" w:bidi="ar-SA"/>
        </w:rPr>
        <w:t xml:space="preserve"> 区公路分局</w:t>
      </w:r>
      <w:r>
        <w:rPr>
          <w:rFonts w:hint="eastAsia" w:eastAsia="仿宋_GB2312" w:cstheme="minorBidi"/>
          <w:color w:val="auto"/>
          <w:kern w:val="2"/>
          <w:sz w:val="32"/>
          <w:szCs w:val="24"/>
          <w:u w:val="none"/>
          <w:lang w:val="en-US" w:eastAsia="zh-CN" w:bidi="ar-SA"/>
        </w:rPr>
        <w:t>：负责公路范围内的野营活动的监督管理。</w:t>
      </w:r>
    </w:p>
    <w:p w14:paraId="4225E9D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u w:val="none"/>
          <w:lang w:val="en-US" w:eastAsia="zh-CN"/>
        </w:rPr>
      </w:pPr>
      <w:r>
        <w:rPr>
          <w:rFonts w:hint="eastAsia" w:ascii="仿宋_GB2312" w:hAnsi="仿宋_GB2312" w:eastAsia="仿宋_GB2312" w:cs="仿宋_GB2312"/>
          <w:color w:val="auto"/>
          <w:sz w:val="32"/>
          <w:szCs w:val="32"/>
          <w:highlight w:val="none"/>
          <w:u w:val="none"/>
          <w:lang w:val="en-US" w:eastAsia="zh-CN"/>
        </w:rPr>
        <w:t>区园林中心：负责指导镇街（地区）、企业在符合条件的城区内公园绿地开展露营活动的监管工作。负责城区内公园范围内的野营活动的行业管理。</w:t>
      </w:r>
    </w:p>
    <w:p w14:paraId="2C5AA2E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区消防救援支队：负责依法开展消防监督检查。</w:t>
      </w:r>
    </w:p>
    <w:p w14:paraId="09612DF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密云水库综合执法大队：</w:t>
      </w:r>
      <w:r>
        <w:rPr>
          <w:rFonts w:hint="eastAsia" w:eastAsia="仿宋_GB2312" w:cstheme="minorBidi"/>
          <w:color w:val="auto"/>
          <w:kern w:val="2"/>
          <w:sz w:val="32"/>
          <w:szCs w:val="24"/>
          <w:u w:val="none"/>
          <w:lang w:val="en-US" w:eastAsia="zh-CN" w:bidi="ar-SA"/>
        </w:rPr>
        <w:t>负责管理范围内的野营活动的监督管理及查处</w:t>
      </w:r>
      <w:r>
        <w:rPr>
          <w:rFonts w:hint="eastAsia" w:ascii="仿宋_GB2312" w:hAnsi="仿宋_GB2312" w:eastAsia="仿宋_GB2312" w:cs="仿宋_GB2312"/>
          <w:color w:val="auto"/>
          <w:sz w:val="32"/>
          <w:szCs w:val="32"/>
          <w:highlight w:val="none"/>
          <w:u w:val="none"/>
          <w:lang w:val="en-US" w:eastAsia="zh-CN"/>
        </w:rPr>
        <w:t>。</w:t>
      </w:r>
    </w:p>
    <w:p w14:paraId="0B5BD54D">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color w:val="auto"/>
          <w:u w:val="none"/>
          <w:lang w:val="en-US" w:eastAsia="zh-CN"/>
        </w:rPr>
      </w:pPr>
      <w:r>
        <w:rPr>
          <w:rFonts w:hint="eastAsia" w:ascii="仿宋_GB2312" w:hAnsi="仿宋_GB2312" w:cs="仿宋_GB2312"/>
          <w:color w:val="auto"/>
          <w:sz w:val="32"/>
          <w:szCs w:val="32"/>
          <w:highlight w:val="none"/>
          <w:u w:val="none"/>
          <w:lang w:val="en-US" w:eastAsia="zh-CN"/>
        </w:rPr>
        <w:t>区委网信办：负责帐篷露营地及野营活动的舆情监测，及时协调相关部门做好舆情处置工作。</w:t>
      </w:r>
    </w:p>
    <w:p w14:paraId="6BDFCC99">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val="en-US" w:eastAsia="zh-CN"/>
        </w:rPr>
      </w:pPr>
    </w:p>
    <w:p w14:paraId="6CA26950">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第五章 动态监管</w:t>
      </w:r>
    </w:p>
    <w:p w14:paraId="606BA6E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第十六条  </w:t>
      </w:r>
      <w:r>
        <w:rPr>
          <w:rFonts w:hint="eastAsia" w:ascii="仿宋_GB2312" w:hAnsi="仿宋_GB2312" w:eastAsia="仿宋_GB2312" w:cs="仿宋_GB2312"/>
          <w:color w:val="auto"/>
          <w:sz w:val="32"/>
          <w:szCs w:val="32"/>
          <w:highlight w:val="none"/>
          <w:u w:val="none"/>
          <w:lang w:val="en-US" w:eastAsia="zh-CN"/>
        </w:rPr>
        <w:t>各镇街（地区）应当建立帐篷露营地常态化定期巡查制度和协同相关区职部门联合检查机制，对辖区内帐篷露营地及野营进行全面摸排、动态更新台账，确保无盲区、无遗漏、全覆盖管理。对破坏市容环境卫生、侵占耕地、违规涉山涉水涉林、违规野外用火、野营不良行为等情况及时劝阻，联合相关部门按职权依法查处，消除隐患和不良影响。</w:t>
      </w:r>
    </w:p>
    <w:p w14:paraId="575A05B4">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color w:val="auto"/>
          <w:u w:val="none"/>
          <w:lang w:val="en-US" w:eastAsia="zh-CN"/>
        </w:rPr>
      </w:pPr>
      <w:r>
        <w:rPr>
          <w:rFonts w:hint="eastAsia" w:ascii="黑体" w:hAnsi="黑体" w:eastAsia="黑体" w:cs="黑体"/>
          <w:color w:val="auto"/>
          <w:sz w:val="32"/>
          <w:szCs w:val="32"/>
          <w:highlight w:val="none"/>
          <w:u w:val="none"/>
          <w:lang w:val="en-US" w:eastAsia="zh-CN"/>
        </w:rPr>
        <w:t xml:space="preserve">第十七条  </w:t>
      </w:r>
      <w:r>
        <w:rPr>
          <w:rFonts w:hint="eastAsia" w:ascii="仿宋_GB2312" w:hAnsi="仿宋_GB2312" w:eastAsia="仿宋_GB2312" w:cs="仿宋_GB2312"/>
          <w:color w:val="auto"/>
          <w:sz w:val="32"/>
          <w:szCs w:val="32"/>
          <w:highlight w:val="none"/>
          <w:u w:val="none"/>
          <w:lang w:val="en-US" w:eastAsia="zh-CN"/>
        </w:rPr>
        <w:t>对经营管理规范、安全措施到位、环境保护良好、市场认可度高且长期无安全事故的帐篷露营地，由区文化和旅游局联合相关部门、镇街（地区）综合评价，纳入“白名单”台账管理。对列入“白名单”的帐篷露营地，本着“无事不扰”原则，减少检查频次，优先相关政策支持。</w:t>
      </w:r>
    </w:p>
    <w:p w14:paraId="4044651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第十八条  </w:t>
      </w:r>
      <w:r>
        <w:rPr>
          <w:rFonts w:hint="eastAsia" w:ascii="仿宋_GB2312" w:hAnsi="仿宋_GB2312" w:eastAsia="仿宋_GB2312" w:cs="仿宋_GB2312"/>
          <w:color w:val="auto"/>
          <w:sz w:val="32"/>
          <w:szCs w:val="32"/>
          <w:highlight w:val="none"/>
          <w:u w:val="none"/>
          <w:lang w:val="en-US" w:eastAsia="zh-CN"/>
        </w:rPr>
        <w:t xml:space="preserve">各镇街（地区）应将帐篷露营地纳入本辖区应急管理体系。在发布蓝色及以上气象灾害预警（暴雨、大风、冰雹、寒潮、暴雪等）、洪水预警、地质灾害气象风险预警、山洪灾害风险预警或启动防汛四级及以上应急响应时，各镇街（地区）督促经营主体落实预警“叫应”、场地关停、人员转移等管控措施，坚决守住安全底线。  </w:t>
      </w:r>
    </w:p>
    <w:p w14:paraId="7CD82A2F">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val="en-US" w:eastAsia="zh-CN"/>
        </w:rPr>
      </w:pPr>
    </w:p>
    <w:p w14:paraId="12E508CF">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第六章 规范与提升</w:t>
      </w:r>
    </w:p>
    <w:p w14:paraId="05AB0B5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第十九条 </w:t>
      </w:r>
      <w:r>
        <w:rPr>
          <w:rFonts w:hint="eastAsia" w:ascii="仿宋_GB2312" w:hAnsi="仿宋_GB2312" w:eastAsia="仿宋_GB2312" w:cs="仿宋_GB2312"/>
          <w:color w:val="auto"/>
          <w:sz w:val="32"/>
          <w:szCs w:val="32"/>
          <w:highlight w:val="none"/>
          <w:u w:val="none"/>
          <w:lang w:val="en-US" w:eastAsia="zh-CN"/>
        </w:rPr>
        <w:t>本细则施行前已规范设立的帐篷露营地，应在本细则施行之日起3个月内（确因工程量较大等客观因素无法在规定期限内完成整改的可延期至5个月），依据本细则及《帐篷露营地设施与服务规范》（DB11/T 2400-2025）相关要求完成整改。各镇街（地区）根据辖区内帐篷露营地整改完成情况，联合相关部门开展检查，检查合格后可对外营业。对逾期未完成整改或整改后仍不符合要求的，应依法处置。</w:t>
      </w:r>
      <w:r>
        <w:rPr>
          <w:rFonts w:hint="eastAsia" w:ascii="黑体" w:hAnsi="黑体" w:eastAsia="黑体" w:cs="黑体"/>
          <w:color w:val="auto"/>
          <w:sz w:val="32"/>
          <w:szCs w:val="32"/>
          <w:highlight w:val="none"/>
          <w:u w:val="none"/>
          <w:lang w:val="en-US" w:eastAsia="zh-CN"/>
        </w:rPr>
        <w:t xml:space="preserve"> </w:t>
      </w:r>
    </w:p>
    <w:p w14:paraId="00A3C3E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第二十条  </w:t>
      </w:r>
      <w:r>
        <w:rPr>
          <w:rFonts w:hint="eastAsia" w:ascii="仿宋_GB2312" w:hAnsi="仿宋_GB2312" w:eastAsia="仿宋_GB2312" w:cs="仿宋_GB2312"/>
          <w:color w:val="auto"/>
          <w:sz w:val="32"/>
          <w:szCs w:val="32"/>
          <w:highlight w:val="none"/>
          <w:u w:val="none"/>
          <w:lang w:val="en-US" w:eastAsia="zh-CN"/>
        </w:rPr>
        <w:t>鼓励帐篷露营地经营主体按照《帐篷露营地设施与服务规范》及相关国家和地方标准，持续提升硬件设施、服务质量和管理水平，打造帐篷露营品牌。</w:t>
      </w:r>
    </w:p>
    <w:p w14:paraId="2C2CCF7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第二十一条  </w:t>
      </w:r>
      <w:r>
        <w:rPr>
          <w:rFonts w:hint="eastAsia" w:ascii="仿宋_GB2312" w:hAnsi="仿宋_GB2312" w:eastAsia="仿宋_GB2312" w:cs="仿宋_GB2312"/>
          <w:color w:val="auto"/>
          <w:sz w:val="32"/>
          <w:szCs w:val="32"/>
          <w:highlight w:val="none"/>
          <w:u w:val="none"/>
          <w:lang w:val="en-US" w:eastAsia="zh-CN"/>
        </w:rPr>
        <w:t>电子商务平台经营者应按照法律法规要求，核验、登记入驻平台的帐篷露营地经营主体的营业证照等信息，并定期核验更新。提供服务与实际不符的，帐篷露营地经营主体、电子商务平台经营者依法承担相应责任。</w:t>
      </w:r>
    </w:p>
    <w:p w14:paraId="543F3386">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val="en-US" w:eastAsia="zh-CN"/>
        </w:rPr>
      </w:pPr>
    </w:p>
    <w:p w14:paraId="50F6F503">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第七章 附则</w:t>
      </w:r>
    </w:p>
    <w:p w14:paraId="39A2B1B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第二十二条  </w:t>
      </w:r>
      <w:r>
        <w:rPr>
          <w:rFonts w:hint="eastAsia" w:ascii="仿宋_GB2312" w:hAnsi="仿宋_GB2312" w:eastAsia="仿宋_GB2312" w:cs="仿宋_GB2312"/>
          <w:color w:val="auto"/>
          <w:sz w:val="32"/>
          <w:szCs w:val="32"/>
          <w:highlight w:val="none"/>
          <w:u w:val="none"/>
          <w:lang w:val="en-US" w:eastAsia="zh-CN"/>
        </w:rPr>
        <w:t>本细则自印发之日起施行。</w:t>
      </w:r>
    </w:p>
    <w:p w14:paraId="75A2C62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t xml:space="preserve">第二十三条  </w:t>
      </w:r>
      <w:r>
        <w:rPr>
          <w:rFonts w:hint="eastAsia" w:ascii="仿宋_GB2312" w:hAnsi="仿宋_GB2312" w:eastAsia="仿宋_GB2312" w:cs="仿宋_GB2312"/>
          <w:color w:val="auto"/>
          <w:sz w:val="32"/>
          <w:szCs w:val="32"/>
          <w:highlight w:val="none"/>
          <w:u w:val="none"/>
          <w:lang w:val="en-US" w:eastAsia="zh-CN"/>
        </w:rPr>
        <w:t>本细则由密云区文化和旅游局负责解释。</w:t>
      </w:r>
    </w:p>
    <w:p w14:paraId="1B5A5392">
      <w:pPr>
        <w:pStyle w:val="2"/>
        <w:rPr>
          <w:rFonts w:hint="eastAsia" w:ascii="仿宋_GB2312" w:hAnsi="仿宋_GB2312" w:eastAsia="仿宋_GB2312" w:cs="仿宋_GB2312"/>
          <w:color w:val="auto"/>
          <w:sz w:val="32"/>
          <w:szCs w:val="32"/>
          <w:highlight w:val="none"/>
          <w:u w:val="none"/>
          <w:lang w:val="en-US" w:eastAsia="zh-CN"/>
        </w:rPr>
      </w:pPr>
    </w:p>
    <w:p w14:paraId="49EBD242">
      <w:pPr>
        <w:rPr>
          <w:rFonts w:hint="eastAsia" w:ascii="仿宋_GB2312" w:hAnsi="仿宋_GB2312" w:eastAsia="仿宋_GB2312" w:cs="仿宋_GB2312"/>
          <w:color w:val="auto"/>
          <w:sz w:val="32"/>
          <w:szCs w:val="32"/>
          <w:highlight w:val="none"/>
          <w:u w:val="none"/>
          <w:lang w:val="en-US" w:eastAsia="zh-CN"/>
        </w:rPr>
      </w:pPr>
    </w:p>
    <w:p w14:paraId="5F554F5F">
      <w:pPr>
        <w:pStyle w:val="2"/>
        <w:rPr>
          <w:rFonts w:hint="eastAsia" w:ascii="仿宋_GB2312" w:hAnsi="仿宋_GB2312" w:eastAsia="仿宋_GB2312" w:cs="仿宋_GB2312"/>
          <w:color w:val="auto"/>
          <w:sz w:val="32"/>
          <w:szCs w:val="32"/>
          <w:highlight w:val="none"/>
          <w:u w:val="none"/>
          <w:lang w:val="en-US" w:eastAsia="zh-CN"/>
        </w:rPr>
      </w:pPr>
    </w:p>
    <w:p w14:paraId="61A1EAEF">
      <w:pPr>
        <w:rPr>
          <w:rFonts w:hint="eastAsia" w:ascii="仿宋_GB2312" w:hAnsi="仿宋_GB2312" w:eastAsia="仿宋_GB2312" w:cs="仿宋_GB2312"/>
          <w:color w:val="auto"/>
          <w:sz w:val="32"/>
          <w:szCs w:val="32"/>
          <w:highlight w:val="none"/>
          <w:u w:val="none"/>
          <w:lang w:val="en-US" w:eastAsia="zh-CN"/>
        </w:rPr>
      </w:pPr>
    </w:p>
    <w:p w14:paraId="6678BEE6">
      <w:pPr>
        <w:pStyle w:val="2"/>
        <w:rPr>
          <w:rFonts w:hint="eastAsia" w:ascii="仿宋_GB2312" w:hAnsi="仿宋_GB2312" w:eastAsia="仿宋_GB2312" w:cs="仿宋_GB2312"/>
          <w:color w:val="auto"/>
          <w:sz w:val="32"/>
          <w:szCs w:val="32"/>
          <w:highlight w:val="none"/>
          <w:u w:val="none"/>
          <w:lang w:val="en-US" w:eastAsia="zh-CN"/>
        </w:rPr>
      </w:pPr>
    </w:p>
    <w:p w14:paraId="7898A534">
      <w:pPr>
        <w:rPr>
          <w:rFonts w:hint="eastAsia" w:ascii="仿宋_GB2312" w:hAnsi="仿宋_GB2312" w:eastAsia="仿宋_GB2312" w:cs="仿宋_GB2312"/>
          <w:color w:val="auto"/>
          <w:sz w:val="32"/>
          <w:szCs w:val="32"/>
          <w:highlight w:val="none"/>
          <w:u w:val="none"/>
          <w:lang w:val="en-US" w:eastAsia="zh-CN"/>
        </w:rPr>
      </w:pPr>
    </w:p>
    <w:p w14:paraId="70BC2D4E">
      <w:pPr>
        <w:pStyle w:val="2"/>
        <w:rPr>
          <w:rFonts w:hint="eastAsia" w:ascii="仿宋_GB2312" w:hAnsi="仿宋_GB2312" w:eastAsia="仿宋_GB2312" w:cs="仿宋_GB2312"/>
          <w:color w:val="auto"/>
          <w:sz w:val="32"/>
          <w:szCs w:val="32"/>
          <w:highlight w:val="none"/>
          <w:u w:val="none"/>
          <w:lang w:val="en-US" w:eastAsia="zh-CN"/>
        </w:rPr>
      </w:pPr>
    </w:p>
    <w:p w14:paraId="72EF3552">
      <w:pPr>
        <w:rPr>
          <w:rFonts w:hint="eastAsia" w:ascii="仿宋_GB2312" w:hAnsi="仿宋_GB2312" w:eastAsia="仿宋_GB2312" w:cs="仿宋_GB2312"/>
          <w:color w:val="auto"/>
          <w:sz w:val="32"/>
          <w:szCs w:val="32"/>
          <w:highlight w:val="none"/>
          <w:u w:val="none"/>
          <w:lang w:val="en-US" w:eastAsia="zh-CN"/>
        </w:rPr>
      </w:pPr>
    </w:p>
    <w:p w14:paraId="02225A00">
      <w:pPr>
        <w:pStyle w:val="2"/>
        <w:rPr>
          <w:rFonts w:hint="eastAsia" w:ascii="仿宋_GB2312" w:hAnsi="仿宋_GB2312" w:eastAsia="仿宋_GB2312" w:cs="仿宋_GB2312"/>
          <w:color w:val="auto"/>
          <w:sz w:val="32"/>
          <w:szCs w:val="32"/>
          <w:highlight w:val="none"/>
          <w:u w:val="none"/>
          <w:lang w:val="en-US" w:eastAsia="zh-CN"/>
        </w:rPr>
      </w:pPr>
    </w:p>
    <w:p w14:paraId="4EAC3004">
      <w:pPr>
        <w:rPr>
          <w:rFonts w:hint="eastAsia" w:ascii="仿宋_GB2312" w:hAnsi="仿宋_GB2312" w:eastAsia="仿宋_GB2312" w:cs="仿宋_GB2312"/>
          <w:color w:val="auto"/>
          <w:sz w:val="32"/>
          <w:szCs w:val="32"/>
          <w:highlight w:val="none"/>
          <w:u w:val="none"/>
          <w:lang w:val="en-US" w:eastAsia="zh-CN"/>
        </w:rPr>
      </w:pPr>
    </w:p>
    <w:p w14:paraId="10E4BF14">
      <w:pPr>
        <w:pStyle w:val="4"/>
        <w:rPr>
          <w:rFonts w:hint="eastAsia" w:ascii="黑体" w:hAnsi="黑体" w:eastAsia="黑体" w:cs="黑体"/>
          <w:color w:val="auto"/>
          <w:sz w:val="32"/>
          <w:szCs w:val="32"/>
          <w:u w:val="none"/>
          <w:lang w:val="en-US" w:eastAsia="zh-CN"/>
        </w:rPr>
      </w:pPr>
      <w:r>
        <w:rPr>
          <w:rFonts w:hint="eastAsia" w:ascii="黑体" w:eastAsia="黑体" w:cs="黑体"/>
          <w:color w:val="auto"/>
          <w:sz w:val="32"/>
          <w:szCs w:val="32"/>
          <w:u w:val="none"/>
          <w:lang w:val="en-US" w:eastAsia="zh-CN"/>
        </w:rPr>
        <w:t>附</w:t>
      </w:r>
      <w:r>
        <w:rPr>
          <w:rFonts w:hint="eastAsia" w:ascii="黑体" w:hAnsi="黑体" w:eastAsia="黑体" w:cs="黑体"/>
          <w:color w:val="auto"/>
          <w:sz w:val="32"/>
          <w:szCs w:val="32"/>
          <w:u w:val="none"/>
          <w:lang w:val="en-US" w:eastAsia="zh-CN"/>
        </w:rPr>
        <w:t>件</w:t>
      </w:r>
      <w:r>
        <w:rPr>
          <w:rFonts w:hint="eastAsia" w:ascii="黑体" w:eastAsia="黑体" w:cs="黑体"/>
          <w:color w:val="auto"/>
          <w:sz w:val="32"/>
          <w:szCs w:val="32"/>
          <w:u w:val="none"/>
          <w:lang w:val="en-US" w:eastAsia="zh-CN"/>
        </w:rPr>
        <w:t>1</w:t>
      </w:r>
    </w:p>
    <w:p w14:paraId="0FADD31D">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color w:val="auto"/>
          <w:sz w:val="28"/>
          <w:szCs w:val="28"/>
          <w:u w:val="none"/>
          <w:lang w:val="en-US" w:eastAsia="zh-CN"/>
        </w:rPr>
      </w:pPr>
      <w:r>
        <w:rPr>
          <w:rFonts w:hint="eastAsia" w:ascii="方正小标宋_GBK" w:hAnsi="方正小标宋_GBK" w:eastAsia="方正小标宋_GBK" w:cs="方正小标宋_GBK"/>
          <w:color w:val="auto"/>
          <w:sz w:val="40"/>
          <w:szCs w:val="40"/>
          <w:u w:val="none"/>
          <w:lang w:val="en-US" w:eastAsia="zh-CN"/>
        </w:rPr>
        <w:t>密云区帐篷露营地设立信息表</w:t>
      </w:r>
      <w:r>
        <w:rPr>
          <w:rFonts w:hint="eastAsia" w:ascii="仿宋_GB2312" w:hAnsi="仿宋_GB2312" w:eastAsia="仿宋_GB2312" w:cs="仿宋_GB2312"/>
          <w:color w:val="auto"/>
          <w:sz w:val="28"/>
          <w:szCs w:val="28"/>
          <w:u w:val="none"/>
          <w:lang w:val="en-US" w:eastAsia="zh-CN"/>
        </w:rPr>
        <w:t xml:space="preserve">    </w:t>
      </w:r>
    </w:p>
    <w:p w14:paraId="4CCCCECD">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 xml:space="preserve">                                    填报单位（盖章）：    </w:t>
      </w:r>
    </w:p>
    <w:tbl>
      <w:tblPr>
        <w:tblStyle w:val="9"/>
        <w:tblW w:w="9271"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4"/>
        <w:gridCol w:w="2573"/>
        <w:gridCol w:w="967"/>
        <w:gridCol w:w="615"/>
        <w:gridCol w:w="1172"/>
        <w:gridCol w:w="741"/>
        <w:gridCol w:w="1839"/>
      </w:tblGrid>
      <w:tr w14:paraId="1FF1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1364" w:type="dxa"/>
            <w:noWrap w:val="0"/>
            <w:vAlign w:val="center"/>
          </w:tcPr>
          <w:p w14:paraId="24E9A59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lang w:val="en-US" w:eastAsia="zh-CN"/>
              </w:rPr>
              <w:t>营地名称</w:t>
            </w:r>
          </w:p>
        </w:tc>
        <w:tc>
          <w:tcPr>
            <w:tcW w:w="3540" w:type="dxa"/>
            <w:gridSpan w:val="2"/>
            <w:noWrap w:val="0"/>
            <w:vAlign w:val="center"/>
          </w:tcPr>
          <w:p w14:paraId="1D1A78B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c>
          <w:tcPr>
            <w:tcW w:w="1787" w:type="dxa"/>
            <w:gridSpan w:val="2"/>
            <w:noWrap w:val="0"/>
            <w:vAlign w:val="center"/>
          </w:tcPr>
          <w:p w14:paraId="4DE091C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所在镇街</w:t>
            </w:r>
          </w:p>
          <w:p w14:paraId="15B6514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（地区）</w:t>
            </w:r>
          </w:p>
        </w:tc>
        <w:tc>
          <w:tcPr>
            <w:tcW w:w="2580" w:type="dxa"/>
            <w:gridSpan w:val="2"/>
            <w:noWrap w:val="0"/>
            <w:vAlign w:val="center"/>
          </w:tcPr>
          <w:p w14:paraId="34FB8E6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r>
      <w:tr w14:paraId="1128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1364" w:type="dxa"/>
            <w:noWrap w:val="0"/>
            <w:vAlign w:val="center"/>
          </w:tcPr>
          <w:p w14:paraId="290EF15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营地地址</w:t>
            </w:r>
          </w:p>
        </w:tc>
        <w:tc>
          <w:tcPr>
            <w:tcW w:w="7907" w:type="dxa"/>
            <w:gridSpan w:val="6"/>
            <w:noWrap w:val="0"/>
            <w:vAlign w:val="center"/>
          </w:tcPr>
          <w:p w14:paraId="486B9A7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r>
      <w:tr w14:paraId="0E3F0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4" w:hRule="atLeast"/>
        </w:trPr>
        <w:tc>
          <w:tcPr>
            <w:tcW w:w="1364" w:type="dxa"/>
            <w:noWrap w:val="0"/>
            <w:vAlign w:val="center"/>
          </w:tcPr>
          <w:p w14:paraId="2FD9320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营地内容</w:t>
            </w:r>
          </w:p>
        </w:tc>
        <w:tc>
          <w:tcPr>
            <w:tcW w:w="7907" w:type="dxa"/>
            <w:gridSpan w:val="6"/>
            <w:noWrap w:val="0"/>
            <w:vAlign w:val="center"/>
          </w:tcPr>
          <w:p w14:paraId="5432A66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宋体" w:hAnsi="宋体" w:eastAsia="宋体" w:cs="宋体"/>
                <w:color w:val="auto"/>
                <w:sz w:val="24"/>
                <w:szCs w:val="24"/>
                <w:highlight w:val="none"/>
                <w:u w:val="none"/>
                <w:vertAlign w:val="baseline"/>
                <w:lang w:val="en-US" w:eastAsia="zh-CN"/>
              </w:rPr>
            </w:pPr>
            <w:r>
              <w:rPr>
                <w:rFonts w:hint="eastAsia" w:ascii="宋体" w:hAnsi="宋体" w:eastAsia="宋体" w:cs="宋体"/>
                <w:color w:val="auto"/>
                <w:kern w:val="2"/>
                <w:sz w:val="24"/>
                <w:szCs w:val="24"/>
                <w:u w:val="none"/>
                <w:vertAlign w:val="baseline"/>
                <w:lang w:val="en-US" w:eastAsia="zh-CN" w:bidi="ar-SA"/>
              </w:rPr>
              <w:t>1.</w:t>
            </w:r>
            <w:r>
              <w:rPr>
                <w:rFonts w:hint="eastAsia" w:ascii="宋体" w:hAnsi="宋体" w:eastAsia="宋体" w:cs="宋体"/>
                <w:color w:val="auto"/>
                <w:sz w:val="24"/>
                <w:szCs w:val="24"/>
                <w:highlight w:val="none"/>
                <w:u w:val="none"/>
                <w:vertAlign w:val="baseline"/>
                <w:lang w:val="en-US" w:eastAsia="zh-CN"/>
              </w:rPr>
              <w:t>项目位置：</w:t>
            </w:r>
          </w:p>
          <w:p w14:paraId="72D18F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宋体" w:hAnsi="宋体" w:eastAsia="宋体" w:cs="宋体"/>
                <w:color w:val="auto"/>
                <w:sz w:val="24"/>
                <w:szCs w:val="24"/>
                <w:highlight w:val="none"/>
                <w:u w:val="none"/>
                <w:vertAlign w:val="baseline"/>
                <w:lang w:val="en-US" w:eastAsia="zh-CN"/>
              </w:rPr>
            </w:pPr>
            <w:r>
              <w:rPr>
                <w:rFonts w:hint="eastAsia" w:ascii="宋体" w:hAnsi="宋体" w:eastAsia="宋体" w:cs="宋体"/>
                <w:color w:val="auto"/>
                <w:kern w:val="2"/>
                <w:sz w:val="24"/>
                <w:szCs w:val="24"/>
                <w:u w:val="none"/>
                <w:vertAlign w:val="baseline"/>
                <w:lang w:val="en-US" w:eastAsia="zh-CN" w:bidi="ar-SA"/>
              </w:rPr>
              <w:t>2.</w:t>
            </w:r>
            <w:r>
              <w:rPr>
                <w:rFonts w:hint="eastAsia" w:ascii="宋体" w:hAnsi="宋体" w:eastAsia="宋体" w:cs="宋体"/>
                <w:color w:val="auto"/>
                <w:sz w:val="24"/>
                <w:szCs w:val="24"/>
                <w:highlight w:val="none"/>
                <w:u w:val="none"/>
                <w:vertAlign w:val="baseline"/>
                <w:lang w:val="en-US" w:eastAsia="zh-CN"/>
              </w:rPr>
              <w:t>占地面积（平方米）；</w:t>
            </w:r>
          </w:p>
          <w:p w14:paraId="3A0881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宋体" w:hAnsi="宋体" w:eastAsia="宋体" w:cs="宋体"/>
                <w:color w:val="auto"/>
                <w:sz w:val="24"/>
                <w:szCs w:val="24"/>
                <w:highlight w:val="none"/>
                <w:u w:val="none"/>
                <w:vertAlign w:val="baseline"/>
                <w:lang w:val="en-US" w:eastAsia="zh-CN"/>
              </w:rPr>
            </w:pPr>
            <w:r>
              <w:rPr>
                <w:rFonts w:hint="eastAsia" w:ascii="宋体" w:hAnsi="宋体" w:eastAsia="宋体" w:cs="宋体"/>
                <w:color w:val="auto"/>
                <w:kern w:val="2"/>
                <w:sz w:val="24"/>
                <w:szCs w:val="24"/>
                <w:u w:val="none"/>
                <w:vertAlign w:val="baseline"/>
                <w:lang w:val="en-US" w:eastAsia="zh-CN" w:bidi="ar-SA"/>
              </w:rPr>
              <w:t>3.</w:t>
            </w:r>
            <w:r>
              <w:rPr>
                <w:rFonts w:hint="eastAsia" w:ascii="宋体" w:hAnsi="宋体" w:eastAsia="宋体" w:cs="宋体"/>
                <w:color w:val="auto"/>
                <w:sz w:val="24"/>
                <w:szCs w:val="24"/>
                <w:highlight w:val="none"/>
                <w:u w:val="none"/>
                <w:vertAlign w:val="baseline"/>
                <w:lang w:val="en-US" w:eastAsia="zh-CN"/>
              </w:rPr>
              <w:t>固定帐篷数量：</w:t>
            </w:r>
            <w:r>
              <w:rPr>
                <w:rFonts w:hint="eastAsia" w:ascii="宋体" w:hAnsi="宋体" w:eastAsia="宋体" w:cs="宋体"/>
                <w:color w:val="auto"/>
                <w:sz w:val="24"/>
                <w:szCs w:val="24"/>
                <w:highlight w:val="none"/>
                <w:u w:val="none"/>
                <w:vertAlign w:val="baseline"/>
                <w:lang w:val="en-US" w:eastAsia="zh-CN"/>
              </w:rPr>
              <w:t xml:space="preserve">    </w:t>
            </w:r>
            <w:r>
              <w:rPr>
                <w:rFonts w:hint="eastAsia" w:ascii="宋体" w:hAnsi="宋体" w:cs="宋体"/>
                <w:color w:val="auto"/>
                <w:sz w:val="24"/>
                <w:szCs w:val="24"/>
                <w:highlight w:val="none"/>
                <w:u w:val="none"/>
                <w:vertAlign w:val="baseline"/>
                <w:lang w:val="en-US" w:eastAsia="zh-CN"/>
              </w:rPr>
              <w:t xml:space="preserve">（个）   </w:t>
            </w:r>
            <w:r>
              <w:rPr>
                <w:rFonts w:hint="eastAsia" w:ascii="宋体" w:hAnsi="宋体" w:eastAsia="宋体" w:cs="宋体"/>
                <w:color w:val="auto"/>
                <w:sz w:val="24"/>
                <w:szCs w:val="24"/>
                <w:highlight w:val="none"/>
                <w:u w:val="none"/>
                <w:vertAlign w:val="baseline"/>
                <w:lang w:val="en-US" w:eastAsia="zh-CN"/>
              </w:rPr>
              <w:t>自搭帐篷营位数量；</w:t>
            </w:r>
            <w:r>
              <w:rPr>
                <w:rFonts w:hint="eastAsia" w:ascii="宋体" w:hAnsi="宋体" w:cs="宋体"/>
                <w:color w:val="auto"/>
                <w:sz w:val="24"/>
                <w:szCs w:val="24"/>
                <w:highlight w:val="none"/>
                <w:u w:val="none"/>
                <w:vertAlign w:val="baseline"/>
                <w:lang w:val="en-US" w:eastAsia="zh-CN"/>
              </w:rPr>
              <w:t xml:space="preserve">    </w:t>
            </w:r>
            <w:r>
              <w:rPr>
                <w:rFonts w:hint="eastAsia" w:ascii="宋体" w:hAnsi="宋体" w:cs="宋体"/>
                <w:color w:val="auto"/>
                <w:sz w:val="24"/>
                <w:szCs w:val="24"/>
                <w:highlight w:val="none"/>
                <w:u w:val="none"/>
                <w:vertAlign w:val="baseline"/>
                <w:lang w:val="en-US" w:eastAsia="zh-CN"/>
              </w:rPr>
              <w:t>（个）</w:t>
            </w:r>
          </w:p>
          <w:p w14:paraId="64696C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宋体" w:hAnsi="宋体" w:eastAsia="宋体" w:cs="宋体"/>
                <w:color w:val="auto"/>
                <w:sz w:val="24"/>
                <w:szCs w:val="24"/>
                <w:highlight w:val="none"/>
                <w:u w:val="none"/>
                <w:vertAlign w:val="baseline"/>
                <w:lang w:val="en-US" w:eastAsia="zh-CN"/>
              </w:rPr>
            </w:pPr>
            <w:r>
              <w:rPr>
                <w:rFonts w:hint="eastAsia" w:ascii="宋体" w:hAnsi="宋体" w:cs="宋体"/>
                <w:color w:val="auto"/>
                <w:sz w:val="24"/>
                <w:szCs w:val="24"/>
                <w:highlight w:val="none"/>
                <w:u w:val="none"/>
                <w:vertAlign w:val="baseline"/>
                <w:lang w:val="en-US" w:eastAsia="zh-CN"/>
              </w:rPr>
              <w:t>包含设施：</w:t>
            </w:r>
            <w:r>
              <w:rPr>
                <w:rFonts w:hint="eastAsia" w:ascii="宋体" w:hAnsi="宋体" w:eastAsia="宋体" w:cs="宋体"/>
                <w:color w:val="auto"/>
                <w:sz w:val="24"/>
                <w:szCs w:val="24"/>
                <w:highlight w:val="none"/>
                <w:u w:val="none"/>
                <w:vertAlign w:val="baseline"/>
                <w:lang w:val="en-US" w:eastAsia="zh-CN"/>
              </w:rPr>
              <w:t>□服务</w:t>
            </w:r>
            <w:r>
              <w:rPr>
                <w:rFonts w:hint="eastAsia" w:ascii="宋体" w:hAnsi="宋体" w:cs="宋体"/>
                <w:color w:val="auto"/>
                <w:sz w:val="24"/>
                <w:szCs w:val="24"/>
                <w:highlight w:val="none"/>
                <w:u w:val="none"/>
                <w:vertAlign w:val="baseline"/>
                <w:lang w:val="en-US" w:eastAsia="zh-CN"/>
              </w:rPr>
              <w:t>中心</w:t>
            </w:r>
            <w:r>
              <w:rPr>
                <w:rFonts w:hint="eastAsia" w:ascii="宋体" w:hAnsi="宋体" w:eastAsia="宋体" w:cs="宋体"/>
                <w:color w:val="auto"/>
                <w:sz w:val="24"/>
                <w:szCs w:val="24"/>
                <w:highlight w:val="none"/>
                <w:u w:val="none"/>
                <w:vertAlign w:val="baseline"/>
                <w:lang w:val="en-US" w:eastAsia="zh-CN"/>
              </w:rPr>
              <w:t xml:space="preserve">  □公共厕所 □垃圾分类设施 □停车场 </w:t>
            </w:r>
          </w:p>
          <w:p w14:paraId="3044BA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highlight w:val="none"/>
                <w:u w:val="none"/>
                <w:vertAlign w:val="baseline"/>
                <w:lang w:val="en-US" w:eastAsia="zh-CN"/>
              </w:rPr>
              <w:t>□其他：</w:t>
            </w:r>
            <w:r>
              <w:rPr>
                <w:rFonts w:hint="eastAsia" w:ascii="宋体" w:hAnsi="宋体" w:cs="宋体"/>
                <w:color w:val="auto"/>
                <w:sz w:val="24"/>
                <w:szCs w:val="24"/>
                <w:highlight w:val="none"/>
                <w:u w:val="none"/>
                <w:vertAlign w:val="baseline"/>
                <w:lang w:val="en-US" w:eastAsia="zh-CN"/>
              </w:rPr>
              <w:t xml:space="preserve">                     </w:t>
            </w:r>
          </w:p>
        </w:tc>
      </w:tr>
      <w:tr w14:paraId="694B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6" w:hRule="atLeast"/>
        </w:trPr>
        <w:tc>
          <w:tcPr>
            <w:tcW w:w="1364" w:type="dxa"/>
            <w:noWrap w:val="0"/>
            <w:vAlign w:val="center"/>
          </w:tcPr>
          <w:p w14:paraId="215DD7B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选址与用地合规情况</w:t>
            </w:r>
          </w:p>
        </w:tc>
        <w:tc>
          <w:tcPr>
            <w:tcW w:w="7907" w:type="dxa"/>
            <w:gridSpan w:val="6"/>
            <w:noWrap w:val="0"/>
            <w:vAlign w:val="center"/>
          </w:tcPr>
          <w:p w14:paraId="3B203E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宋体" w:hAnsi="宋体" w:eastAsia="宋体" w:cs="宋体"/>
                <w:color w:val="auto"/>
                <w:kern w:val="2"/>
                <w:sz w:val="24"/>
                <w:szCs w:val="24"/>
                <w:u w:val="none"/>
                <w:vertAlign w:val="baseline"/>
                <w:lang w:val="en-US" w:eastAsia="zh-CN" w:bidi="ar-SA"/>
              </w:rPr>
            </w:pPr>
            <w:r>
              <w:rPr>
                <w:rFonts w:hint="eastAsia" w:ascii="宋体" w:hAnsi="宋体" w:eastAsia="宋体" w:cs="宋体"/>
                <w:color w:val="auto"/>
                <w:kern w:val="2"/>
                <w:sz w:val="24"/>
                <w:szCs w:val="24"/>
                <w:u w:val="none"/>
                <w:vertAlign w:val="baseline"/>
                <w:lang w:val="en-US" w:eastAsia="zh-CN" w:bidi="ar-SA"/>
              </w:rPr>
              <w:t>1.土地现状地类：</w:t>
            </w:r>
          </w:p>
          <w:p w14:paraId="345E83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宋体" w:hAnsi="宋体" w:eastAsia="宋体" w:cs="宋体"/>
                <w:color w:val="auto"/>
                <w:kern w:val="2"/>
                <w:sz w:val="24"/>
                <w:szCs w:val="24"/>
                <w:u w:val="none"/>
                <w:vertAlign w:val="baseline"/>
                <w:lang w:val="en-US" w:eastAsia="zh-CN" w:bidi="ar-SA"/>
              </w:rPr>
            </w:pPr>
            <w:r>
              <w:rPr>
                <w:rFonts w:hint="eastAsia" w:ascii="宋体" w:hAnsi="宋体" w:eastAsia="宋体" w:cs="宋体"/>
                <w:color w:val="auto"/>
                <w:kern w:val="2"/>
                <w:sz w:val="24"/>
                <w:szCs w:val="24"/>
                <w:u w:val="none"/>
                <w:vertAlign w:val="baseline"/>
                <w:lang w:val="en-US" w:eastAsia="zh-CN" w:bidi="ar-SA"/>
              </w:rPr>
              <w:t>2.林地等级（如有填写）：</w:t>
            </w:r>
          </w:p>
          <w:p w14:paraId="136791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default" w:ascii="宋体" w:hAnsi="宋体" w:eastAsia="宋体" w:cs="宋体"/>
                <w:color w:val="auto"/>
                <w:kern w:val="2"/>
                <w:sz w:val="24"/>
                <w:szCs w:val="24"/>
                <w:u w:val="none"/>
                <w:vertAlign w:val="baseline"/>
                <w:lang w:val="en-US" w:eastAsia="zh-CN" w:bidi="ar-SA"/>
              </w:rPr>
            </w:pPr>
            <w:r>
              <w:rPr>
                <w:rFonts w:hint="eastAsia" w:ascii="宋体" w:hAnsi="宋体" w:eastAsia="宋体" w:cs="宋体"/>
                <w:color w:val="auto"/>
                <w:kern w:val="2"/>
                <w:sz w:val="24"/>
                <w:szCs w:val="24"/>
                <w:u w:val="none"/>
                <w:vertAlign w:val="baseline"/>
                <w:lang w:val="en-US" w:eastAsia="zh-CN" w:bidi="ar-SA"/>
              </w:rPr>
              <w:t>3.是否占用生态保护红线/永久基本农田/一般耕地        □是 □否</w:t>
            </w:r>
          </w:p>
          <w:p w14:paraId="25C473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宋体" w:hAnsi="宋体" w:eastAsia="宋体" w:cs="宋体"/>
                <w:color w:val="auto"/>
                <w:kern w:val="2"/>
                <w:sz w:val="24"/>
                <w:szCs w:val="24"/>
                <w:u w:val="none"/>
                <w:vertAlign w:val="baseline"/>
                <w:lang w:val="en-US" w:eastAsia="zh-CN" w:bidi="ar-SA"/>
              </w:rPr>
            </w:pPr>
            <w:r>
              <w:rPr>
                <w:rFonts w:hint="eastAsia" w:ascii="宋体" w:hAnsi="宋体" w:eastAsia="宋体" w:cs="宋体"/>
                <w:color w:val="auto"/>
                <w:kern w:val="2"/>
                <w:sz w:val="24"/>
                <w:szCs w:val="24"/>
                <w:u w:val="none"/>
                <w:vertAlign w:val="baseline"/>
                <w:lang w:val="en-US" w:eastAsia="zh-CN" w:bidi="ar-SA"/>
              </w:rPr>
              <w:t>4.是否在自然灾害隐患区、危险野生动物活动区          □是 □否</w:t>
            </w:r>
          </w:p>
          <w:p w14:paraId="47FD80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default"/>
                <w:u w:val="none"/>
                <w:lang w:val="en-US" w:eastAsia="zh-CN"/>
              </w:rPr>
            </w:pPr>
            <w:r>
              <w:rPr>
                <w:rFonts w:hint="eastAsia" w:ascii="宋体" w:hAnsi="宋体" w:eastAsia="宋体" w:cs="宋体"/>
                <w:color w:val="auto"/>
                <w:kern w:val="2"/>
                <w:sz w:val="24"/>
                <w:szCs w:val="24"/>
                <w:u w:val="none"/>
                <w:vertAlign w:val="baseline"/>
                <w:lang w:val="en-US" w:eastAsia="zh-CN" w:bidi="ar-SA"/>
              </w:rPr>
              <w:t>5.是否在河道/水库管理范围/一级饮用水源保护区内      □是 □否</w:t>
            </w:r>
          </w:p>
        </w:tc>
      </w:tr>
      <w:tr w14:paraId="4B5B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trPr>
        <w:tc>
          <w:tcPr>
            <w:tcW w:w="1364" w:type="dxa"/>
            <w:vMerge w:val="restart"/>
            <w:noWrap w:val="0"/>
            <w:vAlign w:val="center"/>
          </w:tcPr>
          <w:p w14:paraId="47C3FEE7">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u w:val="none"/>
              </w:rPr>
            </w:pPr>
            <w:r>
              <w:rPr>
                <w:rFonts w:hint="eastAsia" w:ascii="宋体" w:hAnsi="宋体" w:eastAsia="宋体" w:cs="宋体"/>
                <w:color w:val="auto"/>
                <w:sz w:val="24"/>
                <w:szCs w:val="24"/>
                <w:u w:val="none"/>
                <w:vertAlign w:val="baseline"/>
                <w:lang w:val="en-US" w:eastAsia="zh-CN"/>
              </w:rPr>
              <w:t>安全保障情况</w:t>
            </w:r>
          </w:p>
        </w:tc>
        <w:tc>
          <w:tcPr>
            <w:tcW w:w="2573" w:type="dxa"/>
            <w:noWrap w:val="0"/>
            <w:vAlign w:val="center"/>
          </w:tcPr>
          <w:p w14:paraId="2E821A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u w:val="none"/>
              </w:rPr>
            </w:pPr>
            <w:r>
              <w:rPr>
                <w:rFonts w:hint="eastAsia" w:ascii="宋体" w:hAnsi="宋体" w:eastAsia="宋体" w:cs="宋体"/>
                <w:color w:val="auto"/>
                <w:sz w:val="24"/>
                <w:szCs w:val="24"/>
                <w:u w:val="none"/>
                <w:vertAlign w:val="baseline"/>
                <w:lang w:val="en-US" w:eastAsia="zh-CN"/>
              </w:rPr>
              <w:t>安全保障设施</w:t>
            </w:r>
          </w:p>
        </w:tc>
        <w:tc>
          <w:tcPr>
            <w:tcW w:w="5334" w:type="dxa"/>
            <w:gridSpan w:val="5"/>
            <w:noWrap w:val="0"/>
            <w:vAlign w:val="center"/>
          </w:tcPr>
          <w:p w14:paraId="4C1E7C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 xml:space="preserve">□视频监控全覆盖 □消防器材 □应急照明 </w:t>
            </w:r>
          </w:p>
          <w:p w14:paraId="793B9A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□急救设备 □安全警示标识</w:t>
            </w:r>
          </w:p>
          <w:p w14:paraId="515A34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宋体" w:hAnsi="宋体" w:eastAsia="宋体" w:cs="宋体"/>
                <w:color w:val="auto"/>
                <w:kern w:val="2"/>
                <w:sz w:val="24"/>
                <w:szCs w:val="24"/>
                <w:u w:val="none"/>
                <w:vertAlign w:val="baseline"/>
                <w:lang w:val="en-US" w:eastAsia="zh-CN" w:bidi="ar-SA"/>
              </w:rPr>
            </w:pPr>
            <w:r>
              <w:rPr>
                <w:rFonts w:hint="eastAsia" w:ascii="宋体" w:hAnsi="宋体" w:eastAsia="宋体" w:cs="宋体"/>
                <w:color w:val="auto"/>
                <w:sz w:val="24"/>
                <w:szCs w:val="24"/>
                <w:u w:val="none"/>
                <w:vertAlign w:val="baseline"/>
                <w:lang w:val="en-US" w:eastAsia="zh-CN"/>
              </w:rPr>
              <w:t>□其他：</w:t>
            </w:r>
            <w:r>
              <w:rPr>
                <w:rFonts w:hint="eastAsia" w:ascii="宋体" w:hAnsi="宋体" w:cs="宋体"/>
                <w:color w:val="auto"/>
                <w:sz w:val="24"/>
                <w:szCs w:val="24"/>
                <w:highlight w:val="none"/>
                <w:u w:val="none"/>
                <w:vertAlign w:val="baseline"/>
                <w:lang w:val="en-US" w:eastAsia="zh-CN"/>
              </w:rPr>
              <w:t xml:space="preserve">                     </w:t>
            </w:r>
          </w:p>
        </w:tc>
      </w:tr>
      <w:tr w14:paraId="75FC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trPr>
        <w:tc>
          <w:tcPr>
            <w:tcW w:w="1364" w:type="dxa"/>
            <w:vMerge w:val="continue"/>
            <w:noWrap w:val="0"/>
            <w:vAlign w:val="center"/>
          </w:tcPr>
          <w:p w14:paraId="34C5C29A">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宋体" w:hAnsi="宋体" w:eastAsia="宋体" w:cs="宋体"/>
                <w:color w:val="auto"/>
                <w:kern w:val="2"/>
                <w:sz w:val="24"/>
                <w:szCs w:val="24"/>
                <w:u w:val="none"/>
                <w:vertAlign w:val="baseline"/>
                <w:lang w:val="en-US" w:eastAsia="zh-CN" w:bidi="ar-SA"/>
              </w:rPr>
            </w:pPr>
          </w:p>
        </w:tc>
        <w:tc>
          <w:tcPr>
            <w:tcW w:w="2573" w:type="dxa"/>
            <w:noWrap w:val="0"/>
            <w:vAlign w:val="center"/>
          </w:tcPr>
          <w:p w14:paraId="4BA243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宋体" w:hAnsi="宋体" w:eastAsia="宋体" w:cs="宋体"/>
                <w:color w:val="auto"/>
                <w:kern w:val="2"/>
                <w:sz w:val="24"/>
                <w:szCs w:val="24"/>
                <w:u w:val="none"/>
                <w:vertAlign w:val="baseline"/>
                <w:lang w:val="en-US" w:eastAsia="zh-CN" w:bidi="ar-SA"/>
              </w:rPr>
            </w:pPr>
            <w:r>
              <w:rPr>
                <w:rFonts w:hint="eastAsia" w:ascii="宋体" w:hAnsi="宋体" w:eastAsia="宋体" w:cs="宋体"/>
                <w:color w:val="auto"/>
                <w:sz w:val="24"/>
                <w:szCs w:val="24"/>
                <w:u w:val="none"/>
                <w:vertAlign w:val="baseline"/>
                <w:lang w:val="en-US" w:eastAsia="zh-CN"/>
              </w:rPr>
              <w:t>视频监控存储时长不少于 30 日</w:t>
            </w:r>
          </w:p>
        </w:tc>
        <w:tc>
          <w:tcPr>
            <w:tcW w:w="5334" w:type="dxa"/>
            <w:gridSpan w:val="5"/>
            <w:noWrap w:val="0"/>
            <w:vAlign w:val="center"/>
          </w:tcPr>
          <w:p w14:paraId="7A68F3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default" w:ascii="宋体" w:hAnsi="宋体" w:eastAsia="宋体" w:cs="宋体"/>
                <w:color w:val="auto"/>
                <w:kern w:val="2"/>
                <w:sz w:val="24"/>
                <w:szCs w:val="24"/>
                <w:u w:val="none"/>
                <w:vertAlign w:val="baseline"/>
                <w:lang w:val="en-US" w:eastAsia="zh-CN" w:bidi="ar-SA"/>
              </w:rPr>
            </w:pPr>
            <w:r>
              <w:rPr>
                <w:rFonts w:hint="eastAsia" w:ascii="宋体" w:hAnsi="宋体" w:eastAsia="宋体" w:cs="宋体"/>
                <w:color w:val="auto"/>
                <w:sz w:val="24"/>
                <w:szCs w:val="24"/>
                <w:u w:val="none"/>
                <w:vertAlign w:val="baseline"/>
                <w:lang w:val="en-US" w:eastAsia="zh-CN"/>
              </w:rPr>
              <w:t xml:space="preserve">□是 □否    </w:t>
            </w:r>
          </w:p>
        </w:tc>
      </w:tr>
      <w:tr w14:paraId="3DFBB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exact"/>
        </w:trPr>
        <w:tc>
          <w:tcPr>
            <w:tcW w:w="1364" w:type="dxa"/>
            <w:vMerge w:val="restart"/>
            <w:noWrap w:val="0"/>
            <w:vAlign w:val="center"/>
          </w:tcPr>
          <w:p w14:paraId="1EA34CE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经营主体信息</w:t>
            </w:r>
          </w:p>
        </w:tc>
        <w:tc>
          <w:tcPr>
            <w:tcW w:w="2573" w:type="dxa"/>
            <w:noWrap w:val="0"/>
            <w:vAlign w:val="center"/>
          </w:tcPr>
          <w:p w14:paraId="1EF7E3F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经营主体名称</w:t>
            </w:r>
          </w:p>
          <w:p w14:paraId="1B63019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default"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（营业执照企业名称）</w:t>
            </w:r>
          </w:p>
        </w:tc>
        <w:tc>
          <w:tcPr>
            <w:tcW w:w="5334" w:type="dxa"/>
            <w:gridSpan w:val="5"/>
            <w:noWrap w:val="0"/>
            <w:vAlign w:val="center"/>
          </w:tcPr>
          <w:p w14:paraId="00CEF92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r>
      <w:tr w14:paraId="304F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exact"/>
        </w:trPr>
        <w:tc>
          <w:tcPr>
            <w:tcW w:w="1364" w:type="dxa"/>
            <w:vMerge w:val="continue"/>
            <w:noWrap w:val="0"/>
            <w:vAlign w:val="center"/>
          </w:tcPr>
          <w:p w14:paraId="10AA026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c>
          <w:tcPr>
            <w:tcW w:w="2573" w:type="dxa"/>
            <w:noWrap w:val="0"/>
            <w:vAlign w:val="center"/>
          </w:tcPr>
          <w:p w14:paraId="3E0E6B9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统一社会信用代码</w:t>
            </w:r>
          </w:p>
        </w:tc>
        <w:tc>
          <w:tcPr>
            <w:tcW w:w="5334" w:type="dxa"/>
            <w:gridSpan w:val="5"/>
            <w:noWrap w:val="0"/>
            <w:vAlign w:val="center"/>
          </w:tcPr>
          <w:p w14:paraId="630B97A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r>
      <w:tr w14:paraId="15B7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exact"/>
        </w:trPr>
        <w:tc>
          <w:tcPr>
            <w:tcW w:w="1364" w:type="dxa"/>
            <w:vMerge w:val="continue"/>
            <w:noWrap w:val="0"/>
            <w:vAlign w:val="center"/>
          </w:tcPr>
          <w:p w14:paraId="607E5FA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c>
          <w:tcPr>
            <w:tcW w:w="2573" w:type="dxa"/>
            <w:noWrap w:val="0"/>
            <w:vAlign w:val="center"/>
          </w:tcPr>
          <w:p w14:paraId="552ADEC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营业执照经营范围</w:t>
            </w:r>
          </w:p>
        </w:tc>
        <w:tc>
          <w:tcPr>
            <w:tcW w:w="5334" w:type="dxa"/>
            <w:gridSpan w:val="5"/>
            <w:noWrap w:val="0"/>
            <w:vAlign w:val="center"/>
          </w:tcPr>
          <w:p w14:paraId="1B8F7BD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r>
      <w:tr w14:paraId="0D63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exact"/>
        </w:trPr>
        <w:tc>
          <w:tcPr>
            <w:tcW w:w="1364" w:type="dxa"/>
            <w:vMerge w:val="continue"/>
            <w:noWrap w:val="0"/>
            <w:vAlign w:val="center"/>
          </w:tcPr>
          <w:p w14:paraId="053F1F7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c>
          <w:tcPr>
            <w:tcW w:w="2573" w:type="dxa"/>
            <w:noWrap w:val="0"/>
            <w:vAlign w:val="center"/>
          </w:tcPr>
          <w:p w14:paraId="6DE3714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法定代表人</w:t>
            </w:r>
          </w:p>
        </w:tc>
        <w:tc>
          <w:tcPr>
            <w:tcW w:w="1582" w:type="dxa"/>
            <w:gridSpan w:val="2"/>
            <w:noWrap w:val="0"/>
            <w:vAlign w:val="center"/>
          </w:tcPr>
          <w:p w14:paraId="110D1EF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c>
          <w:tcPr>
            <w:tcW w:w="1913" w:type="dxa"/>
            <w:gridSpan w:val="2"/>
            <w:noWrap w:val="0"/>
            <w:vAlign w:val="center"/>
          </w:tcPr>
          <w:p w14:paraId="0E582BE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联系电话</w:t>
            </w:r>
          </w:p>
        </w:tc>
        <w:tc>
          <w:tcPr>
            <w:tcW w:w="1839" w:type="dxa"/>
            <w:noWrap w:val="0"/>
            <w:vAlign w:val="center"/>
          </w:tcPr>
          <w:p w14:paraId="0F18B70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r>
      <w:tr w14:paraId="49F8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exact"/>
        </w:trPr>
        <w:tc>
          <w:tcPr>
            <w:tcW w:w="1364" w:type="dxa"/>
            <w:vMerge w:val="continue"/>
            <w:noWrap w:val="0"/>
            <w:vAlign w:val="center"/>
          </w:tcPr>
          <w:p w14:paraId="425A653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c>
          <w:tcPr>
            <w:tcW w:w="2573" w:type="dxa"/>
            <w:noWrap w:val="0"/>
            <w:vAlign w:val="center"/>
          </w:tcPr>
          <w:p w14:paraId="53E4D60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营地</w:t>
            </w:r>
            <w:r>
              <w:rPr>
                <w:rFonts w:hint="eastAsia" w:ascii="宋体" w:hAnsi="宋体" w:cs="宋体"/>
                <w:color w:val="auto"/>
                <w:sz w:val="24"/>
                <w:szCs w:val="24"/>
                <w:u w:val="none"/>
                <w:vertAlign w:val="baseline"/>
                <w:lang w:val="en-US" w:eastAsia="zh-CN"/>
              </w:rPr>
              <w:t>总</w:t>
            </w:r>
            <w:r>
              <w:rPr>
                <w:rFonts w:hint="eastAsia" w:ascii="宋体" w:hAnsi="宋体" w:eastAsia="宋体" w:cs="宋体"/>
                <w:color w:val="auto"/>
                <w:sz w:val="24"/>
                <w:szCs w:val="24"/>
                <w:u w:val="none"/>
                <w:vertAlign w:val="baseline"/>
                <w:lang w:val="en-US" w:eastAsia="zh-CN"/>
              </w:rPr>
              <w:t>负责人</w:t>
            </w:r>
          </w:p>
        </w:tc>
        <w:tc>
          <w:tcPr>
            <w:tcW w:w="1582" w:type="dxa"/>
            <w:gridSpan w:val="2"/>
            <w:noWrap w:val="0"/>
            <w:vAlign w:val="center"/>
          </w:tcPr>
          <w:p w14:paraId="15F5BE3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c>
          <w:tcPr>
            <w:tcW w:w="1913" w:type="dxa"/>
            <w:gridSpan w:val="2"/>
            <w:noWrap w:val="0"/>
            <w:vAlign w:val="center"/>
          </w:tcPr>
          <w:p w14:paraId="36A6E52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联系电话</w:t>
            </w:r>
          </w:p>
        </w:tc>
        <w:tc>
          <w:tcPr>
            <w:tcW w:w="1839" w:type="dxa"/>
            <w:noWrap w:val="0"/>
            <w:vAlign w:val="center"/>
          </w:tcPr>
          <w:p w14:paraId="315FC89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r>
      <w:tr w14:paraId="77364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exact"/>
        </w:trPr>
        <w:tc>
          <w:tcPr>
            <w:tcW w:w="1364" w:type="dxa"/>
            <w:vMerge w:val="continue"/>
            <w:noWrap w:val="0"/>
            <w:vAlign w:val="center"/>
          </w:tcPr>
          <w:p w14:paraId="4C4E7F6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c>
          <w:tcPr>
            <w:tcW w:w="2573" w:type="dxa"/>
            <w:noWrap w:val="0"/>
            <w:vAlign w:val="center"/>
          </w:tcPr>
          <w:p w14:paraId="4B0E1F1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营地安全负责人</w:t>
            </w:r>
          </w:p>
        </w:tc>
        <w:tc>
          <w:tcPr>
            <w:tcW w:w="1582" w:type="dxa"/>
            <w:gridSpan w:val="2"/>
            <w:noWrap w:val="0"/>
            <w:vAlign w:val="center"/>
          </w:tcPr>
          <w:p w14:paraId="564C25A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c>
          <w:tcPr>
            <w:tcW w:w="1913" w:type="dxa"/>
            <w:gridSpan w:val="2"/>
            <w:noWrap w:val="0"/>
            <w:vAlign w:val="center"/>
          </w:tcPr>
          <w:p w14:paraId="254D083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联系电话</w:t>
            </w:r>
          </w:p>
        </w:tc>
        <w:tc>
          <w:tcPr>
            <w:tcW w:w="1839" w:type="dxa"/>
            <w:noWrap w:val="0"/>
            <w:vAlign w:val="center"/>
          </w:tcPr>
          <w:p w14:paraId="0FE85A6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r>
      <w:tr w14:paraId="6C87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exact"/>
        </w:trPr>
        <w:tc>
          <w:tcPr>
            <w:tcW w:w="1364" w:type="dxa"/>
            <w:vMerge w:val="restart"/>
            <w:noWrap w:val="0"/>
            <w:vAlign w:val="center"/>
          </w:tcPr>
          <w:p w14:paraId="10C02FD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场地提供方信息</w:t>
            </w:r>
          </w:p>
        </w:tc>
        <w:tc>
          <w:tcPr>
            <w:tcW w:w="2573" w:type="dxa"/>
            <w:noWrap w:val="0"/>
            <w:vAlign w:val="center"/>
          </w:tcPr>
          <w:p w14:paraId="27D80D0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场地提供方名称</w:t>
            </w:r>
          </w:p>
        </w:tc>
        <w:tc>
          <w:tcPr>
            <w:tcW w:w="1582" w:type="dxa"/>
            <w:gridSpan w:val="2"/>
            <w:noWrap w:val="0"/>
            <w:vAlign w:val="center"/>
          </w:tcPr>
          <w:p w14:paraId="709B9D2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c>
          <w:tcPr>
            <w:tcW w:w="1913" w:type="dxa"/>
            <w:gridSpan w:val="2"/>
            <w:noWrap w:val="0"/>
            <w:vAlign w:val="center"/>
          </w:tcPr>
          <w:p w14:paraId="38459D9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统一社会信用代码 /身份证号</w:t>
            </w:r>
          </w:p>
        </w:tc>
        <w:tc>
          <w:tcPr>
            <w:tcW w:w="1839" w:type="dxa"/>
            <w:noWrap w:val="0"/>
            <w:vAlign w:val="center"/>
          </w:tcPr>
          <w:p w14:paraId="0F45A93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r>
      <w:tr w14:paraId="1F90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exact"/>
        </w:trPr>
        <w:tc>
          <w:tcPr>
            <w:tcW w:w="1364" w:type="dxa"/>
            <w:vMerge w:val="continue"/>
            <w:noWrap w:val="0"/>
            <w:vAlign w:val="center"/>
          </w:tcPr>
          <w:p w14:paraId="2B74845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c>
          <w:tcPr>
            <w:tcW w:w="2573" w:type="dxa"/>
            <w:noWrap w:val="0"/>
            <w:vAlign w:val="center"/>
          </w:tcPr>
          <w:p w14:paraId="6E15FD3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负责人</w:t>
            </w:r>
          </w:p>
        </w:tc>
        <w:tc>
          <w:tcPr>
            <w:tcW w:w="1582" w:type="dxa"/>
            <w:gridSpan w:val="2"/>
            <w:noWrap w:val="0"/>
            <w:vAlign w:val="center"/>
          </w:tcPr>
          <w:p w14:paraId="107A9A6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c>
          <w:tcPr>
            <w:tcW w:w="1913" w:type="dxa"/>
            <w:gridSpan w:val="2"/>
            <w:noWrap w:val="0"/>
            <w:vAlign w:val="center"/>
          </w:tcPr>
          <w:p w14:paraId="0063A3E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联系电话</w:t>
            </w:r>
          </w:p>
        </w:tc>
        <w:tc>
          <w:tcPr>
            <w:tcW w:w="1839" w:type="dxa"/>
            <w:noWrap w:val="0"/>
            <w:vAlign w:val="center"/>
          </w:tcPr>
          <w:p w14:paraId="58C4F3E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r>
      <w:tr w14:paraId="1D6E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exact"/>
        </w:trPr>
        <w:tc>
          <w:tcPr>
            <w:tcW w:w="1364" w:type="dxa"/>
            <w:vMerge w:val="continue"/>
            <w:noWrap w:val="0"/>
            <w:vAlign w:val="center"/>
          </w:tcPr>
          <w:p w14:paraId="72F2517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c>
          <w:tcPr>
            <w:tcW w:w="2573" w:type="dxa"/>
            <w:noWrap w:val="0"/>
            <w:vAlign w:val="center"/>
          </w:tcPr>
          <w:p w14:paraId="2C49139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场地产权/</w:t>
            </w:r>
          </w:p>
          <w:p w14:paraId="71F9D5D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使用权归属</w:t>
            </w:r>
          </w:p>
        </w:tc>
        <w:tc>
          <w:tcPr>
            <w:tcW w:w="1582" w:type="dxa"/>
            <w:gridSpan w:val="2"/>
            <w:noWrap w:val="0"/>
            <w:vAlign w:val="center"/>
          </w:tcPr>
          <w:p w14:paraId="137D4B5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c>
          <w:tcPr>
            <w:tcW w:w="1913" w:type="dxa"/>
            <w:gridSpan w:val="2"/>
            <w:noWrap w:val="0"/>
            <w:vAlign w:val="center"/>
          </w:tcPr>
          <w:p w14:paraId="3A4A2F9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租赁/合作期限</w:t>
            </w:r>
          </w:p>
        </w:tc>
        <w:tc>
          <w:tcPr>
            <w:tcW w:w="1839" w:type="dxa"/>
            <w:noWrap w:val="0"/>
            <w:vAlign w:val="center"/>
          </w:tcPr>
          <w:p w14:paraId="2D13F33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r>
      <w:tr w14:paraId="375E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exact"/>
        </w:trPr>
        <w:tc>
          <w:tcPr>
            <w:tcW w:w="1364" w:type="dxa"/>
            <w:vMerge w:val="continue"/>
            <w:noWrap w:val="0"/>
            <w:vAlign w:val="center"/>
          </w:tcPr>
          <w:p w14:paraId="3474B9A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c>
          <w:tcPr>
            <w:tcW w:w="2573" w:type="dxa"/>
            <w:noWrap w:val="0"/>
            <w:vAlign w:val="center"/>
          </w:tcPr>
          <w:p w14:paraId="090016F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场地上级主管单位</w:t>
            </w:r>
          </w:p>
        </w:tc>
        <w:tc>
          <w:tcPr>
            <w:tcW w:w="1582" w:type="dxa"/>
            <w:gridSpan w:val="2"/>
            <w:noWrap w:val="0"/>
            <w:vAlign w:val="center"/>
          </w:tcPr>
          <w:p w14:paraId="58F975E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c>
          <w:tcPr>
            <w:tcW w:w="1913" w:type="dxa"/>
            <w:gridSpan w:val="2"/>
            <w:noWrap w:val="0"/>
            <w:vAlign w:val="center"/>
          </w:tcPr>
          <w:p w14:paraId="17EFB516">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r>
              <w:rPr>
                <w:rFonts w:hint="eastAsia" w:ascii="宋体" w:hAnsi="宋体" w:eastAsia="宋体" w:cs="宋体"/>
                <w:color w:val="auto"/>
                <w:sz w:val="24"/>
                <w:szCs w:val="24"/>
                <w:u w:val="none"/>
                <w:vertAlign w:val="baseline"/>
                <w:lang w:val="en-US" w:eastAsia="zh-CN"/>
              </w:rPr>
              <w:t>联系电话</w:t>
            </w:r>
          </w:p>
        </w:tc>
        <w:tc>
          <w:tcPr>
            <w:tcW w:w="1839" w:type="dxa"/>
            <w:noWrap w:val="0"/>
            <w:vAlign w:val="center"/>
          </w:tcPr>
          <w:p w14:paraId="52D77A6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right="0" w:rightChars="0"/>
              <w:jc w:val="center"/>
              <w:textAlignment w:val="auto"/>
              <w:outlineLvl w:val="9"/>
              <w:rPr>
                <w:rFonts w:hint="eastAsia" w:ascii="宋体" w:hAnsi="宋体" w:eastAsia="宋体" w:cs="宋体"/>
                <w:color w:val="auto"/>
                <w:sz w:val="24"/>
                <w:szCs w:val="24"/>
                <w:u w:val="none"/>
                <w:vertAlign w:val="baseline"/>
                <w:lang w:val="en-US" w:eastAsia="zh-CN"/>
              </w:rPr>
            </w:pPr>
          </w:p>
        </w:tc>
      </w:tr>
    </w:tbl>
    <w:p w14:paraId="052D1183">
      <w:pPr>
        <w:pStyle w:val="4"/>
        <w:rPr>
          <w:rFonts w:hint="eastAsia" w:ascii="黑体" w:eastAsia="黑体" w:cs="黑体"/>
          <w:color w:val="auto"/>
          <w:sz w:val="32"/>
          <w:szCs w:val="32"/>
          <w:u w:val="none"/>
          <w:lang w:val="en-US" w:eastAsia="zh-CN"/>
        </w:rPr>
      </w:pPr>
    </w:p>
    <w:p w14:paraId="29641944">
      <w:pPr>
        <w:pStyle w:val="4"/>
        <w:rPr>
          <w:rFonts w:hint="eastAsia" w:ascii="黑体" w:eastAsia="黑体" w:cs="黑体"/>
          <w:color w:val="auto"/>
          <w:sz w:val="32"/>
          <w:szCs w:val="32"/>
          <w:u w:val="none"/>
          <w:lang w:val="en-US" w:eastAsia="zh-CN"/>
        </w:rPr>
      </w:pPr>
    </w:p>
    <w:p w14:paraId="5F1B79A3">
      <w:pPr>
        <w:pStyle w:val="4"/>
        <w:rPr>
          <w:rFonts w:hint="default" w:ascii="黑体" w:eastAsia="黑体" w:cs="黑体"/>
          <w:color w:val="auto"/>
          <w:sz w:val="32"/>
          <w:szCs w:val="32"/>
          <w:u w:val="none"/>
          <w:lang w:val="en-US" w:eastAsia="zh-CN"/>
        </w:rPr>
      </w:pPr>
      <w:r>
        <w:rPr>
          <w:rFonts w:hint="eastAsia" w:ascii="黑体" w:eastAsia="黑体" w:cs="黑体"/>
          <w:color w:val="auto"/>
          <w:sz w:val="32"/>
          <w:szCs w:val="32"/>
          <w:u w:val="none"/>
          <w:lang w:val="en-US" w:eastAsia="zh-CN"/>
        </w:rPr>
        <w:t>附件2</w:t>
      </w:r>
    </w:p>
    <w:p w14:paraId="249EB4FE">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北京市帐篷露营文明公约</w:t>
      </w:r>
    </w:p>
    <w:p w14:paraId="64D4D567">
      <w:pPr>
        <w:bidi w:val="0"/>
        <w:rPr>
          <w:rFonts w:hint="eastAsia"/>
          <w:u w:val="none"/>
          <w:lang w:val="en-US" w:eastAsia="zh-CN"/>
        </w:rPr>
      </w:pPr>
    </w:p>
    <w:p w14:paraId="73768E2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宋体" w:eastAsia="仿宋_GB2312"/>
          <w:color w:val="auto"/>
          <w:sz w:val="32"/>
          <w:szCs w:val="32"/>
          <w:u w:val="none"/>
        </w:rPr>
      </w:pPr>
      <w:r>
        <w:rPr>
          <w:rFonts w:hint="eastAsia" w:ascii="仿宋_GB2312" w:hAnsi="宋体" w:eastAsia="仿宋_GB2312"/>
          <w:color w:val="auto"/>
          <w:sz w:val="32"/>
          <w:szCs w:val="32"/>
          <w:u w:val="none"/>
          <w:lang w:val="en-US" w:eastAsia="zh-CN"/>
        </w:rPr>
        <w:t>1.</w:t>
      </w:r>
      <w:r>
        <w:rPr>
          <w:rFonts w:hint="eastAsia" w:ascii="仿宋_GB2312" w:hAnsi="宋体" w:eastAsia="仿宋_GB2312"/>
          <w:color w:val="auto"/>
          <w:sz w:val="32"/>
          <w:szCs w:val="32"/>
          <w:u w:val="none"/>
        </w:rPr>
        <w:t>选择合法露营地，遵守相关法律法规和经营主体安全管理要求，做好自身安全防范，不从事违法违规活动。</w:t>
      </w:r>
    </w:p>
    <w:p w14:paraId="444D340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宋体" w:eastAsia="仿宋_GB2312"/>
          <w:color w:val="auto"/>
          <w:sz w:val="32"/>
          <w:szCs w:val="32"/>
          <w:u w:val="none"/>
        </w:rPr>
      </w:pPr>
      <w:r>
        <w:rPr>
          <w:rFonts w:hint="eastAsia" w:ascii="仿宋_GB2312" w:hAnsi="宋体" w:eastAsia="仿宋_GB2312"/>
          <w:color w:val="auto"/>
          <w:sz w:val="32"/>
          <w:szCs w:val="32"/>
          <w:u w:val="none"/>
          <w:lang w:val="en-US" w:eastAsia="zh-CN"/>
        </w:rPr>
        <w:t>2.</w:t>
      </w:r>
      <w:r>
        <w:rPr>
          <w:rFonts w:hint="eastAsia" w:ascii="仿宋_GB2312" w:hAnsi="宋体" w:eastAsia="仿宋_GB2312"/>
          <w:color w:val="auto"/>
          <w:sz w:val="32"/>
          <w:szCs w:val="32"/>
          <w:u w:val="none"/>
        </w:rPr>
        <w:t>提前了解天气情况，时刻关注安全风险预警信息，做好防雾、防雹、防雷电等防护准备。</w:t>
      </w:r>
    </w:p>
    <w:p w14:paraId="3832F89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宋体" w:eastAsia="仿宋_GB2312"/>
          <w:color w:val="auto"/>
          <w:sz w:val="32"/>
          <w:szCs w:val="32"/>
          <w:u w:val="none"/>
        </w:rPr>
      </w:pPr>
      <w:r>
        <w:rPr>
          <w:rFonts w:hint="eastAsia" w:ascii="仿宋_GB2312" w:hAnsi="宋体" w:eastAsia="仿宋_GB2312"/>
          <w:color w:val="auto"/>
          <w:sz w:val="32"/>
          <w:szCs w:val="32"/>
          <w:u w:val="none"/>
          <w:lang w:val="en-US" w:eastAsia="zh-CN"/>
        </w:rPr>
        <w:t>3.</w:t>
      </w:r>
      <w:r>
        <w:rPr>
          <w:rFonts w:hint="eastAsia" w:ascii="仿宋_GB2312" w:hAnsi="宋体" w:eastAsia="仿宋_GB2312"/>
          <w:color w:val="auto"/>
          <w:sz w:val="32"/>
          <w:szCs w:val="32"/>
          <w:u w:val="none"/>
        </w:rPr>
        <w:t>不进入自然灾害频发区、地质灾害隐患区、防洪区、饮用水源一级保护区、危险野生动植物活动区域及未开放区域，谨慎前往无移动通信信号区域。</w:t>
      </w:r>
    </w:p>
    <w:p w14:paraId="7E68427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宋体" w:eastAsia="仿宋_GB2312"/>
          <w:color w:val="auto"/>
          <w:sz w:val="32"/>
          <w:szCs w:val="32"/>
          <w:u w:val="none"/>
        </w:rPr>
      </w:pPr>
      <w:r>
        <w:rPr>
          <w:rFonts w:hint="eastAsia" w:ascii="仿宋_GB2312" w:hAnsi="宋体" w:eastAsia="仿宋_GB2312"/>
          <w:color w:val="auto"/>
          <w:sz w:val="32"/>
          <w:szCs w:val="32"/>
          <w:u w:val="none"/>
          <w:lang w:val="en-US" w:eastAsia="zh-CN"/>
        </w:rPr>
        <w:t>4.</w:t>
      </w:r>
      <w:r>
        <w:rPr>
          <w:rFonts w:hint="eastAsia" w:ascii="仿宋_GB2312" w:hAnsi="宋体" w:eastAsia="仿宋_GB2312"/>
          <w:color w:val="auto"/>
          <w:sz w:val="32"/>
          <w:szCs w:val="32"/>
          <w:u w:val="none"/>
        </w:rPr>
        <w:t>遇突发情况，服从属地政府和相关管理部门安排，有序疏散撤离；遇到危险及时求救，建议购买相关保险。</w:t>
      </w:r>
    </w:p>
    <w:p w14:paraId="54A4D37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宋体" w:eastAsia="仿宋_GB2312"/>
          <w:color w:val="auto"/>
          <w:sz w:val="32"/>
          <w:szCs w:val="32"/>
          <w:u w:val="none"/>
        </w:rPr>
      </w:pPr>
      <w:r>
        <w:rPr>
          <w:rFonts w:hint="eastAsia" w:ascii="仿宋_GB2312" w:hAnsi="宋体" w:eastAsia="仿宋_GB2312"/>
          <w:color w:val="auto"/>
          <w:sz w:val="32"/>
          <w:szCs w:val="32"/>
          <w:u w:val="none"/>
          <w:lang w:val="en-US" w:eastAsia="zh-CN"/>
        </w:rPr>
        <w:t>5.</w:t>
      </w:r>
      <w:r>
        <w:rPr>
          <w:rFonts w:hint="eastAsia" w:ascii="仿宋_GB2312" w:hAnsi="宋体" w:eastAsia="仿宋_GB2312"/>
          <w:color w:val="auto"/>
          <w:sz w:val="32"/>
          <w:szCs w:val="32"/>
          <w:u w:val="none"/>
        </w:rPr>
        <w:t>遵守户外用火、防火、禁止露天烧烤及无人驾驶航空器管制规定，</w:t>
      </w:r>
      <w:r>
        <w:rPr>
          <w:rFonts w:hint="eastAsia" w:ascii="仿宋_GB2312" w:hAnsi="宋体" w:eastAsia="仿宋_GB2312"/>
          <w:color w:val="auto"/>
          <w:sz w:val="32"/>
          <w:szCs w:val="32"/>
          <w:u w:val="none"/>
          <w:lang w:val="en-US" w:eastAsia="zh-CN"/>
        </w:rPr>
        <w:t>在森林防火期内，</w:t>
      </w:r>
      <w:r>
        <w:rPr>
          <w:rFonts w:hint="eastAsia" w:ascii="仿宋_GB2312" w:hAnsi="宋体" w:eastAsia="仿宋_GB2312"/>
          <w:color w:val="auto"/>
          <w:sz w:val="32"/>
          <w:szCs w:val="32"/>
          <w:u w:val="none"/>
        </w:rPr>
        <w:t>森林防火</w:t>
      </w:r>
      <w:r>
        <w:rPr>
          <w:rFonts w:hint="eastAsia" w:ascii="仿宋_GB2312" w:hAnsi="宋体" w:eastAsia="仿宋_GB2312"/>
          <w:color w:val="auto"/>
          <w:sz w:val="32"/>
          <w:szCs w:val="32"/>
          <w:u w:val="none"/>
          <w:lang w:eastAsia="zh-CN"/>
        </w:rPr>
        <w:t>区</w:t>
      </w:r>
      <w:r>
        <w:rPr>
          <w:rFonts w:hint="eastAsia" w:ascii="仿宋_GB2312" w:hAnsi="宋体" w:eastAsia="仿宋_GB2312"/>
          <w:color w:val="auto"/>
          <w:sz w:val="32"/>
          <w:szCs w:val="32"/>
          <w:u w:val="none"/>
        </w:rPr>
        <w:t>内不</w:t>
      </w:r>
      <w:r>
        <w:rPr>
          <w:rFonts w:hint="eastAsia" w:ascii="仿宋_GB2312" w:hAnsi="宋体" w:eastAsia="仿宋_GB2312"/>
          <w:color w:val="auto"/>
          <w:sz w:val="32"/>
          <w:szCs w:val="32"/>
          <w:u w:val="none"/>
          <w:lang w:val="en-US" w:eastAsia="zh-CN"/>
        </w:rPr>
        <w:t>得</w:t>
      </w:r>
      <w:r>
        <w:rPr>
          <w:rFonts w:hint="eastAsia" w:ascii="仿宋_GB2312" w:hAnsi="宋体" w:eastAsia="仿宋_GB2312"/>
          <w:color w:val="auto"/>
          <w:sz w:val="32"/>
          <w:szCs w:val="32"/>
          <w:u w:val="none"/>
        </w:rPr>
        <w:t>野外用火；谨慎使用大容量户外移动电源、电器设备和取暖设备，避免一氧化碳中毒。</w:t>
      </w:r>
    </w:p>
    <w:p w14:paraId="1072BE7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宋体" w:eastAsia="仿宋_GB2312"/>
          <w:color w:val="auto"/>
          <w:sz w:val="32"/>
          <w:szCs w:val="32"/>
          <w:u w:val="none"/>
        </w:rPr>
      </w:pPr>
      <w:r>
        <w:rPr>
          <w:rFonts w:hint="eastAsia" w:ascii="仿宋_GB2312" w:hAnsi="宋体" w:eastAsia="仿宋_GB2312"/>
          <w:color w:val="auto"/>
          <w:sz w:val="32"/>
          <w:szCs w:val="32"/>
          <w:u w:val="none"/>
          <w:lang w:val="en-US" w:eastAsia="zh-CN"/>
        </w:rPr>
        <w:t>6.</w:t>
      </w:r>
      <w:r>
        <w:rPr>
          <w:rFonts w:hint="eastAsia" w:ascii="仿宋_GB2312" w:hAnsi="宋体" w:eastAsia="仿宋_GB2312"/>
          <w:color w:val="auto"/>
          <w:sz w:val="32"/>
          <w:szCs w:val="32"/>
          <w:u w:val="none"/>
        </w:rPr>
        <w:t>树立生态保护意识，不采摘花草、不破坏绿地草坪、不投喂野生动物、不食用野果、不饮用未经净化的水源，避免污染自然水系。</w:t>
      </w:r>
    </w:p>
    <w:p w14:paraId="49E9FDE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宋体" w:eastAsia="仿宋_GB2312"/>
          <w:color w:val="auto"/>
          <w:sz w:val="32"/>
          <w:szCs w:val="32"/>
          <w:u w:val="none"/>
        </w:rPr>
      </w:pPr>
      <w:r>
        <w:rPr>
          <w:rFonts w:hint="eastAsia" w:ascii="仿宋_GB2312" w:hAnsi="宋体" w:eastAsia="仿宋_GB2312"/>
          <w:color w:val="auto"/>
          <w:sz w:val="32"/>
          <w:szCs w:val="32"/>
          <w:u w:val="none"/>
          <w:lang w:val="en-US" w:eastAsia="zh-CN"/>
        </w:rPr>
        <w:t>7.</w:t>
      </w:r>
      <w:r>
        <w:rPr>
          <w:rFonts w:hint="eastAsia" w:ascii="仿宋_GB2312" w:hAnsi="宋体" w:eastAsia="仿宋_GB2312"/>
          <w:color w:val="auto"/>
          <w:sz w:val="32"/>
          <w:szCs w:val="32"/>
          <w:u w:val="none"/>
        </w:rPr>
        <w:t>爱护环境卫生，自觉带走露营产生的垃圾，做好垃圾分类回收，践行“绿色露营”和“无痕露营”。</w:t>
      </w:r>
    </w:p>
    <w:p w14:paraId="23B23C6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u w:val="none"/>
          <w:lang w:val="en-US" w:eastAsia="zh-CN"/>
        </w:rPr>
      </w:pPr>
      <w:r>
        <w:rPr>
          <w:rFonts w:hint="eastAsia" w:ascii="仿宋_GB2312" w:hAnsi="宋体" w:eastAsia="仿宋_GB2312"/>
          <w:color w:val="auto"/>
          <w:sz w:val="32"/>
          <w:szCs w:val="32"/>
          <w:u w:val="none"/>
          <w:lang w:val="en-US" w:eastAsia="zh-CN"/>
        </w:rPr>
        <w:t>8.</w:t>
      </w:r>
      <w:r>
        <w:rPr>
          <w:rFonts w:hint="eastAsia" w:ascii="仿宋_GB2312" w:hAnsi="宋体" w:eastAsia="仿宋_GB2312"/>
          <w:color w:val="auto"/>
          <w:sz w:val="32"/>
          <w:szCs w:val="32"/>
          <w:u w:val="none"/>
        </w:rPr>
        <w:t>搭设帐篷时与他人保持安全距离，预留充足隐私空间；不大声喧哗、不过度娱乐，注意老人和儿童安全。</w:t>
      </w:r>
    </w:p>
    <w:bookmarkEnd w:id="0"/>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F1A150-1877-41D4-AAE9-478DB831008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9FA2687-ECAB-4798-A2E7-4A15D05597AA}"/>
  </w:font>
  <w:font w:name="仿宋_GB2312">
    <w:panose1 w:val="02010609030101010101"/>
    <w:charset w:val="86"/>
    <w:family w:val="auto"/>
    <w:pitch w:val="default"/>
    <w:sig w:usb0="00000001" w:usb1="080E0000" w:usb2="00000000" w:usb3="00000000" w:csb0="00040000" w:csb1="00000000"/>
    <w:embedRegular r:id="rId3" w:fontKey="{B06F66C7-074F-4411-8769-21E5A4DA9690}"/>
  </w:font>
  <w:font w:name="方正小标宋简体">
    <w:panose1 w:val="02000000000000000000"/>
    <w:charset w:val="86"/>
    <w:family w:val="script"/>
    <w:pitch w:val="default"/>
    <w:sig w:usb0="A00002BF" w:usb1="184F6CFA" w:usb2="00000012" w:usb3="00000000" w:csb0="00040001" w:csb1="00000000"/>
    <w:embedRegular r:id="rId4" w:fontKey="{EB4A3375-A566-4A67-9427-8F077AB7D81F}"/>
  </w:font>
  <w:font w:name="楷体_GB2312">
    <w:panose1 w:val="02010609030101010101"/>
    <w:charset w:val="86"/>
    <w:family w:val="auto"/>
    <w:pitch w:val="default"/>
    <w:sig w:usb0="00000001" w:usb1="080E0000" w:usb2="00000000" w:usb3="00000000" w:csb0="00040000" w:csb1="00000000"/>
    <w:embedRegular r:id="rId5" w:fontKey="{BA773F2F-7573-41AC-8AB5-40FE18CC2358}"/>
  </w:font>
  <w:font w:name="方正小标宋_GBK">
    <w:panose1 w:val="02000000000000000000"/>
    <w:charset w:val="86"/>
    <w:family w:val="script"/>
    <w:pitch w:val="default"/>
    <w:sig w:usb0="A00002BF" w:usb1="38CF7CFA" w:usb2="00082016" w:usb3="00000000" w:csb0="00040001" w:csb1="00000000"/>
    <w:embedRegular r:id="rId6" w:fontKey="{6D5F1B65-D157-4458-9FB8-0091E6549C1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FA77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DDA18">
                          <w:pPr>
                            <w:pStyle w:val="5"/>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  \* MERGEFORMAT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1</w:t>
                          </w:r>
                          <w:r>
                            <w:rPr>
                              <w:rFonts w:hint="eastAsia" w:asciiTheme="minorEastAsia" w:hAnsiTheme="minorEastAsia" w:eastAsiaTheme="minorEastAsia" w:cstheme="minorEastAsia"/>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ADDA18">
                    <w:pPr>
                      <w:pStyle w:val="5"/>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  \* MERGEFORMAT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1</w:t>
                    </w:r>
                    <w:r>
                      <w:rPr>
                        <w:rFonts w:hint="eastAsia" w:asciiTheme="minorEastAsia" w:hAnsiTheme="minorEastAsia" w:eastAsiaTheme="minorEastAsia" w:cstheme="minorEastAsia"/>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4428B3"/>
    <w:rsid w:val="0F1F7B2B"/>
    <w:rsid w:val="1789062B"/>
    <w:rsid w:val="1E7F53FA"/>
    <w:rsid w:val="2259506A"/>
    <w:rsid w:val="2B4428B3"/>
    <w:rsid w:val="2EF824FD"/>
    <w:rsid w:val="2F7F585F"/>
    <w:rsid w:val="3BFDDEAC"/>
    <w:rsid w:val="3C7F981A"/>
    <w:rsid w:val="3E0E4FFA"/>
    <w:rsid w:val="3E357663"/>
    <w:rsid w:val="3FBF2EC6"/>
    <w:rsid w:val="3FDB9D2C"/>
    <w:rsid w:val="449C636C"/>
    <w:rsid w:val="463F5CC2"/>
    <w:rsid w:val="499C7ED1"/>
    <w:rsid w:val="55FC2321"/>
    <w:rsid w:val="57FE8A57"/>
    <w:rsid w:val="5AD370E0"/>
    <w:rsid w:val="5CBF33EE"/>
    <w:rsid w:val="5DCF5B58"/>
    <w:rsid w:val="5EB77E1A"/>
    <w:rsid w:val="5EF24155"/>
    <w:rsid w:val="5FCB4BB7"/>
    <w:rsid w:val="6AF24D91"/>
    <w:rsid w:val="6E8B10BB"/>
    <w:rsid w:val="6EFE8419"/>
    <w:rsid w:val="6FEF47BF"/>
    <w:rsid w:val="70A273C1"/>
    <w:rsid w:val="74F6E32D"/>
    <w:rsid w:val="77EEF7C7"/>
    <w:rsid w:val="7BE8DEBC"/>
    <w:rsid w:val="7D1D4F3D"/>
    <w:rsid w:val="7DFA4E8F"/>
    <w:rsid w:val="7ED79068"/>
    <w:rsid w:val="7EFFE0F1"/>
    <w:rsid w:val="7F53E356"/>
    <w:rsid w:val="7F7B6B9F"/>
    <w:rsid w:val="7FC2FB2F"/>
    <w:rsid w:val="7FEF71D4"/>
    <w:rsid w:val="7FF96168"/>
    <w:rsid w:val="7FFA6ECB"/>
    <w:rsid w:val="8F92A0F7"/>
    <w:rsid w:val="AF77F597"/>
    <w:rsid w:val="BE7376DA"/>
    <w:rsid w:val="BF1D4E35"/>
    <w:rsid w:val="BFEFED55"/>
    <w:rsid w:val="CBBD91DC"/>
    <w:rsid w:val="CCB31110"/>
    <w:rsid w:val="CDF69467"/>
    <w:rsid w:val="CFFD81BC"/>
    <w:rsid w:val="DDBF06E1"/>
    <w:rsid w:val="DEBDC4D8"/>
    <w:rsid w:val="DEFB050B"/>
    <w:rsid w:val="EBFEC1A0"/>
    <w:rsid w:val="EFF5E953"/>
    <w:rsid w:val="F2F1B8E8"/>
    <w:rsid w:val="F5FF673A"/>
    <w:rsid w:val="F77F2375"/>
    <w:rsid w:val="FAF6EBEE"/>
    <w:rsid w:val="FBDF0F6C"/>
    <w:rsid w:val="FDA7A2C0"/>
    <w:rsid w:val="FDDE7C8C"/>
    <w:rsid w:val="FEF5B617"/>
    <w:rsid w:val="FFBE22E4"/>
    <w:rsid w:val="FFED9A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0"/>
    <w:pPr>
      <w:ind w:firstLine="720"/>
    </w:pPr>
    <w:rPr>
      <w:rFonts w:eastAsia="仿宋_GB2312"/>
      <w:sz w:val="32"/>
    </w:rPr>
  </w:style>
  <w:style w:type="paragraph" w:styleId="3">
    <w:name w:val="annotation text"/>
    <w:basedOn w:val="1"/>
    <w:qFormat/>
    <w:uiPriority w:val="0"/>
    <w:pPr>
      <w:jc w:val="left"/>
    </w:pPr>
  </w:style>
  <w:style w:type="paragraph" w:styleId="4">
    <w:name w:val="toc 3"/>
    <w:next w:val="1"/>
    <w:unhideWhenUsed/>
    <w:qFormat/>
    <w:uiPriority w:val="39"/>
    <w:pPr>
      <w:widowControl w:val="0"/>
      <w:spacing w:line="560" w:lineRule="exact"/>
      <w:jc w:val="left"/>
    </w:pPr>
    <w:rPr>
      <w:rFonts w:ascii="方正小标宋简体" w:hAnsi="黑体" w:eastAsia="方正小标宋简体" w:cs="Times New Roman"/>
      <w:kern w:val="2"/>
      <w:sz w:val="44"/>
      <w:szCs w:val="4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table" w:styleId="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paragraph" w:customStyle="1" w:styleId="12">
    <w:name w:val=" Char Char Char Char Char Char Char"/>
    <w:basedOn w:val="1"/>
    <w:qFormat/>
    <w:uiPriority w:val="0"/>
    <w:rPr>
      <w:rFonts w:ascii="宋体" w:hAnsi="宋体" w:cs="Courier New"/>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585</Words>
  <Characters>617</Characters>
  <Lines>0</Lines>
  <Paragraphs>0</Paragraphs>
  <TotalTime>27</TotalTime>
  <ScaleCrop>false</ScaleCrop>
  <LinksUpToDate>false</LinksUpToDate>
  <CharactersWithSpaces>630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2026-06-13T23:26:00Z</dcterms:created>
  <dc:creator>L幻想</dc:creator>
  <cp:lastModifiedBy>L幻想</cp:lastModifiedBy>
  <cp:lastPrinted>2026-07-10T14:35:00Z</cp:lastPrinted>
  <dcterms:modified xsi:type="dcterms:W3CDTF">2026-07-11T01:15:16Z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7187D526FD2E4CD8B8BB1BE333372848_13</vt:lpwstr>
  </property>
  <property fmtid="{D5CDD505-2E9C-101B-9397-08002B2CF9AE}" pid="4" name="KSOTemplateDocerSaveRecord">
    <vt:lpwstr>eyJoZGlkIjoiM2M2ZTA0YjFkMzY1NTA4NDI4OTYyNTM0ZTRmZDFmZjUiLCJ1c2VySWQiOiIzNDUyMjM3MjgifQ==</vt:lpwstr>
  </property>
</Properties>
</file>