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F48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val="0"/>
          <w:bCs w:val="0"/>
          <w:color w:val="1F2329"/>
          <w:sz w:val="44"/>
          <w:szCs w:val="44"/>
          <w:lang w:val="en-US" w:eastAsia="zh-CN"/>
        </w:rPr>
      </w:pPr>
      <w:bookmarkStart w:id="0" w:name="_GoBack"/>
      <w:r>
        <w:rPr>
          <w:rFonts w:hint="eastAsia" w:ascii="方正小标宋简体" w:hAnsi="方正小标宋简体" w:eastAsia="方正小标宋简体" w:cs="方正小标宋简体"/>
          <w:b w:val="0"/>
          <w:bCs w:val="0"/>
          <w:color w:val="1F2329"/>
          <w:sz w:val="44"/>
          <w:szCs w:val="44"/>
        </w:rPr>
        <w:t>关于</w:t>
      </w:r>
      <w:r>
        <w:rPr>
          <w:rFonts w:hint="eastAsia" w:ascii="方正小标宋简体" w:hAnsi="方正小标宋简体" w:eastAsia="方正小标宋简体" w:cs="方正小标宋简体"/>
          <w:b w:val="0"/>
          <w:bCs w:val="0"/>
          <w:color w:val="1F2329"/>
          <w:sz w:val="44"/>
          <w:szCs w:val="44"/>
          <w:lang w:eastAsia="zh-CN"/>
        </w:rPr>
        <w:t>对</w:t>
      </w:r>
      <w:r>
        <w:rPr>
          <w:rFonts w:hint="eastAsia" w:ascii="方正小标宋简体" w:hAnsi="方正小标宋简体" w:eastAsia="方正小标宋简体" w:cs="方正小标宋简体"/>
          <w:b w:val="0"/>
          <w:bCs w:val="0"/>
          <w:color w:val="1F2329"/>
          <w:sz w:val="44"/>
          <w:szCs w:val="44"/>
          <w:lang w:val="en-US" w:eastAsia="zh-CN"/>
        </w:rPr>
        <w:t>《关于北京城市副中心推动场景创新应用促进区域高质量发展若干措施</w:t>
      </w:r>
    </w:p>
    <w:p w14:paraId="78DCFF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val="0"/>
          <w:bCs w:val="0"/>
          <w:color w:val="1F2329"/>
          <w:sz w:val="44"/>
          <w:szCs w:val="44"/>
        </w:rPr>
      </w:pPr>
      <w:r>
        <w:rPr>
          <w:rFonts w:hint="eastAsia" w:ascii="方正小标宋简体" w:hAnsi="方正小标宋简体" w:eastAsia="方正小标宋简体" w:cs="方正小标宋简体"/>
          <w:b w:val="0"/>
          <w:bCs w:val="0"/>
          <w:color w:val="1F2329"/>
          <w:sz w:val="44"/>
          <w:szCs w:val="44"/>
          <w:lang w:val="en-US" w:eastAsia="zh-CN"/>
        </w:rPr>
        <w:t>（征求意见稿）》</w:t>
      </w:r>
      <w:r>
        <w:rPr>
          <w:rFonts w:hint="eastAsia" w:ascii="方正小标宋简体" w:hAnsi="方正小标宋简体" w:eastAsia="方正小标宋简体" w:cs="方正小标宋简体"/>
          <w:b w:val="0"/>
          <w:bCs w:val="0"/>
          <w:color w:val="1F2329"/>
          <w:sz w:val="44"/>
          <w:szCs w:val="44"/>
          <w:lang w:eastAsia="zh-CN"/>
        </w:rPr>
        <w:t>的</w:t>
      </w:r>
      <w:r>
        <w:rPr>
          <w:rFonts w:hint="eastAsia" w:ascii="方正小标宋简体" w:hAnsi="方正小标宋简体" w:eastAsia="方正小标宋简体" w:cs="方正小标宋简体"/>
          <w:b w:val="0"/>
          <w:bCs w:val="0"/>
          <w:color w:val="1F2329"/>
          <w:sz w:val="44"/>
          <w:szCs w:val="44"/>
        </w:rPr>
        <w:t>起草说明</w:t>
      </w:r>
    </w:p>
    <w:bookmarkEnd w:id="0"/>
    <w:p w14:paraId="23AE9DB3">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hint="eastAsia" w:ascii="黑体" w:hAnsi="黑体" w:eastAsia="黑体" w:cs="黑体"/>
          <w:sz w:val="32"/>
          <w:szCs w:val="32"/>
        </w:rPr>
      </w:pPr>
    </w:p>
    <w:p w14:paraId="38592A3A">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一、制定背景与必要性</w:t>
      </w:r>
    </w:p>
    <w:p w14:paraId="26AB73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政策背景</w:t>
      </w:r>
    </w:p>
    <w:p w14:paraId="7ECD74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1.国家层面：</w:t>
      </w:r>
      <w:r>
        <w:rPr>
          <w:rFonts w:hint="eastAsia" w:ascii="仿宋_GB2312" w:hAnsi="仿宋_GB2312" w:eastAsia="仿宋_GB2312" w:cs="仿宋_GB2312"/>
          <w:sz w:val="32"/>
          <w:szCs w:val="32"/>
          <w:lang w:val="en-US" w:eastAsia="zh-CN"/>
        </w:rPr>
        <w:t>2025年10月31日，</w:t>
      </w:r>
      <w:r>
        <w:rPr>
          <w:rFonts w:hint="eastAsia" w:ascii="仿宋_GB2312" w:hAnsi="仿宋_GB2312" w:eastAsia="仿宋_GB2312" w:cs="仿宋_GB2312"/>
          <w:b w:val="0"/>
          <w:bCs w:val="0"/>
          <w:sz w:val="32"/>
          <w:szCs w:val="32"/>
          <w:lang w:val="en-US" w:eastAsia="zh-CN"/>
        </w:rPr>
        <w:t>国务院常务会议部署加快场景培育和开放推动新场景大规模应用有关举措。11月7日国务院办公厅正式印发《关于加快场景培</w:t>
      </w:r>
      <w:r>
        <w:rPr>
          <w:rFonts w:hint="eastAsia" w:ascii="仿宋_GB2312" w:hAnsi="仿宋_GB2312" w:eastAsia="仿宋_GB2312" w:cs="仿宋_GB2312"/>
          <w:sz w:val="32"/>
          <w:szCs w:val="32"/>
          <w:lang w:val="en-US" w:eastAsia="zh-CN"/>
        </w:rPr>
        <w:t>育和开放 推动新场景大规模应用的实施意见》，将场景作为“十五五”时期改革创新重要工具，系统性部署场景培育和开放工作。</w:t>
      </w:r>
      <w:r>
        <w:rPr>
          <w:rFonts w:hint="eastAsia" w:ascii="仿宋_GB2312" w:hAnsi="仿宋_GB2312" w:eastAsia="仿宋_GB2312" w:cs="仿宋_GB2312"/>
          <w:b w:val="0"/>
          <w:bCs w:val="0"/>
          <w:sz w:val="32"/>
          <w:szCs w:val="32"/>
          <w:lang w:val="en-US" w:eastAsia="zh-CN"/>
        </w:rPr>
        <w:t>2.北京市层面：</w:t>
      </w:r>
      <w:r>
        <w:rPr>
          <w:rFonts w:hint="eastAsia" w:ascii="仿宋_GB2312" w:hAnsi="仿宋_GB2312" w:eastAsia="仿宋_GB2312" w:cs="仿宋_GB2312"/>
          <w:sz w:val="32"/>
          <w:szCs w:val="32"/>
          <w:lang w:val="en-US" w:eastAsia="zh-CN"/>
        </w:rPr>
        <w:t>2026年5月13日北京市发展改革委等</w:t>
      </w:r>
      <w:r>
        <w:rPr>
          <w:rFonts w:hint="eastAsia" w:ascii="仿宋_GB2312" w:hAnsi="仿宋_GB2312" w:eastAsia="仿宋_GB2312" w:cs="仿宋_GB2312"/>
          <w:b w:val="0"/>
          <w:bCs w:val="0"/>
          <w:sz w:val="32"/>
          <w:szCs w:val="32"/>
          <w:lang w:val="en-US" w:eastAsia="zh-CN"/>
        </w:rPr>
        <w:t>4部门联合发布《北京市加快推动场景培育和开放应用工作方案》</w:t>
      </w:r>
      <w:r>
        <w:rPr>
          <w:rFonts w:hint="eastAsia" w:ascii="仿宋_GB2312" w:hAnsi="仿宋_GB2312" w:eastAsia="仿宋_GB2312" w:cs="仿宋_GB2312"/>
          <w:sz w:val="32"/>
          <w:szCs w:val="32"/>
          <w:lang w:val="en-US" w:eastAsia="zh-CN"/>
        </w:rPr>
        <w:t>。</w:t>
      </w:r>
    </w:p>
    <w:p w14:paraId="327084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rPr>
        <w:t>现实需求</w:t>
      </w:r>
    </w:p>
    <w:p w14:paraId="7780BC2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sz w:val="32"/>
          <w:szCs w:val="32"/>
          <w:lang w:val="en-US" w:eastAsia="zh-CN"/>
        </w:rPr>
        <w:t>自2024年底开始系统性研究部署应用场景创新工作，</w:t>
      </w:r>
      <w:r>
        <w:rPr>
          <w:rFonts w:hint="eastAsia" w:ascii="仿宋_GB2312" w:hAnsi="仿宋_GB2312" w:eastAsia="仿宋_GB2312" w:cs="仿宋_GB2312"/>
          <w:sz w:val="32"/>
          <w:szCs w:val="32"/>
          <w:lang w:eastAsia="zh-CN"/>
        </w:rPr>
        <w:t>是北京市内首个系统性全领域全流程推进应用场景创新工作的行政区。</w:t>
      </w:r>
      <w:r>
        <w:rPr>
          <w:rFonts w:hint="eastAsia" w:ascii="仿宋_GB2312" w:hAnsi="仿宋_GB2312" w:eastAsia="仿宋_GB2312" w:cs="仿宋_GB2312"/>
          <w:i w:val="0"/>
          <w:caps w:val="0"/>
          <w:color w:val="000000"/>
          <w:spacing w:val="0"/>
          <w:sz w:val="32"/>
          <w:szCs w:val="32"/>
        </w:rPr>
        <w:t>经过一年多实践</w:t>
      </w:r>
      <w:r>
        <w:rPr>
          <w:rFonts w:hint="eastAsia" w:ascii="仿宋_GB2312" w:hAnsi="仿宋_GB2312" w:eastAsia="仿宋_GB2312" w:cs="仿宋_GB2312"/>
          <w:i w:val="0"/>
          <w:caps w:val="0"/>
          <w:color w:val="000000"/>
          <w:spacing w:val="0"/>
          <w:sz w:val="32"/>
          <w:szCs w:val="32"/>
          <w:lang w:eastAsia="zh-CN"/>
        </w:rPr>
        <w:t>已</w:t>
      </w:r>
      <w:r>
        <w:rPr>
          <w:rFonts w:hint="eastAsia" w:ascii="仿宋_GB2312" w:hAnsi="仿宋_GB2312" w:eastAsia="仿宋_GB2312" w:cs="仿宋_GB2312"/>
          <w:i w:val="0"/>
          <w:caps w:val="0"/>
          <w:color w:val="000000"/>
          <w:spacing w:val="0"/>
          <w:sz w:val="32"/>
          <w:szCs w:val="32"/>
        </w:rPr>
        <w:t>形成基础工作体系，但仍存在短板：</w:t>
      </w:r>
      <w:r>
        <w:rPr>
          <w:rFonts w:hint="eastAsia" w:ascii="仿宋_GB2312" w:hAnsi="仿宋_GB2312" w:eastAsia="仿宋_GB2312" w:cs="仿宋_GB2312"/>
          <w:b w:val="0"/>
          <w:bCs w:val="0"/>
          <w:i w:val="0"/>
          <w:caps w:val="0"/>
          <w:color w:val="000000"/>
          <w:spacing w:val="0"/>
          <w:sz w:val="32"/>
          <w:szCs w:val="32"/>
          <w:lang w:eastAsia="zh-CN"/>
        </w:rPr>
        <w:t>一是</w:t>
      </w:r>
      <w:r>
        <w:rPr>
          <w:rFonts w:hint="eastAsia" w:ascii="仿宋_GB2312" w:hAnsi="仿宋_GB2312" w:eastAsia="仿宋_GB2312" w:cs="仿宋_GB2312"/>
          <w:i w:val="0"/>
          <w:caps w:val="0"/>
          <w:color w:val="000000"/>
          <w:spacing w:val="0"/>
          <w:sz w:val="32"/>
          <w:szCs w:val="32"/>
        </w:rPr>
        <w:t>工作统筹机制仍需细化，部门联动、国企场景开放激励不足，场景挖掘深度不够</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b w:val="0"/>
          <w:bCs w:val="0"/>
          <w:i w:val="0"/>
          <w:caps w:val="0"/>
          <w:color w:val="000000"/>
          <w:spacing w:val="0"/>
          <w:sz w:val="32"/>
          <w:szCs w:val="32"/>
          <w:lang w:eastAsia="zh-CN"/>
        </w:rPr>
        <w:t>二是</w:t>
      </w:r>
      <w:r>
        <w:rPr>
          <w:rFonts w:hint="eastAsia" w:ascii="仿宋_GB2312" w:hAnsi="仿宋_GB2312" w:eastAsia="仿宋_GB2312" w:cs="仿宋_GB2312"/>
          <w:i w:val="0"/>
          <w:caps w:val="0"/>
          <w:color w:val="000000"/>
          <w:spacing w:val="0"/>
          <w:sz w:val="32"/>
          <w:szCs w:val="32"/>
        </w:rPr>
        <w:t>场景资源分散，重大、高价值场景供给偏少</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常态化供需对接规模有待提升；三是</w:t>
      </w:r>
      <w:r>
        <w:rPr>
          <w:rFonts w:hint="eastAsia" w:ascii="仿宋_GB2312" w:hAnsi="仿宋_GB2312" w:eastAsia="仿宋_GB2312" w:cs="仿宋_GB2312"/>
          <w:i w:val="0"/>
          <w:caps w:val="0"/>
          <w:color w:val="000000"/>
          <w:spacing w:val="0"/>
          <w:sz w:val="32"/>
          <w:szCs w:val="32"/>
          <w:lang w:eastAsia="zh-CN"/>
        </w:rPr>
        <w:t>以</w:t>
      </w:r>
      <w:r>
        <w:rPr>
          <w:rFonts w:hint="eastAsia" w:ascii="仿宋_GB2312" w:hAnsi="仿宋_GB2312" w:eastAsia="仿宋_GB2312" w:cs="仿宋_GB2312"/>
          <w:i w:val="0"/>
          <w:caps w:val="0"/>
          <w:color w:val="000000"/>
          <w:spacing w:val="0"/>
          <w:sz w:val="32"/>
          <w:szCs w:val="32"/>
        </w:rPr>
        <w:t>出台专项</w:t>
      </w:r>
      <w:r>
        <w:rPr>
          <w:rFonts w:hint="eastAsia" w:ascii="仿宋_GB2312" w:hAnsi="仿宋_GB2312" w:eastAsia="仿宋_GB2312" w:cs="仿宋_GB2312"/>
          <w:i w:val="0"/>
          <w:caps w:val="0"/>
          <w:color w:val="000000"/>
          <w:spacing w:val="0"/>
          <w:sz w:val="32"/>
          <w:szCs w:val="32"/>
          <w:lang w:eastAsia="zh-CN"/>
        </w:rPr>
        <w:t>场景政策深入贯彻落实国家层面、北京市层面的工作部署，</w:t>
      </w:r>
      <w:r>
        <w:rPr>
          <w:rFonts w:hint="eastAsia" w:ascii="仿宋_GB2312" w:hAnsi="仿宋_GB2312" w:eastAsia="仿宋_GB2312" w:cs="仿宋_GB2312"/>
          <w:i w:val="0"/>
          <w:caps w:val="0"/>
          <w:color w:val="000000"/>
          <w:spacing w:val="0"/>
          <w:sz w:val="32"/>
          <w:szCs w:val="32"/>
        </w:rPr>
        <w:t>以场景创新</w:t>
      </w:r>
      <w:r>
        <w:rPr>
          <w:rFonts w:hint="eastAsia" w:ascii="仿宋_GB2312" w:hAnsi="仿宋_GB2312" w:eastAsia="仿宋_GB2312" w:cs="仿宋_GB2312"/>
          <w:i w:val="0"/>
          <w:caps w:val="0"/>
          <w:color w:val="000000"/>
          <w:spacing w:val="0"/>
          <w:sz w:val="32"/>
          <w:szCs w:val="32"/>
          <w:lang w:eastAsia="zh-CN"/>
        </w:rPr>
        <w:t>应用</w:t>
      </w:r>
      <w:r>
        <w:rPr>
          <w:rFonts w:hint="eastAsia" w:ascii="仿宋_GB2312" w:hAnsi="仿宋_GB2312" w:eastAsia="仿宋_GB2312" w:cs="仿宋_GB2312"/>
          <w:i w:val="0"/>
          <w:caps w:val="0"/>
          <w:color w:val="000000"/>
          <w:spacing w:val="0"/>
          <w:sz w:val="32"/>
          <w:szCs w:val="32"/>
        </w:rPr>
        <w:t>赋能产业升级、城市</w:t>
      </w:r>
      <w:r>
        <w:rPr>
          <w:rFonts w:hint="eastAsia" w:ascii="仿宋_GB2312" w:hAnsi="仿宋_GB2312" w:eastAsia="仿宋_GB2312" w:cs="仿宋_GB2312"/>
          <w:i w:val="0"/>
          <w:caps w:val="0"/>
          <w:color w:val="000000"/>
          <w:spacing w:val="0"/>
          <w:sz w:val="32"/>
          <w:szCs w:val="32"/>
          <w:lang w:eastAsia="zh-CN"/>
        </w:rPr>
        <w:t>治理</w:t>
      </w:r>
      <w:r>
        <w:rPr>
          <w:rFonts w:hint="eastAsia" w:ascii="仿宋_GB2312" w:hAnsi="仿宋_GB2312" w:eastAsia="仿宋_GB2312" w:cs="仿宋_GB2312"/>
          <w:i w:val="0"/>
          <w:caps w:val="0"/>
          <w:color w:val="000000"/>
          <w:spacing w:val="0"/>
          <w:sz w:val="32"/>
          <w:szCs w:val="32"/>
        </w:rPr>
        <w:t>与</w:t>
      </w:r>
      <w:r>
        <w:rPr>
          <w:rFonts w:hint="eastAsia" w:ascii="仿宋_GB2312" w:hAnsi="仿宋_GB2312" w:eastAsia="仿宋_GB2312" w:cs="仿宋_GB2312"/>
          <w:i w:val="0"/>
          <w:caps w:val="0"/>
          <w:color w:val="000000"/>
          <w:spacing w:val="0"/>
          <w:sz w:val="32"/>
          <w:szCs w:val="32"/>
          <w:lang w:eastAsia="zh-CN"/>
        </w:rPr>
        <w:t>地区经济</w:t>
      </w:r>
      <w:r>
        <w:rPr>
          <w:rFonts w:hint="eastAsia" w:ascii="仿宋_GB2312" w:hAnsi="仿宋_GB2312" w:eastAsia="仿宋_GB2312" w:cs="仿宋_GB2312"/>
          <w:i w:val="0"/>
          <w:caps w:val="0"/>
          <w:color w:val="000000"/>
          <w:spacing w:val="0"/>
          <w:sz w:val="32"/>
          <w:szCs w:val="32"/>
        </w:rPr>
        <w:t>发展。</w:t>
      </w:r>
    </w:p>
    <w:p w14:paraId="639132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出台必要性</w:t>
      </w:r>
    </w:p>
    <w:p w14:paraId="390E4B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
        </w:rPr>
        <w:t>一是市场主体需求持续攀升，企业场景创新诉求迫切。</w:t>
      </w:r>
      <w:r>
        <w:rPr>
          <w:rFonts w:hint="eastAsia" w:ascii="仿宋_GB2312" w:hAnsi="仿宋_GB2312" w:eastAsia="仿宋_GB2312" w:cs="仿宋_GB2312"/>
          <w:kern w:val="2"/>
          <w:sz w:val="32"/>
          <w:szCs w:val="32"/>
          <w:lang w:val="en-US" w:eastAsia="zh-CN" w:bidi="ar"/>
        </w:rPr>
        <w:t>随着新一代信息技术、人工智能、大数据等新兴产业快速迭代，新技术、新产品、新业态亟需真实应用场景完成技术验证、模式打磨和规模化落地，场景资源已成为企业落户发展、创新转型的核心考量因素。</w:t>
      </w:r>
      <w:r>
        <w:rPr>
          <w:rFonts w:hint="eastAsia" w:ascii="仿宋_GB2312" w:hAnsi="仿宋_GB2312" w:eastAsia="仿宋_GB2312" w:cs="仿宋_GB2312"/>
          <w:sz w:val="32"/>
          <w:szCs w:val="32"/>
          <w:lang w:val="en-US" w:eastAsia="zh-CN"/>
        </w:rPr>
        <w:t>二是场景是天然的各类要素综合配置的载体，以北京城市副中心开展要素市场化配置综合改革试点为契机，通过场景项目为技术、资本、土地、人才、数据、算力等各种生产要素提供验证空间，强化政策支持与规范实施，打破要素流通壁垒，加速产业要素在副中心集聚发展，形成产业。</w:t>
      </w:r>
    </w:p>
    <w:p w14:paraId="4024A1E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、《若干措施》主要内容说明</w:t>
      </w:r>
    </w:p>
    <w:p w14:paraId="6E1E7F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《若干措施》共三章十二条，包含总则、支持内容及标准、附则三大板块。</w:t>
      </w:r>
    </w:p>
    <w:p w14:paraId="4864BFC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总则</w:t>
      </w:r>
    </w:p>
    <w:p w14:paraId="583B74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明确政策制定目的、依据，作为全文纲领。</w:t>
      </w:r>
    </w:p>
    <w:p w14:paraId="51055E0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第二章  </w:t>
      </w:r>
      <w:r>
        <w:rPr>
          <w:rFonts w:hint="eastAsia" w:ascii="仿宋_GB2312" w:hAnsi="仿宋_GB2312" w:eastAsia="仿宋_GB2312" w:cs="仿宋_GB2312"/>
          <w:b/>
          <w:bCs/>
          <w:sz w:val="32"/>
          <w:szCs w:val="32"/>
        </w:rPr>
        <w:t>支持内容及标准</w:t>
      </w:r>
    </w:p>
    <w:p w14:paraId="14C8A1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1.支持场景清单发布。依托已构建的区级场景工作机制及已搭建的“副中心场景通”平台，鼓励政府部门、央国企、社会主体积极参与，及时发布场景清单，开展对接。</w:t>
      </w:r>
    </w:p>
    <w:p w14:paraId="7696F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2.支持国企场景开放。带动国有企业、行业领军企业积极开放场景资源，吸引民营企业、中小企业和科研院所参与，形成更多典型案例，强化场景开放协同共享。</w:t>
      </w:r>
    </w:p>
    <w:p w14:paraId="5ABD5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3.支持重点产业领域场景建设。旨在进一步集聚各产业领域特色场景资源，发挥新技术新产品应用推动产业发展转型升级作用。依托各领域发布的产业政策场景相关条款给予支持。</w:t>
      </w:r>
    </w:p>
    <w:p w14:paraId="0778A0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4.发挥重大项目牵引。依托副中心发展建设时期的重大项目资源优势，牵引场景创新落地、加速科技成果规模化应用。</w:t>
      </w:r>
    </w:p>
    <w:p w14:paraId="742E8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5.支持标杆场景打造。培育一批可复制、可推广的标志性示范场景，引领区域场景创新提质升级。</w:t>
      </w:r>
    </w:p>
    <w:p w14:paraId="61DD6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6.给予国家、市级配套支持。鼓励相关部门、经营主体积极申报优质场景项目向上争取支持，撬动上级资源赋能副中心产业创新发展。</w:t>
      </w:r>
    </w:p>
    <w:p w14:paraId="715C2D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7.支持开展科技研发场景应用转化。鼓励企业加大创新研发投入，推动自主研发新技术新产品落地场景实践。</w:t>
      </w:r>
    </w:p>
    <w:p w14:paraId="674E8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8.支持跨区域协同。依托京津冀区域协同场景创新联动机制，鼓励企业跨区域开展技术验证、成果转化，拓宽副中心科技成果外溢应用空间。</w:t>
      </w:r>
    </w:p>
    <w:p w14:paraId="327ED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9.支持开展场景供需对接。联动各类社会主体共同搭建场景供需对接、资本对接、成果展示平台，集聚创新资源、活跃区域场景创新氛围。</w:t>
      </w:r>
    </w:p>
    <w:p w14:paraId="5C75B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10.鼓励金融、保险支持。完善场景创新金融支撑体系，以金融赋能激发民营及中小企业参与场景建设积极性。</w:t>
      </w:r>
    </w:p>
    <w:p w14:paraId="33EA0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11.人才支持。依托本区域特色人才支持政策，强化对场景项目建设人才的服务保障，吸引企业、高校和科研院所参与重大场景建设。</w:t>
      </w:r>
    </w:p>
    <w:p w14:paraId="2536E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12.容错机制。推动国企探索场景创新尽职免责机制，减少国企场景开放、制度创新顾虑，充分释放各类主体场景创新活力。</w:t>
      </w:r>
    </w:p>
    <w:p w14:paraId="5DF09AB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附则</w:t>
      </w:r>
    </w:p>
    <w:p w14:paraId="64A68A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明确政策解释单位为通州区</w:t>
      </w:r>
      <w:r>
        <w:rPr>
          <w:rFonts w:hint="eastAsia" w:ascii="仿宋_GB2312" w:hAnsi="仿宋_GB2312" w:eastAsia="仿宋_GB2312" w:cs="仿宋_GB2312"/>
          <w:sz w:val="32"/>
          <w:szCs w:val="32"/>
          <w:lang w:eastAsia="zh-CN"/>
        </w:rPr>
        <w:t>发展和改革委员会；二是</w:t>
      </w:r>
      <w:r>
        <w:rPr>
          <w:rFonts w:hint="eastAsia" w:ascii="仿宋_GB2312" w:hAnsi="仿宋_GB2312" w:eastAsia="仿宋_GB2312" w:cs="仿宋_GB2312"/>
          <w:sz w:val="32"/>
          <w:szCs w:val="32"/>
        </w:rPr>
        <w:t>确立从优不重复申领原则：同一主体同一项目符合多项政策仅择优享受一次扶持，避免重复申领财政补贴；</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约定政策施行规则：落地后如遇上位法律法规修订或区级政策调整，按新规执行。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530B"/>
    <w:rsid w:val="044F28E7"/>
    <w:rsid w:val="122A6B06"/>
    <w:rsid w:val="17204E05"/>
    <w:rsid w:val="1C3477EC"/>
    <w:rsid w:val="1C7C31B6"/>
    <w:rsid w:val="231935D9"/>
    <w:rsid w:val="24843E9B"/>
    <w:rsid w:val="2D563608"/>
    <w:rsid w:val="37063104"/>
    <w:rsid w:val="38C01174"/>
    <w:rsid w:val="55177DC8"/>
    <w:rsid w:val="5AB454C5"/>
    <w:rsid w:val="62E15901"/>
    <w:rsid w:val="6BB20EC8"/>
    <w:rsid w:val="7A94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line="560" w:lineRule="exact"/>
      <w:ind w:left="0" w:right="0" w:firstLine="881" w:firstLineChars="200"/>
      <w:jc w:val="both"/>
    </w:pPr>
    <w:rPr>
      <w:rFonts w:ascii="Times New Roman" w:hAnsi="Times New Roman" w:cs="Times New Roman"/>
      <w:szCs w:val="21"/>
      <w:lang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1612</Words>
  <Characters>1642</Characters>
  <Lines>0</Lines>
  <Paragraphs>0</Paragraphs>
  <TotalTime>6</TotalTime>
  <ScaleCrop>false</ScaleCrop>
  <LinksUpToDate>false</LinksUpToDate>
  <CharactersWithSpaces>1649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2026-06-03T02:50:00Z</dcterms:created>
  <dc:creator>Administrator</dc:creator>
  <cp:lastModifiedBy>13252</cp:lastModifiedBy>
  <dcterms:modified xsi:type="dcterms:W3CDTF">2026-07-06T14:39:09Z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D600077E677744099C3BC635B0D3E55C_13</vt:lpwstr>
  </property>
</Properties>
</file>