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6F2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1" w:name="_GoBack"/>
      <w:bookmarkEnd w:id="1"/>
      <w:r>
        <w:rPr>
          <w:rFonts w:hint="eastAsia" w:ascii="方正小标宋简体" w:hAnsi="方正小标宋简体" w:eastAsia="方正小标宋简体" w:cs="方正小标宋简体"/>
          <w:sz w:val="44"/>
          <w:szCs w:val="44"/>
          <w:lang w:val="en-US" w:eastAsia="zh-CN"/>
        </w:rPr>
        <w:t>关于北京城市副中心推动场景创新应用</w:t>
      </w:r>
    </w:p>
    <w:p w14:paraId="35C526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促进区域高质量发展若干措施</w:t>
      </w:r>
    </w:p>
    <w:p w14:paraId="5673CB81">
      <w:pPr>
        <w:pStyle w:val="2"/>
        <w:ind w:left="0" w:leftChars="0" w:firstLine="0" w:firstLineChars="0"/>
        <w:jc w:val="center"/>
        <w:rPr>
          <w:rFonts w:hint="eastAsia" w:ascii="楷体" w:hAnsi="楷体" w:eastAsia="楷体" w:cs="楷体"/>
          <w:sz w:val="36"/>
          <w:szCs w:val="36"/>
          <w:lang w:val="en-US" w:eastAsia="zh-CN"/>
        </w:rPr>
      </w:pPr>
      <w:r>
        <w:rPr>
          <w:rFonts w:hint="eastAsia" w:ascii="楷体" w:hAnsi="楷体" w:eastAsia="楷体" w:cs="楷体"/>
          <w:sz w:val="36"/>
          <w:szCs w:val="36"/>
          <w:lang w:val="en-US" w:eastAsia="zh-CN"/>
        </w:rPr>
        <w:t>（征求意见稿）</w:t>
      </w:r>
    </w:p>
    <w:p w14:paraId="45872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96D4DBF">
      <w:pPr>
        <w:keepNext w:val="0"/>
        <w:keepLines w:val="0"/>
        <w:pageBreakBefore w:val="0"/>
        <w:widowControl w:val="0"/>
        <w:suppressAutoHyphens/>
        <w:kinsoku/>
        <w:wordWrap/>
        <w:overflowPunct/>
        <w:topLinePunct w:val="0"/>
        <w:autoSpaceDE/>
        <w:autoSpaceDN/>
        <w:bidi w:val="0"/>
        <w:adjustRightInd/>
        <w:snapToGrid/>
        <w:spacing w:afterLines="0" w:line="56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000000"/>
          <w:sz w:val="32"/>
          <w:szCs w:val="32"/>
        </w:rPr>
        <w:t>第一章  总则</w:t>
      </w:r>
    </w:p>
    <w:p w14:paraId="015076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为贯彻落实《国务院办公厅关于加快场景培育和开放推动新场景大规模应用的实施意见》《北京城市副中心要素市场化配置综合改革试点行动方案》《</w:t>
      </w:r>
      <w:r>
        <w:rPr>
          <w:rFonts w:hint="default" w:ascii="仿宋_GB2312" w:hAnsi="仿宋_GB2312" w:eastAsia="仿宋_GB2312" w:cs="仿宋_GB2312"/>
          <w:sz w:val="32"/>
          <w:szCs w:val="32"/>
          <w:lang w:eastAsia="zh-CN"/>
        </w:rPr>
        <w:t>北京市加快推动场景培育和开放应用工作方案</w:t>
      </w:r>
      <w:r>
        <w:rPr>
          <w:rFonts w:hint="eastAsia" w:ascii="仿宋_GB2312" w:hAnsi="仿宋_GB2312" w:eastAsia="仿宋_GB2312" w:cs="仿宋_GB2312"/>
          <w:sz w:val="32"/>
          <w:szCs w:val="32"/>
          <w:lang w:val="en-US" w:eastAsia="zh-CN"/>
        </w:rPr>
        <w:t>》等文件精神，以场景育创新、验技术、促发展，特制定本措施。</w:t>
      </w:r>
    </w:p>
    <w:p w14:paraId="091788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rPr>
      </w:pPr>
    </w:p>
    <w:p w14:paraId="6FA525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 xml:space="preserve">章  </w:t>
      </w:r>
      <w:r>
        <w:rPr>
          <w:rFonts w:hint="eastAsia" w:ascii="黑体" w:hAnsi="黑体" w:eastAsia="黑体" w:cs="黑体"/>
          <w:color w:val="000000"/>
          <w:sz w:val="32"/>
          <w:szCs w:val="32"/>
          <w:lang w:val="en-US" w:eastAsia="zh-CN"/>
        </w:rPr>
        <w:t>支持内容及标准</w:t>
      </w:r>
    </w:p>
    <w:p w14:paraId="280EF8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支持政府部门及央、国企主动谋划主业领域场景，吸引民营企业、中小企业和科研院所参与创新场景建设，加快培育和促进符合副中心功能发展定位的重点企业、重点项目，带动产业链上下游企业集聚、形成产业集群。经行业部门筛选推荐，纳入区级应用场景清单，通过“副中心场景通”平台推介对接。每年发布场景机会和场景能力不少于100项、重点打造不少于10项具有北京城市副中心特色的标杆场景。</w:t>
      </w:r>
    </w:p>
    <w:p w14:paraId="69023F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第二条</w:t>
      </w:r>
      <w:r>
        <w:rPr>
          <w:rFonts w:hint="eastAsia" w:ascii="仿宋_GB2312" w:hAnsi="仿宋_GB2312" w:eastAsia="仿宋_GB2312" w:cs="仿宋_GB2312"/>
          <w:sz w:val="32"/>
          <w:szCs w:val="32"/>
          <w:highlight w:val="none"/>
          <w:lang w:val="en-US" w:eastAsia="zh-CN"/>
        </w:rPr>
        <w:t xml:space="preserve"> 鼓励国有企业面向新技术新产品开放新场景，探索将国企场景开放情况纳入企业负责人年度经营业绩考核。对与行业领军、高精尖、专精特新以及民营企业联合攻关新技术新产品，形成典型场景案例的，给予最高10万元资金支持。</w:t>
      </w:r>
    </w:p>
    <w:p w14:paraId="799364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第三条</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鼓励采用“揭榜挂帅”</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“赛马”等</w:t>
      </w:r>
      <w:r>
        <w:rPr>
          <w:rFonts w:hint="eastAsia" w:ascii="仿宋_GB2312" w:hAnsi="仿宋_GB2312" w:eastAsia="仿宋_GB2312" w:cs="仿宋_GB2312"/>
          <w:sz w:val="32"/>
          <w:szCs w:val="32"/>
          <w:highlight w:val="none"/>
          <w:lang w:val="en-US" w:eastAsia="zh-CN"/>
        </w:rPr>
        <w:t>多种</w:t>
      </w:r>
      <w:r>
        <w:rPr>
          <w:rFonts w:hint="default" w:ascii="仿宋_GB2312" w:hAnsi="仿宋_GB2312" w:eastAsia="仿宋_GB2312" w:cs="仿宋_GB2312"/>
          <w:sz w:val="32"/>
          <w:szCs w:val="32"/>
          <w:highlight w:val="none"/>
          <w:lang w:val="en-US" w:eastAsia="zh-CN"/>
        </w:rPr>
        <w:t>方式围绕企业真实需求开展联合攻关、试用试产、场景验证</w:t>
      </w:r>
      <w:r>
        <w:rPr>
          <w:rFonts w:hint="eastAsia" w:ascii="仿宋_GB2312" w:hAnsi="仿宋_GB2312" w:eastAsia="仿宋_GB2312" w:cs="仿宋_GB2312"/>
          <w:sz w:val="32"/>
          <w:szCs w:val="32"/>
          <w:highlight w:val="none"/>
          <w:lang w:val="en-US" w:eastAsia="zh-CN"/>
        </w:rPr>
        <w:t>及应用推广，</w:t>
      </w:r>
      <w:r>
        <w:rPr>
          <w:rFonts w:hint="default" w:ascii="仿宋_GB2312" w:hAnsi="仿宋_GB2312" w:eastAsia="仿宋_GB2312" w:cs="仿宋_GB2312"/>
          <w:sz w:val="32"/>
          <w:szCs w:val="32"/>
          <w:highlight w:val="none"/>
          <w:lang w:val="en-US" w:eastAsia="zh-CN"/>
        </w:rPr>
        <w:t>支持民营领军企业牵头建设标杆应用场景</w:t>
      </w:r>
      <w:r>
        <w:rPr>
          <w:rFonts w:hint="eastAsia" w:ascii="仿宋_GB2312" w:hAnsi="仿宋_GB2312" w:eastAsia="仿宋_GB2312" w:cs="仿宋_GB2312"/>
          <w:sz w:val="32"/>
          <w:szCs w:val="32"/>
          <w:highlight w:val="none"/>
          <w:lang w:val="en-US" w:eastAsia="zh-CN"/>
        </w:rPr>
        <w:t>。对城市副中心数字经济、先进制造、商务经济、医药健康、文旅与视听、现代农业等重点产业，由各行业主管部门主动对接应用场景建设，推动本领域场景培育和开放，年度最高给予1000万元场景专项支持。</w:t>
      </w:r>
    </w:p>
    <w:p w14:paraId="6360DB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yellow"/>
          <w:lang w:val="en-US" w:eastAsia="zh-CN"/>
        </w:rPr>
      </w:pPr>
      <w:bookmarkStart w:id="0" w:name="OLE_LINK1"/>
      <w:r>
        <w:rPr>
          <w:rFonts w:hint="eastAsia" w:ascii="仿宋_GB2312" w:hAnsi="仿宋_GB2312" w:eastAsia="仿宋_GB2312" w:cs="仿宋_GB2312"/>
          <w:b/>
          <w:bCs/>
          <w:sz w:val="32"/>
          <w:szCs w:val="32"/>
          <w:highlight w:val="none"/>
          <w:lang w:val="en-US" w:eastAsia="zh-CN"/>
        </w:rPr>
        <w:t>第四条</w:t>
      </w:r>
      <w:r>
        <w:rPr>
          <w:rFonts w:hint="eastAsia" w:ascii="仿宋_GB2312" w:hAnsi="仿宋_GB2312" w:eastAsia="仿宋_GB2312" w:cs="仿宋_GB2312"/>
          <w:sz w:val="32"/>
          <w:szCs w:val="32"/>
          <w:highlight w:val="none"/>
          <w:lang w:val="en-US" w:eastAsia="zh-CN"/>
        </w:rPr>
        <w:t xml:space="preserve">  更好发挥副中心重大项目对场景培育和开放的带动效应，进一步提升新产品新技术在重大项目中的系统性验证应用。对在重大项目的基础上谋划新增用于开展应用场景建设的项目，</w:t>
      </w:r>
      <w:r>
        <w:rPr>
          <w:rFonts w:hint="default" w:ascii="仿宋_GB2312" w:hAnsi="仿宋_GB2312" w:eastAsia="仿宋_GB2312" w:cs="仿宋_GB2312"/>
          <w:sz w:val="32"/>
          <w:szCs w:val="32"/>
          <w:highlight w:val="none"/>
          <w:lang w:eastAsia="zh-CN"/>
        </w:rPr>
        <w:t>最高</w:t>
      </w:r>
      <w:r>
        <w:rPr>
          <w:rFonts w:hint="eastAsia" w:ascii="仿宋_GB2312" w:hAnsi="仿宋_GB2312" w:eastAsia="仿宋_GB2312" w:cs="仿宋_GB2312"/>
          <w:sz w:val="32"/>
          <w:szCs w:val="32"/>
          <w:highlight w:val="none"/>
          <w:lang w:val="en-US" w:eastAsia="zh-CN"/>
        </w:rPr>
        <w:t>给予</w:t>
      </w:r>
      <w:r>
        <w:rPr>
          <w:rFonts w:hint="default" w:ascii="仿宋_GB2312" w:hAnsi="仿宋_GB2312" w:eastAsia="仿宋_GB2312" w:cs="仿宋_GB2312"/>
          <w:sz w:val="32"/>
          <w:szCs w:val="32"/>
          <w:highlight w:val="none"/>
          <w:lang w:eastAsia="zh-CN"/>
        </w:rPr>
        <w:t>100万元</w:t>
      </w:r>
      <w:r>
        <w:rPr>
          <w:rFonts w:hint="eastAsia" w:ascii="仿宋_GB2312" w:hAnsi="仿宋_GB2312" w:eastAsia="仿宋_GB2312" w:cs="仿宋_GB2312"/>
          <w:sz w:val="32"/>
          <w:szCs w:val="32"/>
          <w:highlight w:val="none"/>
          <w:lang w:val="en-US" w:eastAsia="zh-CN"/>
        </w:rPr>
        <w:t>资金支持。</w:t>
      </w:r>
    </w:p>
    <w:bookmarkEnd w:id="0"/>
    <w:p w14:paraId="19F28E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第五条</w:t>
      </w:r>
      <w:r>
        <w:rPr>
          <w:rFonts w:hint="eastAsia" w:ascii="仿宋_GB2312" w:hAnsi="仿宋_GB2312" w:eastAsia="仿宋_GB2312" w:cs="仿宋_GB2312"/>
          <w:sz w:val="32"/>
          <w:szCs w:val="32"/>
          <w:highlight w:val="none"/>
          <w:lang w:val="en-US" w:eastAsia="zh-CN"/>
        </w:rPr>
        <w:t xml:space="preserve"> 重点支持标杆场景打造。对</w:t>
      </w:r>
      <w:r>
        <w:rPr>
          <w:rFonts w:hint="default" w:ascii="仿宋_GB2312" w:hAnsi="仿宋_GB2312" w:eastAsia="仿宋_GB2312" w:cs="仿宋_GB2312"/>
          <w:sz w:val="32"/>
          <w:szCs w:val="32"/>
          <w:highlight w:val="none"/>
          <w:lang w:val="en-US" w:eastAsia="zh-CN"/>
        </w:rPr>
        <w:t>通过“</w:t>
      </w:r>
      <w:r>
        <w:rPr>
          <w:rFonts w:hint="eastAsia" w:ascii="仿宋_GB2312" w:hAnsi="仿宋_GB2312" w:eastAsia="仿宋_GB2312" w:cs="仿宋_GB2312"/>
          <w:sz w:val="32"/>
          <w:szCs w:val="32"/>
          <w:highlight w:val="none"/>
          <w:lang w:val="en-US" w:eastAsia="zh-CN"/>
        </w:rPr>
        <w:t>副中心</w:t>
      </w:r>
      <w:r>
        <w:rPr>
          <w:rFonts w:hint="default" w:ascii="仿宋_GB2312" w:hAnsi="仿宋_GB2312" w:eastAsia="仿宋_GB2312" w:cs="仿宋_GB2312"/>
          <w:sz w:val="32"/>
          <w:szCs w:val="32"/>
          <w:highlight w:val="none"/>
          <w:lang w:val="en-US" w:eastAsia="zh-CN"/>
        </w:rPr>
        <w:t>场景通”平台成功匹配能力供给，经评审纳入标杆场景清单的示范项目，给予场景需求主体最高</w:t>
      </w:r>
      <w:r>
        <w:rPr>
          <w:rFonts w:hint="eastAsia" w:ascii="仿宋_GB2312" w:hAnsi="仿宋_GB2312" w:eastAsia="仿宋_GB2312" w:cs="仿宋_GB2312"/>
          <w:sz w:val="32"/>
          <w:szCs w:val="32"/>
          <w:highlight w:val="none"/>
          <w:lang w:val="en-US" w:eastAsia="zh-CN"/>
        </w:rPr>
        <w:t>100</w:t>
      </w:r>
      <w:r>
        <w:rPr>
          <w:rFonts w:hint="default" w:ascii="仿宋_GB2312" w:hAnsi="仿宋_GB2312" w:eastAsia="仿宋_GB2312" w:cs="仿宋_GB2312"/>
          <w:sz w:val="32"/>
          <w:szCs w:val="32"/>
          <w:highlight w:val="none"/>
          <w:lang w:val="en-US" w:eastAsia="zh-CN"/>
        </w:rPr>
        <w:t>万元支持。</w:t>
      </w:r>
    </w:p>
    <w:p w14:paraId="061E6D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第六条</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鼓励重点行业领域</w:t>
      </w:r>
      <w:r>
        <w:rPr>
          <w:rFonts w:hint="eastAsia" w:ascii="仿宋_GB2312" w:hAnsi="仿宋_GB2312" w:eastAsia="仿宋_GB2312" w:cs="仿宋_GB2312"/>
          <w:sz w:val="32"/>
          <w:szCs w:val="32"/>
          <w:highlight w:val="none"/>
          <w:lang w:val="en-US" w:eastAsia="zh-CN"/>
        </w:rPr>
        <w:t>推荐</w:t>
      </w:r>
      <w:r>
        <w:rPr>
          <w:rFonts w:hint="default" w:ascii="仿宋_GB2312" w:hAnsi="仿宋_GB2312" w:eastAsia="仿宋_GB2312" w:cs="仿宋_GB2312"/>
          <w:sz w:val="32"/>
          <w:szCs w:val="32"/>
          <w:highlight w:val="none"/>
          <w:lang w:val="en-US" w:eastAsia="zh-CN"/>
        </w:rPr>
        <w:t>企业主体积极申报标志性重大应用场景项目，对纳入国家层面标志性重大应用场景项目清单的，按照</w:t>
      </w:r>
      <w:r>
        <w:rPr>
          <w:rFonts w:hint="eastAsia" w:ascii="仿宋_GB2312" w:hAnsi="仿宋_GB2312" w:eastAsia="仿宋_GB2312" w:cs="仿宋_GB2312"/>
          <w:sz w:val="32"/>
          <w:szCs w:val="32"/>
          <w:highlight w:val="none"/>
          <w:lang w:val="en-US" w:eastAsia="zh-CN"/>
        </w:rPr>
        <w:t>国家</w:t>
      </w:r>
      <w:r>
        <w:rPr>
          <w:rFonts w:hint="default" w:ascii="仿宋_GB2312" w:hAnsi="仿宋_GB2312" w:eastAsia="仿宋_GB2312" w:cs="仿宋_GB2312"/>
          <w:sz w:val="32"/>
          <w:szCs w:val="32"/>
          <w:highlight w:val="none"/>
          <w:lang w:val="en-US" w:eastAsia="zh-CN"/>
        </w:rPr>
        <w:t>支持资金的5</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%给予</w:t>
      </w:r>
      <w:r>
        <w:rPr>
          <w:rFonts w:hint="eastAsia" w:ascii="仿宋_GB2312" w:hAnsi="仿宋_GB2312" w:eastAsia="仿宋_GB2312" w:cs="仿宋_GB2312"/>
          <w:sz w:val="32"/>
          <w:szCs w:val="32"/>
          <w:highlight w:val="none"/>
          <w:lang w:val="en-US" w:eastAsia="zh-CN"/>
        </w:rPr>
        <w:t>配套</w:t>
      </w:r>
      <w:r>
        <w:rPr>
          <w:rFonts w:hint="default" w:ascii="仿宋_GB2312" w:hAnsi="仿宋_GB2312" w:eastAsia="仿宋_GB2312" w:cs="仿宋_GB2312"/>
          <w:sz w:val="32"/>
          <w:szCs w:val="32"/>
          <w:highlight w:val="none"/>
          <w:lang w:val="en-US" w:eastAsia="zh-CN"/>
        </w:rPr>
        <w:t>；对纳入北京市级层面标志性重大应用场景项目清单的，按照市级支持资金的</w:t>
      </w:r>
      <w:r>
        <w:rPr>
          <w:rFonts w:hint="eastAsia" w:ascii="仿宋_GB2312" w:hAnsi="仿宋_GB2312" w:eastAsia="仿宋_GB2312" w:cs="仿宋_GB2312"/>
          <w:sz w:val="32"/>
          <w:szCs w:val="32"/>
          <w:highlight w:val="none"/>
          <w:lang w:val="en-US" w:eastAsia="zh-CN"/>
        </w:rPr>
        <w:t>25</w:t>
      </w:r>
      <w:r>
        <w:rPr>
          <w:rFonts w:hint="default" w:ascii="仿宋_GB2312" w:hAnsi="仿宋_GB2312" w:eastAsia="仿宋_GB2312" w:cs="仿宋_GB2312"/>
          <w:sz w:val="32"/>
          <w:szCs w:val="32"/>
          <w:highlight w:val="none"/>
          <w:lang w:val="en-US" w:eastAsia="zh-CN"/>
        </w:rPr>
        <w:t>%给予</w:t>
      </w:r>
      <w:r>
        <w:rPr>
          <w:rFonts w:hint="eastAsia" w:ascii="仿宋_GB2312" w:hAnsi="仿宋_GB2312" w:eastAsia="仿宋_GB2312" w:cs="仿宋_GB2312"/>
          <w:sz w:val="32"/>
          <w:szCs w:val="32"/>
          <w:highlight w:val="none"/>
          <w:lang w:val="en-US" w:eastAsia="zh-CN"/>
        </w:rPr>
        <w:t>配套</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单项不超过100万元，年度总额不超过300万元。</w:t>
      </w:r>
    </w:p>
    <w:p w14:paraId="508F88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第七条</w:t>
      </w:r>
      <w:r>
        <w:rPr>
          <w:rFonts w:hint="eastAsia" w:ascii="仿宋_GB2312" w:hAnsi="仿宋_GB2312" w:eastAsia="仿宋_GB2312" w:cs="仿宋_GB2312"/>
          <w:sz w:val="32"/>
          <w:szCs w:val="32"/>
          <w:highlight w:val="none"/>
          <w:lang w:val="en-US" w:eastAsia="zh-CN"/>
        </w:rPr>
        <w:t xml:space="preserve"> 通过场景赋能，支持企业开展新技术新产品的科技研发，对形成成果并应用于场景实践的，给予最高50万元支持。</w:t>
      </w:r>
    </w:p>
    <w:p w14:paraId="6E85DF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第八条</w:t>
      </w:r>
      <w:r>
        <w:rPr>
          <w:rFonts w:hint="eastAsia" w:ascii="仿宋_GB2312" w:hAnsi="仿宋_GB2312" w:eastAsia="仿宋_GB2312" w:cs="仿宋_GB2312"/>
          <w:sz w:val="32"/>
          <w:szCs w:val="32"/>
          <w:highlight w:val="none"/>
          <w:lang w:val="en-US" w:eastAsia="zh-CN"/>
        </w:rPr>
        <w:t xml:space="preserve"> 强化场景跨区域协同共建。立足京津冀协同发展大局，依托京津冀（通武廊）</w:t>
      </w:r>
      <w:r>
        <w:rPr>
          <w:rFonts w:hint="eastAsia" w:ascii="仿宋_GB2312" w:hAnsi="仿宋_GB2312" w:eastAsia="仿宋_GB2312" w:cs="仿宋_GB2312"/>
          <w:sz w:val="32"/>
          <w:szCs w:val="32"/>
          <w:lang w:val="en-US" w:eastAsia="zh-CN"/>
        </w:rPr>
        <w:t>区域场景创新联动机制，</w:t>
      </w:r>
      <w:r>
        <w:rPr>
          <w:rFonts w:hint="eastAsia" w:ascii="仿宋_GB2312" w:hAnsi="仿宋_GB2312" w:eastAsia="仿宋_GB2312" w:cs="仿宋_GB2312"/>
          <w:sz w:val="32"/>
          <w:szCs w:val="32"/>
          <w:highlight w:val="none"/>
          <w:lang w:val="en-US" w:eastAsia="zh-CN"/>
        </w:rPr>
        <w:t>以共同发布场景清单、协同打造重大应用场景等方式，鼓励三地企业主体、科研机构跨区域联合开展技术验证与场景应用。对企业在天津、河北范围内首次实现新技术新产品示范性成果转化的，最高给予30万元、年度总额不超100万元资金支持。</w:t>
      </w:r>
    </w:p>
    <w:p w14:paraId="3D6108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第九条</w:t>
      </w:r>
      <w:r>
        <w:rPr>
          <w:rFonts w:hint="eastAsia" w:ascii="仿宋_GB2312" w:hAnsi="仿宋_GB2312" w:eastAsia="仿宋_GB2312" w:cs="仿宋_GB2312"/>
          <w:sz w:val="32"/>
          <w:szCs w:val="32"/>
          <w:highlight w:val="none"/>
          <w:lang w:val="en-US" w:eastAsia="zh-CN"/>
        </w:rPr>
        <w:t xml:space="preserve"> 鼓励各类社会主体开展专题场景供需对接、场景创新赛事等活动，为科技新场景、新技术新产品提供优质展示推介、资本对接平台，对于活动成效显著的，给予最高20万元资金支持。</w:t>
      </w:r>
    </w:p>
    <w:p w14:paraId="4116A5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鼓励金融机构针对应用场景创新信贷、保险等金融产品，开展特色金融服务。</w:t>
      </w:r>
      <w:r>
        <w:rPr>
          <w:rFonts w:hint="default" w:ascii="仿宋_GB2312" w:hAnsi="仿宋_GB2312" w:eastAsia="仿宋_GB2312" w:cs="仿宋_GB2312"/>
          <w:sz w:val="32"/>
          <w:szCs w:val="32"/>
          <w:lang w:val="en-US" w:eastAsia="zh-CN"/>
        </w:rPr>
        <w:t>支持场景项目发行</w:t>
      </w:r>
      <w:r>
        <w:rPr>
          <w:rFonts w:hint="eastAsia" w:ascii="仿宋_GB2312" w:hAnsi="仿宋_GB2312" w:eastAsia="仿宋_GB2312" w:cs="仿宋_GB2312"/>
          <w:sz w:val="32"/>
          <w:szCs w:val="32"/>
          <w:lang w:val="en-US" w:eastAsia="zh-CN"/>
        </w:rPr>
        <w:t>特色</w:t>
      </w:r>
      <w:r>
        <w:rPr>
          <w:rFonts w:hint="default" w:ascii="仿宋_GB2312" w:hAnsi="仿宋_GB2312" w:eastAsia="仿宋_GB2312" w:cs="仿宋_GB2312"/>
          <w:sz w:val="32"/>
          <w:szCs w:val="32"/>
          <w:lang w:val="en-US" w:eastAsia="zh-CN"/>
        </w:rPr>
        <w:t>债、</w:t>
      </w:r>
      <w:r>
        <w:rPr>
          <w:rFonts w:hint="eastAsia" w:ascii="仿宋_GB2312" w:hAnsi="仿宋_GB2312" w:eastAsia="仿宋_GB2312" w:cs="仿宋_GB2312"/>
          <w:sz w:val="32"/>
          <w:szCs w:val="32"/>
          <w:lang w:val="en-US" w:eastAsia="zh-CN"/>
        </w:rPr>
        <w:t>公募Reits，开展</w:t>
      </w:r>
      <w:r>
        <w:rPr>
          <w:rFonts w:hint="default" w:ascii="仿宋_GB2312" w:hAnsi="仿宋_GB2312" w:eastAsia="仿宋_GB2312" w:cs="仿宋_GB2312"/>
          <w:sz w:val="32"/>
          <w:szCs w:val="32"/>
          <w:lang w:val="en-US" w:eastAsia="zh-CN"/>
        </w:rPr>
        <w:t>知识产权质押融资</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对民营企业、中小企业因开展应用场景建设</w:t>
      </w:r>
      <w:r>
        <w:rPr>
          <w:rFonts w:hint="default" w:ascii="仿宋_GB2312" w:hAnsi="仿宋_GB2312" w:eastAsia="仿宋_GB2312" w:cs="仿宋_GB2312"/>
          <w:sz w:val="32"/>
          <w:szCs w:val="32"/>
          <w:lang w:val="en-US" w:eastAsia="zh-CN"/>
        </w:rPr>
        <w:t>产生的专项贷款，最高</w:t>
      </w:r>
      <w:r>
        <w:rPr>
          <w:rFonts w:hint="eastAsia" w:ascii="仿宋_GB2312" w:hAnsi="仿宋_GB2312" w:eastAsia="仿宋_GB2312" w:cs="仿宋_GB2312"/>
          <w:sz w:val="32"/>
          <w:szCs w:val="32"/>
          <w:lang w:val="en-US" w:eastAsia="zh-CN"/>
        </w:rPr>
        <w:t>按贷款金额的1%给予不超30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贴息支持；对符合条件的投保企业，按保费支出的50%给予最高给予100万元保险补贴。</w:t>
      </w:r>
    </w:p>
    <w:p w14:paraId="50FBCC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落实通州区人才支持政策，推动创新人才评价与产业发展需求精准匹配。对在重大应用场景项目建设及场景示范应用成效突出的企业和项目带头人、技术骨干等，推荐申报“运河英才计划”，对入选人才在资金奖励、安居保障、医疗健康、公共服务等方面提供支持。</w:t>
      </w:r>
    </w:p>
    <w:p w14:paraId="1FD1B8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第十二条</w:t>
      </w:r>
      <w:r>
        <w:rPr>
          <w:rFonts w:hint="eastAsia" w:ascii="仿宋_GB2312" w:hAnsi="仿宋_GB2312" w:eastAsia="仿宋_GB2312" w:cs="仿宋_GB2312"/>
          <w:sz w:val="32"/>
          <w:szCs w:val="32"/>
          <w:highlight w:val="none"/>
          <w:lang w:val="en-US" w:eastAsia="zh-CN"/>
        </w:rPr>
        <w:t xml:space="preserve"> 发挥场景在要素市场化配置改革试点中验证制度政策、管理规则、监管体系等方面作用。对国有企业积极探索研发创新容错免责机制，明确因场景开放造成的投资增加、收益变化以及建设管理和监管制度创新等情况，落实北京市关于场景开放“包容期”管理和柔性监管方式要求，实行尽职免责等管理方式。</w:t>
      </w:r>
    </w:p>
    <w:p w14:paraId="4F1B6328">
      <w:pPr>
        <w:pStyle w:val="2"/>
        <w:rPr>
          <w:rFonts w:hint="eastAsia"/>
          <w:lang w:val="en-US" w:eastAsia="zh-CN"/>
        </w:rPr>
      </w:pPr>
    </w:p>
    <w:p w14:paraId="000D0C11">
      <w:pPr>
        <w:keepNext w:val="0"/>
        <w:keepLines w:val="0"/>
        <w:pageBreakBefore w:val="0"/>
        <w:widowControl w:val="0"/>
        <w:suppressAutoHyphens/>
        <w:kinsoku/>
        <w:wordWrap/>
        <w:overflowPunct/>
        <w:topLinePunct w:val="0"/>
        <w:autoSpaceDE/>
        <w:autoSpaceDN/>
        <w:bidi w:val="0"/>
        <w:adjustRightInd/>
        <w:snapToGrid/>
        <w:spacing w:afterLines="0" w:line="560" w:lineRule="exact"/>
        <w:ind w:firstLine="0" w:firstLineChars="0"/>
        <w:jc w:val="center"/>
        <w:textAlignment w:val="auto"/>
        <w:rPr>
          <w:rFonts w:hint="eastAsia" w:ascii="Arial" w:hAnsi="Arial" w:eastAsia="仿宋_GB2312" w:cs="Times New Roman"/>
          <w:b/>
          <w:color w:val="000000"/>
          <w:kern w:val="2"/>
          <w:sz w:val="32"/>
          <w:szCs w:val="32"/>
          <w:lang w:val="en-US" w:eastAsia="zh-CN" w:bidi="ar-SA"/>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章  附则</w:t>
      </w:r>
    </w:p>
    <w:p w14:paraId="7940E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本措施由通州区发展和改革委员会负责解释，自发布之日起施行。同一项目、同一事项同时符合本措施多项条款或通州区其他扶持政策的，按照“从优不重复”原则给予支持。执行期间，法律、法规、规章另有规定或遇政策调整的，从其规定。</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847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F24F8">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0F24F8">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63C02"/>
    <w:rsid w:val="01C1502E"/>
    <w:rsid w:val="03087F57"/>
    <w:rsid w:val="07C1406A"/>
    <w:rsid w:val="080F7577"/>
    <w:rsid w:val="081E4A8A"/>
    <w:rsid w:val="0A5C0CFB"/>
    <w:rsid w:val="0C0B76A3"/>
    <w:rsid w:val="0C462601"/>
    <w:rsid w:val="12DD2E99"/>
    <w:rsid w:val="149C54D7"/>
    <w:rsid w:val="1810057B"/>
    <w:rsid w:val="18C73663"/>
    <w:rsid w:val="1E3A5FFD"/>
    <w:rsid w:val="1F401B39"/>
    <w:rsid w:val="268B60E9"/>
    <w:rsid w:val="28CD1EF4"/>
    <w:rsid w:val="2A8B22C1"/>
    <w:rsid w:val="2C3C7F00"/>
    <w:rsid w:val="2CCF317D"/>
    <w:rsid w:val="2E231835"/>
    <w:rsid w:val="2E571185"/>
    <w:rsid w:val="304703EE"/>
    <w:rsid w:val="32A17692"/>
    <w:rsid w:val="337B5017"/>
    <w:rsid w:val="38454459"/>
    <w:rsid w:val="38BD3603"/>
    <w:rsid w:val="39E911F4"/>
    <w:rsid w:val="3A8821DB"/>
    <w:rsid w:val="3EE967F6"/>
    <w:rsid w:val="40396BED"/>
    <w:rsid w:val="40A13235"/>
    <w:rsid w:val="41C044C5"/>
    <w:rsid w:val="42D12BFC"/>
    <w:rsid w:val="42FF6D08"/>
    <w:rsid w:val="44EC4EFA"/>
    <w:rsid w:val="467A0792"/>
    <w:rsid w:val="49601D38"/>
    <w:rsid w:val="4AE17A9B"/>
    <w:rsid w:val="519C3BFD"/>
    <w:rsid w:val="531101C9"/>
    <w:rsid w:val="56352E6C"/>
    <w:rsid w:val="56F26D8C"/>
    <w:rsid w:val="59EA32C3"/>
    <w:rsid w:val="5D37089E"/>
    <w:rsid w:val="5FDB3819"/>
    <w:rsid w:val="61840403"/>
    <w:rsid w:val="644E0744"/>
    <w:rsid w:val="66E7092E"/>
    <w:rsid w:val="6A593604"/>
    <w:rsid w:val="72243F34"/>
    <w:rsid w:val="72391B2B"/>
    <w:rsid w:val="771C21D9"/>
    <w:rsid w:val="77472121"/>
    <w:rsid w:val="77B727A4"/>
    <w:rsid w:val="77C94655"/>
    <w:rsid w:val="77D1560B"/>
    <w:rsid w:val="78B77716"/>
    <w:rsid w:val="7FB33C6E"/>
    <w:rsid w:val="EFFFAF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uppressAutoHyphens/>
      <w:bidi w:val="0"/>
      <w:spacing w:after="120" w:afterLines="0" w:afterAutospacing="0"/>
      <w:ind w:left="420" w:leftChars="200" w:firstLine="420" w:firstLineChars="200"/>
      <w:jc w:val="both"/>
    </w:pPr>
    <w:rPr>
      <w:rFonts w:ascii="Calibri" w:hAnsi="Calibri" w:eastAsia="宋体" w:cs="Times New Roman"/>
      <w:color w:val="auto"/>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1715</Words>
  <Characters>1749</Characters>
  <Lines>0</Lines>
  <Paragraphs>0</Paragraphs>
  <TotalTime>2</TotalTime>
  <ScaleCrop>false</ScaleCrop>
  <LinksUpToDate>false</LinksUpToDate>
  <CharactersWithSpaces>1768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2026-03-20T10:56:00Z</dcterms:created>
  <dc:creator>JE</dc:creator>
  <cp:lastModifiedBy>13252</cp:lastModifiedBy>
  <cp:lastPrinted>2026-06-25T10:26:00Z</cp:lastPrinted>
  <dcterms:modified xsi:type="dcterms:W3CDTF">2026-07-06T14:38:28Z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eyJoZGlkIjoiNGU5YTk2NWU3OTRhNTU0YjZlNWE0ODExMjY4YzM0MTgifQ==</vt:lpwstr>
  </property>
  <property fmtid="{D5CDD505-2E9C-101B-9397-08002B2CF9AE}" pid="4" name="ICV">
    <vt:lpwstr>AA5A759EEFFE4B1D826B1C425B2D99C9_13</vt:lpwstr>
  </property>
</Properties>
</file>