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方正小标宋简体" w:hAnsi="方正小标宋简体" w:eastAsia="方正小标宋简体" w:cs="方正小标宋简体"/>
          <w:sz w:val="44"/>
          <w:szCs w:val="44"/>
          <w:highlight w:val="none"/>
        </w:rPr>
      </w:pPr>
    </w:p>
    <w:p>
      <w:pPr>
        <w:spacing w:line="560" w:lineRule="exact"/>
        <w:ind w:firstLine="0" w:firstLineChars="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北京市石景山区</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十五五</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重点专项规划</w:t>
      </w:r>
    </w:p>
    <w:p>
      <w:pPr>
        <w:pStyle w:val="17"/>
        <w:spacing w:after="0" w:line="560" w:lineRule="exact"/>
        <w:ind w:firstLine="420" w:firstLineChars="200"/>
        <w:rPr>
          <w:highlight w:val="none"/>
        </w:rPr>
      </w:pPr>
    </w:p>
    <w:p>
      <w:pPr>
        <w:spacing w:line="560" w:lineRule="exact"/>
        <w:ind w:firstLine="880" w:firstLineChars="200"/>
        <w:jc w:val="center"/>
        <w:rPr>
          <w:rFonts w:hint="eastAsia" w:ascii="方正小标宋简体" w:hAnsi="方正小标宋简体" w:eastAsia="方正小标宋简体" w:cs="方正小标宋简体"/>
          <w:sz w:val="44"/>
          <w:szCs w:val="44"/>
          <w:highlight w:val="none"/>
        </w:rPr>
      </w:pPr>
    </w:p>
    <w:p>
      <w:pPr>
        <w:spacing w:line="560" w:lineRule="exact"/>
        <w:ind w:firstLine="880" w:firstLineChars="200"/>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52"/>
          <w:szCs w:val="52"/>
          <w:highlight w:val="none"/>
        </w:rPr>
      </w:pPr>
      <w:bookmarkStart w:id="0" w:name="_Toc10808"/>
      <w:bookmarkStart w:id="1" w:name="_Toc1919"/>
      <w:bookmarkStart w:id="2" w:name="_Toc23924"/>
      <w:bookmarkStart w:id="3" w:name="_Toc4742"/>
      <w:bookmarkStart w:id="4" w:name="_Toc17705"/>
      <w:bookmarkStart w:id="5" w:name="_Toc22907"/>
      <w:r>
        <w:rPr>
          <w:rFonts w:hint="eastAsia" w:ascii="方正小标宋简体" w:hAnsi="方正小标宋简体" w:eastAsia="方正小标宋简体" w:cs="方正小标宋简体"/>
          <w:sz w:val="52"/>
          <w:szCs w:val="52"/>
          <w:highlight w:val="none"/>
        </w:rPr>
        <w:t>石景山区“十五五”时期</w:t>
      </w:r>
    </w:p>
    <w:p>
      <w:pPr>
        <w:spacing w:line="560" w:lineRule="exact"/>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城市更新规划</w:t>
      </w:r>
      <w:bookmarkEnd w:id="0"/>
      <w:bookmarkEnd w:id="1"/>
      <w:bookmarkEnd w:id="2"/>
      <w:bookmarkEnd w:id="3"/>
      <w:bookmarkEnd w:id="4"/>
      <w:bookmarkEnd w:id="5"/>
    </w:p>
    <w:p>
      <w:pPr>
        <w:spacing w:line="560" w:lineRule="exact"/>
        <w:ind w:firstLine="0" w:firstLineChars="0"/>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（征求意见稿）</w:t>
      </w: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pStyle w:val="2"/>
        <w:spacing w:after="0" w:line="560" w:lineRule="exact"/>
        <w:rPr>
          <w:highlight w:val="none"/>
        </w:rPr>
      </w:pPr>
    </w:p>
    <w:p>
      <w:pPr>
        <w:spacing w:line="560" w:lineRule="exact"/>
        <w:rPr>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480" w:lineRule="auto"/>
        <w:jc w:val="center"/>
        <w:rPr>
          <w:rFonts w:hint="eastAsia" w:ascii="黑体" w:hAnsi="黑体" w:eastAsia="黑体" w:cs="黑体"/>
          <w:sz w:val="32"/>
          <w:szCs w:val="32"/>
          <w:highlight w:val="none"/>
        </w:rPr>
      </w:pPr>
      <w:bookmarkStart w:id="6" w:name="_Toc17603"/>
      <w:bookmarkStart w:id="7" w:name="_Toc7796"/>
      <w:bookmarkStart w:id="8" w:name="_Toc17037"/>
      <w:bookmarkStart w:id="9" w:name="_Toc899"/>
      <w:bookmarkStart w:id="10" w:name="_Toc15969"/>
      <w:bookmarkStart w:id="11" w:name="_Toc3107"/>
      <w:r>
        <w:rPr>
          <w:rFonts w:hint="eastAsia" w:ascii="黑体" w:hAnsi="黑体" w:eastAsia="黑体" w:cs="黑体"/>
          <w:sz w:val="32"/>
          <w:szCs w:val="32"/>
          <w:highlight w:val="none"/>
        </w:rPr>
        <w:t>北京市石景山区住房和城市建设委员会</w:t>
      </w:r>
      <w:bookmarkEnd w:id="6"/>
      <w:bookmarkEnd w:id="7"/>
      <w:bookmarkEnd w:id="8"/>
      <w:bookmarkEnd w:id="9"/>
      <w:bookmarkEnd w:id="10"/>
      <w:bookmarkEnd w:id="11"/>
    </w:p>
    <w:p>
      <w:pPr>
        <w:spacing w:line="480" w:lineRule="auto"/>
        <w:jc w:val="center"/>
        <w:rPr>
          <w:rFonts w:hint="eastAsia" w:ascii="黑体" w:hAnsi="黑体" w:eastAsia="黑体" w:cs="黑体"/>
          <w:sz w:val="32"/>
          <w:szCs w:val="32"/>
          <w:highlight w:val="none"/>
        </w:rPr>
      </w:pPr>
      <w:bookmarkStart w:id="12" w:name="_Toc23399"/>
      <w:bookmarkStart w:id="13" w:name="_Toc25719"/>
      <w:bookmarkStart w:id="14" w:name="_Toc23698"/>
      <w:bookmarkStart w:id="15" w:name="_Toc25907"/>
      <w:bookmarkStart w:id="16" w:name="_Toc22131"/>
      <w:bookmarkStart w:id="17" w:name="_Toc12045"/>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w:t>
      </w: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月</w:t>
      </w:r>
      <w:bookmarkEnd w:id="12"/>
      <w:bookmarkEnd w:id="13"/>
      <w:bookmarkEnd w:id="14"/>
      <w:bookmarkEnd w:id="15"/>
      <w:bookmarkEnd w:id="16"/>
      <w:bookmarkEnd w:id="17"/>
    </w:p>
    <w:p>
      <w:pPr>
        <w:spacing w:line="560"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序 言</w:t>
      </w:r>
    </w:p>
    <w:p>
      <w:pPr>
        <w:spacing w:beforeLines="0" w:afterLines="0" w:line="560" w:lineRule="exact"/>
        <w:ind w:firstLine="640" w:firstLineChars="200"/>
        <w:jc w:val="left"/>
        <w:rPr>
          <w:rFonts w:hint="default"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作为首都中心城区和老工业基地，石景山区工业遗存丰厚、转型使命厚重</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十四五</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期间，石景山区深入贯彻习近平总书记对北京重要讲话精神，牢牢把握服务保障冬奥会等重大机遇，将城市更新作为全区“两大战略”之一，高位推进。以新首钢为龙头，统筹推进老旧厂房、老旧小区、老旧平房和低效楼宇等更新改造，在多个领域形成可实施、可推广、可持续的典型经验，城市面貌和人居环境显著改善，城市更新和产业转型成为推动区域高质量发展的核心动能。</w:t>
      </w:r>
    </w:p>
    <w:p>
      <w:pPr>
        <w:spacing w:beforeLines="0" w:afterLines="0" w:line="560" w:lineRule="exact"/>
        <w:ind w:firstLine="640" w:firstLineChars="200"/>
        <w:jc w:val="left"/>
        <w:rPr>
          <w:rFonts w:hint="default"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lang w:val="en-US" w:eastAsia="zh-CN"/>
        </w:rPr>
        <w:t>十五五</w:t>
      </w: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lang w:val="en-US" w:eastAsia="zh-CN"/>
        </w:rPr>
        <w:t>时期，我国城市发展从大规模增量扩张转向存量提质增效</w:t>
      </w:r>
      <w:r>
        <w:rPr>
          <w:rFonts w:hint="eastAsia" w:ascii="仿宋_GB2312" w:hAnsi="仿宋_GB2312" w:eastAsia="仿宋_GB2312" w:cs="仿宋_GB2312"/>
          <w:sz w:val="32"/>
          <w:szCs w:val="24"/>
          <w:highlight w:val="none"/>
          <w:lang w:eastAsia="zh-CN"/>
        </w:rPr>
        <w:t>，北京城市发展全面转向内涵式提质，</w:t>
      </w:r>
      <w:r>
        <w:rPr>
          <w:rFonts w:hint="eastAsia" w:ascii="仿宋_GB2312" w:hAnsi="仿宋_GB2312" w:eastAsia="仿宋_GB2312" w:cs="仿宋_GB2312"/>
          <w:sz w:val="32"/>
          <w:szCs w:val="24"/>
          <w:highlight w:val="none"/>
          <w:lang w:val="en-US" w:eastAsia="zh-CN"/>
        </w:rPr>
        <w:t>石景山也进入城市更新攻坚阶段。为深入贯彻国家关于城市更新的决策部署和北京市工作要求，全面践行人民城市理念，</w:t>
      </w:r>
      <w:r>
        <w:rPr>
          <w:rFonts w:hint="eastAsia" w:ascii="仿宋_GB2312" w:hAnsi="仿宋_GB2312" w:eastAsia="仿宋_GB2312" w:cs="仿宋_GB2312"/>
          <w:sz w:val="32"/>
          <w:highlight w:val="none"/>
        </w:rPr>
        <w:t>以《中华人民共和国国民经济和社会发展第十五个五年规划纲要》《北京市国民经济和社会发展第十五个五年规划纲要》《北京市石景山区国民经济和社会发展第十五个五年规划纲要》</w:t>
      </w:r>
      <w:r>
        <w:rPr>
          <w:rFonts w:hint="eastAsia" w:ascii="仿宋_GB2312" w:hAnsi="仿宋_GB2312" w:eastAsia="仿宋_GB2312" w:cs="仿宋_GB2312"/>
          <w:sz w:val="32"/>
          <w:highlight w:val="none"/>
          <w:lang w:eastAsia="zh-CN"/>
        </w:rPr>
        <w:t>《北京市“十五五”时期城市更新规划》</w:t>
      </w:r>
      <w:r>
        <w:rPr>
          <w:rFonts w:hint="eastAsia" w:ascii="仿宋_GB2312" w:hAnsi="仿宋_GB2312" w:eastAsia="仿宋_GB2312" w:cs="仿宋_GB2312"/>
          <w:sz w:val="32"/>
          <w:highlight w:val="none"/>
        </w:rPr>
        <w:t>等文件为指导，</w:t>
      </w:r>
      <w:r>
        <w:rPr>
          <w:rFonts w:hint="eastAsia" w:ascii="仿宋_GB2312" w:hAnsi="仿宋_GB2312" w:eastAsia="仿宋_GB2312" w:cs="仿宋_GB2312"/>
          <w:sz w:val="32"/>
          <w:szCs w:val="24"/>
          <w:highlight w:val="none"/>
          <w:lang w:val="en-US" w:eastAsia="zh-CN"/>
        </w:rPr>
        <w:t>立足石景山区功能定位和区情，明确“十五五”时期石景山区城市更新工作的发展思路、发展目标和重点任务，</w:t>
      </w:r>
      <w:r>
        <w:rPr>
          <w:rFonts w:hint="eastAsia" w:ascii="Times New Roman" w:hAnsi="Times New Roman" w:eastAsia="仿宋_GB2312"/>
          <w:color w:val="auto"/>
          <w:kern w:val="0"/>
          <w:sz w:val="32"/>
          <w:szCs w:val="32"/>
          <w:highlight w:val="none"/>
          <w:lang w:eastAsia="zh-CN"/>
        </w:rPr>
        <w:t>是</w:t>
      </w:r>
      <w:r>
        <w:rPr>
          <w:rFonts w:hint="eastAsia" w:ascii="Times New Roman" w:hAnsi="Times New Roman" w:eastAsia="仿宋_GB2312"/>
          <w:color w:val="auto"/>
          <w:kern w:val="0"/>
          <w:sz w:val="32"/>
          <w:szCs w:val="32"/>
          <w:highlight w:val="none"/>
          <w:lang w:val="en-US" w:eastAsia="zh-CN"/>
        </w:rPr>
        <w:t>指导未来五年城市更新工作的行动纲领</w:t>
      </w:r>
      <w:r>
        <w:rPr>
          <w:rFonts w:hint="eastAsia" w:ascii="仿宋_GB2312" w:hAnsi="仿宋_GB2312" w:eastAsia="仿宋_GB2312" w:cs="仿宋_GB2312"/>
          <w:sz w:val="32"/>
          <w:szCs w:val="24"/>
          <w:highlight w:val="none"/>
          <w:lang w:val="en-US" w:eastAsia="zh-CN"/>
        </w:rPr>
        <w:t>，规划期为</w:t>
      </w:r>
      <w:r>
        <w:rPr>
          <w:rFonts w:hint="eastAsia" w:ascii="Times New Roman" w:hAnsi="Times New Roman" w:eastAsia="仿宋_GB2312" w:cs="Times New Roman"/>
          <w:sz w:val="32"/>
          <w:szCs w:val="32"/>
          <w:highlight w:val="none"/>
          <w:lang w:val="en-US" w:eastAsia="zh-CN"/>
        </w:rPr>
        <w:t>2026年至2030</w:t>
      </w:r>
      <w:r>
        <w:rPr>
          <w:rFonts w:hint="eastAsia" w:ascii="仿宋_GB2312" w:hAnsi="仿宋_GB2312" w:eastAsia="仿宋_GB2312" w:cs="仿宋_GB2312"/>
          <w:sz w:val="32"/>
          <w:szCs w:val="24"/>
          <w:highlight w:val="none"/>
          <w:lang w:val="en-US" w:eastAsia="zh-CN"/>
        </w:rPr>
        <w:t>年。</w:t>
      </w:r>
    </w:p>
    <w:p>
      <w:pPr>
        <w:spacing w:line="560"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spacing w:line="560" w:lineRule="exact"/>
        <w:jc w:val="center"/>
        <w:rPr>
          <w:rFonts w:hint="eastAsia" w:ascii="黑体" w:hAnsi="黑体" w:eastAsia="黑体" w:cs="黑体"/>
          <w:sz w:val="32"/>
          <w:szCs w:val="32"/>
          <w:highlight w:val="none"/>
        </w:rPr>
        <w:sectPr>
          <w:pgSz w:w="11906" w:h="16838"/>
          <w:pgMar w:top="2098" w:right="1474" w:bottom="1984" w:left="1587" w:header="851" w:footer="992" w:gutter="0"/>
          <w:pgNumType w:fmt="numberInDash"/>
          <w:cols w:space="0" w:num="1"/>
          <w:rtlGutter w:val="0"/>
          <w:docGrid w:type="lines" w:linePitch="312" w:charSpace="0"/>
        </w:sectPr>
      </w:pPr>
    </w:p>
    <w:sdt>
      <w:sdtPr>
        <w:rPr>
          <w:rFonts w:ascii="宋体" w:hAnsi="宋体" w:eastAsia="宋体" w:cs="Times New Roman"/>
          <w:kern w:val="2"/>
          <w:sz w:val="21"/>
          <w:szCs w:val="24"/>
          <w:highlight w:val="none"/>
          <w:lang w:val="en-US" w:eastAsia="zh-CN" w:bidi="ar-SA"/>
        </w:rPr>
        <w:id w:val="147459944"/>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录</w:t>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黑体" w:hAnsi="黑体" w:eastAsia="黑体" w:cs="黑体"/>
              <w:sz w:val="32"/>
              <w:szCs w:val="32"/>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TOC \o "1-2" \h \u </w:instrText>
          </w:r>
          <w:r>
            <w:rPr>
              <w:rFonts w:hint="eastAsia" w:ascii="楷体_GB2312" w:hAnsi="楷体_GB2312" w:eastAsia="楷体_GB2312" w:cs="楷体_GB2312"/>
              <w:sz w:val="30"/>
              <w:szCs w:val="30"/>
              <w:highlight w:val="none"/>
            </w:rPr>
            <w:fldChar w:fldCharType="separate"/>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_Toc11241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一、规划背景</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_Toc11241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- 1 -</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_Toc10413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（一）“</w:t>
          </w:r>
          <w:r>
            <w:rPr>
              <w:rFonts w:hint="eastAsia" w:ascii="楷体_GB2312" w:hAnsi="楷体_GB2312" w:eastAsia="楷体_GB2312" w:cs="楷体_GB2312"/>
              <w:sz w:val="30"/>
              <w:szCs w:val="30"/>
              <w:highlight w:val="none"/>
            </w:rPr>
            <w:t>十四五”期间</w:t>
          </w:r>
          <w:r>
            <w:rPr>
              <w:rFonts w:hint="eastAsia" w:ascii="楷体_GB2312" w:hAnsi="楷体_GB2312" w:eastAsia="楷体_GB2312" w:cs="楷体_GB2312"/>
              <w:sz w:val="30"/>
              <w:szCs w:val="30"/>
              <w:highlight w:val="none"/>
              <w:lang w:val="en-US" w:eastAsia="zh-CN"/>
            </w:rPr>
            <w:t>重要成效</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_Toc10413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_Toc10413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（二）存在问题</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lang w:val="en-US" w:eastAsia="zh-CN"/>
            </w:rPr>
            <w:t>2</w:t>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_Toc4856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（三）</w:t>
          </w:r>
          <w:r>
            <w:rPr>
              <w:rFonts w:hint="eastAsia" w:ascii="楷体_GB2312" w:hAnsi="楷体_GB2312" w:eastAsia="楷体_GB2312" w:cs="楷体_GB2312"/>
              <w:sz w:val="30"/>
              <w:szCs w:val="30"/>
              <w:highlight w:val="none"/>
            </w:rPr>
            <w:t>“十五五”期间</w:t>
          </w:r>
          <w:r>
            <w:rPr>
              <w:rFonts w:hint="eastAsia" w:ascii="楷体_GB2312" w:hAnsi="楷体_GB2312" w:eastAsia="楷体_GB2312" w:cs="楷体_GB2312"/>
              <w:sz w:val="30"/>
              <w:szCs w:val="30"/>
              <w:highlight w:val="none"/>
              <w:lang w:val="en-US" w:eastAsia="zh-CN"/>
            </w:rPr>
            <w:t>发展形势</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_Toc4856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- 2 -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_Toc4031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二、总体要求</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_Toc4031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- 4 -</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_Toc3624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（一）指导思想</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_Toc3624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- 4 -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_Toc32164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（二）发展目标</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_Toc32164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- 4 -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_Toc21562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三、主要任务</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_Toc21562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- 5 -</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_Toc29130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（一）加强既有建筑改造利用</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_Toc29130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- 5 -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_Toc17358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（二）推进城镇老旧小区整治改造</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_Toc17358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- 6 -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_Toc24983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（三）开展完整社区建设</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_Toc24983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- 7 -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_Toc20722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（四）推进老旧街区、老旧厂区、城中村更新改造</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_Toc20722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- 8 -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_Toc23599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（五）完善城市功能</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_Toc23599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- 9 -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_Toc21566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（六）加强城市基础设施建设改造</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_Toc21566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- 10 -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_Toc28077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（七）修复城市生态系统</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_Toc28077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- 11 -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_Toc28607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（八）保护传承城市历史文化</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_Toc28607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- 13 -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_Toc17628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四、综合化城市更新组团</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_Toc17628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- 15 -</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_Toc8250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（一）两园一河·新首钢高端产业综合服务区北区更新片区</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_Toc8250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- 15 -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_Toc30704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（二）北重园智能制造产业更新片区</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_Toc30704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- 15 -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_Toc1426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（三）模式口历史文化街区古道焕新更新片区</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_Toc1426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- 15 -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_Toc26576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（四）巴威北锅产业转型发展更新片区</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_Toc26576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- 16 -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_Toc854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（五）北京银行保险产业园国家级金融产业更新片区</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_Toc854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- 16 -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_Toc32499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（六）西部绿色智慧市级高新区更新片区</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_Toc32499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- 16 -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_Toc8896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（七）老山全龄宜居幸福城更新片区</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_Toc8896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- 16 -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_Toc12253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val="en-US" w:eastAsia="zh-CN"/>
            </w:rPr>
            <w:t>五、保障措施</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_Toc12253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- 17 -</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_Toc10668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（一）强化统筹协同</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_Toc10668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- 17 -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_Toc30904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（二）突出工作实效</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_Toc30904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- 17 -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_Toc13909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（三）完善政策支撑</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_Toc13909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- 17 -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HYPERLINK \l _Toc7340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lang w:val="en-US" w:eastAsia="zh-CN"/>
            </w:rPr>
            <w:t>（四）加强调度管理</w:t>
          </w:r>
          <w:r>
            <w:rPr>
              <w:rFonts w:hint="eastAsia" w:ascii="楷体_GB2312" w:hAnsi="楷体_GB2312" w:eastAsia="楷体_GB2312" w:cs="楷体_GB2312"/>
              <w:sz w:val="30"/>
              <w:szCs w:val="30"/>
              <w:highlight w:val="none"/>
            </w:rPr>
            <w:tab/>
          </w:r>
          <w:r>
            <w:rPr>
              <w:rFonts w:hint="eastAsia" w:ascii="楷体_GB2312" w:hAnsi="楷体_GB2312" w:eastAsia="楷体_GB2312" w:cs="楷体_GB2312"/>
              <w:sz w:val="30"/>
              <w:szCs w:val="30"/>
              <w:highlight w:val="none"/>
            </w:rPr>
            <w:fldChar w:fldCharType="begin"/>
          </w:r>
          <w:r>
            <w:rPr>
              <w:rFonts w:hint="eastAsia" w:ascii="楷体_GB2312" w:hAnsi="楷体_GB2312" w:eastAsia="楷体_GB2312" w:cs="楷体_GB2312"/>
              <w:sz w:val="30"/>
              <w:szCs w:val="30"/>
              <w:highlight w:val="none"/>
            </w:rPr>
            <w:instrText xml:space="preserve"> PAGEREF _Toc7340 \h </w:instrText>
          </w:r>
          <w:r>
            <w:rPr>
              <w:rFonts w:hint="eastAsia" w:ascii="楷体_GB2312" w:hAnsi="楷体_GB2312" w:eastAsia="楷体_GB2312" w:cs="楷体_GB2312"/>
              <w:sz w:val="30"/>
              <w:szCs w:val="30"/>
              <w:highlight w:val="none"/>
            </w:rPr>
            <w:fldChar w:fldCharType="separate"/>
          </w:r>
          <w:r>
            <w:rPr>
              <w:rFonts w:hint="eastAsia" w:ascii="楷体_GB2312" w:hAnsi="楷体_GB2312" w:eastAsia="楷体_GB2312" w:cs="楷体_GB2312"/>
              <w:sz w:val="30"/>
              <w:szCs w:val="30"/>
              <w:highlight w:val="none"/>
            </w:rPr>
            <w:t>- 17 -</w:t>
          </w:r>
          <w:r>
            <w:rPr>
              <w:rFonts w:hint="eastAsia" w:ascii="楷体_GB2312" w:hAnsi="楷体_GB2312" w:eastAsia="楷体_GB2312" w:cs="楷体_GB2312"/>
              <w:sz w:val="30"/>
              <w:szCs w:val="30"/>
              <w:highlight w:val="none"/>
            </w:rPr>
            <w:fldChar w:fldCharType="end"/>
          </w:r>
          <w:r>
            <w:rPr>
              <w:rFonts w:hint="eastAsia" w:ascii="楷体_GB2312" w:hAnsi="楷体_GB2312" w:eastAsia="楷体_GB2312" w:cs="楷体_GB2312"/>
              <w:sz w:val="30"/>
              <w:szCs w:val="30"/>
              <w:highlight w:val="none"/>
            </w:rPr>
            <w:fldChar w:fldCharType="end"/>
          </w:r>
        </w:p>
        <w:p>
          <w:pPr>
            <w:rPr>
              <w:highlight w:val="none"/>
            </w:rPr>
          </w:pPr>
          <w:r>
            <w:rPr>
              <w:rFonts w:hint="eastAsia" w:ascii="楷体_GB2312" w:hAnsi="楷体_GB2312" w:eastAsia="楷体_GB2312" w:cs="楷体_GB2312"/>
              <w:szCs w:val="30"/>
              <w:highlight w:val="none"/>
            </w:rPr>
            <w:fldChar w:fldCharType="end"/>
          </w:r>
        </w:p>
      </w:sdtContent>
    </w:sdt>
    <w:p>
      <w:pPr>
        <w:rPr>
          <w:highlight w:val="none"/>
        </w:rPr>
      </w:pPr>
    </w:p>
    <w:p>
      <w:pPr>
        <w:spacing w:line="560" w:lineRule="exact"/>
        <w:rPr>
          <w:highlight w:val="none"/>
        </w:rPr>
      </w:pPr>
    </w:p>
    <w:p>
      <w:pPr>
        <w:tabs>
          <w:tab w:val="center" w:pos="480"/>
        </w:tabs>
        <w:spacing w:line="560" w:lineRule="exact"/>
        <w:ind w:firstLine="420" w:firstLineChars="200"/>
        <w:rPr>
          <w:highlight w:val="none"/>
        </w:rPr>
      </w:pPr>
      <w:r>
        <w:rPr>
          <w:rFonts w:hint="eastAsia"/>
          <w:highlight w:val="none"/>
        </w:rPr>
        <w:tab/>
      </w:r>
    </w:p>
    <w:p>
      <w:pPr>
        <w:tabs>
          <w:tab w:val="right" w:pos="7426"/>
        </w:tabs>
        <w:spacing w:line="560" w:lineRule="exact"/>
        <w:ind w:firstLine="880" w:firstLineChars="200"/>
        <w:jc w:val="left"/>
        <w:outlineLvl w:val="0"/>
        <w:rPr>
          <w:rFonts w:hint="eastAsia" w:ascii="方正小标宋简体" w:hAnsi="黑体" w:eastAsia="方正小标宋简体" w:cstheme="minorBidi"/>
          <w:kern w:val="44"/>
          <w:sz w:val="44"/>
          <w:szCs w:val="44"/>
          <w:highlight w:val="none"/>
        </w:rPr>
        <w:sectPr>
          <w:footerReference r:id="rId3" w:type="default"/>
          <w:pgSz w:w="11906" w:h="16838"/>
          <w:pgMar w:top="2098" w:right="1474" w:bottom="1984" w:left="1587" w:header="851" w:footer="992" w:gutter="0"/>
          <w:pgNumType w:fmt="numberInDash" w:start="1"/>
          <w:cols w:space="0" w:num="1"/>
          <w:rtlGutter w:val="0"/>
          <w:docGrid w:type="lines" w:linePitch="312" w:charSpace="0"/>
        </w:sectPr>
      </w:pPr>
      <w:bookmarkStart w:id="18" w:name="_Toc1268"/>
      <w:bookmarkStart w:id="19" w:name="_Toc4159_WPSOffice_Level1"/>
      <w:bookmarkStart w:id="20" w:name="_Toc20755"/>
      <w:bookmarkStart w:id="21" w:name="_Toc2340"/>
      <w:bookmarkStart w:id="22" w:name="_Toc12973"/>
      <w:bookmarkStart w:id="23" w:name="_Toc32392"/>
      <w:bookmarkStart w:id="24" w:name="_Toc23847"/>
      <w:bookmarkStart w:id="25" w:name="_Toc9868"/>
      <w:bookmarkStart w:id="26" w:name="_Toc28116"/>
      <w:r>
        <w:rPr>
          <w:rFonts w:hint="eastAsia" w:ascii="方正小标宋简体" w:hAnsi="黑体" w:eastAsia="方正小标宋简体" w:cstheme="minorBidi"/>
          <w:kern w:val="44"/>
          <w:sz w:val="44"/>
          <w:szCs w:val="44"/>
          <w:highlight w:val="none"/>
        </w:rPr>
        <w:tab/>
      </w:r>
    </w:p>
    <w:bookmarkEnd w:id="18"/>
    <w:bookmarkEnd w:id="19"/>
    <w:bookmarkEnd w:id="20"/>
    <w:bookmarkEnd w:id="21"/>
    <w:bookmarkEnd w:id="22"/>
    <w:bookmarkEnd w:id="23"/>
    <w:bookmarkEnd w:id="24"/>
    <w:bookmarkEnd w:id="25"/>
    <w:bookmarkEnd w:id="26"/>
    <w:p>
      <w:pPr>
        <w:spacing w:after="0" w:line="560" w:lineRule="exact"/>
        <w:ind w:firstLine="640" w:firstLineChars="200"/>
        <w:textAlignment w:val="center"/>
        <w:outlineLvl w:val="0"/>
        <w:rPr>
          <w:rFonts w:hint="default" w:ascii="黑体" w:hAnsi="黑体" w:eastAsia="黑体" w:cs="黑体"/>
          <w:color w:val="auto"/>
          <w:sz w:val="32"/>
          <w:szCs w:val="36"/>
          <w:highlight w:val="none"/>
          <w:lang w:val="en-US" w:eastAsia="zh-CN"/>
        </w:rPr>
      </w:pPr>
      <w:bookmarkStart w:id="27" w:name="_Toc11241"/>
      <w:r>
        <w:rPr>
          <w:rFonts w:hint="eastAsia" w:ascii="黑体" w:hAnsi="黑体" w:eastAsia="黑体" w:cs="黑体"/>
          <w:color w:val="auto"/>
          <w:sz w:val="32"/>
          <w:szCs w:val="36"/>
          <w:highlight w:val="none"/>
          <w:lang w:val="en-US" w:eastAsia="zh-CN"/>
        </w:rPr>
        <w:t>一、规划背景</w:t>
      </w:r>
      <w:bookmarkEnd w:id="27"/>
    </w:p>
    <w:p>
      <w:pPr>
        <w:pStyle w:val="27"/>
        <w:widowControl w:val="0"/>
        <w:tabs>
          <w:tab w:val="left" w:pos="5050"/>
        </w:tabs>
        <w:spacing w:line="560" w:lineRule="exact"/>
        <w:ind w:firstLine="640"/>
        <w:jc w:val="both"/>
        <w:rPr>
          <w:rFonts w:hint="eastAsia" w:ascii="仿宋_GB2312" w:hAnsi="仿宋_GB2312" w:eastAsia="仿宋_GB2312" w:cs="仿宋_GB2312"/>
          <w:kern w:val="2"/>
          <w:sz w:val="32"/>
          <w:szCs w:val="32"/>
          <w:highlight w:val="none"/>
        </w:rPr>
      </w:pPr>
      <w:bookmarkStart w:id="28" w:name="_Toc9769"/>
      <w:bookmarkStart w:id="29" w:name="_Toc29614_WPSOffice_Level2"/>
      <w:bookmarkStart w:id="30" w:name="_Toc6413"/>
      <w:bookmarkStart w:id="31" w:name="_Toc746"/>
      <w:bookmarkStart w:id="32" w:name="_Toc227221649"/>
      <w:bookmarkStart w:id="33" w:name="_Toc14340"/>
      <w:bookmarkStart w:id="34" w:name="_Toc27007"/>
      <w:bookmarkStart w:id="35" w:name="_Toc4320"/>
      <w:bookmarkStart w:id="36" w:name="_Toc28266"/>
      <w:bookmarkStart w:id="37" w:name="_Toc11294"/>
      <w:bookmarkStart w:id="38" w:name="_Toc18615"/>
      <w:bookmarkStart w:id="39" w:name="_Toc14770"/>
      <w:bookmarkStart w:id="40" w:name="_Toc2059"/>
      <w:bookmarkStart w:id="41" w:name="_Toc27071"/>
      <w:bookmarkStart w:id="42" w:name="_Toc28363"/>
      <w:bookmarkStart w:id="43" w:name="_Toc9794"/>
      <w:bookmarkStart w:id="44" w:name="_Toc7484"/>
      <w:bookmarkStart w:id="45" w:name="_Toc14242"/>
      <w:r>
        <w:rPr>
          <w:rFonts w:hint="eastAsia" w:ascii="仿宋_GB2312" w:hAnsi="仿宋_GB2312" w:eastAsia="仿宋_GB2312" w:cs="仿宋_GB2312"/>
          <w:sz w:val="32"/>
          <w:szCs w:val="32"/>
          <w:highlight w:val="none"/>
        </w:rPr>
        <w:t>在市委市政府和区委区政府坚强领导下，</w:t>
      </w:r>
      <w:r>
        <w:rPr>
          <w:rFonts w:hint="eastAsia" w:ascii="仿宋_GB2312" w:hAnsi="仿宋_GB2312" w:eastAsia="仿宋_GB2312" w:cs="仿宋_GB2312"/>
          <w:kern w:val="2"/>
          <w:sz w:val="32"/>
          <w:szCs w:val="32"/>
          <w:highlight w:val="none"/>
        </w:rPr>
        <w:t>石景山区</w:t>
      </w:r>
      <w:r>
        <w:rPr>
          <w:rFonts w:hint="eastAsia" w:ascii="仿宋_GB2312" w:hAnsi="仿宋_GB2312" w:eastAsia="仿宋_GB2312" w:cs="仿宋_GB2312"/>
          <w:sz w:val="32"/>
          <w:szCs w:val="32"/>
          <w:highlight w:val="none"/>
        </w:rPr>
        <w:t>牢牢把握“三区”功能定位，</w:t>
      </w:r>
      <w:r>
        <w:rPr>
          <w:rFonts w:hint="eastAsia" w:ascii="仿宋_GB2312" w:hAnsi="仿宋_GB2312" w:eastAsia="仿宋_GB2312" w:cs="仿宋_GB2312"/>
          <w:kern w:val="2"/>
          <w:sz w:val="32"/>
          <w:szCs w:val="32"/>
          <w:highlight w:val="none"/>
        </w:rPr>
        <w:t>深入实施城市更新行动，为全区经济社会高质量发展奠定坚实基础。</w:t>
      </w:r>
    </w:p>
    <w:p>
      <w:pPr>
        <w:spacing w:after="0" w:line="560" w:lineRule="exact"/>
        <w:ind w:firstLine="640" w:firstLineChars="200"/>
        <w:textAlignment w:val="center"/>
        <w:outlineLvl w:val="1"/>
        <w:rPr>
          <w:rFonts w:hint="default" w:ascii="楷体_GB2312" w:hAnsi="黑体" w:eastAsia="楷体_GB2312" w:cs="黑体"/>
          <w:color w:val="auto"/>
          <w:sz w:val="32"/>
          <w:szCs w:val="36"/>
          <w:highlight w:val="none"/>
          <w:lang w:val="en-US" w:eastAsia="zh-CN"/>
        </w:rPr>
      </w:pPr>
      <w:bookmarkStart w:id="46" w:name="_Toc10413"/>
      <w:r>
        <w:rPr>
          <w:rFonts w:hint="eastAsia" w:ascii="楷体_GB2312" w:hAnsi="黑体" w:eastAsia="楷体_GB2312" w:cs="黑体"/>
          <w:color w:val="auto"/>
          <w:sz w:val="32"/>
          <w:szCs w:val="36"/>
          <w:highlight w:val="none"/>
          <w:lang w:val="en-US" w:eastAsia="zh-CN"/>
        </w:rPr>
        <w:t>（一）“</w:t>
      </w:r>
      <w:r>
        <w:rPr>
          <w:rFonts w:hint="eastAsia" w:ascii="楷体_GB2312" w:hAnsi="黑体" w:eastAsia="楷体_GB2312" w:cs="黑体"/>
          <w:color w:val="auto"/>
          <w:sz w:val="32"/>
          <w:szCs w:val="36"/>
          <w:highlight w:val="none"/>
        </w:rPr>
        <w:t>十四五”期间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楷体_GB2312" w:hAnsi="黑体" w:eastAsia="楷体_GB2312" w:cs="黑体"/>
          <w:color w:val="auto"/>
          <w:sz w:val="32"/>
          <w:szCs w:val="36"/>
          <w:highlight w:val="none"/>
          <w:lang w:val="en-US" w:eastAsia="zh-CN"/>
        </w:rPr>
        <w:t>重要成效</w:t>
      </w:r>
      <w:bookmarkEnd w:id="46"/>
    </w:p>
    <w:p>
      <w:pPr>
        <w:numPr>
          <w:ilvl w:val="255"/>
          <w:numId w:val="0"/>
        </w:numPr>
        <w:spacing w:line="560" w:lineRule="exact"/>
        <w:ind w:firstLine="642"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实现了存量更新下的转型升级发展。</w:t>
      </w:r>
      <w:r>
        <w:rPr>
          <w:rFonts w:hint="eastAsia" w:ascii="仿宋_GB2312" w:hAnsi="仿宋_GB2312" w:eastAsia="仿宋_GB2312" w:cs="仿宋_GB2312"/>
          <w:b w:val="0"/>
          <w:bCs w:val="0"/>
          <w:sz w:val="32"/>
          <w:szCs w:val="32"/>
          <w:highlight w:val="none"/>
          <w:lang w:val="en-US" w:eastAsia="zh-CN"/>
        </w:rPr>
        <w:t>积极</w:t>
      </w:r>
      <w:r>
        <w:rPr>
          <w:rFonts w:hint="eastAsia" w:ascii="仿宋_GB2312" w:hAnsi="仿宋_GB2312" w:eastAsia="仿宋_GB2312" w:cs="仿宋_GB2312"/>
          <w:b w:val="0"/>
          <w:bCs w:val="0"/>
          <w:sz w:val="32"/>
          <w:szCs w:val="32"/>
          <w:highlight w:val="none"/>
        </w:rPr>
        <w:t>把握服务保障冬奥会、打造首都城市复兴新地标“两大机遇”，实施城市更新与产业升级“两大战略”，</w:t>
      </w:r>
      <w:r>
        <w:rPr>
          <w:rFonts w:hint="eastAsia" w:ascii="仿宋_GB2312" w:hAnsi="仿宋_GB2312" w:eastAsia="仿宋_GB2312" w:cs="仿宋_GB2312"/>
          <w:b w:val="0"/>
          <w:bCs w:val="0"/>
          <w:sz w:val="32"/>
          <w:szCs w:val="32"/>
          <w:highlight w:val="none"/>
          <w:lang w:val="en-US" w:eastAsia="zh-CN"/>
        </w:rPr>
        <w:t>持续推进国家级产业转型发展示范区、绿色低碳的首都西部综合服务区、山水文化融合的生态宜居示范区“三区”建设</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五年累计带动投资超900亿元，</w:t>
      </w:r>
      <w:r>
        <w:rPr>
          <w:rFonts w:hint="eastAsia" w:ascii="仿宋_GB2312" w:hAnsi="仿宋_GB2312" w:eastAsia="仿宋_GB2312" w:cs="仿宋_GB2312"/>
          <w:sz w:val="32"/>
          <w:szCs w:val="32"/>
          <w:highlight w:val="none"/>
        </w:rPr>
        <w:t>老旧小区改造“五年任务、四年完成”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棚改项目惠及14200余户居民，首钢园成为首都城市复兴新地标</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二三产业结构优化为1:9，产业体系向“主导+特色+未来”现代化迭代，“两园一河”带动转型效应凸显，以城市更新推动城市高质量发展成为新时期做好城市工作的普遍共识。</w:t>
      </w:r>
    </w:p>
    <w:p>
      <w:pPr>
        <w:numPr>
          <w:ilvl w:val="255"/>
          <w:numId w:val="0"/>
        </w:numPr>
        <w:spacing w:line="560" w:lineRule="exact"/>
        <w:ind w:firstLine="642"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探索出可复制可推广的石景山更新模式。</w:t>
      </w:r>
      <w:r>
        <w:rPr>
          <w:rFonts w:hint="eastAsia" w:ascii="仿宋_GB2312" w:hAnsi="仿宋_GB2312" w:eastAsia="仿宋_GB2312" w:cs="仿宋_GB2312"/>
          <w:b w:val="0"/>
          <w:bCs w:val="0"/>
          <w:sz w:val="32"/>
          <w:szCs w:val="32"/>
          <w:highlight w:val="none"/>
        </w:rPr>
        <w:t>创新可持续实施路径，“首钢模式”“首开经验”“鲁谷模式”“模式口实践”成为城市更新样板。首钢老工业区整体性有机更新获评住建部典型案例，</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十四五</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期间两次荣</w:t>
      </w:r>
      <w:r>
        <w:rPr>
          <w:rFonts w:hint="eastAsia" w:ascii="仿宋_GB2312" w:hAnsi="仿宋_GB2312" w:eastAsia="仿宋_GB2312" w:cs="仿宋_GB2312"/>
          <w:b w:val="0"/>
          <w:bCs w:val="0"/>
          <w:sz w:val="32"/>
          <w:szCs w:val="32"/>
          <w:highlight w:val="none"/>
        </w:rPr>
        <w:t>获国务院老工业基地调整改造真抓实干表彰。模式口历史文化街区构建“政府主导、国企运作、专业化团队运营”机制，形成“15景34院百余铺”风貌，入选国家级旅游休闲街区。鲁谷“四个一”模式成为老旧小区整治样本，西部全域型城市更新项目入选住建部可复制经验</w:t>
      </w:r>
      <w:r>
        <w:rPr>
          <w:rFonts w:hint="eastAsia" w:ascii="仿宋_GB2312" w:hAnsi="仿宋_GB2312" w:eastAsia="仿宋_GB2312" w:cs="仿宋_GB2312"/>
          <w:b w:val="0"/>
          <w:bCs w:val="0"/>
          <w:sz w:val="32"/>
          <w:szCs w:val="32"/>
          <w:highlight w:val="none"/>
          <w:lang w:val="en-US" w:eastAsia="zh-CN"/>
        </w:rPr>
        <w:t>做法</w:t>
      </w:r>
      <w:r>
        <w:rPr>
          <w:rFonts w:hint="eastAsia" w:ascii="仿宋_GB2312" w:hAnsi="仿宋_GB2312" w:eastAsia="仿宋_GB2312" w:cs="仿宋_GB2312"/>
          <w:b w:val="0"/>
          <w:bCs w:val="0"/>
          <w:sz w:val="32"/>
          <w:szCs w:val="32"/>
          <w:highlight w:val="none"/>
        </w:rPr>
        <w:t>清单。</w:t>
      </w:r>
    </w:p>
    <w:p>
      <w:pPr>
        <w:numPr>
          <w:ilvl w:val="255"/>
          <w:numId w:val="0"/>
        </w:numPr>
        <w:spacing w:line="560" w:lineRule="exact"/>
        <w:ind w:firstLine="642"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创新推出完善的城市更新规划和政策体系。</w:t>
      </w:r>
      <w:r>
        <w:rPr>
          <w:rFonts w:hint="eastAsia" w:ascii="仿宋_GB2312" w:hAnsi="仿宋_GB2312" w:eastAsia="仿宋_GB2312" w:cs="仿宋_GB2312"/>
          <w:b w:val="0"/>
          <w:bCs w:val="0"/>
          <w:sz w:val="32"/>
          <w:szCs w:val="32"/>
          <w:highlight w:val="none"/>
        </w:rPr>
        <w:t>强化空间规划引领，截至“十四五”末，26个街区控规批复8个、报审3个、在编14个。连续六年开展城市体检，建立“1+3+N”街区评估体系，形成“街区—项目”全流程管理路径。在全市率先发布区级城市更新行动计划，出台项目管理办法，创新土地用途混合、存量建筑转用、老旧厂房加层不计入管控规模等政策，</w:t>
      </w:r>
      <w:r>
        <w:rPr>
          <w:rFonts w:hint="eastAsia" w:ascii="仿宋_GB2312" w:hAnsi="仿宋_GB2312" w:eastAsia="仿宋_GB2312" w:cs="仿宋_GB2312"/>
          <w:sz w:val="32"/>
          <w:szCs w:val="32"/>
          <w:highlight w:val="none"/>
        </w:rPr>
        <w:t>并纳入全市进行复制推广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为全市城市更新工作提供方案、贡献智慧。</w:t>
      </w:r>
    </w:p>
    <w:p>
      <w:pPr>
        <w:spacing w:after="0" w:line="560" w:lineRule="exact"/>
        <w:ind w:firstLine="640" w:firstLineChars="200"/>
        <w:textAlignment w:val="center"/>
        <w:outlineLvl w:val="1"/>
        <w:rPr>
          <w:rFonts w:hint="default" w:ascii="楷体_GB2312" w:hAnsi="黑体" w:eastAsia="楷体_GB2312" w:cs="黑体"/>
          <w:color w:val="auto"/>
          <w:sz w:val="32"/>
          <w:szCs w:val="36"/>
          <w:highlight w:val="none"/>
          <w:lang w:val="en-US" w:eastAsia="zh-CN"/>
        </w:rPr>
      </w:pPr>
      <w:bookmarkStart w:id="47" w:name="_Toc23047"/>
      <w:bookmarkStart w:id="48" w:name="_Toc5450"/>
      <w:bookmarkStart w:id="49" w:name="_Toc11161"/>
      <w:bookmarkStart w:id="50" w:name="_Toc3115"/>
      <w:bookmarkStart w:id="51" w:name="_Toc30545"/>
      <w:bookmarkStart w:id="52" w:name="_Toc227221651"/>
      <w:bookmarkStart w:id="53" w:name="_Toc9487"/>
      <w:bookmarkStart w:id="54" w:name="_Toc6543"/>
      <w:bookmarkStart w:id="55" w:name="_Toc29145"/>
      <w:bookmarkStart w:id="56" w:name="_Toc4856"/>
      <w:r>
        <w:rPr>
          <w:rFonts w:hint="eastAsia" w:ascii="楷体_GB2312" w:hAnsi="黑体" w:eastAsia="楷体_GB2312" w:cs="黑体"/>
          <w:color w:val="auto"/>
          <w:sz w:val="32"/>
          <w:szCs w:val="36"/>
          <w:highlight w:val="none"/>
          <w:lang w:val="en-US" w:eastAsia="zh-CN"/>
        </w:rPr>
        <w:t>（二）存在问题</w:t>
      </w:r>
    </w:p>
    <w:p>
      <w:pPr>
        <w:numPr>
          <w:ilvl w:val="255"/>
          <w:numId w:val="0"/>
        </w:numPr>
        <w:spacing w:after="0"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居住条件方面</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平房区仍需加快</w:t>
      </w:r>
      <w:r>
        <w:rPr>
          <w:rFonts w:hint="eastAsia" w:ascii="仿宋_GB2312" w:hAnsi="仿宋_GB2312" w:eastAsia="仿宋_GB2312" w:cs="仿宋_GB2312"/>
          <w:sz w:val="32"/>
          <w:szCs w:val="32"/>
          <w:highlight w:val="none"/>
        </w:rPr>
        <w:t>改造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老楼加梯和电梯更新工作有待持续推进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老旧厂房和商务楼宇方面</w:t>
      </w:r>
      <w:r>
        <w:rPr>
          <w:rFonts w:hint="eastAsia" w:ascii="仿宋_GB2312" w:hAnsi="仿宋_GB2312" w:eastAsia="仿宋_GB2312" w:cs="仿宋_GB2312"/>
          <w:sz w:val="32"/>
          <w:szCs w:val="32"/>
          <w:highlight w:val="none"/>
        </w:rPr>
        <w:t>，存量空间未充分利用，</w:t>
      </w:r>
      <w:r>
        <w:rPr>
          <w:rFonts w:hint="eastAsia" w:ascii="仿宋_GB2312" w:hAnsi="仿宋_GB2312" w:eastAsia="仿宋_GB2312" w:cs="仿宋_GB2312"/>
          <w:sz w:val="32"/>
          <w:szCs w:val="32"/>
          <w:highlight w:val="none"/>
          <w:lang w:val="en-US" w:eastAsia="zh-CN"/>
        </w:rPr>
        <w:t>质效有待提高</w:t>
      </w:r>
      <w:r>
        <w:rPr>
          <w:rFonts w:hint="eastAsia" w:ascii="仿宋_GB2312" w:hAnsi="仿宋_GB2312" w:eastAsia="仿宋_GB2312" w:cs="仿宋_GB2312"/>
          <w:sz w:val="32"/>
          <w:szCs w:val="32"/>
          <w:highlight w:val="none"/>
        </w:rPr>
        <w:t>。城市基础设施</w:t>
      </w:r>
      <w:r>
        <w:rPr>
          <w:rFonts w:hint="eastAsia" w:ascii="仿宋_GB2312" w:hAnsi="仿宋_GB2312" w:eastAsia="仿宋_GB2312" w:cs="仿宋_GB2312"/>
          <w:sz w:val="32"/>
          <w:szCs w:val="32"/>
          <w:highlight w:val="none"/>
          <w:lang w:val="en-US" w:eastAsia="zh-CN"/>
        </w:rPr>
        <w:t>方面，</w:t>
      </w:r>
      <w:r>
        <w:rPr>
          <w:rFonts w:hint="eastAsia" w:ascii="仿宋_GB2312" w:hAnsi="仿宋_GB2312" w:eastAsia="仿宋_GB2312" w:cs="仿宋_GB2312"/>
          <w:sz w:val="32"/>
          <w:szCs w:val="32"/>
          <w:highlight w:val="none"/>
        </w:rPr>
        <w:t>地下管线</w:t>
      </w:r>
      <w:r>
        <w:rPr>
          <w:rFonts w:hint="eastAsia" w:ascii="仿宋_GB2312" w:hAnsi="仿宋_GB2312" w:eastAsia="仿宋_GB2312" w:cs="仿宋_GB2312"/>
          <w:sz w:val="32"/>
          <w:szCs w:val="32"/>
          <w:highlight w:val="none"/>
          <w:lang w:val="en-US" w:eastAsia="zh-CN"/>
        </w:rPr>
        <w:t>需持续改造</w:t>
      </w:r>
      <w:r>
        <w:rPr>
          <w:rFonts w:hint="eastAsia" w:ascii="仿宋_GB2312" w:hAnsi="仿宋_GB2312" w:eastAsia="仿宋_GB2312" w:cs="仿宋_GB2312"/>
          <w:sz w:val="32"/>
          <w:szCs w:val="32"/>
          <w:highlight w:val="none"/>
        </w:rPr>
        <w:t>，路网</w:t>
      </w:r>
      <w:r>
        <w:rPr>
          <w:rFonts w:hint="eastAsia" w:ascii="仿宋_GB2312" w:hAnsi="仿宋_GB2312" w:eastAsia="仿宋_GB2312" w:cs="仿宋_GB2312"/>
          <w:sz w:val="32"/>
          <w:szCs w:val="32"/>
          <w:highlight w:val="none"/>
          <w:lang w:val="en-US" w:eastAsia="zh-CN"/>
        </w:rPr>
        <w:t>结构需进一步完善</w:t>
      </w:r>
      <w:r>
        <w:rPr>
          <w:rFonts w:hint="eastAsia" w:ascii="仿宋_GB2312" w:hAnsi="仿宋_GB2312" w:eastAsia="仿宋_GB2312" w:cs="仿宋_GB2312"/>
          <w:sz w:val="32"/>
          <w:szCs w:val="32"/>
          <w:highlight w:val="none"/>
        </w:rPr>
        <w:t>。公共服务配套</w:t>
      </w:r>
      <w:r>
        <w:rPr>
          <w:rFonts w:hint="eastAsia" w:ascii="仿宋_GB2312" w:hAnsi="仿宋_GB2312" w:eastAsia="仿宋_GB2312" w:cs="仿宋_GB2312"/>
          <w:sz w:val="32"/>
          <w:szCs w:val="32"/>
          <w:highlight w:val="none"/>
          <w:lang w:val="en-US" w:eastAsia="zh-CN"/>
        </w:rPr>
        <w:t>方面，</w:t>
      </w:r>
      <w:r>
        <w:rPr>
          <w:rFonts w:hint="eastAsia" w:ascii="仿宋_GB2312" w:hAnsi="仿宋_GB2312" w:eastAsia="仿宋_GB2312" w:cs="仿宋_GB2312"/>
          <w:sz w:val="32"/>
          <w:szCs w:val="32"/>
          <w:highlight w:val="none"/>
        </w:rPr>
        <w:t>体育、养老服务供给水平仍需提升。</w:t>
      </w:r>
    </w:p>
    <w:p>
      <w:pPr>
        <w:spacing w:after="0" w:line="560" w:lineRule="exact"/>
        <w:ind w:firstLine="640" w:firstLineChars="200"/>
        <w:textAlignment w:val="center"/>
        <w:outlineLvl w:val="1"/>
        <w:rPr>
          <w:rFonts w:hint="default" w:ascii="楷体_GB2312" w:hAnsi="黑体" w:eastAsia="楷体_GB2312" w:cs="黑体"/>
          <w:color w:val="auto"/>
          <w:sz w:val="32"/>
          <w:szCs w:val="36"/>
          <w:highlight w:val="none"/>
          <w:lang w:val="en-US" w:eastAsia="zh-CN"/>
        </w:rPr>
      </w:pPr>
      <w:r>
        <w:rPr>
          <w:rFonts w:hint="eastAsia" w:ascii="楷体_GB2312" w:hAnsi="黑体" w:eastAsia="楷体_GB2312" w:cs="黑体"/>
          <w:color w:val="auto"/>
          <w:sz w:val="32"/>
          <w:szCs w:val="36"/>
          <w:highlight w:val="none"/>
          <w:lang w:val="en-US" w:eastAsia="zh-CN"/>
        </w:rPr>
        <w:t>（三）</w:t>
      </w:r>
      <w:r>
        <w:rPr>
          <w:rFonts w:hint="eastAsia" w:ascii="楷体_GB2312" w:hAnsi="黑体" w:eastAsia="楷体_GB2312" w:cs="黑体"/>
          <w:color w:val="auto"/>
          <w:sz w:val="32"/>
          <w:szCs w:val="36"/>
          <w:highlight w:val="none"/>
        </w:rPr>
        <w:t>“十五五”期间</w:t>
      </w:r>
      <w:bookmarkEnd w:id="47"/>
      <w:bookmarkEnd w:id="48"/>
      <w:bookmarkEnd w:id="49"/>
      <w:bookmarkEnd w:id="50"/>
      <w:bookmarkEnd w:id="51"/>
      <w:bookmarkEnd w:id="52"/>
      <w:bookmarkEnd w:id="53"/>
      <w:bookmarkEnd w:id="54"/>
      <w:bookmarkEnd w:id="55"/>
      <w:r>
        <w:rPr>
          <w:rFonts w:hint="eastAsia" w:ascii="楷体_GB2312" w:hAnsi="黑体" w:eastAsia="楷体_GB2312" w:cs="黑体"/>
          <w:color w:val="auto"/>
          <w:sz w:val="32"/>
          <w:szCs w:val="36"/>
          <w:highlight w:val="none"/>
          <w:lang w:val="en-US" w:eastAsia="zh-CN"/>
        </w:rPr>
        <w:t>发展形势</w:t>
      </w:r>
      <w:bookmarkEnd w:id="56"/>
    </w:p>
    <w:p>
      <w:pPr>
        <w:spacing w:line="560" w:lineRule="exact"/>
        <w:ind w:firstLine="642" w:firstLineChars="200"/>
        <w:rPr>
          <w:rFonts w:hint="eastAsia" w:ascii="仿宋_GB2312" w:hAnsi="仿宋_GB2312" w:eastAsia="仿宋_GB2312" w:cs="仿宋_GB2312"/>
          <w:sz w:val="32"/>
          <w:szCs w:val="20"/>
          <w:highlight w:val="none"/>
        </w:rPr>
      </w:pPr>
      <w:r>
        <w:rPr>
          <w:rFonts w:hint="eastAsia" w:ascii="仿宋_GB2312" w:hAnsi="仿宋_GB2312" w:eastAsia="仿宋_GB2312" w:cs="仿宋_GB2312"/>
          <w:b/>
          <w:bCs/>
          <w:sz w:val="32"/>
          <w:szCs w:val="32"/>
          <w:highlight w:val="none"/>
        </w:rPr>
        <w:t>从全国看，城市发展进入提质增效的新阶段</w:t>
      </w:r>
      <w:r>
        <w:rPr>
          <w:rFonts w:hint="eastAsia" w:ascii="仿宋_GB2312" w:hAnsi="仿宋_GB2312" w:eastAsia="仿宋_GB2312" w:cs="仿宋_GB2312"/>
          <w:sz w:val="32"/>
          <w:szCs w:val="20"/>
          <w:highlight w:val="none"/>
        </w:rPr>
        <w:t>。</w:t>
      </w:r>
      <w:r>
        <w:rPr>
          <w:rFonts w:hint="eastAsia" w:ascii="仿宋_GB2312" w:hAnsi="仿宋_GB2312" w:eastAsia="仿宋_GB2312" w:cs="仿宋_GB2312"/>
          <w:sz w:val="32"/>
          <w:szCs w:val="32"/>
          <w:highlight w:val="none"/>
        </w:rPr>
        <w:t>我国城镇化</w:t>
      </w:r>
      <w:r>
        <w:rPr>
          <w:rFonts w:hint="eastAsia" w:ascii="仿宋_GB2312" w:hAnsi="仿宋_GB2312" w:eastAsia="仿宋_GB2312" w:cs="仿宋_GB2312"/>
          <w:sz w:val="32"/>
          <w:szCs w:val="32"/>
          <w:highlight w:val="none"/>
          <w:lang w:val="en-US" w:eastAsia="zh-CN"/>
        </w:rPr>
        <w:t>正</w:t>
      </w:r>
      <w:r>
        <w:rPr>
          <w:rFonts w:hint="eastAsia" w:ascii="仿宋_GB2312" w:hAnsi="仿宋_GB2312" w:eastAsia="仿宋_GB2312" w:cs="仿宋_GB2312"/>
          <w:sz w:val="32"/>
          <w:szCs w:val="32"/>
          <w:highlight w:val="none"/>
        </w:rPr>
        <w:t>从快速增长期转向稳定发展期，城市发展正从大规模增量扩张阶段转向存量提质增效。</w:t>
      </w:r>
      <w:r>
        <w:rPr>
          <w:rFonts w:hint="eastAsia" w:ascii="仿宋_GB2312" w:hAnsi="仿宋_GB2312" w:eastAsia="仿宋_GB2312" w:cs="仿宋_GB2312"/>
          <w:sz w:val="32"/>
          <w:szCs w:val="20"/>
          <w:highlight w:val="none"/>
          <w:lang w:val="en-US" w:eastAsia="zh-CN"/>
        </w:rPr>
        <w:t>在此背景下，</w:t>
      </w:r>
      <w:r>
        <w:rPr>
          <w:rFonts w:hint="eastAsia" w:ascii="仿宋_GB2312" w:hAnsi="仿宋_GB2312" w:eastAsia="仿宋_GB2312" w:cs="仿宋_GB2312"/>
          <w:sz w:val="32"/>
          <w:szCs w:val="32"/>
          <w:highlight w:val="none"/>
        </w:rPr>
        <w:t>要把城市更新摆在突出位置，</w:t>
      </w:r>
      <w:r>
        <w:rPr>
          <w:rFonts w:hint="eastAsia" w:ascii="仿宋_GB2312" w:hAnsi="仿宋_GB2312" w:eastAsia="仿宋_GB2312" w:cs="仿宋_GB2312"/>
          <w:sz w:val="32"/>
          <w:szCs w:val="20"/>
          <w:highlight w:val="none"/>
          <w:lang w:val="en-US" w:eastAsia="zh-CN"/>
        </w:rPr>
        <w:t>始终聚焦人民需求，厚植民生福祉，以更高品质的城市更新成果，更好回应人民对美好生活的向往。</w:t>
      </w:r>
    </w:p>
    <w:p>
      <w:pPr>
        <w:spacing w:line="560" w:lineRule="exact"/>
        <w:ind w:firstLine="642" w:firstLineChars="200"/>
        <w:rPr>
          <w:rFonts w:hint="eastAsia" w:ascii="仿宋_GB2312" w:hAnsi="仿宋_GB2312" w:eastAsia="仿宋_GB2312" w:cs="仿宋_GB2312"/>
          <w:kern w:val="44"/>
          <w:sz w:val="32"/>
          <w:szCs w:val="32"/>
          <w:highlight w:val="none"/>
          <w:lang w:val="en-US" w:eastAsia="zh-CN"/>
        </w:rPr>
      </w:pPr>
      <w:r>
        <w:rPr>
          <w:rFonts w:hint="eastAsia" w:ascii="仿宋_GB2312" w:hAnsi="仿宋_GB2312" w:eastAsia="仿宋_GB2312" w:cs="仿宋_GB2312"/>
          <w:b/>
          <w:sz w:val="32"/>
          <w:szCs w:val="32"/>
          <w:highlight w:val="none"/>
        </w:rPr>
        <w:t>从全市看，</w:t>
      </w:r>
      <w:r>
        <w:rPr>
          <w:rFonts w:hint="eastAsia" w:ascii="仿宋_GB2312" w:hAnsi="仿宋_GB2312" w:eastAsia="仿宋_GB2312" w:cs="仿宋_GB2312"/>
          <w:b/>
          <w:sz w:val="32"/>
          <w:szCs w:val="20"/>
          <w:highlight w:val="none"/>
        </w:rPr>
        <w:t>进入减量发展背景下的综合更新阶段。</w:t>
      </w:r>
      <w:r>
        <w:rPr>
          <w:rFonts w:hint="eastAsia" w:ascii="仿宋_GB2312" w:hAnsi="仿宋_GB2312" w:eastAsia="仿宋_GB2312" w:cs="仿宋_GB2312"/>
          <w:kern w:val="44"/>
          <w:sz w:val="32"/>
          <w:szCs w:val="32"/>
          <w:highlight w:val="none"/>
        </w:rPr>
        <w:t>城市更新工作需要更好把握服务“四个中心”建设</w:t>
      </w:r>
      <w:r>
        <w:rPr>
          <w:rFonts w:hint="eastAsia" w:ascii="仿宋_GB2312" w:hAnsi="仿宋_GB2312" w:eastAsia="仿宋_GB2312" w:cs="仿宋_GB2312"/>
          <w:kern w:val="44"/>
          <w:sz w:val="32"/>
          <w:szCs w:val="32"/>
          <w:highlight w:val="none"/>
          <w:lang w:eastAsia="zh-CN"/>
        </w:rPr>
        <w:t>，</w:t>
      </w:r>
      <w:r>
        <w:rPr>
          <w:rFonts w:hint="eastAsia" w:ascii="仿宋_GB2312" w:hAnsi="仿宋_GB2312" w:eastAsia="仿宋_GB2312" w:cs="仿宋_GB2312"/>
          <w:kern w:val="44"/>
          <w:sz w:val="32"/>
          <w:szCs w:val="32"/>
          <w:highlight w:val="none"/>
        </w:rPr>
        <w:t>深度衔接非首都功能疏解、花园城市建设、“七有”“五性”等重大战略和人民期盼。</w:t>
      </w:r>
      <w:r>
        <w:rPr>
          <w:rFonts w:hint="eastAsia" w:ascii="仿宋_GB2312" w:hAnsi="仿宋_GB2312" w:eastAsia="仿宋_GB2312" w:cs="仿宋_GB2312"/>
          <w:kern w:val="44"/>
          <w:sz w:val="32"/>
          <w:szCs w:val="32"/>
          <w:highlight w:val="none"/>
          <w:lang w:val="en-US" w:eastAsia="zh-CN"/>
        </w:rPr>
        <w:t>同时，用好《北京市城市更新政策激励工具箱》，以政策集成创新破解规模指标、功能转换等关键制约，构建“标准有指引、实施有激励、试点有抓手”工作体系。</w:t>
      </w:r>
    </w:p>
    <w:p>
      <w:pPr>
        <w:spacing w:line="560" w:lineRule="exact"/>
        <w:ind w:firstLine="642" w:firstLineChars="200"/>
        <w:jc w:val="left"/>
        <w:rPr>
          <w:rFonts w:hint="default" w:ascii="仿宋_GB2312" w:hAnsi="仿宋_GB2312" w:eastAsia="仿宋_GB2312" w:cs="仿宋_GB2312"/>
          <w:kern w:val="44"/>
          <w:sz w:val="32"/>
          <w:szCs w:val="32"/>
          <w:highlight w:val="none"/>
          <w:lang w:val="en-US" w:eastAsia="zh-CN"/>
        </w:rPr>
      </w:pPr>
      <w:r>
        <w:rPr>
          <w:rFonts w:hint="eastAsia" w:ascii="仿宋_GB2312" w:hAnsi="仿宋_GB2312" w:eastAsia="仿宋_GB2312" w:cs="仿宋_GB2312"/>
          <w:b/>
          <w:sz w:val="32"/>
          <w:szCs w:val="32"/>
          <w:highlight w:val="none"/>
        </w:rPr>
        <w:t>从全区看，城市更新进入</w:t>
      </w:r>
      <w:r>
        <w:rPr>
          <w:rFonts w:hint="eastAsia" w:ascii="仿宋_GB2312" w:hAnsi="仿宋_GB2312" w:eastAsia="仿宋_GB2312" w:cs="仿宋_GB2312"/>
          <w:b/>
          <w:sz w:val="32"/>
          <w:szCs w:val="20"/>
          <w:highlight w:val="none"/>
        </w:rPr>
        <w:t>内涵式更新的新阶段。</w:t>
      </w:r>
      <w:r>
        <w:rPr>
          <w:rFonts w:hint="eastAsia" w:ascii="仿宋_GB2312" w:hAnsi="仿宋_GB2312" w:eastAsia="仿宋_GB2312" w:cs="仿宋_GB2312"/>
          <w:kern w:val="44"/>
          <w:sz w:val="32"/>
          <w:szCs w:val="32"/>
          <w:highlight w:val="none"/>
        </w:rPr>
        <w:t>随着“十五五”新一轮城市更新工作启动，“两园一河”协同联动发展、服贸会“一会一址”落户举办</w:t>
      </w:r>
      <w:r>
        <w:rPr>
          <w:rFonts w:hint="eastAsia" w:ascii="仿宋_GB2312" w:hAnsi="仿宋_GB2312" w:eastAsia="仿宋_GB2312" w:cs="仿宋_GB2312"/>
          <w:kern w:val="44"/>
          <w:sz w:val="32"/>
          <w:szCs w:val="32"/>
          <w:highlight w:val="none"/>
          <w:lang w:val="en-US" w:eastAsia="zh-CN"/>
        </w:rPr>
        <w:t>等重大机遇叠加释放</w:t>
      </w:r>
      <w:r>
        <w:rPr>
          <w:rFonts w:hint="eastAsia" w:ascii="仿宋_GB2312" w:hAnsi="仿宋_GB2312" w:eastAsia="仿宋_GB2312" w:cs="仿宋_GB2312"/>
          <w:kern w:val="44"/>
          <w:sz w:val="32"/>
          <w:szCs w:val="32"/>
          <w:highlight w:val="none"/>
        </w:rPr>
        <w:t>，石景山</w:t>
      </w:r>
      <w:r>
        <w:rPr>
          <w:rFonts w:hint="eastAsia" w:ascii="仿宋_GB2312" w:hAnsi="仿宋_GB2312" w:eastAsia="仿宋_GB2312" w:cs="仿宋_GB2312"/>
          <w:kern w:val="44"/>
          <w:sz w:val="32"/>
          <w:szCs w:val="32"/>
          <w:highlight w:val="none"/>
          <w:lang w:val="en-US" w:eastAsia="zh-CN"/>
        </w:rPr>
        <w:t>将</w:t>
      </w:r>
      <w:r>
        <w:rPr>
          <w:rFonts w:hint="eastAsia" w:ascii="Times New Roman" w:hAnsi="Times New Roman" w:eastAsia="仿宋_GB2312"/>
          <w:sz w:val="32"/>
          <w:szCs w:val="32"/>
          <w:highlight w:val="none"/>
        </w:rPr>
        <w:t>通过城市更新实现全区经济社会、生态环境和治理结构系统性重塑，</w:t>
      </w:r>
      <w:r>
        <w:rPr>
          <w:rFonts w:hint="eastAsia" w:ascii="仿宋_GB2312" w:hAnsi="仿宋_GB2312" w:eastAsia="仿宋_GB2312" w:cs="仿宋_GB2312"/>
          <w:bCs/>
          <w:sz w:val="32"/>
          <w:szCs w:val="20"/>
          <w:highlight w:val="none"/>
          <w:lang w:eastAsia="zh-CN"/>
        </w:rPr>
        <w:t>为城市</w:t>
      </w:r>
      <w:r>
        <w:rPr>
          <w:rFonts w:hint="eastAsia" w:ascii="仿宋_GB2312" w:hAnsi="仿宋_GB2312" w:eastAsia="仿宋_GB2312" w:cs="仿宋_GB2312"/>
          <w:bCs/>
          <w:sz w:val="32"/>
          <w:szCs w:val="20"/>
          <w:highlight w:val="none"/>
          <w:lang w:val="en-US" w:eastAsia="zh-CN"/>
        </w:rPr>
        <w:t>可持续</w:t>
      </w:r>
      <w:r>
        <w:rPr>
          <w:rFonts w:hint="eastAsia" w:ascii="仿宋_GB2312" w:hAnsi="仿宋_GB2312" w:eastAsia="仿宋_GB2312" w:cs="仿宋_GB2312"/>
          <w:bCs/>
          <w:sz w:val="32"/>
          <w:szCs w:val="20"/>
          <w:highlight w:val="none"/>
          <w:lang w:eastAsia="zh-CN"/>
        </w:rPr>
        <w:t>发展拓展新的增长空间和动力源泉。</w:t>
      </w:r>
    </w:p>
    <w:p>
      <w:pPr>
        <w:spacing w:line="560" w:lineRule="exact"/>
        <w:ind w:firstLine="880" w:firstLineChars="200"/>
        <w:rPr>
          <w:rFonts w:hint="eastAsia" w:ascii="方正小标宋简体" w:hAnsi="黑体" w:eastAsia="方正小标宋简体" w:cstheme="minorBidi"/>
          <w:kern w:val="44"/>
          <w:sz w:val="44"/>
          <w:szCs w:val="44"/>
          <w:highlight w:val="none"/>
        </w:rPr>
      </w:pPr>
      <w:r>
        <w:rPr>
          <w:rFonts w:hint="eastAsia" w:ascii="方正小标宋简体" w:hAnsi="黑体" w:eastAsia="方正小标宋简体" w:cstheme="minorBidi"/>
          <w:kern w:val="44"/>
          <w:sz w:val="44"/>
          <w:szCs w:val="44"/>
          <w:highlight w:val="none"/>
        </w:rPr>
        <w:br w:type="page"/>
      </w:r>
    </w:p>
    <w:p>
      <w:pPr>
        <w:spacing w:after="0" w:line="560" w:lineRule="exact"/>
        <w:ind w:firstLine="640" w:firstLineChars="200"/>
        <w:textAlignment w:val="center"/>
        <w:outlineLvl w:val="0"/>
        <w:rPr>
          <w:rFonts w:hint="default" w:ascii="黑体" w:hAnsi="黑体" w:eastAsia="黑体" w:cs="黑体"/>
          <w:color w:val="auto"/>
          <w:sz w:val="32"/>
          <w:szCs w:val="36"/>
          <w:highlight w:val="none"/>
          <w:lang w:val="en-US" w:eastAsia="zh-CN"/>
        </w:rPr>
      </w:pPr>
      <w:bookmarkStart w:id="57" w:name="_Toc4031"/>
      <w:r>
        <w:rPr>
          <w:rFonts w:hint="eastAsia" w:ascii="黑体" w:hAnsi="黑体" w:eastAsia="黑体" w:cs="黑体"/>
          <w:color w:val="auto"/>
          <w:sz w:val="32"/>
          <w:szCs w:val="36"/>
          <w:highlight w:val="none"/>
          <w:lang w:val="en-US" w:eastAsia="zh-CN"/>
        </w:rPr>
        <w:t>二、总体要求</w:t>
      </w:r>
      <w:bookmarkEnd w:id="57"/>
    </w:p>
    <w:p>
      <w:pPr>
        <w:adjustRightInd w:val="0"/>
        <w:snapToGrid w:val="0"/>
        <w:spacing w:line="560" w:lineRule="exact"/>
        <w:ind w:firstLine="640" w:firstLineChars="200"/>
        <w:rPr>
          <w:rFonts w:ascii="仿宋_GB2312"/>
          <w:bCs/>
          <w:szCs w:val="32"/>
          <w:highlight w:val="none"/>
        </w:rPr>
      </w:pPr>
      <w:bookmarkStart w:id="58" w:name="_Toc8621"/>
      <w:bookmarkStart w:id="59" w:name="_Toc917"/>
      <w:bookmarkStart w:id="60" w:name="_Toc2990"/>
      <w:bookmarkStart w:id="61" w:name="_Toc20315"/>
      <w:bookmarkStart w:id="62" w:name="_Toc15766"/>
      <w:bookmarkStart w:id="63" w:name="_Toc5992"/>
      <w:bookmarkStart w:id="64" w:name="_Toc29624"/>
      <w:bookmarkStart w:id="65" w:name="_Toc227221642"/>
      <w:bookmarkStart w:id="66" w:name="_Toc31944"/>
      <w:bookmarkStart w:id="67" w:name="_Toc21288"/>
      <w:bookmarkStart w:id="68" w:name="_Toc22202"/>
      <w:bookmarkStart w:id="69" w:name="_Toc12066"/>
      <w:bookmarkStart w:id="70" w:name="_Toc227221653"/>
      <w:bookmarkStart w:id="71" w:name="_Toc22923"/>
      <w:bookmarkStart w:id="72" w:name="_Toc23003"/>
      <w:bookmarkStart w:id="73" w:name="_Toc4185"/>
      <w:bookmarkStart w:id="74" w:name="_Toc4174"/>
      <w:bookmarkStart w:id="75" w:name="_Toc19252"/>
      <w:bookmarkStart w:id="76" w:name="_Toc4617"/>
      <w:bookmarkStart w:id="77" w:name="_Toc28227"/>
      <w:bookmarkStart w:id="78" w:name="_Toc1534"/>
      <w:bookmarkStart w:id="79" w:name="_Toc24342"/>
      <w:bookmarkStart w:id="80" w:name="_Toc9564"/>
      <w:bookmarkStart w:id="81" w:name="_Toc15977"/>
      <w:bookmarkStart w:id="82" w:name="_Toc11798"/>
      <w:bookmarkStart w:id="83" w:name="_Toc9688"/>
      <w:r>
        <w:rPr>
          <w:rFonts w:hint="default" w:ascii="Times New Roman" w:hAnsi="Times New Roman" w:eastAsia="仿宋_GB2312"/>
          <w:kern w:val="0"/>
          <w:sz w:val="32"/>
          <w:szCs w:val="32"/>
          <w:highlight w:val="none"/>
          <w:lang w:val="en-US"/>
        </w:rPr>
        <w:t>坚持系统观念，紧扣规划导向与实施要求，</w:t>
      </w:r>
      <w:r>
        <w:rPr>
          <w:rFonts w:hint="eastAsia" w:ascii="仿宋_GB2312" w:eastAsia="仿宋_GB2312"/>
          <w:sz w:val="32"/>
          <w:szCs w:val="32"/>
          <w:highlight w:val="none"/>
        </w:rPr>
        <w:t>立足当前，谋划长远，</w:t>
      </w:r>
      <w:r>
        <w:rPr>
          <w:rFonts w:hint="eastAsia" w:ascii="Times New Roman" w:hAnsi="Times New Roman" w:eastAsia="仿宋_GB2312"/>
          <w:kern w:val="0"/>
          <w:sz w:val="32"/>
          <w:szCs w:val="32"/>
          <w:highlight w:val="none"/>
          <w:lang w:val="en-US" w:eastAsia="zh-CN"/>
        </w:rPr>
        <w:t>推动城市内涵式发展，推进</w:t>
      </w:r>
      <w:r>
        <w:rPr>
          <w:rFonts w:hint="eastAsia" w:ascii="仿宋_GB2312" w:eastAsia="仿宋_GB2312"/>
          <w:sz w:val="32"/>
          <w:szCs w:val="32"/>
          <w:highlight w:val="none"/>
        </w:rPr>
        <w:t>好房子、好小区、好社区、好城区</w:t>
      </w:r>
      <w:r>
        <w:rPr>
          <w:rFonts w:hint="eastAsia" w:ascii="仿宋_GB2312" w:eastAsia="仿宋_GB2312"/>
          <w:sz w:val="32"/>
          <w:szCs w:val="32"/>
          <w:highlight w:val="none"/>
          <w:lang w:val="en-US" w:eastAsia="zh-CN"/>
        </w:rPr>
        <w:t>建设，</w:t>
      </w:r>
      <w:r>
        <w:rPr>
          <w:rFonts w:hint="eastAsia" w:ascii="仿宋_GB2312" w:eastAsia="仿宋_GB2312"/>
          <w:sz w:val="32"/>
          <w:szCs w:val="32"/>
          <w:highlight w:val="none"/>
        </w:rPr>
        <w:t>高水平建设好首都城市西大门。</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84" w:name="_Toc3624"/>
      <w:r>
        <w:rPr>
          <w:rFonts w:hint="eastAsia" w:ascii="楷体_GB2312" w:hAnsi="黑体" w:eastAsia="楷体_GB2312" w:cs="黑体"/>
          <w:color w:val="auto"/>
          <w:sz w:val="32"/>
          <w:szCs w:val="36"/>
          <w:highlight w:val="none"/>
          <w:lang w:val="en-US" w:eastAsia="zh-CN"/>
        </w:rPr>
        <w:t>（一）指导思想</w:t>
      </w:r>
      <w:bookmarkEnd w:id="58"/>
      <w:bookmarkEnd w:id="59"/>
      <w:bookmarkEnd w:id="60"/>
      <w:bookmarkEnd w:id="61"/>
      <w:bookmarkEnd w:id="62"/>
      <w:bookmarkEnd w:id="63"/>
      <w:bookmarkEnd w:id="64"/>
      <w:bookmarkEnd w:id="65"/>
      <w:bookmarkEnd w:id="66"/>
      <w:bookmarkEnd w:id="84"/>
    </w:p>
    <w:p>
      <w:pPr>
        <w:spacing w:line="560" w:lineRule="exact"/>
        <w:ind w:firstLine="640" w:firstLineChars="200"/>
        <w:rPr>
          <w:rFonts w:ascii="Times New Roman" w:hAnsi="Times New Roman" w:eastAsia="仿宋_GB2312"/>
          <w:sz w:val="32"/>
          <w:szCs w:val="32"/>
          <w:highlight w:val="none"/>
        </w:rPr>
      </w:pPr>
      <w:r>
        <w:rPr>
          <w:rFonts w:hint="eastAsia" w:ascii="仿宋_GB2312" w:hAnsi="仿宋_GB2312" w:eastAsia="仿宋_GB2312" w:cs="仿宋_GB2312"/>
          <w:sz w:val="32"/>
          <w:szCs w:val="32"/>
          <w:highlight w:val="none"/>
          <w:lang w:val="en-US" w:eastAsia="zh-CN"/>
        </w:rPr>
        <w:t>坚持</w:t>
      </w:r>
      <w:r>
        <w:rPr>
          <w:rFonts w:hint="eastAsia" w:ascii="仿宋_GB2312" w:hAnsi="仿宋_GB2312" w:eastAsia="仿宋_GB2312" w:cs="仿宋_GB2312"/>
          <w:sz w:val="32"/>
          <w:szCs w:val="32"/>
          <w:highlight w:val="none"/>
        </w:rPr>
        <w:t>以习近平新时代中国特色社会主义思想为指导，</w:t>
      </w:r>
      <w:r>
        <w:rPr>
          <w:rFonts w:hint="eastAsia" w:ascii="仿宋_GB2312" w:hAnsi="仿宋_GB2312" w:eastAsia="仿宋_GB2312" w:cs="仿宋_GB2312"/>
          <w:sz w:val="32"/>
          <w:szCs w:val="32"/>
          <w:highlight w:val="none"/>
          <w:lang w:val="en-US" w:eastAsia="zh-CN"/>
        </w:rPr>
        <w:t>深入贯彻党的二十大和二十届历次全会精神</w:t>
      </w:r>
      <w:r>
        <w:rPr>
          <w:rFonts w:hint="eastAsia" w:ascii="仿宋_GB2312" w:hAnsi="仿宋_GB2312" w:eastAsia="仿宋_GB2312" w:cs="仿宋_GB2312"/>
          <w:sz w:val="32"/>
          <w:szCs w:val="32"/>
          <w:highlight w:val="none"/>
        </w:rPr>
        <w:t>，全面落实习近平总书记关于城市工作的重要论述，深入实施国家和北京市城市更新工作的部署要求，坚持立足“三区”功能定位，深入实施“两大战略”，统筹做好“四个融合”文章</w:t>
      </w:r>
      <w:r>
        <w:rPr>
          <w:rFonts w:hint="eastAsia" w:ascii="Times New Roman" w:hAnsi="Times New Roman" w:eastAsia="仿宋_GB2312"/>
          <w:sz w:val="32"/>
          <w:szCs w:val="32"/>
          <w:highlight w:val="none"/>
        </w:rPr>
        <w:t>，充分发挥城市更新对稳增长、扩内需、促转型的积极作用，构建多元主体共建、共治、共享的新发展格局，在城市更新中实现人居环境全面改善、产业结构优化升级、经济发展量质提升、服务水平显著提高、生态环境活力显现，为谱写石景山区现代化建设新篇章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1"/>
        <w:rPr>
          <w:rFonts w:hint="eastAsia" w:ascii="楷体_GB2312" w:hAnsi="黑体" w:eastAsia="楷体_GB2312" w:cs="黑体"/>
          <w:color w:val="auto"/>
          <w:sz w:val="32"/>
          <w:szCs w:val="36"/>
          <w:highlight w:val="none"/>
          <w:lang w:val="en-US" w:eastAsia="zh-CN"/>
        </w:rPr>
      </w:pPr>
      <w:bookmarkStart w:id="85" w:name="_Toc13230"/>
      <w:bookmarkStart w:id="86" w:name="_Toc1614"/>
      <w:bookmarkStart w:id="87" w:name="_Toc7594"/>
      <w:bookmarkStart w:id="88" w:name="_Toc4924"/>
      <w:bookmarkStart w:id="89" w:name="_Toc4843"/>
      <w:bookmarkStart w:id="90" w:name="_Toc227221643"/>
      <w:bookmarkStart w:id="91" w:name="_Toc23842"/>
      <w:bookmarkStart w:id="92" w:name="_Toc19980"/>
      <w:bookmarkStart w:id="93" w:name="_Toc8169"/>
      <w:bookmarkStart w:id="94" w:name="_Toc32164"/>
      <w:r>
        <w:rPr>
          <w:rFonts w:hint="eastAsia" w:ascii="楷体_GB2312" w:hAnsi="黑体" w:eastAsia="楷体_GB2312" w:cs="黑体"/>
          <w:color w:val="auto"/>
          <w:sz w:val="32"/>
          <w:szCs w:val="36"/>
          <w:highlight w:val="none"/>
          <w:lang w:val="en-US" w:eastAsia="zh-CN"/>
        </w:rPr>
        <w:t>（二）</w:t>
      </w:r>
      <w:bookmarkEnd w:id="85"/>
      <w:bookmarkEnd w:id="86"/>
      <w:bookmarkEnd w:id="87"/>
      <w:bookmarkEnd w:id="88"/>
      <w:bookmarkEnd w:id="89"/>
      <w:bookmarkEnd w:id="90"/>
      <w:bookmarkEnd w:id="91"/>
      <w:bookmarkEnd w:id="92"/>
      <w:bookmarkEnd w:id="93"/>
      <w:r>
        <w:rPr>
          <w:rFonts w:hint="eastAsia" w:ascii="楷体_GB2312" w:hAnsi="黑体" w:eastAsia="楷体_GB2312" w:cs="黑体"/>
          <w:color w:val="auto"/>
          <w:sz w:val="32"/>
          <w:szCs w:val="36"/>
          <w:highlight w:val="none"/>
          <w:lang w:val="en-US" w:eastAsia="zh-CN"/>
        </w:rPr>
        <w:t>发展目标</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9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44"/>
          <w:sz w:val="32"/>
          <w:szCs w:val="32"/>
          <w:highlight w:val="none"/>
        </w:rPr>
      </w:pPr>
      <w:bookmarkStart w:id="95" w:name="_Toc15602"/>
      <w:bookmarkStart w:id="96" w:name="_Toc11694_WPSOffice_Level2"/>
      <w:r>
        <w:rPr>
          <w:rFonts w:hint="eastAsia" w:ascii="Times New Roman" w:hAnsi="Times New Roman" w:eastAsia="仿宋_GB2312"/>
          <w:sz w:val="32"/>
          <w:szCs w:val="32"/>
          <w:highlight w:val="none"/>
        </w:rPr>
        <w:t>到2030年，城市更新的深度与广度持续拓展，具有区域特色的可持续城市更新模式基本建立，“京西八大厂”工业遗产集群复兴样板加速形成，老旧小区配套与城市基础设施迭代升级，平房区和棚户区整体面貌不断焕新，</w:t>
      </w:r>
      <w:r>
        <w:rPr>
          <w:rFonts w:hint="eastAsia" w:ascii="Times New Roman" w:hAnsi="Times New Roman" w:eastAsia="仿宋_GB2312"/>
          <w:sz w:val="32"/>
          <w:szCs w:val="32"/>
          <w:highlight w:val="none"/>
          <w:lang w:val="en-US" w:eastAsia="zh-CN"/>
        </w:rPr>
        <w:t>建成</w:t>
      </w:r>
      <w:r>
        <w:rPr>
          <w:rFonts w:hint="eastAsia" w:ascii="仿宋_GB2312" w:hAnsi="仿宋_GB2312" w:eastAsia="仿宋_GB2312" w:cs="仿宋_GB2312"/>
          <w:bCs/>
          <w:sz w:val="32"/>
          <w:szCs w:val="20"/>
          <w:highlight w:val="none"/>
        </w:rPr>
        <w:t>安全牢固、服务高效、人居优美、动能强劲、文脉彰显、治理高效的高品质城市空间，</w:t>
      </w:r>
      <w:r>
        <w:rPr>
          <w:rFonts w:hint="eastAsia" w:ascii="Times New Roman" w:hAnsi="Times New Roman" w:eastAsia="仿宋_GB2312"/>
          <w:sz w:val="32"/>
          <w:szCs w:val="32"/>
          <w:highlight w:val="none"/>
        </w:rPr>
        <w:t>为</w:t>
      </w:r>
      <w:r>
        <w:rPr>
          <w:rFonts w:hint="eastAsia" w:ascii="仿宋_GB2312" w:hAnsi="仿宋_GB2312" w:eastAsia="仿宋_GB2312" w:cs="仿宋_GB2312"/>
          <w:sz w:val="32"/>
          <w:szCs w:val="32"/>
          <w:highlight w:val="none"/>
        </w:rPr>
        <w:t>高水平建设新时代首都城市复兴新地标</w:t>
      </w:r>
      <w:r>
        <w:rPr>
          <w:rFonts w:hint="eastAsia" w:ascii="仿宋_GB2312" w:hAnsi="仿宋_GB2312" w:eastAsia="仿宋_GB2312" w:cs="仿宋_GB2312"/>
          <w:sz w:val="32"/>
          <w:szCs w:val="32"/>
          <w:highlight w:val="none"/>
          <w:lang w:val="en-US" w:eastAsia="zh-CN"/>
        </w:rPr>
        <w:t>奠定坚实基础</w:t>
      </w:r>
      <w:r>
        <w:rPr>
          <w:rFonts w:hint="eastAsia" w:ascii="仿宋_GB2312" w:hAnsi="仿宋_GB2312" w:eastAsia="仿宋_GB2312" w:cs="仿宋_GB2312"/>
          <w:kern w:val="44"/>
          <w:sz w:val="32"/>
          <w:szCs w:val="32"/>
          <w:highlight w:val="none"/>
        </w:rPr>
        <w:t>。</w:t>
      </w:r>
    </w:p>
    <w:p>
      <w:pPr>
        <w:pStyle w:val="2"/>
        <w:jc w:val="center"/>
        <w:rPr>
          <w:rFonts w:hint="eastAsia" w:ascii="仿宋" w:hAnsi="仿宋" w:eastAsia="仿宋" w:cs="仿宋"/>
          <w:color w:val="auto"/>
          <w:kern w:val="2"/>
          <w:sz w:val="24"/>
          <w:szCs w:val="24"/>
          <w:highlight w:val="none"/>
          <w:lang w:val="en-US" w:eastAsia="zh-CN" w:bidi="ar-SA"/>
        </w:rPr>
      </w:pPr>
    </w:p>
    <w:p>
      <w:pPr>
        <w:pStyle w:val="2"/>
        <w:jc w:val="center"/>
        <w:rPr>
          <w:rFonts w:hint="eastAsia" w:ascii="仿宋" w:hAnsi="仿宋" w:eastAsia="仿宋" w:cs="仿宋"/>
          <w:color w:val="auto"/>
          <w:kern w:val="2"/>
          <w:sz w:val="24"/>
          <w:szCs w:val="24"/>
          <w:highlight w:val="none"/>
          <w:lang w:val="en-US" w:eastAsia="zh-CN" w:bidi="ar-SA"/>
        </w:rPr>
      </w:pPr>
    </w:p>
    <w:bookmarkEnd w:id="95"/>
    <w:bookmarkEnd w:id="96"/>
    <w:p>
      <w:pPr>
        <w:rPr>
          <w:rFonts w:hint="eastAsia" w:ascii="方正小标宋简体" w:hAnsi="黑体" w:eastAsia="方正小标宋简体" w:cstheme="minorBidi"/>
          <w:kern w:val="44"/>
          <w:sz w:val="44"/>
          <w:szCs w:val="44"/>
          <w:highlight w:val="none"/>
        </w:rPr>
      </w:pPr>
      <w:bookmarkStart w:id="97" w:name="_Toc30624"/>
      <w:bookmarkStart w:id="98" w:name="_Toc27674"/>
      <w:bookmarkStart w:id="99" w:name="_Toc27712"/>
      <w:bookmarkStart w:id="100" w:name="_Toc5440"/>
      <w:bookmarkStart w:id="101" w:name="_Toc15456"/>
      <w:bookmarkStart w:id="102" w:name="_Toc21565"/>
      <w:bookmarkStart w:id="103" w:name="_Toc227221662"/>
      <w:bookmarkStart w:id="104" w:name="_Toc25954"/>
      <w:bookmarkStart w:id="105" w:name="_Toc17552"/>
      <w:bookmarkStart w:id="106" w:name="_Toc17286"/>
      <w:bookmarkStart w:id="107" w:name="_Toc31093"/>
      <w:bookmarkStart w:id="108" w:name="_Toc29934"/>
      <w:bookmarkStart w:id="109" w:name="_Toc24790"/>
      <w:bookmarkStart w:id="110" w:name="_Toc2640"/>
      <w:bookmarkStart w:id="111" w:name="_Toc18411"/>
      <w:bookmarkStart w:id="112" w:name="_Toc17585"/>
      <w:bookmarkStart w:id="113" w:name="_Toc14636"/>
      <w:r>
        <w:rPr>
          <w:rFonts w:hint="eastAsia" w:ascii="方正小标宋简体" w:hAnsi="黑体" w:eastAsia="方正小标宋简体" w:cstheme="minorBidi"/>
          <w:kern w:val="44"/>
          <w:sz w:val="44"/>
          <w:szCs w:val="44"/>
          <w:highlight w:val="none"/>
        </w:rPr>
        <w:br w:type="page"/>
      </w:r>
    </w:p>
    <w:p>
      <w:pPr>
        <w:spacing w:after="0" w:line="560" w:lineRule="exact"/>
        <w:ind w:firstLine="640" w:firstLineChars="200"/>
        <w:textAlignment w:val="center"/>
        <w:outlineLvl w:val="0"/>
        <w:rPr>
          <w:rFonts w:hint="eastAsia" w:ascii="黑体" w:hAnsi="黑体" w:eastAsia="黑体" w:cs="黑体"/>
          <w:color w:val="auto"/>
          <w:sz w:val="32"/>
          <w:szCs w:val="36"/>
          <w:highlight w:val="none"/>
          <w:lang w:val="en-US" w:eastAsia="zh-CN"/>
        </w:rPr>
      </w:pPr>
      <w:bookmarkStart w:id="114" w:name="_Toc21562"/>
      <w:r>
        <w:rPr>
          <w:rFonts w:hint="eastAsia" w:ascii="黑体" w:hAnsi="黑体" w:eastAsia="黑体" w:cs="黑体"/>
          <w:color w:val="auto"/>
          <w:sz w:val="32"/>
          <w:szCs w:val="36"/>
          <w:highlight w:val="none"/>
          <w:lang w:val="en-US" w:eastAsia="zh-CN"/>
        </w:rPr>
        <w:t>三、主要任务</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坚持人民城市人民建、人民城市为人民，精细完善城市功能，精致提升空间品质，促进城市结构优化、功能完善、文脉赓续、品质提升，让城市成为人民群众高品质生活的空间。</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115" w:name="_Toc29130"/>
      <w:r>
        <w:rPr>
          <w:rFonts w:hint="eastAsia" w:ascii="楷体_GB2312" w:hAnsi="黑体" w:eastAsia="楷体_GB2312" w:cs="黑体"/>
          <w:color w:val="auto"/>
          <w:sz w:val="32"/>
          <w:szCs w:val="36"/>
          <w:highlight w:val="none"/>
          <w:lang w:val="en-US" w:eastAsia="zh-CN"/>
        </w:rPr>
        <w:t>（一）加强既有建筑改造利用</w:t>
      </w:r>
      <w:bookmarkEnd w:id="115"/>
    </w:p>
    <w:p>
      <w:pPr>
        <w:spacing w:line="560" w:lineRule="exact"/>
        <w:ind w:firstLine="642" w:firstLineChars="200"/>
        <w:rPr>
          <w:rFonts w:hint="eastAsia" w:ascii="Times New Roman" w:hAnsi="Times New Roman" w:eastAsia="仿宋_GB2312"/>
          <w:sz w:val="32"/>
          <w:szCs w:val="32"/>
          <w:highlight w:val="none"/>
        </w:rPr>
      </w:pPr>
      <w:bookmarkStart w:id="116" w:name="_Toc21071"/>
      <w:bookmarkStart w:id="117" w:name="_Toc882"/>
      <w:bookmarkStart w:id="118" w:name="_Toc12822"/>
      <w:bookmarkStart w:id="119" w:name="_Toc26945"/>
      <w:bookmarkStart w:id="120" w:name="_Toc14961"/>
      <w:bookmarkStart w:id="121" w:name="_Toc5653"/>
      <w:bookmarkStart w:id="122" w:name="_Toc24194"/>
      <w:bookmarkStart w:id="123" w:name="_Toc22818"/>
      <w:bookmarkStart w:id="124" w:name="_Toc2133"/>
      <w:bookmarkStart w:id="125" w:name="_Toc26073"/>
      <w:bookmarkStart w:id="126" w:name="_Toc31903"/>
      <w:bookmarkStart w:id="127" w:name="_Toc24319"/>
      <w:r>
        <w:rPr>
          <w:rFonts w:hint="eastAsia" w:ascii="Times New Roman" w:hAnsi="Times New Roman" w:eastAsia="仿宋_GB2312" w:cs="Times New Roman"/>
          <w:b/>
          <w:bCs/>
          <w:sz w:val="32"/>
          <w:szCs w:val="32"/>
          <w:highlight w:val="none"/>
          <w:lang w:val="en-US" w:eastAsia="zh-CN"/>
        </w:rPr>
        <w:t>有序推进</w:t>
      </w:r>
      <w:r>
        <w:rPr>
          <w:rFonts w:hint="eastAsia" w:ascii="Times New Roman" w:hAnsi="Times New Roman" w:eastAsia="仿宋_GB2312" w:cs="Times New Roman"/>
          <w:b/>
          <w:bCs/>
          <w:sz w:val="32"/>
          <w:szCs w:val="32"/>
          <w:highlight w:val="none"/>
        </w:rPr>
        <w:t>危旧房</w:t>
      </w:r>
      <w:bookmarkEnd w:id="116"/>
      <w:bookmarkEnd w:id="117"/>
      <w:bookmarkEnd w:id="118"/>
      <w:bookmarkEnd w:id="119"/>
      <w:bookmarkEnd w:id="120"/>
      <w:bookmarkEnd w:id="121"/>
      <w:bookmarkEnd w:id="122"/>
      <w:r>
        <w:rPr>
          <w:rFonts w:hint="eastAsia" w:ascii="Times New Roman" w:hAnsi="Times New Roman" w:eastAsia="仿宋_GB2312" w:cs="Times New Roman"/>
          <w:b/>
          <w:bCs/>
          <w:sz w:val="32"/>
          <w:szCs w:val="32"/>
          <w:highlight w:val="none"/>
          <w:lang w:val="en-US" w:eastAsia="zh-CN"/>
        </w:rPr>
        <w:t>改造。</w:t>
      </w:r>
      <w:r>
        <w:rPr>
          <w:rFonts w:hint="eastAsia" w:ascii="Times New Roman" w:hAnsi="Times New Roman" w:eastAsia="仿宋_GB2312"/>
          <w:sz w:val="32"/>
          <w:szCs w:val="32"/>
          <w:highlight w:val="none"/>
        </w:rPr>
        <w:t>开展危旧简易楼房屋安全鉴定，并按照鉴定的危险性等级，采取针对性措施，实现D级危房动态清零。</w:t>
      </w:r>
      <w:r>
        <w:rPr>
          <w:rFonts w:hint="eastAsia" w:ascii="Times New Roman" w:hAnsi="Times New Roman" w:eastAsia="仿宋_GB2312"/>
          <w:sz w:val="32"/>
          <w:szCs w:val="32"/>
          <w:highlight w:val="none"/>
          <w:lang w:val="en-US" w:eastAsia="zh-CN"/>
        </w:rPr>
        <w:t>实施</w:t>
      </w:r>
      <w:r>
        <w:rPr>
          <w:rFonts w:hint="eastAsia" w:ascii="仿宋_GB2312" w:hAnsi="仿宋_GB2312" w:eastAsia="仿宋_GB2312" w:cs="仿宋_GB2312"/>
          <w:sz w:val="32"/>
          <w:szCs w:val="32"/>
          <w:highlight w:val="none"/>
        </w:rPr>
        <w:t>八角路小</w:t>
      </w:r>
      <w:r>
        <w:rPr>
          <w:rFonts w:hint="eastAsia" w:ascii="Times New Roman" w:hAnsi="Times New Roman" w:eastAsia="仿宋_GB2312" w:cs="Times New Roman"/>
          <w:kern w:val="0"/>
          <w:sz w:val="32"/>
          <w:szCs w:val="32"/>
          <w:highlight w:val="none"/>
        </w:rPr>
        <w:t>区22号楼</w:t>
      </w:r>
      <w:r>
        <w:rPr>
          <w:rFonts w:hint="eastAsia" w:ascii="Times New Roman" w:hAnsi="Times New Roman" w:eastAsia="仿宋_GB2312" w:cs="Times New Roman"/>
          <w:kern w:val="0"/>
          <w:sz w:val="32"/>
          <w:szCs w:val="32"/>
          <w:highlight w:val="none"/>
          <w:lang w:val="en-US" w:eastAsia="zh-CN"/>
        </w:rPr>
        <w:t>等一批危旧楼房原拆原建项目，逐步消除房屋安全隐患</w:t>
      </w:r>
      <w:r>
        <w:rPr>
          <w:rFonts w:hint="eastAsia" w:ascii="Times New Roman" w:hAnsi="Times New Roman" w:eastAsia="仿宋_GB2312"/>
          <w:kern w:val="0"/>
          <w:sz w:val="32"/>
          <w:szCs w:val="32"/>
          <w:highlight w:val="none"/>
        </w:rPr>
        <w:t>。</w:t>
      </w:r>
    </w:p>
    <w:p>
      <w:pPr>
        <w:spacing w:line="560" w:lineRule="exact"/>
        <w:ind w:firstLine="642" w:firstLineChars="200"/>
        <w:outlineLvl w:val="9"/>
        <w:rPr>
          <w:rFonts w:hint="eastAsia" w:ascii="Times New Roman" w:hAnsi="Times New Roman" w:eastAsia="仿宋_GB2312" w:cs="Times New Roman"/>
          <w:sz w:val="32"/>
          <w:szCs w:val="32"/>
          <w:highlight w:val="none"/>
        </w:rPr>
      </w:pPr>
      <w:bookmarkStart w:id="128" w:name="_Toc2583"/>
      <w:bookmarkStart w:id="129" w:name="_Toc23585"/>
      <w:bookmarkStart w:id="130" w:name="_Toc16632"/>
      <w:bookmarkStart w:id="131" w:name="_Toc26975"/>
      <w:bookmarkStart w:id="132" w:name="_Toc26573"/>
      <w:bookmarkStart w:id="133" w:name="_Toc27593"/>
      <w:bookmarkStart w:id="134" w:name="_Toc291"/>
      <w:r>
        <w:rPr>
          <w:rFonts w:hint="eastAsia" w:ascii="Times New Roman" w:hAnsi="Times New Roman" w:eastAsia="仿宋_GB2312" w:cs="Times New Roman"/>
          <w:b/>
          <w:bCs/>
          <w:sz w:val="32"/>
          <w:szCs w:val="32"/>
          <w:highlight w:val="none"/>
          <w:lang w:val="en-US" w:eastAsia="zh-CN"/>
        </w:rPr>
        <w:t>开展既有建筑节能绿色化改造</w:t>
      </w:r>
      <w:bookmarkEnd w:id="128"/>
      <w:bookmarkEnd w:id="129"/>
      <w:bookmarkEnd w:id="130"/>
      <w:bookmarkEnd w:id="131"/>
      <w:bookmarkEnd w:id="132"/>
      <w:bookmarkEnd w:id="133"/>
      <w:bookmarkEnd w:id="134"/>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推动具有改造价值和条件的城镇既有非节能居住建筑实施节能改造，推动完成连续两年5级能效公共建筑改造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鼓励采用合同能源管理等市场化节约能源服务。推广使用成熟适用、性价比高的节能绿色技术与产品，针对不同能耗水平公共建筑实施差异化引导与管控。</w:t>
      </w:r>
    </w:p>
    <w:bookmarkEnd w:id="123"/>
    <w:bookmarkEnd w:id="124"/>
    <w:bookmarkEnd w:id="125"/>
    <w:bookmarkEnd w:id="126"/>
    <w:bookmarkEnd w:id="127"/>
    <w:p>
      <w:pPr>
        <w:spacing w:line="560" w:lineRule="exact"/>
        <w:ind w:firstLine="642" w:firstLineChars="200"/>
        <w:outlineLvl w:val="9"/>
        <w:rPr>
          <w:rFonts w:hint="eastAsia" w:ascii="Times New Roman" w:hAnsi="Times New Roman" w:eastAsia="仿宋_GB2312" w:cs="Times New Roman"/>
          <w:sz w:val="32"/>
          <w:szCs w:val="32"/>
          <w:highlight w:val="none"/>
        </w:rPr>
      </w:pPr>
      <w:bookmarkStart w:id="135" w:name="_Toc15413"/>
      <w:bookmarkStart w:id="136" w:name="_Toc22524"/>
      <w:bookmarkStart w:id="137" w:name="_Toc18563"/>
      <w:bookmarkStart w:id="138" w:name="_Toc2084"/>
      <w:bookmarkStart w:id="139" w:name="_Toc2654"/>
      <w:bookmarkStart w:id="140" w:name="_Toc24941"/>
      <w:bookmarkStart w:id="141" w:name="_Toc24949"/>
      <w:r>
        <w:rPr>
          <w:rFonts w:hint="eastAsia" w:ascii="Times New Roman" w:hAnsi="Times New Roman" w:eastAsia="仿宋_GB2312" w:cs="Times New Roman"/>
          <w:b/>
          <w:bCs/>
          <w:sz w:val="32"/>
          <w:szCs w:val="32"/>
          <w:highlight w:val="none"/>
          <w:lang w:val="en-US" w:eastAsia="zh-CN"/>
        </w:rPr>
        <w:t>推动</w:t>
      </w:r>
      <w:r>
        <w:rPr>
          <w:rFonts w:hint="eastAsia" w:ascii="Times New Roman" w:hAnsi="Times New Roman" w:eastAsia="仿宋_GB2312" w:cs="Times New Roman"/>
          <w:b/>
          <w:bCs/>
          <w:sz w:val="32"/>
          <w:szCs w:val="32"/>
          <w:highlight w:val="none"/>
        </w:rPr>
        <w:t>老旧厂房</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低效楼宇</w:t>
      </w:r>
      <w:r>
        <w:rPr>
          <w:rFonts w:hint="eastAsia" w:ascii="Times New Roman" w:hAnsi="Times New Roman" w:eastAsia="仿宋_GB2312" w:cs="Times New Roman"/>
          <w:b/>
          <w:bCs/>
          <w:sz w:val="32"/>
          <w:szCs w:val="32"/>
          <w:highlight w:val="none"/>
        </w:rPr>
        <w:t>改造利用</w:t>
      </w:r>
      <w:bookmarkEnd w:id="135"/>
      <w:bookmarkEnd w:id="136"/>
      <w:bookmarkEnd w:id="137"/>
      <w:bookmarkEnd w:id="138"/>
      <w:bookmarkEnd w:id="139"/>
      <w:bookmarkEnd w:id="140"/>
      <w:bookmarkEnd w:id="141"/>
      <w:r>
        <w:rPr>
          <w:rFonts w:hint="eastAsia" w:ascii="Times New Roman" w:hAnsi="Times New Roman" w:eastAsia="仿宋_GB2312" w:cs="Times New Roman"/>
          <w:sz w:val="32"/>
          <w:szCs w:val="32"/>
          <w:highlight w:val="none"/>
          <w:lang w:eastAsia="zh-CN"/>
        </w:rPr>
        <w:t>。</w:t>
      </w:r>
      <w:bookmarkStart w:id="142" w:name="_Toc7740"/>
      <w:r>
        <w:rPr>
          <w:rFonts w:hint="eastAsia" w:ascii="Times New Roman" w:hAnsi="Times New Roman" w:eastAsia="仿宋_GB2312" w:cs="Times New Roman"/>
          <w:sz w:val="32"/>
          <w:szCs w:val="32"/>
          <w:highlight w:val="none"/>
        </w:rPr>
        <w:t>用好老旧厂房加层改造</w:t>
      </w:r>
      <w:r>
        <w:rPr>
          <w:rFonts w:hint="eastAsia" w:ascii="Times New Roman" w:hAnsi="Times New Roman" w:eastAsia="仿宋_GB2312" w:cs="Times New Roman"/>
          <w:sz w:val="32"/>
          <w:szCs w:val="32"/>
          <w:highlight w:val="none"/>
          <w:lang w:val="en-US" w:eastAsia="zh-CN"/>
        </w:rPr>
        <w:t>规模单独备案</w:t>
      </w:r>
      <w:r>
        <w:rPr>
          <w:rFonts w:hint="eastAsia" w:ascii="Times New Roman" w:hAnsi="Times New Roman" w:eastAsia="仿宋_GB2312" w:cs="Times New Roman"/>
          <w:sz w:val="32"/>
          <w:szCs w:val="32"/>
          <w:highlight w:val="none"/>
        </w:rPr>
        <w:t>等支持政策，推动首钢北区、巴威-北锅、北重东厂、北重西厂基本建成，启动首钢南区建设，推动</w:t>
      </w:r>
      <w:r>
        <w:rPr>
          <w:rFonts w:hint="eastAsia" w:ascii="Times New Roman" w:hAnsi="Times New Roman" w:eastAsia="仿宋_GB2312" w:cs="Times New Roman"/>
          <w:sz w:val="32"/>
          <w:szCs w:val="32"/>
          <w:highlight w:val="none"/>
          <w:lang w:val="en-US" w:eastAsia="zh-CN"/>
        </w:rPr>
        <w:t>首特钢、</w:t>
      </w:r>
      <w:r>
        <w:rPr>
          <w:rFonts w:hint="eastAsia" w:ascii="Times New Roman" w:hAnsi="Times New Roman" w:eastAsia="仿宋_GB2312" w:cs="Times New Roman"/>
          <w:sz w:val="32"/>
          <w:szCs w:val="32"/>
          <w:highlight w:val="none"/>
        </w:rPr>
        <w:t>京能热电、西山机械厂等老旧厂房有序更新。</w:t>
      </w:r>
      <w:r>
        <w:rPr>
          <w:rFonts w:hint="eastAsia" w:ascii="Times New Roman" w:hAnsi="Times New Roman" w:eastAsia="仿宋_GB2312" w:cs="Times New Roman"/>
          <w:sz w:val="32"/>
          <w:szCs w:val="32"/>
          <w:highlight w:val="none"/>
          <w:lang w:val="en-US" w:eastAsia="zh-CN"/>
        </w:rPr>
        <w:t>利用</w:t>
      </w:r>
      <w:r>
        <w:rPr>
          <w:rFonts w:hint="eastAsia" w:ascii="Times New Roman" w:hAnsi="Times New Roman" w:eastAsia="仿宋_GB2312" w:cs="Times New Roman"/>
          <w:sz w:val="32"/>
          <w:szCs w:val="32"/>
          <w:highlight w:val="none"/>
        </w:rPr>
        <w:t>商务商业楼宇功能兼容使用政策，优化盘活存量老旧低效楼宇资源。</w:t>
      </w:r>
    </w:p>
    <w:p>
      <w:pPr>
        <w:pStyle w:val="2"/>
        <w:rPr>
          <w:rFonts w:hint="eastAsia" w:ascii="Times New Roman" w:hAnsi="Times New Roman" w:eastAsia="仿宋_GB2312" w:cs="Times New Roman"/>
          <w:sz w:val="32"/>
          <w:szCs w:val="32"/>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03"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640" w:firstLineChars="200"/>
              <w:jc w:val="center"/>
              <w:textAlignment w:val="auto"/>
              <w:rPr>
                <w:rFonts w:hint="default" w:eastAsia="黑体"/>
                <w:highlight w:val="none"/>
                <w:lang w:val="en-US" w:eastAsia="zh-CN"/>
              </w:rPr>
            </w:pPr>
            <w:r>
              <w:rPr>
                <w:rFonts w:hint="eastAsia" w:ascii="黑体" w:hAnsi="黑体" w:eastAsia="黑体" w:cs="黑体"/>
                <w:sz w:val="32"/>
                <w:szCs w:val="32"/>
                <w:highlight w:val="none"/>
                <w14:ligatures w14:val="none"/>
              </w:rPr>
              <w:t>专栏</w:t>
            </w:r>
            <w:r>
              <w:rPr>
                <w:rFonts w:hint="eastAsia" w:ascii="黑体" w:hAnsi="黑体" w:eastAsia="黑体" w:cs="黑体"/>
                <w:sz w:val="32"/>
                <w:szCs w:val="32"/>
                <w:highlight w:val="none"/>
                <w:lang w:val="en-US" w:eastAsia="zh-CN"/>
                <w14:ligatures w14:val="none"/>
              </w:rPr>
              <w:t>1</w:t>
            </w:r>
            <w:r>
              <w:rPr>
                <w:rFonts w:hint="eastAsia" w:ascii="黑体" w:hAnsi="黑体" w:eastAsia="黑体" w:cs="黑体"/>
                <w:sz w:val="32"/>
                <w:szCs w:val="32"/>
                <w:highlight w:val="none"/>
                <w14:ligatures w14:val="none"/>
              </w:rPr>
              <w:t>-</w:t>
            </w:r>
            <w:r>
              <w:rPr>
                <w:rFonts w:hint="eastAsia" w:ascii="黑体" w:hAnsi="黑体" w:eastAsia="黑体" w:cs="黑体"/>
                <w:sz w:val="32"/>
                <w:szCs w:val="32"/>
                <w:highlight w:val="none"/>
                <w:lang w:val="en-US" w:eastAsia="zh-CN"/>
                <w14:ligatures w14:val="none"/>
              </w:rPr>
              <w:t>重点厂房更新改造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8903"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b w:val="0"/>
                <w:bCs w:val="0"/>
                <w:sz w:val="28"/>
                <w:szCs w:val="32"/>
                <w:highlight w:val="none"/>
                <w14:ligatures w14:val="none"/>
              </w:rPr>
            </w:pPr>
            <w:r>
              <w:rPr>
                <w:rFonts w:hint="eastAsia" w:ascii="仿宋_GB2312" w:hAnsi="仿宋_GB2312" w:eastAsia="仿宋_GB2312" w:cs="仿宋_GB2312"/>
                <w:b w:val="0"/>
                <w:bCs w:val="0"/>
                <w:sz w:val="28"/>
                <w:szCs w:val="32"/>
                <w:highlight w:val="none"/>
                <w:lang w:val="en-US" w:eastAsia="zh-CN"/>
                <w14:ligatures w14:val="none"/>
              </w:rPr>
              <w:t>1.</w:t>
            </w:r>
            <w:r>
              <w:rPr>
                <w:rFonts w:hint="eastAsia" w:ascii="仿宋_GB2312" w:hAnsi="仿宋_GB2312" w:eastAsia="仿宋_GB2312" w:cs="仿宋_GB2312"/>
                <w:b w:val="0"/>
                <w:bCs w:val="0"/>
                <w:sz w:val="28"/>
                <w:szCs w:val="32"/>
                <w:highlight w:val="none"/>
                <w14:ligatures w14:val="none"/>
              </w:rPr>
              <w:t>推动新首钢高端产业综合服务区有序建设</w:t>
            </w:r>
            <w:r>
              <w:rPr>
                <w:rFonts w:hint="eastAsia" w:ascii="仿宋_GB2312" w:hAnsi="仿宋_GB2312" w:eastAsia="仿宋_GB2312" w:cs="仿宋_GB2312"/>
                <w:b w:val="0"/>
                <w:bCs w:val="0"/>
                <w:sz w:val="28"/>
                <w:szCs w:val="32"/>
                <w:highlight w:val="none"/>
                <w:lang w:eastAsia="zh-CN"/>
                <w14:ligatures w14:val="none"/>
              </w:rPr>
              <w:t>。</w:t>
            </w:r>
            <w:r>
              <w:rPr>
                <w:rFonts w:hint="eastAsia" w:ascii="仿宋_GB2312" w:hAnsi="仿宋_GB2312" w:eastAsia="仿宋_GB2312" w:cs="仿宋_GB2312"/>
                <w:b w:val="0"/>
                <w:bCs w:val="0"/>
                <w:sz w:val="28"/>
                <w:szCs w:val="32"/>
                <w:highlight w:val="none"/>
                <w:lang w:val="en-US" w:eastAsia="zh-CN"/>
                <w14:ligatures w14:val="none"/>
              </w:rPr>
              <w:t>首钢</w:t>
            </w:r>
            <w:r>
              <w:rPr>
                <w:rFonts w:hint="eastAsia" w:ascii="仿宋_GB2312" w:hAnsi="仿宋_GB2312" w:eastAsia="仿宋_GB2312" w:cs="仿宋_GB2312"/>
                <w:b w:val="0"/>
                <w:bCs w:val="0"/>
                <w:sz w:val="28"/>
                <w:szCs w:val="32"/>
                <w:highlight w:val="none"/>
                <w14:ligatures w14:val="none"/>
              </w:rPr>
              <w:t>北区打造会展小镇与主题消费场景，推进剩余地块上市，树立京西转型复兴标杆。</w:t>
            </w:r>
            <w:r>
              <w:rPr>
                <w:rFonts w:hint="eastAsia" w:ascii="仿宋_GB2312" w:hAnsi="仿宋_GB2312" w:eastAsia="仿宋_GB2312" w:cs="仿宋_GB2312"/>
                <w:b w:val="0"/>
                <w:bCs w:val="0"/>
                <w:sz w:val="28"/>
                <w:szCs w:val="32"/>
                <w:highlight w:val="none"/>
                <w:lang w:val="en-US" w:eastAsia="zh-CN"/>
                <w14:ligatures w14:val="none"/>
              </w:rPr>
              <w:t>首钢</w:t>
            </w:r>
            <w:r>
              <w:rPr>
                <w:rFonts w:hint="eastAsia" w:ascii="仿宋_GB2312" w:hAnsi="仿宋_GB2312" w:eastAsia="仿宋_GB2312" w:cs="仿宋_GB2312"/>
                <w:b w:val="0"/>
                <w:bCs w:val="0"/>
                <w:sz w:val="28"/>
                <w:szCs w:val="32"/>
                <w:highlight w:val="none"/>
                <w14:ligatures w14:val="none"/>
              </w:rPr>
              <w:t>南区以</w:t>
            </w:r>
            <w:r>
              <w:rPr>
                <w:rFonts w:hint="eastAsia" w:ascii="仿宋_GB2312" w:hAnsi="仿宋_GB2312" w:eastAsia="仿宋_GB2312" w:cs="仿宋_GB2312"/>
                <w:b w:val="0"/>
                <w:bCs w:val="0"/>
                <w:sz w:val="28"/>
                <w:szCs w:val="32"/>
                <w:highlight w:val="none"/>
                <w:lang w:eastAsia="zh-CN"/>
                <w14:ligatures w14:val="none"/>
              </w:rPr>
              <w:t>“两园一河”</w:t>
            </w:r>
            <w:r>
              <w:rPr>
                <w:rFonts w:hint="eastAsia" w:ascii="仿宋_GB2312" w:hAnsi="仿宋_GB2312" w:eastAsia="仿宋_GB2312" w:cs="仿宋_GB2312"/>
                <w:b w:val="0"/>
                <w:bCs w:val="0"/>
                <w:sz w:val="28"/>
                <w:szCs w:val="32"/>
                <w:highlight w:val="none"/>
                <w14:ligatures w14:val="none"/>
              </w:rPr>
              <w:t>重大项目、11号线二期建设为牵引，统筹</w:t>
            </w:r>
            <w:r>
              <w:rPr>
                <w:rFonts w:hint="eastAsia" w:ascii="仿宋_GB2312" w:hAnsi="仿宋_GB2312" w:eastAsia="仿宋_GB2312" w:cs="仿宋_GB2312"/>
                <w:b w:val="0"/>
                <w:bCs w:val="0"/>
                <w:sz w:val="28"/>
                <w:szCs w:val="32"/>
                <w:highlight w:val="none"/>
                <w:lang w:val="en-US" w:eastAsia="zh-CN"/>
                <w14:ligatures w14:val="none"/>
              </w:rPr>
              <w:t>配套设施建设、</w:t>
            </w:r>
            <w:r>
              <w:rPr>
                <w:rFonts w:hint="eastAsia" w:ascii="仿宋_GB2312" w:hAnsi="仿宋_GB2312" w:eastAsia="仿宋_GB2312" w:cs="仿宋_GB2312"/>
                <w:b w:val="0"/>
                <w:bCs w:val="0"/>
                <w:sz w:val="28"/>
                <w:szCs w:val="32"/>
                <w:highlight w:val="none"/>
                <w14:ligatures w14:val="none"/>
              </w:rPr>
              <w:t>生态修复、景观营造与产业布局。</w:t>
            </w:r>
            <w:r>
              <w:rPr>
                <w:rFonts w:hint="eastAsia" w:ascii="仿宋_GB2312" w:hAnsi="仿宋_GB2312" w:eastAsia="仿宋_GB2312" w:cs="仿宋_GB2312"/>
                <w:b w:val="0"/>
                <w:bCs w:val="0"/>
                <w:sz w:val="28"/>
                <w:szCs w:val="32"/>
                <w:highlight w:val="none"/>
                <w:lang w:val="en-US" w:eastAsia="zh-CN"/>
                <w14:ligatures w14:val="none"/>
              </w:rPr>
              <w:t>首钢</w:t>
            </w:r>
            <w:r>
              <w:rPr>
                <w:rFonts w:hint="eastAsia" w:ascii="仿宋_GB2312" w:hAnsi="仿宋_GB2312" w:eastAsia="仿宋_GB2312" w:cs="仿宋_GB2312"/>
                <w:b w:val="0"/>
                <w:bCs w:val="0"/>
                <w:sz w:val="28"/>
                <w:szCs w:val="32"/>
                <w:highlight w:val="none"/>
                <w14:ligatures w14:val="none"/>
              </w:rPr>
              <w:t>东南区承接北区资源外溢，完善公共服务、市政与便民配套，提升区域宜居水平。首特钢布局中试研发、算力中心，统筹城中村改造与用地上市，完善居住教育配套。</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b w:val="0"/>
                <w:bCs w:val="0"/>
                <w:sz w:val="28"/>
                <w:szCs w:val="32"/>
                <w:highlight w:val="none"/>
                <w14:ligatures w14:val="none"/>
              </w:rPr>
            </w:pPr>
            <w:bookmarkStart w:id="143" w:name="_Toc28702"/>
            <w:bookmarkStart w:id="144" w:name="_Toc27109"/>
            <w:r>
              <w:rPr>
                <w:rFonts w:hint="eastAsia" w:ascii="仿宋_GB2312" w:hAnsi="仿宋_GB2312" w:eastAsia="仿宋_GB2312" w:cs="仿宋_GB2312"/>
                <w:b w:val="0"/>
                <w:bCs w:val="0"/>
                <w:sz w:val="28"/>
                <w:szCs w:val="32"/>
                <w:highlight w:val="none"/>
                <w:lang w:val="en-US" w:eastAsia="zh-CN"/>
                <w14:ligatures w14:val="none"/>
              </w:rPr>
              <w:t>2.</w:t>
            </w:r>
            <w:r>
              <w:rPr>
                <w:rFonts w:hint="eastAsia" w:ascii="仿宋_GB2312" w:hAnsi="仿宋_GB2312" w:eastAsia="仿宋_GB2312" w:cs="仿宋_GB2312"/>
                <w:b w:val="0"/>
                <w:bCs w:val="0"/>
                <w:sz w:val="28"/>
                <w:szCs w:val="32"/>
                <w:highlight w:val="none"/>
                <w14:ligatures w14:val="none"/>
              </w:rPr>
              <w:t>完成巴威-北锅及北重西厂更新改造</w:t>
            </w:r>
            <w:bookmarkEnd w:id="143"/>
            <w:bookmarkEnd w:id="144"/>
            <w:r>
              <w:rPr>
                <w:rFonts w:hint="eastAsia" w:ascii="仿宋_GB2312" w:hAnsi="仿宋_GB2312" w:eastAsia="仿宋_GB2312" w:cs="仿宋_GB2312"/>
                <w:b w:val="0"/>
                <w:bCs w:val="0"/>
                <w:sz w:val="28"/>
                <w:szCs w:val="32"/>
                <w:highlight w:val="none"/>
                <w:lang w:eastAsia="zh-CN"/>
                <w14:ligatures w14:val="none"/>
              </w:rPr>
              <w:t>。</w:t>
            </w:r>
            <w:r>
              <w:rPr>
                <w:rFonts w:hint="eastAsia" w:ascii="仿宋_GB2312" w:hAnsi="仿宋_GB2312" w:eastAsia="仿宋_GB2312" w:cs="仿宋_GB2312"/>
                <w:b w:val="0"/>
                <w:bCs w:val="0"/>
                <w:sz w:val="28"/>
                <w:szCs w:val="32"/>
                <w:highlight w:val="none"/>
                <w14:ligatures w14:val="none"/>
              </w:rPr>
              <w:t>分类推进</w:t>
            </w:r>
            <w:r>
              <w:rPr>
                <w:rFonts w:hint="eastAsia" w:ascii="仿宋_GB2312" w:hAnsi="仿宋_GB2312" w:eastAsia="仿宋_GB2312" w:cs="仿宋_GB2312"/>
                <w:b w:val="0"/>
                <w:bCs w:val="0"/>
                <w:sz w:val="28"/>
                <w:szCs w:val="32"/>
                <w:highlight w:val="none"/>
                <w:lang w:val="zh-CN"/>
                <w14:ligatures w14:val="none"/>
              </w:rPr>
              <w:t>自主改造升级区域、一级开发区域</w:t>
            </w:r>
            <w:r>
              <w:rPr>
                <w:rFonts w:hint="eastAsia" w:ascii="仿宋_GB2312" w:hAnsi="仿宋_GB2312" w:eastAsia="仿宋_GB2312" w:cs="仿宋_GB2312"/>
                <w:b w:val="0"/>
                <w:bCs w:val="0"/>
                <w:sz w:val="28"/>
                <w:szCs w:val="32"/>
                <w:highlight w:val="none"/>
                <w14:ligatures w14:val="none"/>
              </w:rPr>
              <w:t>和城中村改造区域建设</w:t>
            </w:r>
            <w:r>
              <w:rPr>
                <w:rFonts w:hint="eastAsia" w:ascii="仿宋_GB2312" w:hAnsi="仿宋_GB2312" w:eastAsia="仿宋_GB2312" w:cs="仿宋_GB2312"/>
                <w:b w:val="0"/>
                <w:bCs w:val="0"/>
                <w:sz w:val="28"/>
                <w:szCs w:val="32"/>
                <w:highlight w:val="none"/>
                <w:lang w:val="zh-CN"/>
                <w14:ligatures w14:val="none"/>
              </w:rPr>
              <w:t>。</w:t>
            </w:r>
            <w:r>
              <w:rPr>
                <w:rFonts w:hint="eastAsia" w:ascii="仿宋_GB2312" w:hAnsi="仿宋_GB2312" w:eastAsia="仿宋_GB2312" w:cs="仿宋_GB2312"/>
                <w:b w:val="0"/>
                <w:bCs w:val="0"/>
                <w:sz w:val="28"/>
                <w:szCs w:val="32"/>
                <w:highlight w:val="none"/>
                <w14:ligatures w14:val="none"/>
              </w:rPr>
              <w:t>自主改造区域聚焦工业遗存保护与活化利用，重点实施管子车间、金结汽包车间等</w:t>
            </w:r>
            <w:r>
              <w:rPr>
                <w:rFonts w:hint="eastAsia" w:ascii="仿宋_GB2312" w:hAnsi="仿宋_GB2312" w:eastAsia="仿宋_GB2312" w:cs="仿宋_GB2312"/>
                <w:b w:val="0"/>
                <w:bCs w:val="0"/>
                <w:sz w:val="28"/>
                <w:szCs w:val="32"/>
                <w:highlight w:val="none"/>
                <w:lang w:val="en-US" w:eastAsia="zh-CN"/>
                <w14:ligatures w14:val="none"/>
              </w:rPr>
              <w:t>工业遗存保护性利用</w:t>
            </w:r>
            <w:r>
              <w:rPr>
                <w:rFonts w:hint="eastAsia" w:ascii="仿宋_GB2312" w:hAnsi="仿宋_GB2312" w:eastAsia="仿宋_GB2312" w:cs="仿宋_GB2312"/>
                <w:b w:val="0"/>
                <w:bCs w:val="0"/>
                <w:sz w:val="28"/>
                <w:szCs w:val="32"/>
                <w:highlight w:val="none"/>
                <w14:ligatures w14:val="none"/>
              </w:rPr>
              <w:t>，推动巴威科技研发中心建设。城中村改造</w:t>
            </w:r>
            <w:r>
              <w:rPr>
                <w:rFonts w:hint="eastAsia" w:ascii="仿宋_GB2312" w:hAnsi="仿宋_GB2312" w:eastAsia="仿宋_GB2312" w:cs="仿宋_GB2312"/>
                <w:b w:val="0"/>
                <w:bCs w:val="0"/>
                <w:sz w:val="28"/>
                <w:szCs w:val="32"/>
                <w:highlight w:val="none"/>
                <w:lang w:eastAsia="zh-CN"/>
                <w14:ligatures w14:val="none"/>
              </w:rPr>
              <w:t>、</w:t>
            </w:r>
            <w:r>
              <w:rPr>
                <w:rFonts w:hint="eastAsia" w:ascii="仿宋_GB2312" w:hAnsi="仿宋_GB2312" w:eastAsia="仿宋_GB2312" w:cs="仿宋_GB2312"/>
                <w:b w:val="0"/>
                <w:bCs w:val="0"/>
                <w:sz w:val="28"/>
                <w:szCs w:val="32"/>
                <w:highlight w:val="none"/>
                <w14:ligatures w14:val="none"/>
              </w:rPr>
              <w:t>一级开发区域重点完善居住环境、完善产业配套设施，有效优化区域产业功能布局。</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highlight w:val="none"/>
              </w:rPr>
            </w:pPr>
            <w:bookmarkStart w:id="145" w:name="_Toc29304"/>
            <w:bookmarkStart w:id="146" w:name="_Toc24843"/>
            <w:r>
              <w:rPr>
                <w:rFonts w:hint="eastAsia" w:ascii="仿宋_GB2312" w:hAnsi="仿宋_GB2312" w:eastAsia="仿宋_GB2312" w:cs="仿宋_GB2312"/>
                <w:b w:val="0"/>
                <w:bCs w:val="0"/>
                <w:sz w:val="28"/>
                <w:szCs w:val="32"/>
                <w:highlight w:val="none"/>
                <w:lang w:val="en-US" w:eastAsia="zh-CN"/>
                <w14:ligatures w14:val="none"/>
              </w:rPr>
              <w:t>3</w:t>
            </w:r>
            <w:r>
              <w:rPr>
                <w:rFonts w:hint="eastAsia" w:ascii="Times New Roman" w:hAnsi="Times New Roman" w:eastAsia="仿宋_GB2312" w:cs="Times New Roman"/>
                <w:b w:val="0"/>
                <w:bCs w:val="0"/>
                <w:sz w:val="28"/>
                <w:szCs w:val="32"/>
                <w:highlight w:val="none"/>
                <w:lang w:val="en-US" w:eastAsia="zh-CN"/>
                <w14:ligatures w14:val="none"/>
              </w:rPr>
              <w:t>.</w:t>
            </w:r>
            <w:r>
              <w:rPr>
                <w:rFonts w:hint="eastAsia" w:ascii="Times New Roman" w:hAnsi="Times New Roman" w:eastAsia="仿宋_GB2312" w:cs="Times New Roman"/>
                <w:b w:val="0"/>
                <w:bCs w:val="0"/>
                <w:sz w:val="28"/>
                <w:szCs w:val="32"/>
                <w:highlight w:val="none"/>
                <w14:ligatures w14:val="none"/>
              </w:rPr>
              <w:t>推动北重东厂提质升级</w:t>
            </w:r>
            <w:bookmarkEnd w:id="145"/>
            <w:bookmarkEnd w:id="146"/>
            <w:r>
              <w:rPr>
                <w:rFonts w:hint="eastAsia" w:ascii="Times New Roman" w:hAnsi="Times New Roman" w:cs="Times New Roman"/>
                <w:b w:val="0"/>
                <w:bCs w:val="0"/>
                <w:sz w:val="28"/>
                <w:szCs w:val="32"/>
                <w:highlight w:val="none"/>
                <w:lang w:eastAsia="zh-CN"/>
                <w14:ligatures w14:val="none"/>
              </w:rPr>
              <w:t>。</w:t>
            </w:r>
            <w:r>
              <w:rPr>
                <w:rFonts w:hint="eastAsia" w:ascii="Times New Roman" w:hAnsi="Times New Roman" w:eastAsia="仿宋_GB2312" w:cs="Times New Roman"/>
                <w:b w:val="0"/>
                <w:bCs w:val="0"/>
                <w:sz w:val="28"/>
                <w:szCs w:val="32"/>
                <w:highlight w:val="none"/>
                <w14:ligatures w14:val="none"/>
              </w:rPr>
              <w:t>推动智能算力中心、西安交通大学金属材料强度国家重点实验室中试基地</w:t>
            </w:r>
            <w:r>
              <w:rPr>
                <w:rFonts w:hint="eastAsia" w:ascii="Times New Roman" w:hAnsi="Times New Roman" w:eastAsia="仿宋_GB2312" w:cs="Times New Roman"/>
                <w:b w:val="0"/>
                <w:bCs w:val="0"/>
                <w:sz w:val="28"/>
                <w:szCs w:val="32"/>
                <w:highlight w:val="none"/>
                <w:lang w:val="en-US" w:eastAsia="zh-CN"/>
                <w14:ligatures w14:val="none"/>
              </w:rPr>
              <w:t>等</w:t>
            </w:r>
            <w:r>
              <w:rPr>
                <w:rFonts w:hint="eastAsia" w:ascii="Times New Roman" w:hAnsi="Times New Roman" w:eastAsia="仿宋_GB2312" w:cs="Times New Roman"/>
                <w:b w:val="0"/>
                <w:bCs w:val="0"/>
                <w:sz w:val="28"/>
                <w:szCs w:val="32"/>
                <w:highlight w:val="none"/>
                <w14:ligatures w14:val="none"/>
              </w:rPr>
              <w:t>国家级、市级科研创新平台</w:t>
            </w:r>
            <w:r>
              <w:rPr>
                <w:rFonts w:hint="eastAsia" w:ascii="Times New Roman" w:hAnsi="Times New Roman" w:eastAsia="仿宋_GB2312" w:cs="Times New Roman"/>
                <w:b w:val="0"/>
                <w:bCs w:val="0"/>
                <w:sz w:val="28"/>
                <w:szCs w:val="32"/>
                <w:highlight w:val="none"/>
                <w:lang w:val="en-US" w:eastAsia="zh-CN"/>
                <w14:ligatures w14:val="none"/>
              </w:rPr>
              <w:t>落地</w:t>
            </w:r>
            <w:r>
              <w:rPr>
                <w:rFonts w:hint="eastAsia" w:ascii="Times New Roman" w:hAnsi="Times New Roman" w:eastAsia="仿宋_GB2312" w:cs="Times New Roman"/>
                <w:b w:val="0"/>
                <w:bCs w:val="0"/>
                <w:sz w:val="28"/>
                <w:szCs w:val="32"/>
                <w:highlight w:val="none"/>
                <w14:ligatures w14:val="none"/>
              </w:rPr>
              <w:t>，</w:t>
            </w:r>
            <w:r>
              <w:rPr>
                <w:rFonts w:hint="eastAsia" w:ascii="Times New Roman" w:hAnsi="Times New Roman" w:eastAsia="仿宋_GB2312" w:cs="Times New Roman"/>
                <w:b w:val="0"/>
                <w:bCs w:val="0"/>
                <w:sz w:val="28"/>
                <w:szCs w:val="32"/>
                <w:highlight w:val="none"/>
                <w:lang w:val="en-US" w:eastAsia="zh-CN"/>
                <w14:ligatures w14:val="none"/>
              </w:rPr>
              <w:t>打造</w:t>
            </w:r>
            <w:r>
              <w:rPr>
                <w:rFonts w:hint="eastAsia" w:ascii="Times New Roman" w:hAnsi="Times New Roman" w:eastAsia="仿宋_GB2312" w:cs="Times New Roman"/>
                <w:b w:val="0"/>
                <w:bCs w:val="0"/>
                <w:sz w:val="28"/>
                <w:szCs w:val="32"/>
                <w:highlight w:val="none"/>
                <w14:ligatures w14:val="none"/>
              </w:rPr>
              <w:t>硬科技</w:t>
            </w:r>
            <w:r>
              <w:rPr>
                <w:rFonts w:hint="eastAsia" w:ascii="Times New Roman" w:hAnsi="Times New Roman" w:eastAsia="仿宋_GB2312" w:cs="Times New Roman"/>
                <w:b w:val="0"/>
                <w:bCs w:val="0"/>
                <w:sz w:val="28"/>
                <w:szCs w:val="32"/>
                <w:highlight w:val="none"/>
                <w:lang w:val="en-US" w:eastAsia="zh-CN"/>
                <w14:ligatures w14:val="none"/>
              </w:rPr>
              <w:t>产业社区</w:t>
            </w:r>
            <w:r>
              <w:rPr>
                <w:rFonts w:hint="eastAsia" w:ascii="Times New Roman" w:hAnsi="Times New Roman" w:eastAsia="仿宋_GB2312" w:cs="Times New Roman"/>
                <w:b w:val="0"/>
                <w:bCs w:val="0"/>
                <w:sz w:val="28"/>
                <w:szCs w:val="32"/>
                <w:highlight w:val="none"/>
                <w14:ligatures w14:val="none"/>
              </w:rPr>
              <w:t>。推动北重汽轮电机设备设施更新改造，补齐工业载体配套短板，提升产业质效。围绕职住平衡，推动职工宿舍改建人才公寓，引入酒店等配套设施，提升周边区域宜居水平。</w:t>
            </w:r>
          </w:p>
        </w:tc>
      </w:tr>
      <w:bookmarkEnd w:id="142"/>
    </w:tbl>
    <w:p>
      <w:pPr>
        <w:spacing w:after="0" w:line="560" w:lineRule="exact"/>
        <w:ind w:firstLine="642" w:firstLineChars="200"/>
        <w:textAlignment w:val="center"/>
        <w:outlineLvl w:val="9"/>
        <w:rPr>
          <w:rFonts w:hint="eastAsia" w:ascii="楷体_GB2312" w:hAnsi="黑体" w:eastAsia="楷体_GB2312" w:cs="黑体"/>
          <w:color w:val="auto"/>
          <w:sz w:val="32"/>
          <w:szCs w:val="36"/>
          <w:highlight w:val="none"/>
          <w:lang w:val="en-US" w:eastAsia="zh-CN"/>
        </w:rPr>
      </w:pPr>
      <w:bookmarkStart w:id="147" w:name="_Toc20872"/>
      <w:bookmarkStart w:id="148" w:name="_Toc32641"/>
      <w:bookmarkStart w:id="149" w:name="_Toc8079"/>
      <w:bookmarkStart w:id="150" w:name="_Toc13587"/>
      <w:bookmarkStart w:id="151" w:name="_Toc31491"/>
      <w:bookmarkStart w:id="152" w:name="_Toc971"/>
      <w:bookmarkStart w:id="153" w:name="_Toc227221664"/>
      <w:bookmarkStart w:id="154" w:name="_Toc14367"/>
      <w:bookmarkStart w:id="155" w:name="_Toc6251"/>
      <w:bookmarkStart w:id="156" w:name="_Toc17358"/>
      <w:bookmarkStart w:id="157" w:name="_Toc22936"/>
      <w:bookmarkStart w:id="158" w:name="_Toc24594"/>
      <w:bookmarkStart w:id="159" w:name="_Toc6158"/>
      <w:bookmarkStart w:id="160" w:name="_Toc22668"/>
      <w:bookmarkStart w:id="161" w:name="_Toc23592"/>
      <w:r>
        <w:rPr>
          <w:rFonts w:hint="eastAsia" w:ascii="Times New Roman" w:hAnsi="Times New Roman" w:eastAsia="仿宋_GB2312"/>
          <w:b/>
          <w:bCs/>
          <w:sz w:val="32"/>
          <w:szCs w:val="32"/>
          <w:highlight w:val="none"/>
        </w:rPr>
        <w:t>推进存量地下空间盘活利用。</w:t>
      </w:r>
      <w:r>
        <w:rPr>
          <w:rFonts w:hint="eastAsia" w:ascii="Times New Roman" w:hAnsi="Times New Roman" w:eastAsia="仿宋_GB2312"/>
          <w:b w:val="0"/>
          <w:bCs w:val="0"/>
          <w:sz w:val="32"/>
          <w:szCs w:val="32"/>
          <w:highlight w:val="none"/>
        </w:rPr>
        <w:t>坚持地上地下统筹发展，推动存量地下空间科学有序高效利用。试点推动城市绿地、学校操场等地下空间复合利用</w:t>
      </w:r>
      <w:r>
        <w:rPr>
          <w:rFonts w:hint="eastAsia" w:ascii="Times New Roman" w:hAnsi="Times New Roman" w:eastAsia="仿宋_GB2312"/>
          <w:b w:val="0"/>
          <w:bCs w:val="0"/>
          <w:sz w:val="32"/>
          <w:szCs w:val="32"/>
          <w:highlight w:val="none"/>
          <w:lang w:eastAsia="zh-CN"/>
        </w:rPr>
        <w:t>，</w:t>
      </w:r>
      <w:r>
        <w:rPr>
          <w:rFonts w:hint="eastAsia" w:ascii="Times New Roman" w:hAnsi="Times New Roman" w:eastAsia="仿宋_GB2312"/>
          <w:b w:val="0"/>
          <w:bCs w:val="0"/>
          <w:sz w:val="32"/>
          <w:szCs w:val="32"/>
          <w:highlight w:val="none"/>
          <w:lang w:val="en-US" w:eastAsia="zh-CN"/>
        </w:rPr>
        <w:t>建设八角游乐园地下停车场。</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r>
        <w:rPr>
          <w:rFonts w:hint="eastAsia" w:ascii="楷体_GB2312" w:hAnsi="黑体" w:eastAsia="楷体_GB2312" w:cs="黑体"/>
          <w:color w:val="auto"/>
          <w:sz w:val="32"/>
          <w:szCs w:val="36"/>
          <w:highlight w:val="none"/>
          <w:lang w:val="en-US" w:eastAsia="zh-CN"/>
        </w:rPr>
        <w:t>（二）</w:t>
      </w:r>
      <w:bookmarkEnd w:id="147"/>
      <w:bookmarkEnd w:id="148"/>
      <w:bookmarkEnd w:id="149"/>
      <w:bookmarkEnd w:id="150"/>
      <w:bookmarkEnd w:id="151"/>
      <w:bookmarkEnd w:id="152"/>
      <w:bookmarkEnd w:id="153"/>
      <w:bookmarkEnd w:id="154"/>
      <w:bookmarkEnd w:id="155"/>
      <w:r>
        <w:rPr>
          <w:rFonts w:hint="eastAsia" w:ascii="楷体_GB2312" w:hAnsi="黑体" w:eastAsia="楷体_GB2312" w:cs="黑体"/>
          <w:color w:val="auto"/>
          <w:sz w:val="32"/>
          <w:szCs w:val="36"/>
          <w:highlight w:val="none"/>
          <w:lang w:val="en-US" w:eastAsia="zh-CN"/>
        </w:rPr>
        <w:t>推进城镇老旧小区整治改造</w:t>
      </w:r>
      <w:bookmarkEnd w:id="156"/>
    </w:p>
    <w:bookmarkEnd w:id="157"/>
    <w:bookmarkEnd w:id="158"/>
    <w:bookmarkEnd w:id="159"/>
    <w:bookmarkEnd w:id="160"/>
    <w:bookmarkEnd w:id="161"/>
    <w:p>
      <w:pPr>
        <w:spacing w:line="560" w:lineRule="exact"/>
        <w:ind w:firstLine="642"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开展老旧小区综合整治</w:t>
      </w:r>
      <w:r>
        <w:rPr>
          <w:rFonts w:hint="eastAsia" w:ascii="Times New Roman" w:hAnsi="Times New Roman" w:eastAsia="仿宋_GB2312" w:cs="Times New Roman"/>
          <w:kern w:val="0"/>
          <w:sz w:val="32"/>
          <w:szCs w:val="32"/>
          <w:highlight w:val="none"/>
          <w:lang w:val="en-US" w:eastAsia="zh-CN"/>
        </w:rPr>
        <w:t>。根据国家和北京市后续政策和要求，有序实施市属老旧小区改造，支持配合推进央军产老旧小区改造，及时掌握央产老旧小区改造任务及“双纳入”情况，针对已确认的六批、共47个央企在京老旧小区改造项目全力做好支持服务与协调保障工作。完成老楼加梯300部，基本实现居民意愿强烈的老旧电梯更新改造全覆盖。</w:t>
      </w:r>
      <w:r>
        <w:rPr>
          <w:rFonts w:hint="eastAsia" w:ascii="Times New Roman" w:hAnsi="Times New Roman" w:eastAsia="仿宋_GB2312"/>
          <w:kern w:val="0"/>
          <w:sz w:val="32"/>
          <w:szCs w:val="32"/>
          <w:highlight w:val="none"/>
        </w:rPr>
        <w:t>对符合要求且确需改造的老旧小区红线内外水电气热等管线进行统筹改造，推动实现老旧小区内各类管线改造“只改一次，一次改到位”，系统性解决管线老化、杂乱等问题。</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03"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640" w:firstLineChars="200"/>
              <w:jc w:val="center"/>
              <w:textAlignment w:val="auto"/>
              <w:rPr>
                <w:rFonts w:hint="default" w:eastAsia="黑体"/>
                <w:highlight w:val="none"/>
                <w:lang w:val="en-US" w:eastAsia="zh-CN"/>
              </w:rPr>
            </w:pPr>
            <w:r>
              <w:rPr>
                <w:rFonts w:hint="eastAsia" w:ascii="黑体" w:hAnsi="黑体" w:eastAsia="黑体" w:cs="黑体"/>
                <w:sz w:val="32"/>
                <w:szCs w:val="32"/>
                <w:highlight w:val="none"/>
                <w14:ligatures w14:val="none"/>
              </w:rPr>
              <w:t>专栏</w:t>
            </w:r>
            <w:r>
              <w:rPr>
                <w:rFonts w:hint="eastAsia" w:ascii="黑体" w:hAnsi="黑体" w:eastAsia="黑体" w:cs="黑体"/>
                <w:sz w:val="32"/>
                <w:szCs w:val="32"/>
                <w:highlight w:val="none"/>
                <w:lang w:val="en-US" w:eastAsia="zh-CN"/>
                <w14:ligatures w14:val="none"/>
              </w:rPr>
              <w:t>2</w:t>
            </w:r>
            <w:r>
              <w:rPr>
                <w:rFonts w:hint="eastAsia" w:ascii="黑体" w:hAnsi="黑体" w:eastAsia="黑体" w:cs="黑体"/>
                <w:sz w:val="32"/>
                <w:szCs w:val="32"/>
                <w:highlight w:val="none"/>
                <w14:ligatures w14:val="none"/>
              </w:rPr>
              <w:t>-</w:t>
            </w:r>
            <w:r>
              <w:rPr>
                <w:rFonts w:hint="eastAsia" w:ascii="黑体" w:hAnsi="黑体" w:eastAsia="黑体" w:cs="黑体"/>
                <w:sz w:val="32"/>
                <w:szCs w:val="32"/>
                <w:highlight w:val="none"/>
              </w:rPr>
              <w:t>城镇老旧小区综合整治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8903"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b w:val="0"/>
                <w:bCs w:val="0"/>
                <w:sz w:val="28"/>
                <w:szCs w:val="32"/>
                <w:highlight w:val="none"/>
              </w:rPr>
            </w:pPr>
            <w:r>
              <w:rPr>
                <w:rFonts w:hint="eastAsia" w:ascii="仿宋_GB2312" w:hAnsi="仿宋_GB2312" w:eastAsia="仿宋_GB2312" w:cs="仿宋_GB2312"/>
                <w:b w:val="0"/>
                <w:bCs w:val="0"/>
                <w:sz w:val="28"/>
                <w:szCs w:val="32"/>
                <w:highlight w:val="none"/>
              </w:rPr>
              <w:t>1.持续推进老旧小区改造。</w:t>
            </w:r>
            <w:r>
              <w:rPr>
                <w:rFonts w:hint="eastAsia" w:ascii="仿宋_GB2312" w:hAnsi="仿宋_GB2312" w:eastAsia="仿宋_GB2312" w:cs="仿宋_GB2312"/>
                <w:sz w:val="28"/>
                <w:szCs w:val="32"/>
                <w:highlight w:val="none"/>
              </w:rPr>
              <w:t>根据国家和北京市后续政策和要求，有序实施市属老旧小区改造，配合推进</w:t>
            </w:r>
            <w:r>
              <w:rPr>
                <w:rFonts w:hint="eastAsia" w:ascii="仿宋_GB2312" w:hAnsi="仿宋_GB2312" w:eastAsia="仿宋_GB2312" w:cs="仿宋_GB2312"/>
                <w:sz w:val="28"/>
                <w:szCs w:val="32"/>
                <w:highlight w:val="none"/>
                <w:lang w:val="en-US" w:eastAsia="zh-CN"/>
              </w:rPr>
              <w:t>央</w:t>
            </w:r>
            <w:r>
              <w:rPr>
                <w:rFonts w:hint="eastAsia" w:ascii="仿宋_GB2312" w:hAnsi="仿宋_GB2312" w:eastAsia="仿宋_GB2312" w:cs="仿宋_GB2312"/>
                <w:sz w:val="28"/>
                <w:szCs w:val="32"/>
                <w:highlight w:val="none"/>
              </w:rPr>
              <w:t>军产老旧小区改造</w:t>
            </w:r>
            <w:r>
              <w:rPr>
                <w:rFonts w:hint="eastAsia" w:ascii="仿宋_GB2312" w:hAnsi="仿宋_GB2312" w:eastAsia="仿宋_GB2312" w:cs="仿宋_GB2312"/>
                <w:b w:val="0"/>
                <w:bCs w:val="0"/>
                <w:sz w:val="28"/>
                <w:szCs w:val="32"/>
                <w:highlight w:val="none"/>
              </w:rPr>
              <w:t>。</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b w:val="0"/>
                <w:bCs w:val="0"/>
                <w:sz w:val="28"/>
                <w:szCs w:val="32"/>
                <w:highlight w:val="none"/>
              </w:rPr>
            </w:pPr>
            <w:r>
              <w:rPr>
                <w:rFonts w:hint="eastAsia" w:ascii="仿宋_GB2312" w:hAnsi="仿宋_GB2312" w:eastAsia="仿宋_GB2312" w:cs="仿宋_GB2312"/>
                <w:b w:val="0"/>
                <w:bCs w:val="0"/>
                <w:sz w:val="28"/>
                <w:szCs w:val="32"/>
                <w:highlight w:val="none"/>
              </w:rPr>
              <w:t>2.实施老楼加装电梯300部，</w:t>
            </w:r>
            <w:r>
              <w:rPr>
                <w:rFonts w:hint="eastAsia" w:ascii="仿宋_GB2312" w:hAnsi="仿宋_GB2312" w:eastAsia="仿宋_GB2312" w:cs="仿宋_GB2312"/>
                <w:sz w:val="28"/>
                <w:szCs w:val="32"/>
                <w:highlight w:val="none"/>
              </w:rPr>
              <w:t>基本实现居民意愿强烈的老旧电梯更新改造全覆盖。</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highlight w:val="none"/>
              </w:rPr>
            </w:pPr>
            <w:r>
              <w:rPr>
                <w:rFonts w:hint="eastAsia" w:ascii="仿宋_GB2312" w:hAnsi="仿宋_GB2312" w:eastAsia="仿宋_GB2312" w:cs="仿宋_GB2312"/>
                <w:b w:val="0"/>
                <w:bCs w:val="0"/>
                <w:sz w:val="28"/>
                <w:szCs w:val="32"/>
                <w:highlight w:val="none"/>
              </w:rPr>
              <w:t>3.</w:t>
            </w:r>
            <w:r>
              <w:rPr>
                <w:rFonts w:hint="eastAsia" w:ascii="Times New Roman" w:hAnsi="Times New Roman" w:eastAsia="仿宋_GB2312"/>
                <w:sz w:val="28"/>
                <w:szCs w:val="32"/>
                <w:highlight w:val="none"/>
              </w:rPr>
              <w:t>对符合要求且确需改造的老旧小区红线内外水电气热等管线进行统筹改造，推动实现老旧小区内各类管线改造“只改一次，一次改到位”</w:t>
            </w:r>
            <w:r>
              <w:rPr>
                <w:rFonts w:hint="eastAsia" w:ascii="Times New Roman" w:hAnsi="Times New Roman" w:eastAsia="仿宋_GB2312" w:cs="Times New Roman"/>
                <w:sz w:val="28"/>
                <w:szCs w:val="32"/>
                <w:highlight w:val="none"/>
                <w14:ligatures w14:val="none"/>
              </w:rPr>
              <w:t>。</w:t>
            </w:r>
          </w:p>
        </w:tc>
      </w:tr>
    </w:tbl>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162" w:name="_Toc15900"/>
      <w:bookmarkStart w:id="163" w:name="_Toc16215"/>
      <w:bookmarkStart w:id="164" w:name="_Toc27870"/>
      <w:bookmarkStart w:id="165" w:name="_Toc227221665"/>
      <w:bookmarkStart w:id="166" w:name="_Toc16034"/>
      <w:bookmarkStart w:id="167" w:name="_Toc20991"/>
      <w:bookmarkStart w:id="168" w:name="_Toc1276"/>
      <w:bookmarkStart w:id="169" w:name="_Toc23725"/>
      <w:bookmarkStart w:id="170" w:name="_Toc2746"/>
      <w:bookmarkStart w:id="171" w:name="_Toc24983"/>
      <w:bookmarkStart w:id="172" w:name="_Toc11904"/>
      <w:bookmarkStart w:id="173" w:name="_Toc10125"/>
      <w:bookmarkStart w:id="174" w:name="_Toc30613"/>
      <w:bookmarkStart w:id="175" w:name="_Toc19809"/>
      <w:bookmarkStart w:id="176" w:name="_Toc9563"/>
      <w:r>
        <w:rPr>
          <w:rFonts w:hint="eastAsia" w:ascii="楷体_GB2312" w:hAnsi="黑体" w:eastAsia="楷体_GB2312" w:cs="黑体"/>
          <w:color w:val="auto"/>
          <w:sz w:val="32"/>
          <w:szCs w:val="36"/>
          <w:highlight w:val="none"/>
          <w:lang w:val="en-US" w:eastAsia="zh-CN"/>
        </w:rPr>
        <w:t>（三）</w:t>
      </w:r>
      <w:bookmarkEnd w:id="162"/>
      <w:bookmarkEnd w:id="163"/>
      <w:bookmarkEnd w:id="164"/>
      <w:bookmarkEnd w:id="165"/>
      <w:bookmarkEnd w:id="166"/>
      <w:bookmarkEnd w:id="167"/>
      <w:bookmarkEnd w:id="168"/>
      <w:bookmarkEnd w:id="169"/>
      <w:bookmarkEnd w:id="170"/>
      <w:r>
        <w:rPr>
          <w:rFonts w:hint="eastAsia" w:ascii="楷体_GB2312" w:hAnsi="黑体" w:eastAsia="楷体_GB2312" w:cs="黑体"/>
          <w:color w:val="auto"/>
          <w:sz w:val="32"/>
          <w:szCs w:val="36"/>
          <w:highlight w:val="none"/>
          <w:lang w:val="en-US" w:eastAsia="zh-CN"/>
        </w:rPr>
        <w:t>开展完整社区建设</w:t>
      </w:r>
      <w:bookmarkEnd w:id="171"/>
    </w:p>
    <w:bookmarkEnd w:id="172"/>
    <w:bookmarkEnd w:id="173"/>
    <w:bookmarkEnd w:id="174"/>
    <w:bookmarkEnd w:id="175"/>
    <w:bookmarkEnd w:id="176"/>
    <w:p>
      <w:pPr>
        <w:spacing w:line="560" w:lineRule="exact"/>
        <w:ind w:firstLine="642" w:firstLineChars="200"/>
        <w:rPr>
          <w:rFonts w:hint="eastAsia" w:ascii="仿宋_GB2312" w:hAnsi="仿宋_GB2312" w:eastAsia="仿宋_GB2312" w:cs="仿宋_GB2312"/>
          <w:sz w:val="32"/>
          <w:szCs w:val="20"/>
          <w:highlight w:val="none"/>
        </w:rPr>
      </w:pPr>
      <w:bookmarkStart w:id="177" w:name="_Toc21697"/>
      <w:bookmarkStart w:id="178" w:name="_Toc5100"/>
      <w:bookmarkStart w:id="179" w:name="_Toc10005"/>
      <w:bookmarkStart w:id="180" w:name="_Toc25326"/>
      <w:bookmarkStart w:id="181" w:name="_Toc27630"/>
      <w:bookmarkStart w:id="182" w:name="_Toc26492"/>
      <w:bookmarkStart w:id="183" w:name="_Toc8698"/>
      <w:bookmarkStart w:id="184" w:name="_Toc13135"/>
      <w:bookmarkStart w:id="185" w:name="_Toc26712"/>
      <w:bookmarkStart w:id="186" w:name="_Toc21524"/>
      <w:bookmarkStart w:id="187" w:name="_Toc24913"/>
      <w:bookmarkStart w:id="188" w:name="_Toc6081"/>
      <w:r>
        <w:rPr>
          <w:rFonts w:hint="eastAsia" w:ascii="仿宋_GB2312" w:hAnsi="仿宋_GB2312" w:eastAsia="仿宋_GB2312" w:cs="仿宋_GB2312"/>
          <w:b/>
          <w:bCs/>
          <w:sz w:val="32"/>
          <w:szCs w:val="20"/>
          <w:highlight w:val="none"/>
          <w:lang w:val="en-US" w:eastAsia="zh-CN"/>
        </w:rPr>
        <w:t>积极创建完整社区</w:t>
      </w:r>
      <w:r>
        <w:rPr>
          <w:rFonts w:hint="eastAsia" w:ascii="仿宋_GB2312" w:hAnsi="仿宋_GB2312" w:eastAsia="仿宋_GB2312" w:cs="仿宋_GB2312"/>
          <w:b/>
          <w:bCs/>
          <w:sz w:val="32"/>
          <w:szCs w:val="20"/>
          <w:highlight w:val="none"/>
          <w:lang w:eastAsia="zh-CN"/>
        </w:rPr>
        <w:t>。</w:t>
      </w:r>
      <w:r>
        <w:rPr>
          <w:rFonts w:hint="eastAsia" w:ascii="Times New Roman" w:hAnsi="Times New Roman" w:eastAsia="仿宋_GB2312"/>
          <w:kern w:val="0"/>
          <w:sz w:val="32"/>
          <w:szCs w:val="32"/>
          <w:highlight w:val="none"/>
          <w:lang w:eastAsia="zh-CN"/>
        </w:rPr>
        <w:t>扎实推进完整社区建设工作，2026年有序启动试点创建，“十五五”期间推动每个街道至少建成</w:t>
      </w:r>
      <w:r>
        <w:rPr>
          <w:rFonts w:hint="eastAsia" w:ascii="Times New Roman" w:hAnsi="Times New Roman" w:eastAsia="仿宋_GB2312"/>
          <w:kern w:val="0"/>
          <w:sz w:val="32"/>
          <w:szCs w:val="32"/>
          <w:highlight w:val="none"/>
          <w:lang w:val="en-US" w:eastAsia="zh-CN"/>
        </w:rPr>
        <w:t>1</w:t>
      </w:r>
      <w:r>
        <w:rPr>
          <w:rFonts w:hint="eastAsia" w:ascii="Times New Roman" w:hAnsi="Times New Roman" w:eastAsia="仿宋_GB2312"/>
          <w:kern w:val="0"/>
          <w:sz w:val="32"/>
          <w:szCs w:val="32"/>
          <w:highlight w:val="none"/>
          <w:lang w:eastAsia="zh-CN"/>
        </w:rPr>
        <w:t>个完整社区示范项目。</w:t>
      </w:r>
      <w:r>
        <w:rPr>
          <w:rFonts w:hint="eastAsia" w:ascii="Times New Roman" w:hAnsi="Times New Roman" w:eastAsia="仿宋_GB2312"/>
          <w:kern w:val="0"/>
          <w:sz w:val="32"/>
          <w:szCs w:val="32"/>
          <w:highlight w:val="none"/>
        </w:rPr>
        <w:t>全面推动</w:t>
      </w:r>
      <w:r>
        <w:rPr>
          <w:rFonts w:hint="eastAsia" w:ascii="仿宋_GB2312" w:hAnsi="仿宋_GB2312" w:eastAsia="仿宋_GB2312" w:cs="仿宋_GB2312"/>
          <w:sz w:val="32"/>
          <w:szCs w:val="20"/>
          <w:highlight w:val="none"/>
        </w:rPr>
        <w:t>管理薄弱老旧小区物业服务市场化转型，</w:t>
      </w:r>
      <w:r>
        <w:rPr>
          <w:rFonts w:hint="eastAsia" w:ascii="仿宋_GB2312" w:hAnsi="仿宋_GB2312" w:eastAsia="仿宋_GB2312" w:cs="仿宋_GB2312"/>
          <w:sz w:val="32"/>
          <w:szCs w:val="20"/>
          <w:highlight w:val="none"/>
          <w:lang w:val="en-US" w:eastAsia="zh-CN"/>
        </w:rPr>
        <w:t>通过</w:t>
      </w:r>
      <w:r>
        <w:rPr>
          <w:rFonts w:hint="eastAsia" w:ascii="仿宋_GB2312" w:hAnsi="仿宋_GB2312" w:eastAsia="仿宋_GB2312" w:cs="仿宋_GB2312"/>
          <w:sz w:val="32"/>
          <w:szCs w:val="20"/>
          <w:highlight w:val="none"/>
        </w:rPr>
        <w:t>明晰服务清单、统一收费标准、规范缴费流程</w:t>
      </w:r>
      <w:r>
        <w:rPr>
          <w:rFonts w:hint="eastAsia" w:ascii="仿宋_GB2312" w:hAnsi="仿宋_GB2312" w:eastAsia="仿宋_GB2312" w:cs="仿宋_GB2312"/>
          <w:sz w:val="32"/>
          <w:szCs w:val="20"/>
          <w:highlight w:val="none"/>
          <w:lang w:val="en-US" w:eastAsia="zh-CN"/>
        </w:rPr>
        <w:t>等方式</w:t>
      </w:r>
      <w:r>
        <w:rPr>
          <w:rFonts w:hint="eastAsia" w:ascii="仿宋_GB2312" w:hAnsi="仿宋_GB2312" w:eastAsia="仿宋_GB2312" w:cs="仿宋_GB2312"/>
          <w:sz w:val="32"/>
          <w:szCs w:val="20"/>
          <w:highlight w:val="none"/>
        </w:rPr>
        <w:t>提升小区管理效能。</w:t>
      </w:r>
      <w:r>
        <w:rPr>
          <w:rFonts w:hint="eastAsia" w:ascii="Times New Roman" w:hAnsi="Times New Roman" w:eastAsia="仿宋_GB2312"/>
          <w:kern w:val="0"/>
          <w:sz w:val="32"/>
          <w:szCs w:val="32"/>
          <w:highlight w:val="none"/>
        </w:rPr>
        <w:t>发挥社区党组织的领导核心作用，构建在党组织统一领导下的协同治理与议事协商机制</w:t>
      </w:r>
      <w:r>
        <w:rPr>
          <w:rFonts w:hint="eastAsia" w:ascii="仿宋_GB2312" w:hAnsi="仿宋_GB2312" w:eastAsia="仿宋_GB2312" w:cs="仿宋_GB2312"/>
          <w:sz w:val="32"/>
          <w:szCs w:val="20"/>
          <w:highlight w:val="none"/>
        </w:rPr>
        <w:t>。引导物业企业深度参与 “智网实格” 建设，促进物业管理与网格治理双向赋能、深度融合。</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03"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640" w:firstLineChars="200"/>
              <w:jc w:val="center"/>
              <w:textAlignment w:val="auto"/>
              <w:rPr>
                <w:highlight w:val="none"/>
              </w:rPr>
            </w:pPr>
            <w:r>
              <w:rPr>
                <w:rFonts w:hint="eastAsia" w:ascii="黑体" w:hAnsi="黑体" w:eastAsia="黑体" w:cs="黑体"/>
                <w:sz w:val="32"/>
                <w:szCs w:val="32"/>
                <w:highlight w:val="none"/>
                <w14:ligatures w14:val="none"/>
              </w:rPr>
              <w:t>专栏</w:t>
            </w:r>
            <w:r>
              <w:rPr>
                <w:rFonts w:hint="eastAsia" w:ascii="黑体" w:hAnsi="黑体" w:eastAsia="黑体" w:cs="黑体"/>
                <w:sz w:val="32"/>
                <w:szCs w:val="32"/>
                <w:highlight w:val="none"/>
                <w:lang w:val="en-US" w:eastAsia="zh-CN"/>
                <w14:ligatures w14:val="none"/>
              </w:rPr>
              <w:t>3</w:t>
            </w:r>
            <w:r>
              <w:rPr>
                <w:rFonts w:hint="eastAsia" w:ascii="黑体" w:hAnsi="黑体" w:eastAsia="黑体" w:cs="黑体"/>
                <w:sz w:val="32"/>
                <w:szCs w:val="32"/>
                <w:highlight w:val="none"/>
                <w14:ligatures w14:val="none"/>
              </w:rPr>
              <w:t>-完整社区建设扩面提质增效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903"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default" w:ascii="仿宋_GB2312" w:hAnsi="仿宋_GB2312" w:eastAsia="仿宋_GB2312" w:cs="仿宋_GB2312"/>
                <w:b w:val="0"/>
                <w:bCs w:val="0"/>
                <w:sz w:val="28"/>
                <w:szCs w:val="32"/>
                <w:highlight w:val="none"/>
                <w:lang w:val="en-US" w:eastAsia="zh-CN"/>
                <w14:ligatures w14:val="none"/>
              </w:rPr>
            </w:pPr>
            <w:r>
              <w:rPr>
                <w:rFonts w:hint="eastAsia" w:ascii="仿宋_GB2312" w:hAnsi="仿宋_GB2312" w:eastAsia="仿宋_GB2312" w:cs="仿宋_GB2312"/>
                <w:b w:val="0"/>
                <w:bCs w:val="0"/>
                <w:sz w:val="28"/>
                <w:szCs w:val="32"/>
                <w:highlight w:val="none"/>
                <w:lang w:val="en-US" w:eastAsia="zh-CN"/>
                <w14:ligatures w14:val="none"/>
              </w:rPr>
              <w:t>1.</w:t>
            </w:r>
            <w:r>
              <w:rPr>
                <w:rFonts w:hint="eastAsia" w:ascii="仿宋_GB2312" w:hAnsi="仿宋_GB2312" w:eastAsia="仿宋_GB2312" w:cs="仿宋_GB2312"/>
                <w:sz w:val="28"/>
                <w:szCs w:val="32"/>
                <w:highlight w:val="none"/>
              </w:rPr>
              <w:t>推进物业市场化选聘</w:t>
            </w:r>
            <w:r>
              <w:rPr>
                <w:rFonts w:hint="eastAsia" w:ascii="仿宋_GB2312" w:hAnsi="仿宋_GB2312" w:eastAsia="仿宋_GB2312" w:cs="仿宋_GB2312"/>
                <w:sz w:val="28"/>
                <w:szCs w:val="32"/>
                <w:highlight w:val="none"/>
                <w:lang w:eastAsia="zh-CN"/>
              </w:rPr>
              <w:t>。</w:t>
            </w:r>
            <w:r>
              <w:rPr>
                <w:rFonts w:hint="eastAsia" w:ascii="仿宋_GB2312" w:hAnsi="仿宋_GB2312" w:eastAsia="仿宋_GB2312" w:cs="仿宋_GB2312"/>
                <w:sz w:val="28"/>
                <w:szCs w:val="32"/>
                <w:highlight w:val="none"/>
              </w:rPr>
              <w:t>推动“三供一业”、非经资产移交等房屋性质复杂、服务不规范现象突出的老旧小区物业管理向市场化转型，通过明晰服务内容、统一收费标准、规范缴费方式，实现管理效能与服务品质双提升。</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b w:val="0"/>
                <w:bCs w:val="0"/>
                <w:sz w:val="28"/>
                <w:szCs w:val="32"/>
                <w:highlight w:val="none"/>
                <w14:ligatures w14:val="none"/>
              </w:rPr>
            </w:pPr>
            <w:r>
              <w:rPr>
                <w:rFonts w:hint="eastAsia" w:ascii="仿宋_GB2312" w:hAnsi="仿宋_GB2312" w:eastAsia="仿宋_GB2312" w:cs="仿宋_GB2312"/>
                <w:b w:val="0"/>
                <w:bCs w:val="0"/>
                <w:sz w:val="28"/>
                <w:szCs w:val="32"/>
                <w:highlight w:val="none"/>
                <w:lang w:val="en-US" w:eastAsia="zh-CN"/>
                <w14:ligatures w14:val="none"/>
              </w:rPr>
              <w:t>2.</w:t>
            </w:r>
            <w:r>
              <w:rPr>
                <w:rFonts w:hint="eastAsia" w:ascii="Times New Roman" w:hAnsi="Times New Roman" w:eastAsia="仿宋_GB2312" w:cs="Times New Roman"/>
                <w:b w:val="0"/>
                <w:bCs w:val="0"/>
                <w:sz w:val="28"/>
                <w:szCs w:val="32"/>
                <w:highlight w:val="none"/>
                <w14:ligatures w14:val="none"/>
              </w:rPr>
              <w:t>健全治理机制</w:t>
            </w:r>
            <w:r>
              <w:rPr>
                <w:rFonts w:hint="eastAsia" w:ascii="Times New Roman" w:hAnsi="Times New Roman" w:eastAsia="仿宋_GB2312" w:cs="Times New Roman"/>
                <w:b w:val="0"/>
                <w:bCs w:val="0"/>
                <w:sz w:val="28"/>
                <w:szCs w:val="32"/>
                <w:highlight w:val="none"/>
                <w:lang w:eastAsia="zh-CN"/>
                <w14:ligatures w14:val="none"/>
              </w:rPr>
              <w:t>。</w:t>
            </w:r>
            <w:r>
              <w:rPr>
                <w:rFonts w:hint="eastAsia" w:ascii="Times New Roman" w:hAnsi="Times New Roman" w:eastAsia="仿宋_GB2312" w:cs="Times New Roman"/>
                <w:sz w:val="28"/>
                <w:szCs w:val="32"/>
                <w:highlight w:val="none"/>
              </w:rPr>
              <w:t>坚持发挥社区党组织的领导核心作用，构建在党组织统一领导下的协同治理与议事协商机制。</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b w:val="0"/>
                <w:bCs w:val="0"/>
                <w:sz w:val="28"/>
                <w:szCs w:val="32"/>
                <w:highlight w:val="none"/>
                <w:lang w:val="en-US" w:eastAsia="zh-CN"/>
                <w14:ligatures w14:val="none"/>
              </w:rPr>
            </w:pPr>
            <w:r>
              <w:rPr>
                <w:rFonts w:hint="eastAsia" w:ascii="仿宋_GB2312" w:hAnsi="仿宋_GB2312" w:eastAsia="仿宋_GB2312" w:cs="仿宋_GB2312"/>
                <w:b w:val="0"/>
                <w:bCs w:val="0"/>
                <w:sz w:val="28"/>
                <w:szCs w:val="32"/>
                <w:highlight w:val="none"/>
                <w:lang w:val="en-US" w:eastAsia="zh-CN"/>
                <w14:ligatures w14:val="none"/>
              </w:rPr>
              <w:t>3.</w:t>
            </w:r>
            <w:r>
              <w:rPr>
                <w:rFonts w:hint="eastAsia" w:ascii="仿宋_GB2312" w:hAnsi="仿宋_GB2312" w:eastAsia="仿宋_GB2312" w:cs="仿宋_GB2312"/>
                <w:sz w:val="28"/>
                <w:szCs w:val="32"/>
                <w:highlight w:val="none"/>
              </w:rPr>
              <w:t>压紧压实物业企业责任，引导物业企业大力支持“智网实格”建设，推动物业管理和“智网实格”相互支撑，深度融合，着力打造基层治理共同体</w:t>
            </w:r>
            <w:r>
              <w:rPr>
                <w:rFonts w:hint="eastAsia" w:ascii="仿宋_GB2312" w:hAnsi="仿宋_GB2312" w:eastAsia="仿宋_GB2312" w:cs="仿宋_GB2312"/>
                <w:sz w:val="28"/>
                <w:szCs w:val="32"/>
                <w:highlight w:val="none"/>
                <w:lang w:eastAsia="zh-CN"/>
              </w:rPr>
              <w:t>。</w:t>
            </w:r>
          </w:p>
        </w:tc>
      </w:tr>
    </w:tbl>
    <w:p>
      <w:pPr>
        <w:spacing w:line="560" w:lineRule="exact"/>
        <w:ind w:firstLine="642" w:firstLineChars="200"/>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b/>
          <w:bCs/>
          <w:sz w:val="32"/>
          <w:szCs w:val="20"/>
          <w:highlight w:val="none"/>
          <w:lang w:val="en-US" w:eastAsia="zh-CN"/>
        </w:rPr>
        <w:t>持续推进一刻钟便民生活圈</w:t>
      </w:r>
      <w:bookmarkEnd w:id="177"/>
      <w:bookmarkEnd w:id="178"/>
      <w:bookmarkEnd w:id="179"/>
      <w:bookmarkEnd w:id="180"/>
      <w:bookmarkEnd w:id="181"/>
      <w:bookmarkEnd w:id="182"/>
      <w:bookmarkEnd w:id="183"/>
      <w:r>
        <w:rPr>
          <w:rFonts w:hint="eastAsia" w:ascii="仿宋_GB2312" w:hAnsi="仿宋_GB2312" w:eastAsia="仿宋_GB2312" w:cs="仿宋_GB2312"/>
          <w:b/>
          <w:bCs/>
          <w:sz w:val="32"/>
          <w:szCs w:val="20"/>
          <w:highlight w:val="none"/>
          <w:lang w:val="en-US" w:eastAsia="zh-CN"/>
        </w:rPr>
        <w:t>提质</w:t>
      </w:r>
      <w:r>
        <w:rPr>
          <w:rFonts w:hint="eastAsia" w:ascii="仿宋_GB2312" w:hAnsi="仿宋_GB2312" w:eastAsia="仿宋_GB2312" w:cs="仿宋_GB2312"/>
          <w:sz w:val="32"/>
          <w:szCs w:val="20"/>
          <w:highlight w:val="none"/>
          <w:lang w:val="en-US" w:eastAsia="zh-CN"/>
        </w:rPr>
        <w:t>。在一刻钟便民生活圈全覆盖的基础上，鼓励不同业态、错时服务功能在同一空间内复合利用、集约共享，推进八角中里锅炉房等一批社区闲置空间改造为便民服务综合体，织补便利店、超市、菜市场等便民商业服务设施短板，争创一刻钟便民生活圈提质典型案例。</w:t>
      </w:r>
    </w:p>
    <w:p>
      <w:pPr>
        <w:spacing w:line="560" w:lineRule="exact"/>
        <w:ind w:firstLine="642" w:firstLineChars="200"/>
        <w:rPr>
          <w:rFonts w:hint="eastAsia" w:ascii="仿宋_GB2312" w:hAnsi="仿宋_GB2312" w:eastAsia="仿宋_GB2312" w:cs="仿宋_GB2312"/>
          <w:sz w:val="32"/>
          <w:szCs w:val="20"/>
          <w:highlight w:val="none"/>
        </w:rPr>
      </w:pPr>
      <w:bookmarkStart w:id="189" w:name="_Toc2440"/>
      <w:bookmarkStart w:id="190" w:name="_Toc20422"/>
      <w:bookmarkStart w:id="191" w:name="_Toc21842"/>
      <w:bookmarkStart w:id="192" w:name="_Toc9146"/>
      <w:bookmarkStart w:id="193" w:name="_Toc15366"/>
      <w:bookmarkStart w:id="194" w:name="_Toc28623"/>
      <w:bookmarkStart w:id="195" w:name="_Toc13670"/>
      <w:r>
        <w:rPr>
          <w:rFonts w:hint="eastAsia" w:ascii="仿宋_GB2312" w:hAnsi="仿宋_GB2312" w:eastAsia="仿宋_GB2312" w:cs="仿宋_GB2312"/>
          <w:b/>
          <w:bCs/>
          <w:sz w:val="32"/>
          <w:szCs w:val="20"/>
          <w:highlight w:val="none"/>
          <w:lang w:val="en-US" w:eastAsia="zh-CN"/>
        </w:rPr>
        <w:t>开展城市社区嵌入式服务设施建设</w:t>
      </w:r>
      <w:bookmarkEnd w:id="189"/>
      <w:bookmarkEnd w:id="190"/>
      <w:bookmarkEnd w:id="191"/>
      <w:bookmarkEnd w:id="192"/>
      <w:bookmarkEnd w:id="193"/>
      <w:bookmarkEnd w:id="194"/>
      <w:bookmarkEnd w:id="195"/>
      <w:r>
        <w:rPr>
          <w:rFonts w:hint="eastAsia" w:ascii="仿宋_GB2312" w:hAnsi="仿宋_GB2312" w:eastAsia="仿宋_GB2312" w:cs="仿宋_GB2312"/>
          <w:sz w:val="32"/>
          <w:szCs w:val="20"/>
          <w:highlight w:val="none"/>
          <w:lang w:val="en-US" w:eastAsia="zh-CN"/>
        </w:rPr>
        <w:t>。挖掘利用社区存量空间资源，通过新建、改造、置换、租赁、共享等方式开展嵌入式服务设施建设，重点推动广宁、金顶街等街道嵌入式服务设施建设。</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196" w:name="_Toc227221666"/>
      <w:bookmarkStart w:id="197" w:name="_Toc31768"/>
      <w:bookmarkStart w:id="198" w:name="_Toc11075"/>
      <w:bookmarkStart w:id="199" w:name="_Toc29683"/>
      <w:bookmarkStart w:id="200" w:name="_Toc29967"/>
      <w:bookmarkStart w:id="201" w:name="_Toc29096"/>
      <w:bookmarkStart w:id="202" w:name="_Toc24630"/>
      <w:bookmarkStart w:id="203" w:name="_Toc26391"/>
      <w:bookmarkStart w:id="204" w:name="_Toc22837"/>
      <w:bookmarkStart w:id="205" w:name="_Toc20722"/>
      <w:r>
        <w:rPr>
          <w:rFonts w:hint="eastAsia" w:ascii="楷体_GB2312" w:hAnsi="黑体" w:eastAsia="楷体_GB2312" w:cs="黑体"/>
          <w:color w:val="auto"/>
          <w:sz w:val="32"/>
          <w:szCs w:val="36"/>
          <w:highlight w:val="none"/>
          <w:lang w:val="en-US" w:eastAsia="zh-CN"/>
        </w:rPr>
        <w:t>（四）</w:t>
      </w:r>
      <w:bookmarkEnd w:id="196"/>
      <w:bookmarkEnd w:id="197"/>
      <w:bookmarkEnd w:id="198"/>
      <w:bookmarkEnd w:id="199"/>
      <w:bookmarkEnd w:id="200"/>
      <w:bookmarkEnd w:id="201"/>
      <w:bookmarkEnd w:id="202"/>
      <w:bookmarkEnd w:id="203"/>
      <w:bookmarkEnd w:id="204"/>
      <w:r>
        <w:rPr>
          <w:rFonts w:hint="eastAsia" w:ascii="楷体_GB2312" w:hAnsi="黑体" w:eastAsia="楷体_GB2312" w:cs="黑体"/>
          <w:color w:val="auto"/>
          <w:sz w:val="32"/>
          <w:szCs w:val="36"/>
          <w:highlight w:val="none"/>
          <w:lang w:val="en-US" w:eastAsia="zh-CN"/>
        </w:rPr>
        <w:t>推进老旧街区、老旧厂区、城中村更新改造</w:t>
      </w:r>
      <w:bookmarkEnd w:id="205"/>
    </w:p>
    <w:p>
      <w:pPr>
        <w:spacing w:line="560" w:lineRule="exact"/>
        <w:ind w:firstLine="642" w:firstLineChars="200"/>
        <w:rPr>
          <w:rFonts w:hint="eastAsia" w:ascii="仿宋_GB2312" w:hAnsi="仿宋_GB2312" w:eastAsia="仿宋_GB2312" w:cs="仿宋_GB2312"/>
          <w:sz w:val="32"/>
          <w:szCs w:val="20"/>
          <w:highlight w:val="none"/>
          <w:lang w:val="en-US" w:eastAsia="zh-CN"/>
        </w:rPr>
      </w:pPr>
      <w:bookmarkStart w:id="206" w:name="_Toc12090"/>
      <w:bookmarkStart w:id="207" w:name="_Toc27259"/>
      <w:bookmarkStart w:id="208" w:name="_Toc1755"/>
      <w:bookmarkStart w:id="209" w:name="_Toc14194"/>
      <w:bookmarkStart w:id="210" w:name="_Toc19287"/>
      <w:bookmarkStart w:id="211" w:name="_Toc23248"/>
      <w:bookmarkStart w:id="212" w:name="_Toc9141"/>
      <w:r>
        <w:rPr>
          <w:rFonts w:hint="eastAsia" w:ascii="仿宋_GB2312" w:hAnsi="仿宋_GB2312" w:eastAsia="仿宋_GB2312" w:cs="仿宋_GB2312"/>
          <w:b/>
          <w:bCs/>
          <w:sz w:val="32"/>
          <w:szCs w:val="20"/>
          <w:highlight w:val="none"/>
          <w:lang w:val="en-US" w:eastAsia="zh-CN"/>
        </w:rPr>
        <w:t>推进老旧街区改造</w:t>
      </w:r>
      <w:bookmarkEnd w:id="184"/>
      <w:bookmarkEnd w:id="185"/>
      <w:bookmarkEnd w:id="186"/>
      <w:bookmarkEnd w:id="187"/>
      <w:bookmarkEnd w:id="206"/>
      <w:bookmarkEnd w:id="207"/>
      <w:bookmarkEnd w:id="208"/>
      <w:bookmarkEnd w:id="209"/>
      <w:bookmarkEnd w:id="210"/>
      <w:bookmarkEnd w:id="211"/>
      <w:bookmarkEnd w:id="212"/>
      <w:r>
        <w:rPr>
          <w:rFonts w:hint="eastAsia" w:ascii="仿宋_GB2312" w:hAnsi="仿宋_GB2312" w:eastAsia="仿宋_GB2312" w:cs="仿宋_GB2312"/>
          <w:sz w:val="32"/>
          <w:szCs w:val="20"/>
          <w:highlight w:val="none"/>
          <w:lang w:val="en-US" w:eastAsia="zh-CN"/>
        </w:rPr>
        <w:t>。强化西部地区区域综合性更新，以市级高新技术产业开发区建设为重点，持续推进广宁五里坨全域型城市更新，实现空间优化、功能融合、品质提升。完善公共服务与民生设施，推动五里坨秀府公交场站等项目，激发老旧街区发展活力。推动永引渠南路西延、石门路（石景山段）等重大项目，提升交通承载能力与互联互通水平。</w:t>
      </w:r>
    </w:p>
    <w:p>
      <w:pPr>
        <w:spacing w:line="560" w:lineRule="exact"/>
        <w:ind w:firstLine="642" w:firstLineChars="200"/>
        <w:rPr>
          <w:rFonts w:hint="eastAsia" w:ascii="仿宋_GB2312" w:hAnsi="仿宋_GB2312" w:eastAsia="仿宋_GB2312" w:cs="仿宋_GB2312"/>
          <w:sz w:val="32"/>
          <w:szCs w:val="20"/>
          <w:highlight w:val="none"/>
          <w:lang w:val="en-US" w:eastAsia="zh-CN"/>
        </w:rPr>
      </w:pPr>
      <w:bookmarkStart w:id="213" w:name="_Toc7698"/>
      <w:bookmarkStart w:id="214" w:name="_Toc5626"/>
      <w:bookmarkStart w:id="215" w:name="_Toc7817"/>
      <w:bookmarkStart w:id="216" w:name="_Toc8400"/>
      <w:bookmarkStart w:id="217" w:name="_Toc314"/>
      <w:bookmarkStart w:id="218" w:name="_Toc15790"/>
      <w:bookmarkStart w:id="219" w:name="_Toc5027"/>
      <w:bookmarkStart w:id="220" w:name="_Toc19497"/>
      <w:bookmarkStart w:id="221" w:name="_Toc748"/>
      <w:bookmarkStart w:id="222" w:name="_Toc12993"/>
      <w:bookmarkStart w:id="223" w:name="_Toc9477"/>
      <w:r>
        <w:rPr>
          <w:rFonts w:hint="eastAsia" w:ascii="仿宋_GB2312" w:hAnsi="仿宋_GB2312" w:eastAsia="仿宋_GB2312" w:cs="仿宋_GB2312"/>
          <w:b/>
          <w:bCs/>
          <w:sz w:val="32"/>
          <w:szCs w:val="20"/>
          <w:highlight w:val="none"/>
          <w:lang w:val="en-US" w:eastAsia="zh-CN"/>
        </w:rPr>
        <w:t>协同推进平房区改造</w:t>
      </w:r>
      <w:bookmarkEnd w:id="188"/>
      <w:bookmarkEnd w:id="213"/>
      <w:bookmarkEnd w:id="214"/>
      <w:bookmarkEnd w:id="215"/>
      <w:bookmarkEnd w:id="216"/>
      <w:bookmarkEnd w:id="217"/>
      <w:bookmarkEnd w:id="218"/>
      <w:bookmarkEnd w:id="219"/>
      <w:bookmarkEnd w:id="220"/>
      <w:bookmarkEnd w:id="221"/>
      <w:bookmarkEnd w:id="222"/>
      <w:bookmarkEnd w:id="223"/>
      <w:r>
        <w:rPr>
          <w:rFonts w:hint="eastAsia" w:ascii="仿宋_GB2312" w:hAnsi="仿宋_GB2312" w:eastAsia="仿宋_GB2312" w:cs="仿宋_GB2312"/>
          <w:sz w:val="32"/>
          <w:szCs w:val="20"/>
          <w:highlight w:val="none"/>
          <w:lang w:val="en-US" w:eastAsia="zh-CN"/>
        </w:rPr>
        <w:t>。按照“成熟一个，推进一个”的工作原则，推进符合条件的平房区纳入城中村改造项目范围，有序推进特钢平房区等城中村改造。做好黄庄、广宁棚改剩余经营性用地上市等收尾工作。</w:t>
      </w:r>
    </w:p>
    <w:p>
      <w:pPr>
        <w:pStyle w:val="2"/>
        <w:rPr>
          <w:rFonts w:hint="eastAsia"/>
          <w:highlight w:val="none"/>
          <w:lang w:val="en-US" w:eastAsia="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8960" w:type="dxa"/>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eastAsia="黑体"/>
                <w:highlight w:val="none"/>
                <w:lang w:val="en-US" w:eastAsia="zh-CN"/>
              </w:rPr>
            </w:pPr>
            <w:r>
              <w:rPr>
                <w:rFonts w:hint="eastAsia" w:ascii="黑体" w:hAnsi="黑体" w:eastAsia="黑体" w:cs="黑体"/>
                <w:sz w:val="32"/>
                <w:szCs w:val="32"/>
                <w:highlight w:val="none"/>
                <w14:ligatures w14:val="none"/>
              </w:rPr>
              <w:t>专栏</w:t>
            </w:r>
            <w:r>
              <w:rPr>
                <w:rFonts w:hint="eastAsia" w:ascii="黑体" w:hAnsi="黑体" w:eastAsia="黑体" w:cs="黑体"/>
                <w:sz w:val="32"/>
                <w:szCs w:val="32"/>
                <w:highlight w:val="none"/>
                <w:lang w:val="en-US" w:eastAsia="zh-CN"/>
                <w14:ligatures w14:val="none"/>
              </w:rPr>
              <w:t>4</w:t>
            </w:r>
            <w:r>
              <w:rPr>
                <w:rFonts w:hint="eastAsia" w:ascii="黑体" w:hAnsi="黑体" w:eastAsia="黑体" w:cs="黑体"/>
                <w:sz w:val="32"/>
                <w:szCs w:val="32"/>
                <w:highlight w:val="none"/>
                <w14:ligatures w14:val="none"/>
              </w:rPr>
              <w:t>-城中村改造</w:t>
            </w:r>
            <w:r>
              <w:rPr>
                <w:rFonts w:hint="eastAsia" w:ascii="黑体" w:hAnsi="黑体" w:eastAsia="黑体" w:cs="黑体"/>
                <w:sz w:val="32"/>
                <w:szCs w:val="32"/>
                <w:highlight w:val="none"/>
                <w:lang w:val="en-US" w:eastAsia="zh-CN"/>
                <w14:ligatures w14:val="none"/>
              </w:rPr>
              <w:t>与棚改收尾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8960" w:type="dxa"/>
          </w:tcPr>
          <w:p>
            <w:pPr>
              <w:keepNext w:val="0"/>
              <w:keepLines w:val="0"/>
              <w:pageBreakBefore w:val="0"/>
              <w:widowControl w:val="0"/>
              <w:kinsoku/>
              <w:wordWrap/>
              <w:overflowPunct/>
              <w:topLinePunct w:val="0"/>
              <w:autoSpaceDE/>
              <w:autoSpaceDN/>
              <w:bidi w:val="0"/>
              <w:adjustRightInd/>
              <w:snapToGrid w:val="0"/>
              <w:spacing w:after="156" w:afterLines="50" w:line="400" w:lineRule="exact"/>
              <w:ind w:firstLine="560" w:firstLineChars="200"/>
              <w:textAlignment w:val="auto"/>
              <w:rPr>
                <w:rFonts w:hint="eastAsia" w:eastAsia="仿宋_GB2312"/>
                <w:highlight w:val="none"/>
                <w:lang w:eastAsia="zh-CN"/>
              </w:rPr>
            </w:pPr>
            <w:r>
              <w:rPr>
                <w:rFonts w:hint="eastAsia" w:ascii="Times New Roman" w:hAnsi="Times New Roman" w:eastAsia="仿宋_GB2312" w:cs="Times New Roman"/>
                <w:b w:val="0"/>
                <w:bCs w:val="0"/>
                <w:sz w:val="28"/>
                <w:szCs w:val="32"/>
                <w:highlight w:val="none"/>
                <w14:ligatures w14:val="none"/>
              </w:rPr>
              <w:t>有序推进</w:t>
            </w:r>
            <w:r>
              <w:rPr>
                <w:rFonts w:hint="eastAsia" w:ascii="Times New Roman" w:hAnsi="Times New Roman" w:eastAsia="仿宋_GB2312" w:cs="Times New Roman"/>
                <w:b w:val="0"/>
                <w:bCs w:val="0"/>
                <w:sz w:val="28"/>
                <w:szCs w:val="32"/>
                <w:highlight w:val="none"/>
                <w:lang w:eastAsia="zh-CN"/>
                <w14:ligatures w14:val="none"/>
              </w:rPr>
              <w:t>特钢平房区</w:t>
            </w:r>
            <w:bookmarkStart w:id="461" w:name="_GoBack"/>
            <w:bookmarkEnd w:id="461"/>
            <w:r>
              <w:rPr>
                <w:rFonts w:hint="eastAsia" w:ascii="Times New Roman" w:hAnsi="Times New Roman" w:eastAsia="仿宋_GB2312" w:cs="Times New Roman"/>
                <w:b w:val="0"/>
                <w:bCs w:val="0"/>
                <w:sz w:val="28"/>
                <w:szCs w:val="32"/>
                <w:highlight w:val="none"/>
                <w14:ligatures w14:val="none"/>
              </w:rPr>
              <w:t>等</w:t>
            </w:r>
            <w:r>
              <w:rPr>
                <w:rFonts w:hint="eastAsia" w:ascii="Times New Roman" w:hAnsi="Times New Roman" w:eastAsia="仿宋_GB2312" w:cs="Times New Roman"/>
                <w:b w:val="0"/>
                <w:bCs w:val="0"/>
                <w:sz w:val="28"/>
                <w:szCs w:val="32"/>
                <w:highlight w:val="none"/>
                <w:lang w:val="en-US" w:eastAsia="zh-CN"/>
                <w14:ligatures w14:val="none"/>
              </w:rPr>
              <w:t>城中村</w:t>
            </w:r>
            <w:r>
              <w:rPr>
                <w:rFonts w:hint="eastAsia" w:ascii="Times New Roman" w:hAnsi="Times New Roman" w:eastAsia="仿宋_GB2312" w:cs="Times New Roman"/>
                <w:b w:val="0"/>
                <w:bCs w:val="0"/>
                <w:sz w:val="28"/>
                <w:szCs w:val="32"/>
                <w:highlight w:val="none"/>
                <w14:ligatures w14:val="none"/>
              </w:rPr>
              <w:t>改造</w:t>
            </w:r>
            <w:r>
              <w:rPr>
                <w:rFonts w:hint="eastAsia" w:ascii="Times New Roman" w:hAnsi="Times New Roman" w:eastAsia="仿宋_GB2312" w:cs="Times New Roman"/>
                <w:b w:val="0"/>
                <w:bCs w:val="0"/>
                <w:sz w:val="28"/>
                <w:szCs w:val="32"/>
                <w:highlight w:val="none"/>
                <w:lang w:eastAsia="zh-CN"/>
                <w14:ligatures w14:val="none"/>
              </w:rPr>
              <w:t>，</w:t>
            </w:r>
            <w:r>
              <w:rPr>
                <w:rFonts w:hint="eastAsia" w:ascii="Times New Roman" w:hAnsi="Times New Roman" w:eastAsia="仿宋_GB2312" w:cs="Times New Roman"/>
                <w:b w:val="0"/>
                <w:bCs w:val="0"/>
                <w:sz w:val="28"/>
                <w:szCs w:val="32"/>
                <w:highlight w:val="none"/>
                <w14:ligatures w14:val="none"/>
              </w:rPr>
              <w:t>推进黄庄、广宁、衙门口棚改等剩余地块土地入市和建设工作</w:t>
            </w:r>
            <w:r>
              <w:rPr>
                <w:rFonts w:hint="eastAsia" w:ascii="Times New Roman" w:hAnsi="Times New Roman" w:cs="Times New Roman"/>
                <w:b w:val="0"/>
                <w:bCs w:val="0"/>
                <w:sz w:val="28"/>
                <w:szCs w:val="32"/>
                <w:highlight w:val="none"/>
                <w:lang w:eastAsia="zh-CN"/>
                <w14:ligatures w14:val="none"/>
              </w:rPr>
              <w:t>。</w:t>
            </w:r>
          </w:p>
        </w:tc>
      </w:tr>
    </w:tbl>
    <w:p>
      <w:pPr>
        <w:spacing w:line="560" w:lineRule="exact"/>
        <w:ind w:firstLine="642" w:firstLineChars="200"/>
        <w:rPr>
          <w:rFonts w:hint="eastAsia" w:ascii="仿宋_GB2312" w:hAnsi="仿宋_GB2312" w:eastAsia="仿宋_GB2312" w:cs="仿宋_GB2312"/>
          <w:sz w:val="32"/>
          <w:szCs w:val="20"/>
          <w:highlight w:val="none"/>
        </w:rPr>
      </w:pPr>
      <w:bookmarkStart w:id="224" w:name="_Toc3801"/>
      <w:bookmarkStart w:id="225" w:name="_Toc17776"/>
      <w:bookmarkStart w:id="226" w:name="_Toc29892"/>
      <w:bookmarkStart w:id="227" w:name="_Toc18607"/>
      <w:bookmarkStart w:id="228" w:name="_Toc1315"/>
      <w:bookmarkStart w:id="229" w:name="_Toc15719"/>
      <w:bookmarkStart w:id="230" w:name="_Toc6787"/>
      <w:r>
        <w:rPr>
          <w:rFonts w:hint="eastAsia" w:ascii="仿宋_GB2312" w:hAnsi="仿宋_GB2312" w:eastAsia="仿宋_GB2312" w:cs="仿宋_GB2312"/>
          <w:b/>
          <w:bCs/>
          <w:sz w:val="32"/>
          <w:szCs w:val="20"/>
          <w:highlight w:val="none"/>
        </w:rPr>
        <w:t>推动产业园区“腾笼换鸟”</w:t>
      </w:r>
      <w:bookmarkEnd w:id="224"/>
      <w:bookmarkEnd w:id="225"/>
      <w:bookmarkEnd w:id="226"/>
      <w:bookmarkEnd w:id="227"/>
      <w:bookmarkEnd w:id="228"/>
      <w:bookmarkEnd w:id="229"/>
      <w:bookmarkEnd w:id="230"/>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围绕构建具有技术主导权的产业集群，实施北京银行保险产业园、超智算人工智能创新示范园等产业园区更新改造。引导园区在更新改造中完善产业及公共服务配套设施，积极承接高校院所科技成果转化落地。</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231" w:name="_Toc28347"/>
      <w:bookmarkStart w:id="232" w:name="_Toc20795"/>
      <w:bookmarkStart w:id="233" w:name="_Toc16168"/>
      <w:bookmarkStart w:id="234" w:name="_Toc227221667"/>
      <w:bookmarkStart w:id="235" w:name="_Toc30392"/>
      <w:bookmarkStart w:id="236" w:name="_Toc15206"/>
      <w:bookmarkStart w:id="237" w:name="_Toc7446"/>
      <w:bookmarkStart w:id="238" w:name="_Toc23599"/>
      <w:bookmarkStart w:id="239" w:name="_Toc6885"/>
      <w:bookmarkStart w:id="240" w:name="_Toc21179"/>
      <w:bookmarkStart w:id="241" w:name="_Toc28083"/>
      <w:bookmarkStart w:id="242" w:name="_Toc22062"/>
      <w:bookmarkStart w:id="243" w:name="_Toc20644"/>
      <w:bookmarkStart w:id="244" w:name="_Toc21228"/>
      <w:bookmarkStart w:id="245" w:name="_Toc13586"/>
      <w:r>
        <w:rPr>
          <w:rFonts w:hint="eastAsia" w:ascii="楷体_GB2312" w:hAnsi="黑体" w:eastAsia="楷体_GB2312" w:cs="黑体"/>
          <w:color w:val="auto"/>
          <w:sz w:val="32"/>
          <w:szCs w:val="36"/>
          <w:highlight w:val="none"/>
          <w:lang w:val="en-US" w:eastAsia="zh-CN"/>
        </w:rPr>
        <w:t>（五）</w:t>
      </w:r>
      <w:bookmarkEnd w:id="231"/>
      <w:bookmarkEnd w:id="232"/>
      <w:bookmarkEnd w:id="233"/>
      <w:bookmarkEnd w:id="234"/>
      <w:bookmarkEnd w:id="235"/>
      <w:bookmarkEnd w:id="236"/>
      <w:bookmarkEnd w:id="237"/>
      <w:r>
        <w:rPr>
          <w:rFonts w:hint="eastAsia" w:ascii="楷体_GB2312" w:hAnsi="黑体" w:eastAsia="楷体_GB2312" w:cs="黑体"/>
          <w:color w:val="auto"/>
          <w:sz w:val="32"/>
          <w:szCs w:val="36"/>
          <w:highlight w:val="none"/>
          <w:lang w:val="en-US" w:eastAsia="zh-CN"/>
        </w:rPr>
        <w:t>完善城市功能</w:t>
      </w:r>
      <w:bookmarkEnd w:id="238"/>
    </w:p>
    <w:p>
      <w:pPr>
        <w:pStyle w:val="2"/>
        <w:spacing w:after="0" w:line="560" w:lineRule="exact"/>
        <w:ind w:firstLine="642" w:firstLineChars="200"/>
        <w:rPr>
          <w:rFonts w:hint="eastAsia" w:ascii="仿宋_GB2312" w:hAnsi="仿宋_GB2312" w:eastAsia="仿宋_GB2312" w:cs="仿宋_GB2312"/>
          <w:b/>
          <w:bCs/>
          <w:sz w:val="32"/>
          <w:szCs w:val="20"/>
          <w:highlight w:val="none"/>
          <w:lang w:val="en-US" w:eastAsia="zh-CN"/>
        </w:rPr>
      </w:pPr>
      <w:bookmarkStart w:id="246" w:name="_Toc17029"/>
      <w:bookmarkStart w:id="247" w:name="_Toc26333"/>
      <w:bookmarkStart w:id="248" w:name="_Toc20966"/>
      <w:bookmarkStart w:id="249" w:name="_Toc26904"/>
      <w:bookmarkStart w:id="250" w:name="_Toc15935"/>
      <w:r>
        <w:rPr>
          <w:rFonts w:hint="eastAsia" w:ascii="仿宋_GB2312" w:hAnsi="仿宋_GB2312" w:eastAsia="仿宋_GB2312" w:cs="仿宋_GB2312"/>
          <w:b/>
          <w:bCs/>
          <w:sz w:val="32"/>
          <w:szCs w:val="20"/>
          <w:highlight w:val="none"/>
          <w:lang w:val="en-US" w:eastAsia="zh-CN"/>
        </w:rPr>
        <w:t>改造拓展优质教育空间。</w:t>
      </w:r>
      <w:r>
        <w:rPr>
          <w:rFonts w:hint="eastAsia" w:ascii="仿宋_GB2312" w:hAnsi="仿宋_GB2312" w:eastAsia="仿宋_GB2312" w:cs="仿宋_GB2312"/>
          <w:b w:val="0"/>
          <w:bCs w:val="0"/>
          <w:sz w:val="32"/>
          <w:szCs w:val="20"/>
          <w:highlight w:val="none"/>
        </w:rPr>
        <w:t>结合优质教育资源合作、集团化办学和学校布局调整需要，分步实施办学品质待提升学校更新改造计划、教育教学设备更新计划、操场及市政管线更新计划。因地制宜逐年实施</w:t>
      </w:r>
      <w:r>
        <w:rPr>
          <w:rFonts w:hint="eastAsia" w:ascii="Times New Roman" w:hAnsi="Times New Roman" w:eastAsia="仿宋_GB2312" w:cs="Times New Roman"/>
          <w:b w:val="0"/>
          <w:bCs w:val="0"/>
          <w:sz w:val="32"/>
          <w:szCs w:val="32"/>
          <w:highlight w:val="none"/>
        </w:rPr>
        <w:t>2-3所校</w:t>
      </w:r>
      <w:r>
        <w:rPr>
          <w:rFonts w:hint="eastAsia" w:ascii="仿宋_GB2312" w:hAnsi="仿宋_GB2312" w:eastAsia="仿宋_GB2312" w:cs="仿宋_GB2312"/>
          <w:b w:val="0"/>
          <w:bCs w:val="0"/>
          <w:sz w:val="32"/>
          <w:szCs w:val="20"/>
          <w:highlight w:val="none"/>
        </w:rPr>
        <w:t>舍修缮改造，推动门窗、操场、市政管线等常规性更新。围绕“幼有所育”目标，有效增加普惠托育服务资源，结合人口分布与居民实际需求，推进公办幼儿园举办托班。</w:t>
      </w:r>
    </w:p>
    <w:p>
      <w:pPr>
        <w:pStyle w:val="2"/>
        <w:spacing w:after="0" w:line="560" w:lineRule="exact"/>
        <w:ind w:firstLine="642" w:firstLineChars="200"/>
        <w:rPr>
          <w:rFonts w:hint="default" w:ascii="仿宋_GB2312" w:hAnsi="仿宋_GB2312" w:eastAsia="仿宋_GB2312" w:cs="仿宋_GB2312"/>
          <w:b/>
          <w:bCs/>
          <w:sz w:val="32"/>
          <w:szCs w:val="20"/>
          <w:highlight w:val="none"/>
          <w:lang w:val="en-US" w:eastAsia="zh-CN"/>
        </w:rPr>
      </w:pPr>
      <w:r>
        <w:rPr>
          <w:rFonts w:hint="eastAsia" w:ascii="仿宋_GB2312" w:hAnsi="仿宋_GB2312" w:eastAsia="仿宋_GB2312" w:cs="仿宋_GB2312"/>
          <w:b/>
          <w:bCs/>
          <w:sz w:val="32"/>
          <w:szCs w:val="20"/>
          <w:highlight w:val="none"/>
          <w:lang w:val="en-US" w:eastAsia="zh-CN"/>
        </w:rPr>
        <w:t>增加养老服务供给。</w:t>
      </w:r>
      <w:r>
        <w:rPr>
          <w:rFonts w:hint="eastAsia" w:ascii="仿宋_GB2312" w:hAnsi="仿宋_GB2312" w:eastAsia="仿宋_GB2312" w:cs="仿宋_GB2312"/>
          <w:b w:val="0"/>
          <w:bCs w:val="0"/>
          <w:sz w:val="32"/>
          <w:szCs w:val="20"/>
          <w:highlight w:val="none"/>
        </w:rPr>
        <w:t>依托“区级养老服务指导中心、街镇养老服务联合体+区域养老服务中心、社区养老服务驿站＋居家照护”的三级养老服务体系，整合各类养老服务资源，鼓励街道因地制宜制定符合自身特色的养老服务供给策略。提升养老服务能力，实施北京福寿岭休养中心、养老服务设施建设等项目。</w:t>
      </w:r>
    </w:p>
    <w:p>
      <w:pPr>
        <w:pStyle w:val="2"/>
        <w:spacing w:after="0" w:line="560" w:lineRule="exact"/>
        <w:ind w:firstLine="642" w:firstLineChars="200"/>
        <w:rPr>
          <w:rFonts w:hint="default" w:ascii="仿宋_GB2312" w:hAnsi="仿宋_GB2312" w:eastAsia="仿宋_GB2312" w:cs="仿宋_GB2312"/>
          <w:b/>
          <w:bCs/>
          <w:sz w:val="32"/>
          <w:szCs w:val="20"/>
          <w:highlight w:val="none"/>
          <w:lang w:val="en-US" w:eastAsia="zh-CN"/>
        </w:rPr>
      </w:pPr>
      <w:r>
        <w:rPr>
          <w:rFonts w:hint="eastAsia" w:ascii="仿宋_GB2312" w:hAnsi="仿宋_GB2312" w:eastAsia="仿宋_GB2312" w:cs="仿宋_GB2312"/>
          <w:b/>
          <w:bCs/>
          <w:sz w:val="32"/>
          <w:szCs w:val="20"/>
          <w:highlight w:val="none"/>
          <w:lang w:val="en-US" w:eastAsia="zh-CN"/>
        </w:rPr>
        <w:t>补足体育设施。</w:t>
      </w:r>
      <w:r>
        <w:rPr>
          <w:rFonts w:hint="eastAsia" w:ascii="仿宋_GB2312" w:hAnsi="仿宋_GB2312" w:eastAsia="仿宋_GB2312" w:cs="仿宋_GB2312"/>
          <w:sz w:val="32"/>
          <w:szCs w:val="20"/>
          <w:highlight w:val="none"/>
        </w:rPr>
        <w:t>完善社区便民体育</w:t>
      </w:r>
      <w:r>
        <w:rPr>
          <w:rFonts w:hint="eastAsia" w:ascii="仿宋_GB2312" w:hAnsi="仿宋_GB2312" w:eastAsia="仿宋_GB2312" w:cs="仿宋_GB2312"/>
          <w:sz w:val="32"/>
          <w:szCs w:val="20"/>
          <w:highlight w:val="none"/>
          <w:lang w:val="en-US" w:eastAsia="zh-CN"/>
        </w:rPr>
        <w:t>设施布局</w:t>
      </w:r>
      <w:r>
        <w:rPr>
          <w:rFonts w:hint="eastAsia" w:ascii="仿宋_GB2312" w:hAnsi="仿宋_GB2312" w:eastAsia="仿宋_GB2312" w:cs="仿宋_GB2312"/>
          <w:sz w:val="32"/>
          <w:szCs w:val="20"/>
          <w:highlight w:val="none"/>
        </w:rPr>
        <w:t>，</w:t>
      </w:r>
      <w:r>
        <w:rPr>
          <w:rFonts w:hint="eastAsia" w:ascii="仿宋_GB2312" w:hAnsi="仿宋_GB2312" w:eastAsia="仿宋_GB2312" w:cs="仿宋_GB2312"/>
          <w:sz w:val="32"/>
          <w:szCs w:val="20"/>
          <w:highlight w:val="none"/>
          <w:lang w:val="en-US" w:eastAsia="zh-CN"/>
        </w:rPr>
        <w:t>建设</w:t>
      </w:r>
      <w:r>
        <w:rPr>
          <w:rFonts w:hint="eastAsia" w:ascii="仿宋_GB2312" w:hAnsi="仿宋_GB2312" w:eastAsia="仿宋_GB2312" w:cs="仿宋_GB2312"/>
          <w:sz w:val="32"/>
          <w:szCs w:val="20"/>
          <w:highlight w:val="none"/>
        </w:rPr>
        <w:t>首钢东南区1612-818体育公园，补齐群众健身场地供给短板。</w:t>
      </w:r>
      <w:r>
        <w:rPr>
          <w:rFonts w:hint="eastAsia" w:ascii="仿宋_GB2312" w:hAnsi="仿宋_GB2312" w:eastAsia="仿宋_GB2312" w:cs="仿宋_GB2312"/>
          <w:sz w:val="32"/>
          <w:szCs w:val="20"/>
          <w:highlight w:val="none"/>
          <w:lang w:val="en-US" w:eastAsia="zh-CN"/>
        </w:rPr>
        <w:t>拓展公共服务设施“平急两用”应用场景，实施区体育馆“平急两用”改造。</w:t>
      </w:r>
      <w:r>
        <w:rPr>
          <w:rFonts w:hint="eastAsia" w:ascii="仿宋_GB2312" w:hAnsi="仿宋_GB2312" w:eastAsia="仿宋_GB2312" w:cs="仿宋_GB2312"/>
          <w:sz w:val="32"/>
          <w:szCs w:val="20"/>
          <w:highlight w:val="none"/>
        </w:rPr>
        <w:t>培育体育文旅新业态，</w:t>
      </w:r>
      <w:r>
        <w:rPr>
          <w:rFonts w:hint="eastAsia" w:ascii="仿宋_GB2312" w:hAnsi="仿宋_GB2312" w:eastAsia="仿宋_GB2312" w:cs="仿宋_GB2312"/>
          <w:sz w:val="32"/>
          <w:szCs w:val="20"/>
          <w:highlight w:val="none"/>
          <w:lang w:val="en-US" w:eastAsia="zh-CN"/>
        </w:rPr>
        <w:t>推动速滑馆改造电竞场馆</w:t>
      </w:r>
      <w:r>
        <w:rPr>
          <w:rFonts w:hint="eastAsia" w:ascii="仿宋_GB2312" w:hAnsi="仿宋_GB2312" w:eastAsia="仿宋_GB2312" w:cs="仿宋_GB2312"/>
          <w:sz w:val="32"/>
          <w:szCs w:val="20"/>
          <w:highlight w:val="none"/>
        </w:rPr>
        <w:t>，打造特色文体消费场景。</w:t>
      </w:r>
    </w:p>
    <w:bookmarkEnd w:id="246"/>
    <w:bookmarkEnd w:id="247"/>
    <w:bookmarkEnd w:id="248"/>
    <w:bookmarkEnd w:id="249"/>
    <w:bookmarkEnd w:id="250"/>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6" w:type="dxa"/>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eastAsia="黑体"/>
                <w:highlight w:val="none"/>
                <w:lang w:val="en-US" w:eastAsia="zh-CN"/>
              </w:rPr>
            </w:pPr>
            <w:r>
              <w:rPr>
                <w:rFonts w:hint="eastAsia" w:ascii="黑体" w:hAnsi="黑体" w:eastAsia="黑体" w:cs="黑体"/>
                <w:sz w:val="32"/>
                <w:szCs w:val="32"/>
                <w:highlight w:val="none"/>
                <w14:ligatures w14:val="none"/>
              </w:rPr>
              <w:t>专栏</w:t>
            </w:r>
            <w:r>
              <w:rPr>
                <w:rFonts w:hint="eastAsia" w:ascii="黑体" w:hAnsi="黑体" w:eastAsia="黑体" w:cs="黑体"/>
                <w:sz w:val="32"/>
                <w:szCs w:val="32"/>
                <w:highlight w:val="none"/>
                <w:lang w:val="en-US" w:eastAsia="zh-CN"/>
                <w14:ligatures w14:val="none"/>
              </w:rPr>
              <w:t>5</w:t>
            </w:r>
            <w:r>
              <w:rPr>
                <w:rFonts w:hint="eastAsia" w:ascii="黑体" w:hAnsi="黑体" w:eastAsia="黑体" w:cs="黑体"/>
                <w:sz w:val="32"/>
                <w:szCs w:val="32"/>
                <w:highlight w:val="none"/>
                <w14:ligatures w14:val="none"/>
              </w:rPr>
              <w:t>-</w:t>
            </w:r>
            <w:r>
              <w:rPr>
                <w:rFonts w:hint="eastAsia" w:ascii="黑体" w:hAnsi="黑体" w:eastAsia="黑体" w:cs="黑体"/>
                <w:sz w:val="32"/>
                <w:szCs w:val="32"/>
                <w:highlight w:val="none"/>
                <w:lang w:val="en-US" w:eastAsia="zh-CN"/>
                <w14:ligatures w14:val="none"/>
              </w:rPr>
              <w:t>城市公共服务水平提升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4" w:hRule="atLeast"/>
          <w:jc w:val="center"/>
        </w:trPr>
        <w:tc>
          <w:tcPr>
            <w:tcW w:w="8946"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b w:val="0"/>
                <w:bCs w:val="0"/>
                <w:sz w:val="28"/>
                <w:szCs w:val="32"/>
                <w:highlight w:val="none"/>
                <w:lang w:eastAsia="zh-CN"/>
              </w:rPr>
            </w:pPr>
            <w:r>
              <w:rPr>
                <w:rFonts w:hint="eastAsia" w:ascii="仿宋_GB2312" w:hAnsi="仿宋_GB2312" w:eastAsia="仿宋_GB2312" w:cs="仿宋_GB2312"/>
                <w:b w:val="0"/>
                <w:bCs w:val="0"/>
                <w:sz w:val="28"/>
                <w:szCs w:val="32"/>
                <w:highlight w:val="none"/>
                <w:lang w:val="en-US" w:eastAsia="zh-CN"/>
              </w:rPr>
              <w:t>1.</w:t>
            </w:r>
            <w:r>
              <w:rPr>
                <w:rFonts w:hint="eastAsia" w:ascii="仿宋_GB2312" w:hAnsi="仿宋_GB2312" w:eastAsia="仿宋_GB2312" w:cs="仿宋_GB2312"/>
                <w:b w:val="0"/>
                <w:bCs w:val="0"/>
                <w:sz w:val="28"/>
                <w:szCs w:val="32"/>
                <w:highlight w:val="none"/>
              </w:rPr>
              <w:t>根据教育改革发展及不同学段学位需求等要求逐年推进2-3所校舍整体更新</w:t>
            </w:r>
            <w:r>
              <w:rPr>
                <w:rFonts w:hint="eastAsia" w:ascii="仿宋_GB2312" w:hAnsi="仿宋_GB2312" w:eastAsia="仿宋_GB2312" w:cs="仿宋_GB2312"/>
                <w:b w:val="0"/>
                <w:bCs w:val="0"/>
                <w:sz w:val="28"/>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b w:val="0"/>
                <w:bCs w:val="0"/>
                <w:sz w:val="28"/>
                <w:szCs w:val="32"/>
                <w:highlight w:val="none"/>
                <w:lang w:val="en-US" w:eastAsia="zh-CN"/>
              </w:rPr>
            </w:pPr>
            <w:r>
              <w:rPr>
                <w:rFonts w:hint="eastAsia" w:ascii="仿宋_GB2312" w:hAnsi="仿宋_GB2312" w:eastAsia="仿宋_GB2312" w:cs="仿宋_GB2312"/>
                <w:b w:val="0"/>
                <w:bCs w:val="0"/>
                <w:sz w:val="28"/>
                <w:szCs w:val="32"/>
                <w:highlight w:val="none"/>
                <w:lang w:val="en-US" w:eastAsia="zh-CN"/>
              </w:rPr>
              <w:t>2.改善区域医疗硬件条件</w:t>
            </w:r>
            <w:r>
              <w:rPr>
                <w:rFonts w:hint="eastAsia" w:ascii="仿宋_GB2312" w:hAnsi="仿宋_GB2312" w:eastAsia="仿宋_GB2312" w:cs="仿宋_GB2312"/>
                <w:b w:val="0"/>
                <w:bCs w:val="0"/>
                <w:sz w:val="28"/>
                <w:szCs w:val="32"/>
                <w:highlight w:val="none"/>
              </w:rPr>
              <w:t>，推动9家医院改造提升</w:t>
            </w:r>
            <w:r>
              <w:rPr>
                <w:rFonts w:hint="eastAsia" w:ascii="仿宋_GB2312" w:hAnsi="仿宋_GB2312" w:eastAsia="仿宋_GB2312" w:cs="仿宋_GB2312"/>
                <w:b w:val="0"/>
                <w:bCs w:val="0"/>
                <w:sz w:val="28"/>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highlight w:val="none"/>
              </w:rPr>
            </w:pPr>
            <w:r>
              <w:rPr>
                <w:rFonts w:hint="eastAsia" w:ascii="仿宋_GB2312" w:hAnsi="仿宋_GB2312" w:eastAsia="仿宋_GB2312" w:cs="仿宋_GB2312"/>
                <w:b w:val="0"/>
                <w:bCs w:val="0"/>
                <w:sz w:val="28"/>
                <w:szCs w:val="32"/>
                <w:highlight w:val="none"/>
                <w:lang w:val="en-US" w:eastAsia="zh-CN"/>
              </w:rPr>
              <w:t>3.提升养老服务能力</w:t>
            </w:r>
            <w:r>
              <w:rPr>
                <w:rFonts w:hint="eastAsia" w:ascii="仿宋_GB2312" w:hAnsi="仿宋_GB2312" w:eastAsia="仿宋_GB2312" w:cs="仿宋_GB2312"/>
                <w:b w:val="0"/>
                <w:bCs w:val="0"/>
                <w:sz w:val="28"/>
                <w:szCs w:val="32"/>
                <w:highlight w:val="none"/>
                <w:lang w:eastAsia="zh-CN"/>
              </w:rPr>
              <w:t>，</w:t>
            </w:r>
            <w:r>
              <w:rPr>
                <w:rFonts w:hint="eastAsia" w:ascii="仿宋_GB2312" w:hAnsi="仿宋_GB2312" w:eastAsia="仿宋_GB2312" w:cs="仿宋_GB2312"/>
                <w:b w:val="0"/>
                <w:bCs w:val="0"/>
                <w:sz w:val="28"/>
                <w:szCs w:val="32"/>
                <w:highlight w:val="none"/>
              </w:rPr>
              <w:t>实施9所养老服务设施建设。</w:t>
            </w:r>
          </w:p>
        </w:tc>
      </w:tr>
    </w:tbl>
    <w:p>
      <w:pPr>
        <w:spacing w:line="560" w:lineRule="exact"/>
        <w:ind w:firstLine="642" w:firstLineChars="200"/>
        <w:rPr>
          <w:rFonts w:hint="eastAsia" w:ascii="仿宋_GB2312" w:hAnsi="仿宋_GB2312" w:eastAsia="仿宋_GB2312" w:cs="仿宋_GB2312"/>
          <w:sz w:val="32"/>
          <w:szCs w:val="20"/>
          <w:highlight w:val="none"/>
        </w:rPr>
      </w:pPr>
      <w:r>
        <w:rPr>
          <w:rFonts w:hint="eastAsia" w:ascii="仿宋_GB2312" w:hAnsi="仿宋_GB2312" w:eastAsia="仿宋_GB2312" w:cs="仿宋_GB2312"/>
          <w:b/>
          <w:bCs/>
          <w:color w:val="000000"/>
          <w:sz w:val="32"/>
          <w:szCs w:val="32"/>
          <w:highlight w:val="none"/>
          <w:lang w:val="en-US" w:eastAsia="zh-CN"/>
        </w:rPr>
        <w:t>推动公共空间品质提升</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深化背街小巷精细化治理，推动街巷环境与周边片区联动提质</w:t>
      </w:r>
      <w:r>
        <w:rPr>
          <w:rFonts w:hint="eastAsia" w:ascii="仿宋_GB2312" w:hAnsi="仿宋_GB2312" w:eastAsia="仿宋_GB2312" w:cs="仿宋_GB2312"/>
          <w:color w:val="000000"/>
          <w:sz w:val="32"/>
          <w:szCs w:val="32"/>
          <w:highlight w:val="none"/>
          <w:lang w:val="en-US" w:eastAsia="zh-CN"/>
        </w:rPr>
        <w:t>。优化城市家具设置，</w:t>
      </w:r>
      <w:r>
        <w:rPr>
          <w:rFonts w:hint="default" w:ascii="仿宋_GB2312" w:hAnsi="仿宋_GB2312" w:eastAsia="仿宋_GB2312" w:cs="仿宋_GB2312"/>
          <w:color w:val="000000"/>
          <w:sz w:val="32"/>
          <w:szCs w:val="32"/>
          <w:highlight w:val="none"/>
          <w:lang w:val="en-US" w:eastAsia="zh-CN"/>
        </w:rPr>
        <w:t>在首钢园区、八角北片区等重点区域试点“多杆合一”城市家具整合。打造高品质城市公共空间，聚焦重点片区优化交通接驳、修复空间破损，丰富消费休闲复合场景。完善公共设施、交通出行、居住空间无障碍配套，将适儿化、适老化要求贯穿规划建设全流程。</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251" w:name="_Toc23641"/>
      <w:bookmarkStart w:id="252" w:name="_Toc17975"/>
      <w:bookmarkStart w:id="253" w:name="_Toc26411"/>
      <w:bookmarkStart w:id="254" w:name="_Toc227221668"/>
      <w:bookmarkStart w:id="255" w:name="_Toc8808"/>
      <w:bookmarkStart w:id="256" w:name="_Toc26556"/>
      <w:bookmarkStart w:id="257" w:name="_Toc27546"/>
      <w:bookmarkStart w:id="258" w:name="_Toc21566"/>
      <w:r>
        <w:rPr>
          <w:rFonts w:hint="eastAsia" w:ascii="楷体_GB2312" w:hAnsi="黑体" w:eastAsia="楷体_GB2312" w:cs="黑体"/>
          <w:color w:val="auto"/>
          <w:sz w:val="32"/>
          <w:szCs w:val="36"/>
          <w:highlight w:val="none"/>
          <w:lang w:val="en-US" w:eastAsia="zh-CN"/>
        </w:rPr>
        <w:t>（六）</w:t>
      </w:r>
      <w:bookmarkEnd w:id="251"/>
      <w:bookmarkEnd w:id="252"/>
      <w:bookmarkEnd w:id="253"/>
      <w:bookmarkEnd w:id="254"/>
      <w:bookmarkEnd w:id="255"/>
      <w:bookmarkEnd w:id="256"/>
      <w:bookmarkEnd w:id="257"/>
      <w:r>
        <w:rPr>
          <w:rFonts w:hint="eastAsia" w:ascii="楷体_GB2312" w:hAnsi="黑体" w:eastAsia="楷体_GB2312" w:cs="黑体"/>
          <w:color w:val="auto"/>
          <w:sz w:val="32"/>
          <w:szCs w:val="36"/>
          <w:highlight w:val="none"/>
          <w:lang w:val="en-US" w:eastAsia="zh-CN"/>
        </w:rPr>
        <w:t>加强城市基础设施建设改造</w:t>
      </w:r>
      <w:bookmarkEnd w:id="258"/>
    </w:p>
    <w:p>
      <w:pPr>
        <w:keepNext w:val="0"/>
        <w:keepLines w:val="0"/>
        <w:overflowPunct/>
        <w:spacing w:line="560" w:lineRule="exact"/>
        <w:ind w:firstLine="642" w:firstLineChars="200"/>
        <w:outlineLvl w:val="9"/>
        <w:rPr>
          <w:rFonts w:hint="eastAsia" w:ascii="仿宋_GB2312" w:hAnsi="仿宋_GB2312" w:eastAsia="仿宋_GB2312" w:cs="仿宋_GB2312"/>
          <w:sz w:val="32"/>
          <w:szCs w:val="20"/>
          <w:highlight w:val="none"/>
          <w:lang w:val="en-US" w:eastAsia="zh-CN"/>
        </w:rPr>
      </w:pPr>
      <w:bookmarkStart w:id="259" w:name="_Toc27907"/>
      <w:bookmarkStart w:id="260" w:name="_Toc21745"/>
      <w:bookmarkStart w:id="261" w:name="_Toc18901"/>
      <w:bookmarkStart w:id="262" w:name="_Toc20412"/>
      <w:bookmarkStart w:id="263" w:name="_Toc24390"/>
      <w:r>
        <w:rPr>
          <w:rFonts w:hint="eastAsia" w:ascii="仿宋_GB2312" w:hAnsi="仿宋_GB2312" w:eastAsia="仿宋_GB2312" w:cs="仿宋_GB2312"/>
          <w:b/>
          <w:bCs/>
          <w:sz w:val="32"/>
          <w:szCs w:val="20"/>
          <w:highlight w:val="none"/>
        </w:rPr>
        <w:t>全力抓好</w:t>
      </w:r>
      <w:bookmarkEnd w:id="259"/>
      <w:bookmarkEnd w:id="260"/>
      <w:bookmarkEnd w:id="261"/>
      <w:bookmarkEnd w:id="262"/>
      <w:bookmarkEnd w:id="263"/>
      <w:r>
        <w:rPr>
          <w:rFonts w:hint="eastAsia" w:ascii="仿宋_GB2312" w:hAnsi="仿宋_GB2312" w:eastAsia="仿宋_GB2312" w:cs="仿宋_GB2312"/>
          <w:b/>
          <w:bCs/>
          <w:sz w:val="32"/>
          <w:szCs w:val="20"/>
          <w:highlight w:val="none"/>
          <w:lang w:val="en-US" w:eastAsia="zh-CN"/>
        </w:rPr>
        <w:t>城市地下管网建设</w:t>
      </w:r>
      <w:r>
        <w:rPr>
          <w:rFonts w:hint="eastAsia" w:ascii="仿宋_GB2312" w:hAnsi="仿宋_GB2312" w:eastAsia="仿宋_GB2312" w:cs="仿宋_GB2312"/>
          <w:sz w:val="32"/>
          <w:szCs w:val="20"/>
          <w:highlight w:val="none"/>
          <w:lang w:val="en-US" w:eastAsia="zh-CN"/>
        </w:rPr>
        <w:t>。落实中央</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lang w:val="en-US" w:eastAsia="zh-CN"/>
        </w:rPr>
        <w:t>六张网</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lang w:val="en-US" w:eastAsia="zh-CN"/>
        </w:rPr>
        <w:t>战略部署</w:t>
      </w:r>
      <w:r>
        <w:rPr>
          <w:rFonts w:hint="eastAsia" w:ascii="仿宋_GB2312" w:hAnsi="仿宋_GB2312" w:eastAsia="仿宋_GB2312" w:cs="仿宋_GB2312"/>
          <w:sz w:val="32"/>
          <w:szCs w:val="20"/>
          <w:highlight w:val="none"/>
        </w:rPr>
        <w:t>，</w:t>
      </w:r>
      <w:r>
        <w:rPr>
          <w:rFonts w:hint="eastAsia" w:ascii="仿宋_GB2312" w:hAnsi="仿宋_GB2312" w:eastAsia="仿宋_GB2312" w:cs="仿宋_GB2312"/>
          <w:sz w:val="32"/>
          <w:szCs w:val="20"/>
          <w:highlight w:val="none"/>
          <w:lang w:val="en-US" w:eastAsia="zh-CN"/>
        </w:rPr>
        <w:t>以治理隐患管网和提高管网规划实施率和覆盖率为目标，加快电力、燃气、供热等老旧管线更新改造，让城市运行更安全、高效、智慧。提升雨污分流能力，实施陈家沟村、双泉寺村污水管网提标改造和金隅滨河园片区雨污水排除工程等项目。因地制宜分类治理城市内涝，减少管网泄漏、堵塞等安全隐患，实现城区积水点动态清零。</w:t>
      </w:r>
      <w:r>
        <w:rPr>
          <w:rFonts w:hint="eastAsia" w:ascii="仿宋_GB2312" w:hAnsi="仿宋_GB2312" w:eastAsia="仿宋_GB2312" w:cs="仿宋_GB2312"/>
          <w:sz w:val="32"/>
          <w:szCs w:val="20"/>
          <w:highlight w:val="none"/>
        </w:rPr>
        <w:t>在</w:t>
      </w:r>
      <w:r>
        <w:rPr>
          <w:rFonts w:hint="eastAsia" w:ascii="仿宋_GB2312" w:hAnsi="仿宋_GB2312" w:eastAsia="仿宋_GB2312" w:cs="仿宋_GB2312"/>
          <w:sz w:val="32"/>
          <w:szCs w:val="20"/>
          <w:highlight w:val="none"/>
          <w:lang w:val="en-US" w:eastAsia="zh-CN"/>
        </w:rPr>
        <w:t>首钢北区</w:t>
      </w:r>
      <w:r>
        <w:rPr>
          <w:rFonts w:hint="eastAsia" w:ascii="仿宋_GB2312" w:hAnsi="仿宋_GB2312" w:eastAsia="仿宋_GB2312" w:cs="仿宋_GB2312"/>
          <w:sz w:val="32"/>
          <w:szCs w:val="20"/>
          <w:highlight w:val="none"/>
        </w:rPr>
        <w:t>等重点区域推进地下综合管廊建设</w:t>
      </w:r>
      <w:r>
        <w:rPr>
          <w:rFonts w:hint="eastAsia" w:ascii="仿宋_GB2312" w:hAnsi="仿宋_GB2312" w:eastAsia="仿宋_GB2312" w:cs="仿宋_GB2312"/>
          <w:sz w:val="32"/>
          <w:szCs w:val="20"/>
          <w:highlight w:val="none"/>
          <w:lang w:eastAsia="zh-CN"/>
        </w:rPr>
        <w:t>。</w:t>
      </w:r>
    </w:p>
    <w:p>
      <w:pPr>
        <w:keepNext w:val="0"/>
        <w:keepLines w:val="0"/>
        <w:overflowPunct/>
        <w:spacing w:line="560" w:lineRule="exact"/>
        <w:ind w:firstLine="642" w:firstLineChars="200"/>
        <w:outlineLvl w:val="9"/>
        <w:rPr>
          <w:rFonts w:hint="eastAsia" w:ascii="仿宋_GB2312" w:hAnsi="仿宋_GB2312" w:eastAsia="仿宋_GB2312" w:cs="仿宋_GB2312"/>
          <w:sz w:val="32"/>
          <w:szCs w:val="20"/>
          <w:highlight w:val="none"/>
        </w:rPr>
      </w:pPr>
      <w:bookmarkStart w:id="264" w:name="_Toc27899"/>
      <w:bookmarkStart w:id="265" w:name="_Toc21192"/>
      <w:bookmarkStart w:id="266" w:name="_Toc16138"/>
      <w:r>
        <w:rPr>
          <w:rFonts w:hint="eastAsia" w:ascii="仿宋_GB2312" w:hAnsi="仿宋_GB2312" w:eastAsia="仿宋_GB2312" w:cs="仿宋_GB2312"/>
          <w:b/>
          <w:bCs/>
          <w:sz w:val="32"/>
          <w:szCs w:val="20"/>
          <w:highlight w:val="none"/>
          <w:lang w:val="en-US" w:eastAsia="zh-CN"/>
        </w:rPr>
        <w:t>提高环卫、</w:t>
      </w:r>
      <w:r>
        <w:rPr>
          <w:rFonts w:hint="eastAsia" w:ascii="仿宋_GB2312" w:hAnsi="仿宋_GB2312" w:eastAsia="仿宋_GB2312" w:cs="仿宋_GB2312"/>
          <w:b/>
          <w:bCs/>
          <w:sz w:val="32"/>
          <w:szCs w:val="20"/>
          <w:highlight w:val="none"/>
          <w:lang w:val="en-US" w:eastAsia="zh-CN"/>
        </w:rPr>
        <w:t>消防</w:t>
      </w:r>
      <w:r>
        <w:rPr>
          <w:rFonts w:hint="eastAsia" w:ascii="仿宋_GB2312" w:hAnsi="仿宋_GB2312" w:eastAsia="仿宋_GB2312" w:cs="仿宋_GB2312"/>
          <w:b/>
          <w:bCs/>
          <w:sz w:val="32"/>
          <w:szCs w:val="20"/>
          <w:highlight w:val="none"/>
          <w:lang w:val="en-US" w:eastAsia="zh-CN"/>
        </w:rPr>
        <w:t>设施建设水平</w:t>
      </w:r>
      <w:r>
        <w:rPr>
          <w:rFonts w:hint="eastAsia" w:ascii="仿宋_GB2312" w:hAnsi="仿宋_GB2312" w:eastAsia="仿宋_GB2312" w:cs="仿宋_GB2312"/>
          <w:sz w:val="32"/>
          <w:szCs w:val="20"/>
          <w:highlight w:val="none"/>
          <w:lang w:val="en-US" w:eastAsia="zh-CN"/>
        </w:rPr>
        <w:t>。</w:t>
      </w:r>
      <w:r>
        <w:rPr>
          <w:rFonts w:hint="eastAsia" w:ascii="仿宋_GB2312" w:hAnsi="仿宋_GB2312" w:eastAsia="仿宋_GB2312" w:cs="仿宋_GB2312"/>
          <w:sz w:val="32"/>
          <w:szCs w:val="20"/>
          <w:highlight w:val="none"/>
        </w:rPr>
        <w:t>均衡环卫设施布局，推进五里坨东等清洁站项目落地，</w:t>
      </w:r>
      <w:r>
        <w:rPr>
          <w:rFonts w:hint="eastAsia" w:ascii="Times New Roman" w:hAnsi="Times New Roman" w:eastAsia="仿宋_GB2312" w:cs="Times New Roman"/>
          <w:sz w:val="32"/>
          <w:szCs w:val="32"/>
          <w:highlight w:val="none"/>
          <w:lang w:val="en-US" w:eastAsia="zh-CN"/>
        </w:rPr>
        <w:t>到2030年，</w:t>
      </w:r>
      <w:r>
        <w:rPr>
          <w:rFonts w:hint="eastAsia" w:ascii="仿宋_GB2312" w:hAnsi="仿宋_GB2312" w:eastAsia="仿宋_GB2312" w:cs="仿宋_GB2312"/>
          <w:sz w:val="32"/>
          <w:szCs w:val="20"/>
          <w:highlight w:val="none"/>
        </w:rPr>
        <w:t>实现小区封闭式桶站、智能回收机全覆盖，生活垃圾无害化处理率保持100%，回收利用率达46%以上。</w:t>
      </w:r>
      <w:r>
        <w:rPr>
          <w:rFonts w:hint="eastAsia" w:ascii="仿宋_GB2312" w:hAnsi="仿宋_GB2312" w:eastAsia="仿宋_GB2312" w:cs="仿宋_GB2312"/>
          <w:sz w:val="32"/>
          <w:szCs w:val="20"/>
          <w:highlight w:val="none"/>
          <w:lang w:val="en-US" w:eastAsia="zh-CN"/>
        </w:rPr>
        <w:t>强化消防救援站布局建设，</w:t>
      </w:r>
      <w:r>
        <w:rPr>
          <w:rFonts w:hint="eastAsia" w:ascii="仿宋_GB2312" w:hAnsi="仿宋_GB2312" w:eastAsia="仿宋_GB2312" w:cs="仿宋_GB2312"/>
          <w:sz w:val="32"/>
          <w:szCs w:val="20"/>
          <w:highlight w:val="none"/>
        </w:rPr>
        <w:t>推动首钢消防</w:t>
      </w:r>
      <w:r>
        <w:rPr>
          <w:rFonts w:hint="eastAsia" w:ascii="仿宋_GB2312" w:hAnsi="仿宋_GB2312" w:eastAsia="仿宋_GB2312" w:cs="仿宋_GB2312"/>
          <w:sz w:val="32"/>
          <w:szCs w:val="20"/>
          <w:highlight w:val="none"/>
          <w:lang w:val="en-US" w:eastAsia="zh-CN"/>
        </w:rPr>
        <w:t>救援</w:t>
      </w:r>
      <w:r>
        <w:rPr>
          <w:rFonts w:hint="eastAsia" w:ascii="仿宋_GB2312" w:hAnsi="仿宋_GB2312" w:eastAsia="仿宋_GB2312" w:cs="仿宋_GB2312"/>
          <w:sz w:val="32"/>
          <w:szCs w:val="20"/>
          <w:highlight w:val="none"/>
        </w:rPr>
        <w:t>站及训练设施、</w:t>
      </w:r>
      <w:r>
        <w:rPr>
          <w:rFonts w:hint="eastAsia" w:ascii="仿宋_GB2312" w:hAnsi="仿宋_GB2312" w:eastAsia="仿宋_GB2312" w:cs="仿宋_GB2312"/>
          <w:sz w:val="32"/>
          <w:szCs w:val="20"/>
          <w:highlight w:val="none"/>
          <w:lang w:val="en-US" w:eastAsia="zh-CN"/>
        </w:rPr>
        <w:t>北辛安南一级消防救援站、</w:t>
      </w:r>
      <w:r>
        <w:rPr>
          <w:rFonts w:hint="eastAsia" w:ascii="仿宋_GB2312" w:hAnsi="仿宋_GB2312" w:eastAsia="仿宋_GB2312" w:cs="仿宋_GB2312"/>
          <w:sz w:val="32"/>
          <w:szCs w:val="20"/>
          <w:highlight w:val="none"/>
        </w:rPr>
        <w:t>苹果园二级消防</w:t>
      </w:r>
      <w:r>
        <w:rPr>
          <w:rFonts w:hint="eastAsia" w:ascii="仿宋_GB2312" w:hAnsi="仿宋_GB2312" w:eastAsia="仿宋_GB2312" w:cs="仿宋_GB2312"/>
          <w:sz w:val="32"/>
          <w:szCs w:val="20"/>
          <w:highlight w:val="none"/>
          <w:lang w:val="en-US" w:eastAsia="zh-CN"/>
        </w:rPr>
        <w:t>救援</w:t>
      </w:r>
      <w:r>
        <w:rPr>
          <w:rFonts w:hint="eastAsia" w:ascii="仿宋_GB2312" w:hAnsi="仿宋_GB2312" w:eastAsia="仿宋_GB2312" w:cs="仿宋_GB2312"/>
          <w:sz w:val="32"/>
          <w:szCs w:val="20"/>
          <w:highlight w:val="none"/>
        </w:rPr>
        <w:t>站、北重小型消防站建设落地。</w:t>
      </w:r>
      <w:r>
        <w:rPr>
          <w:rFonts w:hint="eastAsia" w:ascii="仿宋_GB2312" w:hAnsi="仿宋_GB2312" w:eastAsia="仿宋_GB2312" w:cs="仿宋_GB2312"/>
          <w:sz w:val="32"/>
          <w:szCs w:val="32"/>
          <w:highlight w:val="none"/>
          <w:lang w:val="en-US" w:eastAsia="zh-CN"/>
        </w:rPr>
        <w:t>推进消防基础设施建设，</w:t>
      </w:r>
      <w:r>
        <w:rPr>
          <w:rFonts w:ascii="仿宋_GB2312" w:hAnsi="仿宋_GB2312" w:eastAsia="仿宋_GB2312" w:cs="仿宋_GB2312"/>
          <w:sz w:val="32"/>
          <w:szCs w:val="32"/>
          <w:highlight w:val="none"/>
        </w:rPr>
        <w:t>强化</w:t>
      </w:r>
      <w:r>
        <w:rPr>
          <w:rFonts w:hint="eastAsia" w:ascii="仿宋_GB2312" w:hAnsi="仿宋_GB2312" w:eastAsia="仿宋_GB2312" w:cs="仿宋_GB2312"/>
          <w:sz w:val="32"/>
          <w:szCs w:val="32"/>
          <w:highlight w:val="none"/>
        </w:rPr>
        <w:t>消防水源</w:t>
      </w:r>
      <w:r>
        <w:rPr>
          <w:rFonts w:ascii="仿宋_GB2312" w:hAnsi="仿宋_GB2312" w:eastAsia="仿宋_GB2312" w:cs="仿宋_GB2312"/>
          <w:sz w:val="32"/>
          <w:szCs w:val="32"/>
          <w:highlight w:val="none"/>
        </w:rPr>
        <w:t>消防设施配置，</w:t>
      </w:r>
      <w:r>
        <w:rPr>
          <w:rFonts w:hint="eastAsia" w:ascii="仿宋_GB2312" w:hAnsi="仿宋_GB2312" w:eastAsia="仿宋_GB2312" w:cs="仿宋_GB2312"/>
          <w:sz w:val="32"/>
          <w:szCs w:val="20"/>
          <w:highlight w:val="none"/>
        </w:rPr>
        <w:t>全面普查维护消防水源、更新老化管网，在交通要道、产业聚集区等重点区域，按需增设消防水池、消防水鹤</w:t>
      </w:r>
      <w:r>
        <w:rPr>
          <w:rFonts w:hint="eastAsia" w:ascii="仿宋_GB2312" w:hAnsi="仿宋_GB2312" w:eastAsia="仿宋_GB2312" w:cs="仿宋_GB2312"/>
          <w:sz w:val="32"/>
          <w:szCs w:val="32"/>
          <w:highlight w:val="none"/>
          <w:lang w:val="en-US" w:eastAsia="zh-CN"/>
        </w:rPr>
        <w:t>。推进老旧消防设施升级，</w:t>
      </w:r>
      <w:r>
        <w:rPr>
          <w:rFonts w:hint="eastAsia" w:ascii="仿宋_GB2312" w:hAnsi="仿宋_GB2312" w:eastAsia="仿宋_GB2312" w:cs="仿宋_GB2312"/>
          <w:sz w:val="32"/>
          <w:szCs w:val="32"/>
          <w:highlight w:val="none"/>
        </w:rPr>
        <w:t>重点推进金顶街街道、苹果园街道、鲁谷街道等老旧小区、平房区消防基础设施和建筑消防设施的改造提升，推进电动自行车充电设施建设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源头消除火灾隐患</w:t>
      </w:r>
      <w:r>
        <w:rPr>
          <w:rFonts w:hint="eastAsia" w:ascii="仿宋_GB2312" w:hAnsi="仿宋_GB2312" w:eastAsia="仿宋_GB2312" w:cs="仿宋_GB2312"/>
          <w:sz w:val="32"/>
          <w:szCs w:val="20"/>
          <w:highlight w:val="none"/>
        </w:rPr>
        <w:t>。</w:t>
      </w:r>
    </w:p>
    <w:bookmarkEnd w:id="264"/>
    <w:bookmarkEnd w:id="265"/>
    <w:bookmarkEnd w:id="266"/>
    <w:p>
      <w:pPr>
        <w:spacing w:line="560" w:lineRule="exact"/>
        <w:ind w:firstLine="642" w:firstLineChars="200"/>
        <w:outlineLvl w:val="9"/>
        <w:rPr>
          <w:rFonts w:hint="eastAsia" w:ascii="仿宋_GB2312" w:hAnsi="仿宋_GB2312" w:eastAsia="仿宋_GB2312" w:cs="仿宋_GB2312"/>
          <w:sz w:val="32"/>
          <w:szCs w:val="20"/>
          <w:highlight w:val="none"/>
          <w:lang w:val="en-US" w:eastAsia="zh-CN"/>
        </w:rPr>
      </w:pPr>
      <w:bookmarkStart w:id="267" w:name="_Toc9502"/>
      <w:bookmarkStart w:id="268" w:name="_Toc9664"/>
      <w:bookmarkStart w:id="269" w:name="_Toc19746"/>
      <w:bookmarkStart w:id="270" w:name="_Toc7424"/>
      <w:bookmarkStart w:id="271" w:name="_Toc3720"/>
      <w:r>
        <w:rPr>
          <w:rFonts w:hint="eastAsia" w:ascii="仿宋_GB2312" w:hAnsi="仿宋_GB2312" w:eastAsia="仿宋_GB2312" w:cs="仿宋_GB2312"/>
          <w:b/>
          <w:bCs/>
          <w:sz w:val="32"/>
          <w:szCs w:val="20"/>
          <w:highlight w:val="none"/>
          <w:lang w:val="en-US" w:eastAsia="zh-CN"/>
        </w:rPr>
        <w:t>完善城市综合交通体系</w:t>
      </w:r>
      <w:r>
        <w:rPr>
          <w:rFonts w:hint="eastAsia" w:ascii="仿宋_GB2312" w:hAnsi="仿宋_GB2312" w:eastAsia="仿宋_GB2312" w:cs="仿宋_GB2312"/>
          <w:sz w:val="32"/>
          <w:szCs w:val="20"/>
          <w:highlight w:val="none"/>
          <w:lang w:val="en-US" w:eastAsia="zh-CN"/>
        </w:rPr>
        <w:t>。</w:t>
      </w:r>
      <w:bookmarkEnd w:id="267"/>
      <w:bookmarkEnd w:id="268"/>
      <w:bookmarkEnd w:id="269"/>
      <w:bookmarkEnd w:id="270"/>
      <w:bookmarkEnd w:id="271"/>
      <w:r>
        <w:rPr>
          <w:rFonts w:hint="eastAsia" w:ascii="仿宋_GB2312" w:hAnsi="仿宋_GB2312" w:eastAsia="仿宋_GB2312" w:cs="仿宋_GB2312"/>
          <w:sz w:val="32"/>
          <w:szCs w:val="20"/>
          <w:highlight w:val="none"/>
        </w:rPr>
        <w:t>落实轨道线网规划，建成轨道交通1号线支线（石景山段）、市郊铁路城市副中心线整体提升工程（石景山段）</w:t>
      </w:r>
      <w:r>
        <w:rPr>
          <w:rFonts w:hint="eastAsia" w:ascii="仿宋_GB2312" w:hAnsi="仿宋_GB2312" w:eastAsia="仿宋_GB2312" w:cs="仿宋_GB2312"/>
          <w:sz w:val="32"/>
          <w:szCs w:val="20"/>
          <w:highlight w:val="none"/>
          <w:lang w:eastAsia="zh-CN"/>
        </w:rPr>
        <w:t>。强化轨道站点与周边地块连通，</w:t>
      </w:r>
      <w:r>
        <w:rPr>
          <w:rFonts w:hint="eastAsia" w:ascii="仿宋_GB2312" w:hAnsi="仿宋_GB2312" w:eastAsia="仿宋_GB2312" w:cs="仿宋_GB2312"/>
          <w:sz w:val="32"/>
          <w:szCs w:val="20"/>
          <w:highlight w:val="none"/>
        </w:rPr>
        <w:t>结合地铁1号线支线建设新建</w:t>
      </w:r>
      <w:r>
        <w:rPr>
          <w:rFonts w:hint="eastAsia" w:ascii="仿宋_GB2312" w:hAnsi="仿宋_GB2312" w:eastAsia="仿宋_GB2312" w:cs="仿宋_GB2312"/>
          <w:sz w:val="32"/>
          <w:szCs w:val="20"/>
          <w:highlight w:val="none"/>
          <w:lang w:eastAsia="zh-CN"/>
        </w:rPr>
        <w:t>八角游乐园站地下通道，</w:t>
      </w:r>
      <w:r>
        <w:rPr>
          <w:rFonts w:hint="eastAsia" w:ascii="仿宋_GB2312" w:hAnsi="仿宋_GB2312" w:eastAsia="仿宋_GB2312" w:cs="仿宋_GB2312"/>
          <w:sz w:val="32"/>
          <w:szCs w:val="20"/>
          <w:highlight w:val="none"/>
        </w:rPr>
        <w:t>提升苹果园枢纽及周边地区交通环境</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持续推进公交与轨道交通融合发展</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结合福寿岭公交枢纽站的运营，实现枢纽内部公交轨道“零距离”换乘</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加快重点区域</w:t>
      </w:r>
      <w:r>
        <w:rPr>
          <w:rFonts w:hint="eastAsia" w:ascii="仿宋_GB2312" w:hAnsi="仿宋_GB2312" w:eastAsia="仿宋_GB2312" w:cs="仿宋_GB2312"/>
          <w:sz w:val="32"/>
          <w:szCs w:val="20"/>
          <w:highlight w:val="none"/>
          <w:lang w:val="en-US" w:eastAsia="zh-CN"/>
        </w:rPr>
        <w:t>道路提升改造</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lang w:val="en-US" w:eastAsia="zh-CN"/>
        </w:rPr>
        <w:t>推动京原漫水桥、首钢北区配套道路等</w:t>
      </w:r>
      <w:r>
        <w:rPr>
          <w:rFonts w:hint="default" w:ascii="仿宋_GB2312" w:hAnsi="仿宋_GB2312" w:eastAsia="仿宋_GB2312" w:cs="仿宋_GB2312"/>
          <w:sz w:val="32"/>
          <w:szCs w:val="20"/>
          <w:highlight w:val="none"/>
          <w:lang w:val="en-US" w:eastAsia="zh-CN"/>
        </w:rPr>
        <w:t>项目建设</w:t>
      </w:r>
      <w:r>
        <w:rPr>
          <w:rFonts w:hint="eastAsia" w:ascii="仿宋_GB2312" w:hAnsi="仿宋_GB2312" w:eastAsia="仿宋_GB2312" w:cs="仿宋_GB2312"/>
          <w:sz w:val="32"/>
          <w:szCs w:val="20"/>
          <w:highlight w:val="none"/>
          <w:lang w:val="en-US" w:eastAsia="zh-CN"/>
        </w:rPr>
        <w:t>，有序治理超期服役道路，打通断头路畅通区域微循环。挖潜存量空间补充停车供给，推进立体停车设施建设。</w:t>
      </w:r>
    </w:p>
    <w:p>
      <w:pPr>
        <w:pStyle w:val="2"/>
        <w:rPr>
          <w:rFonts w:hint="eastAsia" w:ascii="仿宋_GB2312" w:hAnsi="仿宋_GB2312" w:eastAsia="仿宋_GB2312" w:cs="仿宋_GB2312"/>
          <w:sz w:val="32"/>
          <w:szCs w:val="20"/>
          <w:highlight w:val="none"/>
          <w:lang w:val="en-US" w:eastAsia="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6" w:type="dxa"/>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eastAsia="黑体"/>
                <w:highlight w:val="none"/>
                <w:lang w:val="en-US" w:eastAsia="zh-CN"/>
              </w:rPr>
            </w:pPr>
            <w:r>
              <w:rPr>
                <w:rFonts w:hint="eastAsia" w:ascii="黑体" w:hAnsi="黑体" w:eastAsia="黑体" w:cs="黑体"/>
                <w:sz w:val="32"/>
                <w:szCs w:val="32"/>
                <w:highlight w:val="none"/>
                <w14:ligatures w14:val="none"/>
              </w:rPr>
              <w:t>专栏</w:t>
            </w:r>
            <w:r>
              <w:rPr>
                <w:rFonts w:hint="eastAsia" w:ascii="黑体" w:hAnsi="黑体" w:eastAsia="黑体" w:cs="黑体"/>
                <w:sz w:val="32"/>
                <w:szCs w:val="32"/>
                <w:highlight w:val="none"/>
                <w:lang w:val="en-US" w:eastAsia="zh-CN"/>
                <w14:ligatures w14:val="none"/>
              </w:rPr>
              <w:t>6</w:t>
            </w:r>
            <w:r>
              <w:rPr>
                <w:rFonts w:hint="eastAsia" w:ascii="黑体" w:hAnsi="黑体" w:eastAsia="黑体" w:cs="黑体"/>
                <w:sz w:val="32"/>
                <w:szCs w:val="32"/>
                <w:highlight w:val="none"/>
                <w14:ligatures w14:val="none"/>
              </w:rPr>
              <w:t>-</w:t>
            </w:r>
            <w:r>
              <w:rPr>
                <w:rFonts w:hint="eastAsia" w:ascii="黑体" w:hAnsi="黑体" w:eastAsia="黑体" w:cs="黑体"/>
                <w:sz w:val="32"/>
                <w:szCs w:val="32"/>
                <w:highlight w:val="none"/>
                <w:lang w:val="en-US" w:eastAsia="zh-CN"/>
                <w14:ligatures w14:val="none"/>
              </w:rPr>
              <w:t>城市基础设施改造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8946"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sz w:val="28"/>
                <w:szCs w:val="32"/>
                <w:highlight w:val="none"/>
                <w:lang w:eastAsia="zh-CN"/>
              </w:rPr>
            </w:pPr>
            <w:r>
              <w:rPr>
                <w:rFonts w:hint="eastAsia" w:ascii="仿宋_GB2312" w:hAnsi="仿宋_GB2312" w:eastAsia="仿宋_GB2312" w:cs="仿宋_GB2312"/>
                <w:b w:val="0"/>
                <w:bCs w:val="0"/>
                <w:sz w:val="28"/>
                <w:szCs w:val="32"/>
                <w:highlight w:val="none"/>
                <w:lang w:val="en-US" w:eastAsia="zh-CN"/>
              </w:rPr>
              <w:t>1.</w:t>
            </w:r>
            <w:r>
              <w:rPr>
                <w:rFonts w:hint="eastAsia" w:ascii="仿宋_GB2312" w:hAnsi="仿宋_GB2312" w:eastAsia="仿宋_GB2312" w:cs="仿宋_GB2312"/>
                <w:sz w:val="28"/>
                <w:szCs w:val="32"/>
                <w:highlight w:val="none"/>
              </w:rPr>
              <w:t>落实中央“六张网”战略部署，统筹推进城市供排水、污水、防涝设施改造和地下综合管廊建设，完善现代化基础设施体系</w:t>
            </w:r>
            <w:r>
              <w:rPr>
                <w:rFonts w:hint="eastAsia" w:ascii="仿宋_GB2312" w:hAnsi="仿宋_GB2312" w:eastAsia="仿宋_GB2312" w:cs="仿宋_GB2312"/>
                <w:sz w:val="28"/>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lang w:val="en-US" w:eastAsia="zh-CN"/>
              </w:rPr>
              <w:t>2.</w:t>
            </w:r>
            <w:r>
              <w:rPr>
                <w:rFonts w:hint="eastAsia" w:ascii="仿宋_GB2312" w:hAnsi="仿宋_GB2312" w:eastAsia="仿宋_GB2312" w:cs="仿宋_GB2312"/>
                <w:sz w:val="28"/>
                <w:szCs w:val="32"/>
                <w:highlight w:val="none"/>
              </w:rPr>
              <w:t>推进城市地下管网建设改造</w:t>
            </w:r>
            <w:r>
              <w:rPr>
                <w:rFonts w:hint="eastAsia" w:ascii="仿宋_GB2312" w:hAnsi="仿宋_GB2312" w:eastAsia="仿宋_GB2312" w:cs="仿宋_GB2312"/>
                <w:sz w:val="28"/>
                <w:szCs w:val="32"/>
                <w:highlight w:val="none"/>
                <w:lang w:eastAsia="zh-CN"/>
              </w:rPr>
              <w:t>，</w:t>
            </w:r>
            <w:r>
              <w:rPr>
                <w:rFonts w:hint="eastAsia" w:ascii="仿宋_GB2312" w:hAnsi="仿宋_GB2312" w:eastAsia="仿宋_GB2312" w:cs="仿宋_GB2312"/>
                <w:sz w:val="28"/>
                <w:szCs w:val="32"/>
                <w:highlight w:val="none"/>
              </w:rPr>
              <w:t>实现年均地下管线百公里事故数控制在0.20起以下。</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lang w:val="en-US" w:eastAsia="zh-CN"/>
              </w:rPr>
              <w:t>3.</w:t>
            </w:r>
            <w:r>
              <w:rPr>
                <w:rFonts w:hint="eastAsia" w:ascii="仿宋_GB2312" w:hAnsi="仿宋_GB2312" w:eastAsia="仿宋_GB2312" w:cs="仿宋_GB2312"/>
                <w:sz w:val="28"/>
                <w:szCs w:val="32"/>
                <w:highlight w:val="none"/>
              </w:rPr>
              <w:t>完善城市交通路网、城市交通微循环系统，全区集中建设区道路网密度达6.0公里/平方公里以上。</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highlight w:val="none"/>
              </w:rPr>
            </w:pPr>
            <w:r>
              <w:rPr>
                <w:rFonts w:hint="eastAsia" w:ascii="仿宋_GB2312" w:hAnsi="仿宋_GB2312" w:eastAsia="仿宋_GB2312" w:cs="仿宋_GB2312"/>
                <w:sz w:val="28"/>
                <w:szCs w:val="32"/>
                <w:highlight w:val="none"/>
                <w:lang w:val="en-US" w:eastAsia="zh-CN"/>
              </w:rPr>
              <w:t>4.完善环卫设施布局，</w:t>
            </w:r>
            <w:r>
              <w:rPr>
                <w:rFonts w:hint="eastAsia" w:ascii="仿宋_GB2312" w:hAnsi="仿宋_GB2312" w:eastAsia="仿宋_GB2312" w:cs="仿宋_GB2312"/>
                <w:sz w:val="28"/>
                <w:szCs w:val="32"/>
                <w:highlight w:val="none"/>
              </w:rPr>
              <w:t>实现小区封闭式桶站、智能回收机全覆盖，生</w:t>
            </w:r>
            <w:r>
              <w:rPr>
                <w:rFonts w:hint="eastAsia" w:ascii="仿宋_GB2312" w:hAnsi="仿宋_GB2312" w:eastAsia="仿宋_GB2312" w:cs="仿宋_GB2312"/>
                <w:b w:val="0"/>
                <w:bCs w:val="0"/>
                <w:sz w:val="28"/>
                <w:szCs w:val="32"/>
                <w:highlight w:val="none"/>
                <w:lang w:val="en-US" w:eastAsia="zh-CN"/>
              </w:rPr>
              <w:t>活垃圾无害化处理率保持100%，回收利用率达46%以上。</w:t>
            </w:r>
          </w:p>
        </w:tc>
      </w:tr>
    </w:tbl>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272" w:name="_Toc14152"/>
      <w:bookmarkStart w:id="273" w:name="_Toc15918"/>
      <w:bookmarkStart w:id="274" w:name="_Toc22761"/>
      <w:bookmarkStart w:id="275" w:name="_Toc12696"/>
      <w:bookmarkStart w:id="276" w:name="_Toc28529"/>
      <w:bookmarkStart w:id="277" w:name="_Toc5646"/>
      <w:bookmarkStart w:id="278" w:name="_Toc227221669"/>
      <w:bookmarkStart w:id="279" w:name="_Toc28077"/>
      <w:r>
        <w:rPr>
          <w:rFonts w:hint="eastAsia" w:ascii="楷体_GB2312" w:hAnsi="黑体" w:eastAsia="楷体_GB2312" w:cs="黑体"/>
          <w:color w:val="auto"/>
          <w:sz w:val="32"/>
          <w:szCs w:val="36"/>
          <w:highlight w:val="none"/>
          <w:lang w:val="en-US" w:eastAsia="zh-CN"/>
        </w:rPr>
        <w:t>（七）</w:t>
      </w:r>
      <w:bookmarkEnd w:id="272"/>
      <w:bookmarkEnd w:id="273"/>
      <w:bookmarkEnd w:id="274"/>
      <w:bookmarkEnd w:id="275"/>
      <w:bookmarkEnd w:id="276"/>
      <w:bookmarkEnd w:id="277"/>
      <w:bookmarkEnd w:id="278"/>
      <w:r>
        <w:rPr>
          <w:rFonts w:hint="eastAsia" w:ascii="楷体_GB2312" w:hAnsi="黑体" w:eastAsia="楷体_GB2312" w:cs="黑体"/>
          <w:color w:val="auto"/>
          <w:sz w:val="32"/>
          <w:szCs w:val="36"/>
          <w:highlight w:val="none"/>
          <w:lang w:val="en-US" w:eastAsia="zh-CN"/>
        </w:rPr>
        <w:t>修复城市生态系统</w:t>
      </w:r>
      <w:bookmarkEnd w:id="279"/>
    </w:p>
    <w:p>
      <w:pPr>
        <w:spacing w:line="560" w:lineRule="exact"/>
        <w:ind w:firstLine="642" w:firstLineChars="200"/>
        <w:outlineLvl w:val="9"/>
        <w:rPr>
          <w:rFonts w:hint="eastAsia" w:ascii="仿宋_GB2312" w:hAnsi="仿宋_GB2312" w:eastAsia="仿宋_GB2312" w:cs="仿宋_GB2312"/>
          <w:sz w:val="32"/>
          <w:szCs w:val="20"/>
          <w:highlight w:val="none"/>
          <w:lang w:val="en-US" w:eastAsia="zh-CN"/>
        </w:rPr>
      </w:pPr>
      <w:bookmarkStart w:id="280" w:name="_Toc2471"/>
      <w:bookmarkStart w:id="281" w:name="_Toc8443"/>
      <w:bookmarkStart w:id="282" w:name="_Toc29368"/>
      <w:bookmarkStart w:id="283" w:name="_Toc29029"/>
      <w:bookmarkStart w:id="284" w:name="_Toc32307"/>
      <w:r>
        <w:rPr>
          <w:rFonts w:hint="eastAsia" w:ascii="仿宋_GB2312" w:hAnsi="仿宋_GB2312" w:eastAsia="仿宋_GB2312" w:cs="仿宋_GB2312"/>
          <w:b/>
          <w:bCs/>
          <w:sz w:val="32"/>
          <w:szCs w:val="20"/>
          <w:highlight w:val="none"/>
          <w:lang w:val="en-US" w:eastAsia="zh-CN"/>
        </w:rPr>
        <w:t>统筹推动城市水网建设</w:t>
      </w:r>
      <w:r>
        <w:rPr>
          <w:rFonts w:hint="eastAsia" w:ascii="仿宋_GB2312" w:hAnsi="仿宋_GB2312" w:eastAsia="仿宋_GB2312" w:cs="仿宋_GB2312"/>
          <w:sz w:val="32"/>
          <w:szCs w:val="20"/>
          <w:highlight w:val="none"/>
          <w:lang w:val="en-US" w:eastAsia="zh-CN"/>
        </w:rPr>
        <w:t>。</w:t>
      </w:r>
      <w:r>
        <w:rPr>
          <w:rFonts w:hint="eastAsia" w:ascii="仿宋_GB2312" w:hAnsi="仿宋_GB2312" w:eastAsia="仿宋_GB2312" w:cs="仿宋_GB2312"/>
          <w:sz w:val="32"/>
          <w:szCs w:val="20"/>
          <w:highlight w:val="none"/>
          <w:lang w:val="en-US" w:eastAsia="zh-CN"/>
        </w:rPr>
        <w:t>以海绵城市建设理念引领石景山区城市建设发展，实施衙门口地区积水内涝治理工程。</w:t>
      </w:r>
      <w:r>
        <w:rPr>
          <w:rFonts w:hint="eastAsia" w:ascii="仿宋_GB2312" w:hAnsi="仿宋_GB2312" w:eastAsia="仿宋_GB2312" w:cs="仿宋_GB2312"/>
          <w:sz w:val="32"/>
          <w:szCs w:val="32"/>
          <w:highlight w:val="none"/>
        </w:rPr>
        <w:t>推进“海绵型”建筑与小区、老旧小区改造、公园绿地等领域项目建设，</w:t>
      </w:r>
      <w:r>
        <w:rPr>
          <w:rFonts w:hint="eastAsia" w:ascii="Times New Roman" w:hAnsi="Times New Roman" w:eastAsia="仿宋_GB2312" w:cs="Times New Roman"/>
          <w:kern w:val="0"/>
          <w:sz w:val="32"/>
          <w:szCs w:val="32"/>
          <w:highlight w:val="none"/>
        </w:rPr>
        <w:t>到2030年，</w:t>
      </w:r>
      <w:r>
        <w:rPr>
          <w:rFonts w:hint="eastAsia" w:ascii="仿宋_GB2312" w:hAnsi="仿宋_GB2312" w:eastAsia="仿宋_GB2312" w:cs="仿宋_GB2312"/>
          <w:sz w:val="32"/>
          <w:szCs w:val="20"/>
          <w:highlight w:val="none"/>
          <w:lang w:val="en-US" w:eastAsia="zh-CN"/>
        </w:rPr>
        <w:t>建成区海绵城市面积达标比例不低于60%。</w:t>
      </w:r>
      <w:r>
        <w:rPr>
          <w:rFonts w:hint="eastAsia" w:ascii="仿宋_GB2312" w:hAnsi="仿宋_GB2312" w:eastAsia="仿宋_GB2312" w:cs="仿宋_GB2312"/>
          <w:sz w:val="32"/>
          <w:szCs w:val="20"/>
          <w:highlight w:val="none"/>
        </w:rPr>
        <w:t>推进河道系统治理，在广宁街道高井沟段河道、古城街道石府沟沟道，</w:t>
      </w:r>
      <w:r>
        <w:rPr>
          <w:rFonts w:hint="eastAsia" w:ascii="仿宋_GB2312" w:hAnsi="仿宋_GB2312" w:eastAsia="仿宋_GB2312" w:cs="仿宋_GB2312"/>
          <w:sz w:val="32"/>
          <w:szCs w:val="20"/>
          <w:highlight w:val="none"/>
          <w:lang w:val="en-US" w:eastAsia="zh-CN"/>
        </w:rPr>
        <w:t>通过</w:t>
      </w:r>
      <w:r>
        <w:rPr>
          <w:rFonts w:hint="eastAsia" w:ascii="仿宋_GB2312" w:hAnsi="仿宋_GB2312" w:eastAsia="仿宋_GB2312" w:cs="仿宋_GB2312"/>
          <w:sz w:val="32"/>
          <w:szCs w:val="20"/>
          <w:highlight w:val="none"/>
        </w:rPr>
        <w:t>河道疏挖、岸坡护砌、管线改移消除灾害隐患。</w:t>
      </w:r>
      <w:r>
        <w:rPr>
          <w:rFonts w:hint="eastAsia" w:ascii="仿宋_GB2312" w:hAnsi="仿宋_GB2312" w:eastAsia="仿宋_GB2312" w:cs="仿宋_GB2312"/>
          <w:sz w:val="32"/>
          <w:szCs w:val="20"/>
          <w:highlight w:val="none"/>
        </w:rPr>
        <w:t>结合水网优化，</w:t>
      </w:r>
      <w:r>
        <w:rPr>
          <w:rFonts w:hint="eastAsia" w:ascii="仿宋_GB2312" w:hAnsi="仿宋_GB2312" w:eastAsia="仿宋_GB2312" w:cs="仿宋_GB2312"/>
          <w:sz w:val="32"/>
          <w:szCs w:val="20"/>
          <w:highlight w:val="none"/>
        </w:rPr>
        <w:t>推动永定河引水渠、砂石坑蓄水池、人民渠等水系连通，推进河岸生态修复和山洪沟治理。加强水生态修复，推进地表水国考、市考断面优良水体比例达到国家和北京市目标要求，美丽河湖建成率达到国家和北京市要求</w:t>
      </w:r>
      <w:r>
        <w:rPr>
          <w:rFonts w:hint="eastAsia" w:ascii="仿宋_GB2312" w:hAnsi="仿宋_GB2312" w:eastAsia="仿宋_GB2312" w:cs="仿宋_GB2312"/>
          <w:sz w:val="32"/>
          <w:szCs w:val="20"/>
          <w:highlight w:val="none"/>
          <w:lang w:val="en-US" w:eastAsia="zh-CN"/>
        </w:rPr>
        <w:t>。</w:t>
      </w:r>
    </w:p>
    <w:bookmarkEnd w:id="280"/>
    <w:bookmarkEnd w:id="281"/>
    <w:bookmarkEnd w:id="282"/>
    <w:bookmarkEnd w:id="283"/>
    <w:bookmarkEnd w:id="284"/>
    <w:p>
      <w:pPr>
        <w:spacing w:line="560" w:lineRule="exact"/>
        <w:ind w:firstLine="642" w:firstLineChars="200"/>
        <w:outlineLvl w:val="9"/>
        <w:rPr>
          <w:rFonts w:hint="eastAsia" w:ascii="仿宋_GB2312" w:hAnsi="仿宋_GB2312" w:eastAsia="仿宋_GB2312" w:cs="仿宋_GB2312"/>
          <w:sz w:val="32"/>
          <w:szCs w:val="20"/>
          <w:highlight w:val="none"/>
          <w:lang w:val="en-US" w:eastAsia="zh-CN"/>
        </w:rPr>
      </w:pPr>
      <w:bookmarkStart w:id="285" w:name="_Toc21378"/>
      <w:bookmarkStart w:id="286" w:name="_Toc4989"/>
      <w:bookmarkStart w:id="287" w:name="_Toc7449"/>
      <w:bookmarkStart w:id="288" w:name="_Toc26122"/>
      <w:bookmarkStart w:id="289" w:name="_Toc29302"/>
      <w:r>
        <w:rPr>
          <w:rFonts w:hint="eastAsia" w:ascii="仿宋_GB2312" w:hAnsi="仿宋_GB2312" w:eastAsia="仿宋_GB2312" w:cs="仿宋_GB2312"/>
          <w:b/>
          <w:bCs/>
          <w:sz w:val="32"/>
          <w:szCs w:val="20"/>
          <w:highlight w:val="none"/>
          <w:lang w:val="en-US" w:eastAsia="zh-CN"/>
        </w:rPr>
        <w:t>系统推进绿色空间提质</w:t>
      </w:r>
      <w:bookmarkEnd w:id="285"/>
      <w:bookmarkEnd w:id="286"/>
      <w:bookmarkEnd w:id="287"/>
      <w:bookmarkEnd w:id="288"/>
      <w:bookmarkEnd w:id="289"/>
      <w:r>
        <w:rPr>
          <w:rFonts w:hint="eastAsia" w:ascii="仿宋_GB2312" w:hAnsi="仿宋_GB2312" w:eastAsia="仿宋_GB2312" w:cs="仿宋_GB2312"/>
          <w:sz w:val="32"/>
          <w:szCs w:val="20"/>
          <w:highlight w:val="none"/>
          <w:lang w:val="en-US" w:eastAsia="zh-CN"/>
        </w:rPr>
        <w:t>。推进永定河生态廊道建设，</w:t>
      </w:r>
      <w:r>
        <w:rPr>
          <w:rFonts w:hint="eastAsia" w:ascii="仿宋_GB2312" w:hAnsi="仿宋_GB2312" w:eastAsia="仿宋_GB2312" w:cs="仿宋_GB2312"/>
          <w:sz w:val="32"/>
          <w:szCs w:val="20"/>
          <w:highlight w:val="none"/>
        </w:rPr>
        <w:t>重点</w:t>
      </w:r>
      <w:r>
        <w:rPr>
          <w:rFonts w:hint="eastAsia" w:ascii="仿宋_GB2312" w:hAnsi="仿宋_GB2312" w:eastAsia="仿宋_GB2312" w:cs="仿宋_GB2312"/>
          <w:sz w:val="32"/>
          <w:szCs w:val="20"/>
          <w:highlight w:val="none"/>
          <w:lang w:val="en-US" w:eastAsia="zh-CN"/>
        </w:rPr>
        <w:t>协助</w:t>
      </w:r>
      <w:r>
        <w:rPr>
          <w:rFonts w:hint="eastAsia" w:ascii="仿宋_GB2312" w:hAnsi="仿宋_GB2312" w:eastAsia="仿宋_GB2312" w:cs="仿宋_GB2312"/>
          <w:sz w:val="32"/>
          <w:szCs w:val="20"/>
          <w:highlight w:val="none"/>
        </w:rPr>
        <w:t>推进“五湖一线”水毁修复工程建设</w:t>
      </w:r>
      <w:r>
        <w:rPr>
          <w:rFonts w:hint="eastAsia" w:ascii="仿宋_GB2312" w:hAnsi="仿宋_GB2312" w:eastAsia="仿宋_GB2312" w:cs="仿宋_GB2312"/>
          <w:sz w:val="32"/>
          <w:szCs w:val="20"/>
          <w:highlight w:val="none"/>
          <w:lang w:val="en-US" w:eastAsia="zh-CN"/>
        </w:rPr>
        <w:t>，在保障行洪安全前提下，提升流域生态质量与生物多样性水平。加强西部山区生态体系建设，稳步增强区域水土保持、水源涵养等功能。加强城市公园环绿道建设，推进西山永定河文化带、小西山“香八拉”等绿道建设，打造</w:t>
      </w:r>
      <w:r>
        <w:rPr>
          <w:rFonts w:hint="eastAsia" w:ascii="仿宋_GB2312" w:hAnsi="仿宋_GB2312" w:eastAsia="仿宋_GB2312" w:cs="仿宋_GB2312"/>
          <w:sz w:val="32"/>
          <w:szCs w:val="20"/>
          <w:highlight w:val="none"/>
        </w:rPr>
        <w:t>首都生态文化特色的京华绿道品牌</w:t>
      </w:r>
      <w:r>
        <w:rPr>
          <w:rFonts w:hint="eastAsia" w:ascii="仿宋_GB2312" w:hAnsi="仿宋_GB2312" w:eastAsia="仿宋_GB2312" w:cs="仿宋_GB2312"/>
          <w:sz w:val="32"/>
          <w:szCs w:val="20"/>
          <w:highlight w:val="none"/>
          <w:lang w:eastAsia="zh-CN"/>
        </w:rPr>
        <w:t>，建设</w:t>
      </w:r>
      <w:r>
        <w:rPr>
          <w:rFonts w:hint="eastAsia" w:ascii="仿宋_GB2312" w:hAnsi="仿宋_GB2312" w:eastAsia="仿宋_GB2312" w:cs="仿宋_GB2312"/>
          <w:sz w:val="32"/>
          <w:szCs w:val="20"/>
          <w:highlight w:val="none"/>
          <w:lang w:val="en-US" w:eastAsia="zh-CN"/>
        </w:rPr>
        <w:t>功能完善、便捷可达、充满活力的社区级绿道网络。</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6" w:type="dxa"/>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eastAsia="黑体"/>
                <w:highlight w:val="none"/>
                <w:lang w:val="en-US" w:eastAsia="zh-CN"/>
              </w:rPr>
            </w:pPr>
            <w:r>
              <w:rPr>
                <w:rFonts w:hint="eastAsia" w:ascii="黑体" w:hAnsi="黑体" w:eastAsia="黑体" w:cs="黑体"/>
                <w:sz w:val="32"/>
                <w:szCs w:val="32"/>
                <w:highlight w:val="none"/>
                <w14:ligatures w14:val="none"/>
              </w:rPr>
              <w:t>专栏</w:t>
            </w:r>
            <w:r>
              <w:rPr>
                <w:rFonts w:hint="eastAsia" w:ascii="黑体" w:hAnsi="黑体" w:eastAsia="黑体" w:cs="黑体"/>
                <w:sz w:val="32"/>
                <w:szCs w:val="32"/>
                <w:highlight w:val="none"/>
                <w:lang w:val="en-US" w:eastAsia="zh-CN"/>
                <w14:ligatures w14:val="none"/>
              </w:rPr>
              <w:t>7</w:t>
            </w:r>
            <w:r>
              <w:rPr>
                <w:rFonts w:hint="eastAsia" w:ascii="黑体" w:hAnsi="黑体" w:eastAsia="黑体" w:cs="黑体"/>
                <w:sz w:val="32"/>
                <w:szCs w:val="32"/>
                <w:highlight w:val="none"/>
                <w14:ligatures w14:val="none"/>
              </w:rPr>
              <w:t>-</w:t>
            </w:r>
            <w:r>
              <w:rPr>
                <w:rFonts w:hint="eastAsia" w:ascii="黑体" w:hAnsi="黑体" w:eastAsia="黑体" w:cs="黑体"/>
                <w:sz w:val="32"/>
                <w:szCs w:val="32"/>
                <w:highlight w:val="none"/>
                <w:lang w:val="en-US" w:eastAsia="zh-CN"/>
                <w14:ligatures w14:val="none"/>
              </w:rPr>
              <w:t>生态环境品质提升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jc w:val="center"/>
        </w:trPr>
        <w:tc>
          <w:tcPr>
            <w:tcW w:w="8946" w:type="dxa"/>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sz w:val="28"/>
                <w:szCs w:val="32"/>
                <w:highlight w:val="none"/>
                <w:lang w:eastAsia="zh-CN"/>
              </w:rPr>
            </w:pPr>
            <w:r>
              <w:rPr>
                <w:rFonts w:hint="eastAsia" w:ascii="仿宋_GB2312" w:hAnsi="仿宋_GB2312" w:eastAsia="仿宋_GB2312" w:cs="仿宋_GB2312"/>
                <w:b w:val="0"/>
                <w:bCs w:val="0"/>
                <w:sz w:val="28"/>
                <w:szCs w:val="32"/>
                <w:highlight w:val="none"/>
                <w:lang w:val="en-US" w:eastAsia="zh-CN"/>
              </w:rPr>
              <w:t>1.做好绿色空间保护修复工作</w:t>
            </w:r>
            <w:r>
              <w:rPr>
                <w:rFonts w:hint="eastAsia" w:ascii="仿宋_GB2312" w:hAnsi="仿宋_GB2312" w:eastAsia="仿宋_GB2312" w:cs="仿宋_GB2312"/>
                <w:sz w:val="28"/>
                <w:szCs w:val="32"/>
                <w:highlight w:val="none"/>
                <w:lang w:eastAsia="zh-CN"/>
              </w:rPr>
              <w:t>。</w:t>
            </w:r>
            <w:r>
              <w:rPr>
                <w:rFonts w:hint="eastAsia" w:ascii="仿宋_GB2312" w:hAnsi="仿宋_GB2312" w:eastAsia="仿宋_GB2312" w:cs="仿宋_GB2312"/>
                <w:sz w:val="28"/>
                <w:szCs w:val="32"/>
                <w:highlight w:val="none"/>
              </w:rPr>
              <w:t>推进永定河生态廊道建设，修复沿线湿地，在防洪安全基础上提升生态</w:t>
            </w:r>
            <w:r>
              <w:rPr>
                <w:rFonts w:hint="eastAsia" w:ascii="仿宋_GB2312" w:hAnsi="仿宋_GB2312" w:eastAsia="仿宋_GB2312" w:cs="仿宋_GB2312"/>
                <w:sz w:val="28"/>
                <w:szCs w:val="32"/>
                <w:highlight w:val="none"/>
                <w:lang w:val="en-US" w:eastAsia="zh-CN"/>
              </w:rPr>
              <w:t>质量</w:t>
            </w:r>
            <w:r>
              <w:rPr>
                <w:rFonts w:hint="eastAsia" w:ascii="仿宋_GB2312" w:hAnsi="仿宋_GB2312" w:eastAsia="仿宋_GB2312" w:cs="仿宋_GB2312"/>
                <w:sz w:val="28"/>
                <w:szCs w:val="32"/>
                <w:highlight w:val="none"/>
              </w:rPr>
              <w:t>与生物多样性；实施西部浅山区生态修复，强化水土保持、水源涵养等生态功能。</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rFonts w:hint="eastAsia"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lang w:val="en-US" w:eastAsia="zh-CN"/>
              </w:rPr>
              <w:t>2.构建多层次绿道网络。</w:t>
            </w:r>
            <w:r>
              <w:rPr>
                <w:rFonts w:hint="eastAsia" w:ascii="仿宋_GB2312" w:hAnsi="仿宋_GB2312" w:eastAsia="仿宋_GB2312" w:cs="仿宋_GB2312"/>
                <w:sz w:val="28"/>
                <w:szCs w:val="32"/>
                <w:highlight w:val="none"/>
              </w:rPr>
              <w:t>依托西山、永定河生态文化本底，推进西山永定河文化带绿道（石景山段）、小西山“香八拉”绿道（石景山段）等建设</w:t>
            </w:r>
            <w:r>
              <w:rPr>
                <w:rFonts w:hint="eastAsia" w:ascii="仿宋_GB2312" w:hAnsi="仿宋_GB2312" w:eastAsia="仿宋_GB2312" w:cs="仿宋_GB2312"/>
                <w:sz w:val="28"/>
                <w:szCs w:val="32"/>
                <w:highlight w:val="none"/>
                <w:lang w:eastAsia="zh-CN"/>
              </w:rPr>
              <w:t>；</w:t>
            </w:r>
            <w:r>
              <w:rPr>
                <w:rFonts w:hint="eastAsia" w:ascii="仿宋_GB2312" w:hAnsi="仿宋_GB2312" w:eastAsia="仿宋_GB2312" w:cs="仿宋_GB2312"/>
                <w:sz w:val="28"/>
                <w:szCs w:val="32"/>
                <w:highlight w:val="none"/>
                <w:lang w:val="en-US" w:eastAsia="zh-CN"/>
              </w:rPr>
              <w:t>推动城市品牌绿道建设，</w:t>
            </w:r>
            <w:r>
              <w:rPr>
                <w:rFonts w:hint="eastAsia" w:ascii="仿宋_GB2312" w:hAnsi="仿宋_GB2312" w:eastAsia="仿宋_GB2312" w:cs="仿宋_GB2312"/>
                <w:sz w:val="28"/>
                <w:szCs w:val="32"/>
                <w:highlight w:val="none"/>
              </w:rPr>
              <w:t>开展社区绿道建设</w:t>
            </w:r>
            <w:r>
              <w:rPr>
                <w:rFonts w:hint="eastAsia" w:ascii="仿宋_GB2312" w:hAnsi="仿宋_GB2312" w:eastAsia="仿宋_GB2312" w:cs="仿宋_GB2312"/>
                <w:sz w:val="28"/>
                <w:szCs w:val="32"/>
                <w:highlight w:val="none"/>
                <w:lang w:eastAsia="zh-CN"/>
              </w:rPr>
              <w:t>，</w:t>
            </w:r>
            <w:r>
              <w:rPr>
                <w:rFonts w:hint="eastAsia" w:ascii="仿宋_GB2312" w:hAnsi="仿宋_GB2312" w:eastAsia="仿宋_GB2312" w:cs="仿宋_GB2312"/>
                <w:sz w:val="28"/>
                <w:szCs w:val="32"/>
                <w:highlight w:val="none"/>
              </w:rPr>
              <w:t>万人拥有绿道长度达到4.4公里/万人。</w:t>
            </w:r>
          </w:p>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textAlignment w:val="auto"/>
              <w:rPr>
                <w:highlight w:val="none"/>
              </w:rPr>
            </w:pPr>
            <w:r>
              <w:rPr>
                <w:rFonts w:hint="eastAsia" w:ascii="仿宋_GB2312" w:hAnsi="仿宋_GB2312" w:eastAsia="仿宋_GB2312" w:cs="仿宋_GB2312"/>
                <w:sz w:val="28"/>
                <w:szCs w:val="32"/>
                <w:highlight w:val="none"/>
                <w:lang w:val="en-US" w:eastAsia="zh-CN"/>
              </w:rPr>
              <w:t>3.提升滨水空间品质</w:t>
            </w:r>
            <w:r>
              <w:rPr>
                <w:rFonts w:hint="eastAsia" w:ascii="仿宋_GB2312" w:hAnsi="仿宋_GB2312" w:eastAsia="仿宋_GB2312" w:cs="仿宋_GB2312"/>
                <w:sz w:val="28"/>
                <w:szCs w:val="32"/>
                <w:highlight w:val="none"/>
              </w:rPr>
              <w:t>。加强城市重点区段滨水空间更新</w:t>
            </w:r>
            <w:r>
              <w:rPr>
                <w:rFonts w:hint="eastAsia" w:ascii="仿宋_GB2312" w:hAnsi="仿宋_GB2312" w:eastAsia="仿宋_GB2312" w:cs="仿宋_GB2312"/>
                <w:sz w:val="28"/>
                <w:szCs w:val="32"/>
                <w:highlight w:val="none"/>
                <w:lang w:eastAsia="zh-CN"/>
              </w:rPr>
              <w:t>，</w:t>
            </w:r>
            <w:r>
              <w:rPr>
                <w:rFonts w:hint="eastAsia" w:ascii="仿宋_GB2312" w:hAnsi="仿宋_GB2312" w:eastAsia="仿宋_GB2312" w:cs="仿宋_GB2312"/>
                <w:sz w:val="28"/>
                <w:szCs w:val="32"/>
                <w:highlight w:val="none"/>
              </w:rPr>
              <w:t>研究推进永引渠、人民渠等河流绿廊建设，做好永定河沿线“水通、路通、绿通、视廊通”四通建设</w:t>
            </w:r>
            <w:r>
              <w:rPr>
                <w:rFonts w:hint="eastAsia" w:ascii="仿宋_GB2312" w:hAnsi="仿宋_GB2312" w:eastAsia="仿宋_GB2312" w:cs="仿宋_GB2312"/>
                <w:sz w:val="28"/>
                <w:szCs w:val="32"/>
                <w:highlight w:val="none"/>
                <w:lang w:eastAsia="zh-CN"/>
              </w:rPr>
              <w:t>；</w:t>
            </w:r>
            <w:r>
              <w:rPr>
                <w:rFonts w:hint="eastAsia" w:ascii="仿宋_GB2312" w:hAnsi="仿宋_GB2312" w:eastAsia="仿宋_GB2312" w:cs="仿宋_GB2312"/>
                <w:sz w:val="28"/>
                <w:szCs w:val="32"/>
                <w:highlight w:val="none"/>
              </w:rPr>
              <w:t>推进地表水国考、市考断面优良水体比例达到国家和北京市目标要求，美丽河湖建成率达到国家和北京市要求</w:t>
            </w:r>
            <w:r>
              <w:rPr>
                <w:rFonts w:hint="eastAsia" w:ascii="仿宋_GB2312" w:hAnsi="仿宋_GB2312" w:eastAsia="仿宋_GB2312" w:cs="仿宋_GB2312"/>
                <w:sz w:val="28"/>
                <w:szCs w:val="32"/>
                <w:highlight w:val="none"/>
                <w:lang w:eastAsia="zh-CN"/>
              </w:rPr>
              <w:t>。</w:t>
            </w:r>
          </w:p>
        </w:tc>
      </w:tr>
    </w:tbl>
    <w:p>
      <w:pPr>
        <w:spacing w:line="560" w:lineRule="exact"/>
        <w:ind w:firstLine="642" w:firstLineChars="200"/>
        <w:outlineLvl w:val="9"/>
        <w:rPr>
          <w:rFonts w:hint="default" w:eastAsia="仿宋_GB2312"/>
          <w:highlight w:val="none"/>
          <w:lang w:val="en-US" w:eastAsia="zh-CN"/>
        </w:rPr>
      </w:pPr>
      <w:bookmarkStart w:id="290" w:name="_Toc316"/>
      <w:bookmarkStart w:id="291" w:name="_Toc5863"/>
      <w:bookmarkStart w:id="292" w:name="_Toc7653"/>
      <w:bookmarkStart w:id="293" w:name="_Toc1751"/>
      <w:bookmarkStart w:id="294" w:name="_Toc28834"/>
      <w:r>
        <w:rPr>
          <w:rFonts w:hint="eastAsia" w:ascii="仿宋_GB2312" w:hAnsi="仿宋_GB2312" w:eastAsia="仿宋_GB2312" w:cs="仿宋_GB2312"/>
          <w:b/>
          <w:bCs/>
          <w:sz w:val="32"/>
          <w:szCs w:val="20"/>
          <w:highlight w:val="none"/>
          <w:lang w:val="en-US" w:eastAsia="zh-CN"/>
        </w:rPr>
        <w:t>推动公园与城市融合发展</w:t>
      </w:r>
      <w:bookmarkEnd w:id="290"/>
      <w:bookmarkEnd w:id="291"/>
      <w:bookmarkEnd w:id="292"/>
      <w:bookmarkEnd w:id="293"/>
      <w:bookmarkEnd w:id="294"/>
      <w:r>
        <w:rPr>
          <w:rFonts w:hint="eastAsia" w:ascii="仿宋_GB2312" w:hAnsi="仿宋_GB2312" w:eastAsia="仿宋_GB2312" w:cs="仿宋_GB2312"/>
          <w:sz w:val="32"/>
          <w:szCs w:val="20"/>
          <w:highlight w:val="none"/>
          <w:lang w:val="en-US" w:eastAsia="zh-CN"/>
        </w:rPr>
        <w:t>。聚焦园区、厂区、街区、社区等城市核心功能区，系统推进道路景观提升、口袋公园建设、彩化</w:t>
      </w:r>
      <w:r>
        <w:rPr>
          <w:rFonts w:hint="eastAsia" w:ascii="仿宋_GB2312" w:hAnsi="仿宋_GB2312" w:eastAsia="仿宋_GB2312" w:cs="仿宋_GB2312"/>
          <w:sz w:val="32"/>
          <w:szCs w:val="20"/>
          <w:highlight w:val="none"/>
          <w:lang w:eastAsia="zh-CN"/>
        </w:rPr>
        <w:t>立体绿化与花园场景融合。</w:t>
      </w:r>
      <w:r>
        <w:rPr>
          <w:rFonts w:hint="eastAsia" w:ascii="仿宋_GB2312" w:hAnsi="仿宋_GB2312" w:eastAsia="仿宋_GB2312" w:cs="仿宋_GB2312"/>
          <w:sz w:val="32"/>
          <w:szCs w:val="20"/>
          <w:highlight w:val="none"/>
        </w:rPr>
        <w:t>重点推进银保园、中关村石景山园等</w:t>
      </w:r>
      <w:r>
        <w:rPr>
          <w:rFonts w:hint="eastAsia" w:ascii="仿宋_GB2312" w:hAnsi="仿宋_GB2312" w:eastAsia="仿宋_GB2312" w:cs="仿宋_GB2312"/>
          <w:sz w:val="32"/>
          <w:szCs w:val="20"/>
          <w:highlight w:val="none"/>
          <w:lang w:val="en-US" w:eastAsia="zh-CN"/>
        </w:rPr>
        <w:t>园区附属绿地开放</w:t>
      </w:r>
      <w:r>
        <w:rPr>
          <w:rFonts w:hint="eastAsia" w:ascii="仿宋_GB2312" w:hAnsi="仿宋_GB2312" w:eastAsia="仿宋_GB2312" w:cs="仿宋_GB2312"/>
          <w:sz w:val="32"/>
          <w:szCs w:val="20"/>
          <w:highlight w:val="none"/>
        </w:rPr>
        <w:t>，建设花园微空间。</w:t>
      </w:r>
      <w:r>
        <w:rPr>
          <w:rFonts w:hint="eastAsia" w:ascii="仿宋_GB2312" w:hAnsi="仿宋_GB2312" w:eastAsia="仿宋_GB2312" w:cs="仿宋_GB2312"/>
          <w:sz w:val="32"/>
          <w:szCs w:val="20"/>
          <w:highlight w:val="none"/>
          <w:lang w:val="en-US" w:eastAsia="zh-CN"/>
        </w:rPr>
        <w:t>增补小微空间，</w:t>
      </w:r>
      <w:r>
        <w:rPr>
          <w:rFonts w:hint="eastAsia" w:ascii="仿宋_GB2312" w:hAnsi="仿宋_GB2312" w:eastAsia="仿宋_GB2312" w:cs="仿宋_GB2312"/>
          <w:sz w:val="32"/>
          <w:szCs w:val="20"/>
          <w:highlight w:val="none"/>
        </w:rPr>
        <w:t>推进留白增绿，建设小微绿地和口袋公园</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lang w:val="en-US" w:eastAsia="zh-CN"/>
        </w:rPr>
        <w:t>推进社区绿地提升和宅旁绿化，营造花园场景。</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295" w:name="_Toc17893"/>
      <w:bookmarkStart w:id="296" w:name="_Toc227221670"/>
      <w:bookmarkStart w:id="297" w:name="_Toc17411"/>
      <w:bookmarkStart w:id="298" w:name="_Toc10874"/>
      <w:bookmarkStart w:id="299" w:name="_Toc24770"/>
      <w:bookmarkStart w:id="300" w:name="_Toc1077"/>
      <w:bookmarkStart w:id="301" w:name="_Toc26135"/>
      <w:bookmarkStart w:id="302" w:name="_Toc28607"/>
      <w:r>
        <w:rPr>
          <w:rFonts w:hint="eastAsia" w:ascii="楷体_GB2312" w:hAnsi="黑体" w:eastAsia="楷体_GB2312" w:cs="黑体"/>
          <w:color w:val="auto"/>
          <w:sz w:val="32"/>
          <w:szCs w:val="36"/>
          <w:highlight w:val="none"/>
          <w:lang w:val="en-US" w:eastAsia="zh-CN"/>
        </w:rPr>
        <w:t>（八）</w:t>
      </w:r>
      <w:bookmarkEnd w:id="295"/>
      <w:bookmarkEnd w:id="296"/>
      <w:bookmarkEnd w:id="297"/>
      <w:bookmarkEnd w:id="298"/>
      <w:bookmarkEnd w:id="299"/>
      <w:bookmarkEnd w:id="300"/>
      <w:bookmarkEnd w:id="301"/>
      <w:r>
        <w:rPr>
          <w:rFonts w:hint="eastAsia" w:ascii="楷体_GB2312" w:hAnsi="黑体" w:eastAsia="楷体_GB2312" w:cs="黑体"/>
          <w:color w:val="auto"/>
          <w:sz w:val="32"/>
          <w:szCs w:val="36"/>
          <w:highlight w:val="none"/>
          <w:lang w:val="en-US" w:eastAsia="zh-CN"/>
        </w:rPr>
        <w:t>保护传承城市历史文化</w:t>
      </w:r>
      <w:bookmarkEnd w:id="302"/>
    </w:p>
    <w:p>
      <w:pPr>
        <w:spacing w:line="560" w:lineRule="exact"/>
        <w:ind w:firstLine="642" w:firstLineChars="200"/>
        <w:jc w:val="left"/>
        <w:outlineLvl w:val="9"/>
        <w:rPr>
          <w:rFonts w:hint="eastAsia"/>
          <w:highlight w:val="none"/>
        </w:rPr>
      </w:pPr>
      <w:bookmarkStart w:id="303" w:name="_Toc7311"/>
      <w:bookmarkStart w:id="304" w:name="_Toc16859"/>
      <w:bookmarkStart w:id="305" w:name="_Toc32455"/>
      <w:bookmarkStart w:id="306" w:name="_Toc25093"/>
      <w:bookmarkStart w:id="307" w:name="_Toc14762"/>
      <w:r>
        <w:rPr>
          <w:rFonts w:hint="eastAsia" w:ascii="仿宋_GB2312" w:hAnsi="仿宋_GB2312" w:eastAsia="仿宋_GB2312" w:cs="仿宋_GB2312"/>
          <w:b/>
          <w:bCs/>
          <w:sz w:val="32"/>
          <w:szCs w:val="20"/>
          <w:highlight w:val="none"/>
        </w:rPr>
        <w:t>推进</w:t>
      </w:r>
      <w:r>
        <w:rPr>
          <w:rFonts w:hint="eastAsia" w:ascii="仿宋_GB2312" w:hAnsi="仿宋_GB2312" w:eastAsia="仿宋_GB2312" w:cs="仿宋_GB2312"/>
          <w:b/>
          <w:bCs/>
          <w:sz w:val="32"/>
          <w:szCs w:val="20"/>
          <w:highlight w:val="none"/>
          <w:lang w:val="en-US" w:eastAsia="zh-CN"/>
        </w:rPr>
        <w:t>文化街区和</w:t>
      </w:r>
      <w:r>
        <w:rPr>
          <w:rFonts w:hint="eastAsia" w:ascii="仿宋_GB2312" w:hAnsi="仿宋_GB2312" w:eastAsia="仿宋_GB2312" w:cs="仿宋_GB2312"/>
          <w:b/>
          <w:bCs/>
          <w:sz w:val="32"/>
          <w:szCs w:val="20"/>
          <w:highlight w:val="none"/>
        </w:rPr>
        <w:t>文物遗产保护利用</w:t>
      </w:r>
      <w:bookmarkEnd w:id="303"/>
      <w:bookmarkEnd w:id="304"/>
      <w:bookmarkEnd w:id="305"/>
      <w:bookmarkEnd w:id="306"/>
      <w:bookmarkEnd w:id="307"/>
      <w:r>
        <w:rPr>
          <w:rFonts w:hint="eastAsia" w:ascii="仿宋_GB2312" w:hAnsi="仿宋_GB2312" w:eastAsia="仿宋_GB2312" w:cs="仿宋_GB2312"/>
          <w:sz w:val="32"/>
          <w:szCs w:val="20"/>
          <w:highlight w:val="none"/>
          <w:lang w:eastAsia="zh-CN"/>
        </w:rPr>
        <w:t>。深入推进历史文化街区保护更新</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sz w:val="32"/>
          <w:szCs w:val="20"/>
          <w:highlight w:val="none"/>
        </w:rPr>
        <w:t>聚焦保护历史文化价值、传承中华历史文脉，推动文物遗产和不可移动文物、历史建筑等保护对象的保护利用，传承地名历史记忆。在做好文物修缮的基础上，持续推进模式口历史文化街区修缮改造，推动重点院落、游赏设施迭代升级。</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5" w:type="dxa"/>
          </w:tcPr>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eastAsia="黑体"/>
                <w:highlight w:val="none"/>
                <w:lang w:val="en-US" w:eastAsia="zh-CN"/>
              </w:rPr>
            </w:pPr>
            <w:r>
              <w:rPr>
                <w:rFonts w:hint="eastAsia" w:ascii="黑体" w:hAnsi="黑体" w:eastAsia="黑体" w:cs="黑体"/>
                <w:sz w:val="32"/>
                <w:szCs w:val="32"/>
                <w:highlight w:val="none"/>
                <w14:ligatures w14:val="none"/>
              </w:rPr>
              <w:t>专栏</w:t>
            </w:r>
            <w:r>
              <w:rPr>
                <w:rFonts w:hint="eastAsia" w:ascii="黑体" w:hAnsi="黑体" w:eastAsia="黑体" w:cs="黑体"/>
                <w:sz w:val="32"/>
                <w:szCs w:val="32"/>
                <w:highlight w:val="none"/>
                <w:lang w:val="en-US" w:eastAsia="zh-CN"/>
                <w14:ligatures w14:val="none"/>
              </w:rPr>
              <w:t>8</w:t>
            </w:r>
            <w:r>
              <w:rPr>
                <w:rFonts w:hint="eastAsia" w:ascii="黑体" w:hAnsi="黑体" w:eastAsia="黑体" w:cs="黑体"/>
                <w:sz w:val="32"/>
                <w:szCs w:val="32"/>
                <w:highlight w:val="none"/>
                <w14:ligatures w14:val="none"/>
              </w:rPr>
              <w:t>-模式口历史文化街区修缮改造及环境整治</w:t>
            </w:r>
            <w:r>
              <w:rPr>
                <w:rFonts w:hint="eastAsia" w:ascii="黑体" w:hAnsi="黑体" w:eastAsia="黑体" w:cs="黑体"/>
                <w:sz w:val="32"/>
                <w:szCs w:val="32"/>
                <w:highlight w:val="none"/>
                <w:lang w:val="en-US" w:eastAsia="zh-CN"/>
                <w14:ligatures w14:val="none"/>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2" w:hRule="atLeast"/>
        </w:trPr>
        <w:tc>
          <w:tcPr>
            <w:tcW w:w="8975" w:type="dxa"/>
          </w:tcPr>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highlight w:val="none"/>
              </w:rPr>
            </w:pPr>
            <w:r>
              <w:rPr>
                <w:rFonts w:hint="eastAsia" w:ascii="Times New Roman" w:hAnsi="Times New Roman" w:eastAsia="仿宋_GB2312" w:cs="Times New Roman"/>
                <w:b w:val="0"/>
                <w:bCs w:val="0"/>
                <w:sz w:val="28"/>
                <w:szCs w:val="32"/>
                <w:highlight w:val="none"/>
                <w14:ligatures w14:val="none"/>
              </w:rPr>
              <w:t>推进街区修缮改造与存量空间盘活</w:t>
            </w:r>
            <w:r>
              <w:rPr>
                <w:rFonts w:hint="eastAsia" w:ascii="Times New Roman" w:hAnsi="Times New Roman" w:cs="Times New Roman"/>
                <w:b w:val="0"/>
                <w:bCs w:val="0"/>
                <w:sz w:val="28"/>
                <w:szCs w:val="32"/>
                <w:highlight w:val="none"/>
                <w:lang w:eastAsia="zh-CN"/>
                <w14:ligatures w14:val="none"/>
              </w:rPr>
              <w:t>。</w:t>
            </w:r>
            <w:r>
              <w:rPr>
                <w:rFonts w:hint="eastAsia" w:ascii="Times New Roman" w:hAnsi="Times New Roman" w:eastAsia="仿宋_GB2312" w:cs="Times New Roman"/>
                <w:b w:val="0"/>
                <w:bCs w:val="0"/>
                <w:sz w:val="28"/>
                <w:szCs w:val="32"/>
                <w:highlight w:val="none"/>
                <w14:ligatures w14:val="none"/>
              </w:rPr>
              <w:t>实施5-19号院</w:t>
            </w:r>
            <w:r>
              <w:rPr>
                <w:rFonts w:hint="eastAsia" w:ascii="Times New Roman" w:hAnsi="Times New Roman" w:eastAsia="仿宋_GB2312" w:cs="Times New Roman"/>
                <w:b w:val="0"/>
                <w:bCs w:val="0"/>
                <w:sz w:val="28"/>
                <w:szCs w:val="32"/>
                <w:highlight w:val="none"/>
                <w:lang w:eastAsia="zh-CN"/>
                <w14:ligatures w14:val="none"/>
              </w:rPr>
              <w:t>、</w:t>
            </w:r>
            <w:r>
              <w:rPr>
                <w:rFonts w:hint="eastAsia" w:ascii="Times New Roman" w:hAnsi="Times New Roman" w:eastAsia="仿宋_GB2312" w:cs="Times New Roman"/>
                <w:b w:val="0"/>
                <w:bCs w:val="0"/>
                <w:sz w:val="28"/>
                <w:szCs w:val="32"/>
                <w:highlight w:val="none"/>
                <w14:ligatures w14:val="none"/>
              </w:rPr>
              <w:t>74-75号院</w:t>
            </w:r>
            <w:r>
              <w:rPr>
                <w:rFonts w:hint="eastAsia" w:ascii="Times New Roman" w:hAnsi="Times New Roman" w:eastAsia="仿宋_GB2312" w:cs="Times New Roman"/>
                <w:b w:val="0"/>
                <w:bCs w:val="0"/>
                <w:sz w:val="28"/>
                <w:szCs w:val="32"/>
                <w:highlight w:val="none"/>
                <w:lang w:eastAsia="zh-CN"/>
                <w14:ligatures w14:val="none"/>
              </w:rPr>
              <w:t>、</w:t>
            </w:r>
            <w:r>
              <w:rPr>
                <w:rFonts w:hint="eastAsia" w:ascii="Times New Roman" w:hAnsi="Times New Roman" w:eastAsia="仿宋_GB2312" w:cs="Times New Roman"/>
                <w:b w:val="0"/>
                <w:bCs w:val="0"/>
                <w:sz w:val="28"/>
                <w:szCs w:val="32"/>
                <w:highlight w:val="none"/>
                <w14:ligatures w14:val="none"/>
              </w:rPr>
              <w:t>中杉中学南侧93-106号院更新改造，恢复传统街巷</w:t>
            </w:r>
            <w:r>
              <w:rPr>
                <w:rFonts w:hint="eastAsia" w:ascii="仿宋_GB2312" w:hAnsi="仿宋_GB2312" w:eastAsia="仿宋_GB2312" w:cs="仿宋_GB2312"/>
                <w:b w:val="0"/>
                <w:bCs w:val="0"/>
                <w:sz w:val="28"/>
                <w:szCs w:val="32"/>
                <w:highlight w:val="none"/>
                <w14:ligatures w14:val="none"/>
              </w:rPr>
              <w:t>肌理，提升街区景观风貌。盘活承恩寺东侧停车场、天马市场等街区闲置低效用地，完善街区功能配套，为文化展示与商业运营提供空间载体。</w:t>
            </w:r>
          </w:p>
        </w:tc>
      </w:tr>
    </w:tbl>
    <w:p>
      <w:pPr>
        <w:spacing w:line="560" w:lineRule="exact"/>
        <w:ind w:firstLine="642" w:firstLineChars="200"/>
        <w:jc w:val="left"/>
        <w:outlineLvl w:val="9"/>
        <w:rPr>
          <w:rFonts w:hint="eastAsia" w:ascii="仿宋_GB2312" w:hAnsi="仿宋_GB2312" w:eastAsia="仿宋_GB2312" w:cs="仿宋_GB2312"/>
          <w:szCs w:val="20"/>
          <w:highlight w:val="none"/>
        </w:rPr>
      </w:pPr>
      <w:bookmarkStart w:id="308" w:name="_Toc5104"/>
      <w:bookmarkStart w:id="309" w:name="_Toc11937"/>
      <w:bookmarkStart w:id="310" w:name="_Toc16892"/>
      <w:bookmarkStart w:id="311" w:name="_Toc23249"/>
      <w:bookmarkStart w:id="312" w:name="_Toc8166"/>
      <w:r>
        <w:rPr>
          <w:rFonts w:hint="eastAsia" w:ascii="仿宋_GB2312" w:hAnsi="仿宋_GB2312" w:eastAsia="仿宋_GB2312" w:cs="仿宋_GB2312"/>
          <w:b/>
          <w:bCs/>
          <w:sz w:val="32"/>
          <w:szCs w:val="20"/>
          <w:highlight w:val="none"/>
        </w:rPr>
        <w:t>开展不可移动文物、历史建筑等保护对象维护和使用</w:t>
      </w:r>
      <w:bookmarkEnd w:id="308"/>
      <w:bookmarkEnd w:id="309"/>
      <w:bookmarkEnd w:id="310"/>
      <w:bookmarkEnd w:id="311"/>
      <w:bookmarkEnd w:id="312"/>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实施八大处长安寺、慈善寺、满井茶棚、黑石头村关帝庙后罩房等保护修缮工程，推动承恩寺、法海寺等文物建筑活化利用。鼓励社会力量参与文物建筑本体保护修缮、历史风貌维护、旅游文创开发、文化传承发展等保护利用全过程，推动文物建筑“有人管、在利用、出效益”。</w:t>
      </w:r>
    </w:p>
    <w:bookmarkEnd w:id="239"/>
    <w:bookmarkEnd w:id="240"/>
    <w:bookmarkEnd w:id="241"/>
    <w:bookmarkEnd w:id="242"/>
    <w:bookmarkEnd w:id="243"/>
    <w:bookmarkEnd w:id="244"/>
    <w:bookmarkEnd w:id="245"/>
    <w:p>
      <w:pPr>
        <w:spacing w:line="560" w:lineRule="exact"/>
        <w:ind w:firstLine="640" w:firstLineChars="200"/>
        <w:jc w:val="left"/>
        <w:outlineLvl w:val="9"/>
        <w:rPr>
          <w:rFonts w:hint="eastAsia" w:ascii="仿宋_GB2312" w:hAnsi="仿宋_GB2312" w:eastAsia="仿宋_GB2312" w:cs="仿宋_GB2312"/>
          <w:sz w:val="32"/>
          <w:szCs w:val="20"/>
          <w:highlight w:val="none"/>
        </w:rPr>
      </w:pPr>
      <w:r>
        <w:rPr>
          <w:rFonts w:hint="eastAsia" w:ascii="仿宋_GB2312" w:hAnsi="仿宋_GB2312" w:eastAsia="仿宋_GB2312" w:cs="仿宋_GB2312"/>
          <w:sz w:val="32"/>
          <w:szCs w:val="20"/>
          <w:highlight w:val="none"/>
        </w:rPr>
        <w:br w:type="page"/>
      </w:r>
    </w:p>
    <w:p>
      <w:pPr>
        <w:spacing w:after="0" w:line="560" w:lineRule="exact"/>
        <w:ind w:firstLine="640" w:firstLineChars="200"/>
        <w:textAlignment w:val="center"/>
        <w:outlineLvl w:val="0"/>
        <w:rPr>
          <w:rFonts w:hint="eastAsia" w:ascii="黑体" w:hAnsi="黑体" w:eastAsia="黑体" w:cs="黑体"/>
          <w:color w:val="auto"/>
          <w:sz w:val="32"/>
          <w:szCs w:val="36"/>
          <w:highlight w:val="none"/>
          <w:lang w:val="en-US" w:eastAsia="zh-CN"/>
        </w:rPr>
      </w:pPr>
      <w:bookmarkStart w:id="313" w:name="_Toc12899"/>
      <w:bookmarkStart w:id="314" w:name="_Toc17628"/>
      <w:bookmarkStart w:id="315" w:name="_Toc28865"/>
      <w:bookmarkStart w:id="316" w:name="_Toc12449"/>
      <w:bookmarkStart w:id="317" w:name="_Toc11376"/>
      <w:bookmarkStart w:id="318" w:name="_Toc21617"/>
      <w:bookmarkStart w:id="319" w:name="_Toc227221671"/>
      <w:bookmarkStart w:id="320" w:name="_Toc23335"/>
      <w:bookmarkStart w:id="321" w:name="_Toc19388"/>
      <w:bookmarkStart w:id="322" w:name="_Toc15483"/>
      <w:r>
        <w:rPr>
          <w:rFonts w:hint="eastAsia" w:ascii="黑体" w:hAnsi="黑体" w:eastAsia="黑体" w:cs="黑体"/>
          <w:color w:val="auto"/>
          <w:sz w:val="32"/>
          <w:szCs w:val="36"/>
          <w:highlight w:val="none"/>
          <w:lang w:val="en-US" w:eastAsia="zh-CN"/>
        </w:rPr>
        <w:t>四、综合化城市更新组团</w:t>
      </w:r>
      <w:bookmarkEnd w:id="313"/>
      <w:bookmarkEnd w:id="314"/>
      <w:bookmarkEnd w:id="315"/>
      <w:bookmarkEnd w:id="316"/>
      <w:bookmarkEnd w:id="317"/>
      <w:bookmarkEnd w:id="318"/>
      <w:bookmarkEnd w:id="319"/>
      <w:bookmarkEnd w:id="320"/>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持续探索区域综合性更新路径，重点推进首钢北区、北重、模式口等组团建设，强化产业导入、服务配套与生态修复协同，</w:t>
      </w:r>
      <w:r>
        <w:rPr>
          <w:rFonts w:hint="eastAsia" w:ascii="Times New Roman" w:hAnsi="Times New Roman" w:eastAsia="仿宋_GB2312"/>
          <w:sz w:val="32"/>
          <w:szCs w:val="32"/>
          <w:highlight w:val="none"/>
          <w:lang w:val="en-US" w:eastAsia="zh-CN"/>
        </w:rPr>
        <w:t>逐步实现职住商服平衡</w:t>
      </w:r>
      <w:r>
        <w:rPr>
          <w:rFonts w:hint="eastAsia" w:ascii="Times New Roman" w:hAnsi="Times New Roman" w:eastAsia="仿宋_GB2312"/>
          <w:sz w:val="32"/>
          <w:szCs w:val="32"/>
          <w:highlight w:val="none"/>
        </w:rPr>
        <w:t>，进一步优化城市空间格局。</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323" w:name="_Toc10743"/>
      <w:bookmarkStart w:id="324" w:name="_Toc17261"/>
      <w:bookmarkStart w:id="325" w:name="_Toc2022"/>
      <w:bookmarkStart w:id="326" w:name="_Toc25238"/>
      <w:bookmarkStart w:id="327" w:name="_Toc11956"/>
      <w:bookmarkStart w:id="328" w:name="_Toc25111"/>
      <w:bookmarkStart w:id="329" w:name="_Toc227221672"/>
      <w:bookmarkStart w:id="330" w:name="_Toc21679"/>
      <w:bookmarkStart w:id="331" w:name="_Toc8250"/>
      <w:bookmarkStart w:id="332" w:name="_Toc20832"/>
      <w:bookmarkStart w:id="333" w:name="_Toc3518"/>
      <w:bookmarkStart w:id="334" w:name="_Toc3853"/>
      <w:bookmarkStart w:id="335" w:name="_Toc14378"/>
      <w:bookmarkStart w:id="336" w:name="_Toc582"/>
      <w:r>
        <w:rPr>
          <w:rFonts w:hint="eastAsia" w:ascii="楷体_GB2312" w:hAnsi="黑体" w:eastAsia="楷体_GB2312" w:cs="黑体"/>
          <w:color w:val="auto"/>
          <w:sz w:val="32"/>
          <w:szCs w:val="36"/>
          <w:highlight w:val="none"/>
          <w:lang w:val="en-US" w:eastAsia="zh-CN"/>
        </w:rPr>
        <w:t>（一）两园一河·新首钢高端产业综合服务区北区更新片区</w:t>
      </w:r>
      <w:bookmarkEnd w:id="323"/>
      <w:bookmarkEnd w:id="324"/>
      <w:bookmarkEnd w:id="325"/>
      <w:bookmarkEnd w:id="326"/>
      <w:bookmarkEnd w:id="327"/>
      <w:bookmarkEnd w:id="328"/>
      <w:bookmarkEnd w:id="329"/>
      <w:bookmarkEnd w:id="330"/>
      <w:bookmarkEnd w:id="331"/>
      <w:bookmarkEnd w:id="332"/>
    </w:p>
    <w:p>
      <w:pPr>
        <w:spacing w:line="560" w:lineRule="exact"/>
        <w:ind w:firstLine="640" w:firstLineChars="200"/>
        <w:jc w:val="left"/>
        <w:rPr>
          <w:rFonts w:ascii="Times New Roman" w:hAnsi="Times New Roman" w:eastAsia="仿宋_GB2312"/>
          <w:sz w:val="32"/>
          <w:highlight w:val="none"/>
        </w:rPr>
      </w:pPr>
      <w:r>
        <w:rPr>
          <w:rFonts w:hint="eastAsia" w:ascii="Times New Roman" w:hAnsi="Times New Roman" w:eastAsia="仿宋_GB2312"/>
          <w:sz w:val="32"/>
          <w:highlight w:val="none"/>
        </w:rPr>
        <w:t>聚焦数字空间产业矩阵、拓展新消费新场景，打造会展+、体育+、文化+等特色消费业态，建设京西品质消费标杆，建成更高国际水准的城市复兴新地标。</w:t>
      </w:r>
      <w:r>
        <w:rPr>
          <w:rFonts w:hint="eastAsia" w:ascii="仿宋_GB2312" w:hAnsi="仿宋_GB2312" w:eastAsia="仿宋_GB2312" w:cs="仿宋_GB2312"/>
          <w:sz w:val="32"/>
          <w:highlight w:val="none"/>
        </w:rPr>
        <w:t>坚持“两园一河”协同联动发展,建设“两园一河”水岸客厅</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推动生态共建、文旅互动、产业共赢,展现“山水京西、活力永定新图景。</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337" w:name="_Toc7768"/>
      <w:bookmarkStart w:id="338" w:name="_Toc27803"/>
      <w:bookmarkStart w:id="339" w:name="_Toc227221673"/>
      <w:bookmarkStart w:id="340" w:name="_Toc9934"/>
      <w:bookmarkStart w:id="341" w:name="_Toc32430"/>
      <w:bookmarkStart w:id="342" w:name="_Toc7493"/>
      <w:bookmarkStart w:id="343" w:name="_Toc30704"/>
      <w:bookmarkStart w:id="344" w:name="_Toc5199"/>
      <w:bookmarkStart w:id="345" w:name="_Toc22332"/>
      <w:bookmarkStart w:id="346" w:name="_Toc12252"/>
      <w:r>
        <w:rPr>
          <w:rFonts w:hint="eastAsia" w:ascii="楷体_GB2312" w:hAnsi="黑体" w:eastAsia="楷体_GB2312" w:cs="黑体"/>
          <w:color w:val="auto"/>
          <w:sz w:val="32"/>
          <w:szCs w:val="36"/>
          <w:highlight w:val="none"/>
          <w:lang w:val="en-US" w:eastAsia="zh-CN"/>
        </w:rPr>
        <w:t>（二）北重园智能制造产业更新片区</w:t>
      </w:r>
      <w:bookmarkEnd w:id="337"/>
      <w:bookmarkEnd w:id="338"/>
      <w:bookmarkEnd w:id="339"/>
      <w:bookmarkEnd w:id="340"/>
      <w:bookmarkEnd w:id="341"/>
      <w:bookmarkEnd w:id="342"/>
      <w:bookmarkEnd w:id="343"/>
      <w:bookmarkEnd w:id="344"/>
      <w:bookmarkEnd w:id="345"/>
      <w:bookmarkEnd w:id="346"/>
    </w:p>
    <w:p>
      <w:pPr>
        <w:spacing w:line="560" w:lineRule="exact"/>
        <w:ind w:firstLine="640" w:firstLineChars="200"/>
        <w:rPr>
          <w:rFonts w:eastAsia="黑体" w:asciiTheme="majorHAnsi" w:hAnsiTheme="majorHAnsi" w:cstheme="majorBidi"/>
          <w:bCs/>
          <w:sz w:val="32"/>
          <w:szCs w:val="32"/>
          <w:highlight w:val="none"/>
        </w:rPr>
      </w:pPr>
      <w:r>
        <w:rPr>
          <w:rFonts w:hint="eastAsia" w:ascii="仿宋_GB2312" w:hAnsi="仿宋_GB2312" w:eastAsia="仿宋_GB2312" w:cs="仿宋_GB2312"/>
          <w:sz w:val="32"/>
          <w:highlight w:val="none"/>
        </w:rPr>
        <w:t>围绕“一核多配套”的空间结构</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通过升级原有厂房空间导入建设中试功能</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持续</w:t>
      </w:r>
      <w:r>
        <w:rPr>
          <w:rFonts w:hint="eastAsia" w:ascii="仿宋_GB2312" w:hAnsi="仿宋_GB2312" w:eastAsia="仿宋_GB2312" w:cs="仿宋_GB2312"/>
          <w:sz w:val="32"/>
          <w:highlight w:val="none"/>
        </w:rPr>
        <w:t>完善产业服务生态、补充城市服务设施，打造京西地区“人工智能+智能制造”产业社区，助推构建首都高精尖产业结构，推动京西八大厂复兴。强化组团联动赋能，加快完善</w:t>
      </w:r>
      <w:r>
        <w:rPr>
          <w:rFonts w:hint="eastAsia" w:ascii="仿宋_GB2312" w:hAnsi="仿宋_GB2312" w:eastAsia="仿宋_GB2312" w:cs="仿宋_GB2312"/>
          <w:sz w:val="32"/>
          <w:highlight w:val="none"/>
          <w:lang w:val="en-US" w:eastAsia="zh-CN"/>
        </w:rPr>
        <w:t>周边</w:t>
      </w:r>
      <w:r>
        <w:rPr>
          <w:rFonts w:hint="eastAsia" w:ascii="仿宋_GB2312" w:hAnsi="仿宋_GB2312" w:eastAsia="仿宋_GB2312" w:cs="仿宋_GB2312"/>
          <w:sz w:val="32"/>
          <w:highlight w:val="none"/>
        </w:rPr>
        <w:t>市政、公服</w:t>
      </w:r>
      <w:r>
        <w:rPr>
          <w:rFonts w:hint="eastAsia" w:ascii="仿宋_GB2312" w:hAnsi="仿宋_GB2312" w:eastAsia="仿宋_GB2312" w:cs="仿宋_GB2312"/>
          <w:sz w:val="32"/>
          <w:highlight w:val="none"/>
          <w:lang w:val="en-US" w:eastAsia="zh-CN"/>
        </w:rPr>
        <w:t>等</w:t>
      </w:r>
      <w:r>
        <w:rPr>
          <w:rFonts w:hint="eastAsia" w:ascii="仿宋_GB2312" w:hAnsi="仿宋_GB2312" w:eastAsia="仿宋_GB2312" w:cs="仿宋_GB2312"/>
          <w:sz w:val="32"/>
          <w:highlight w:val="none"/>
        </w:rPr>
        <w:t>配套</w:t>
      </w:r>
      <w:r>
        <w:rPr>
          <w:rFonts w:hint="eastAsia" w:ascii="仿宋_GB2312" w:hAnsi="仿宋_GB2312" w:eastAsia="仿宋_GB2312" w:cs="仿宋_GB2312"/>
          <w:sz w:val="32"/>
          <w:highlight w:val="none"/>
          <w:lang w:val="en-US" w:eastAsia="zh-CN"/>
        </w:rPr>
        <w:t>设施</w:t>
      </w:r>
      <w:r>
        <w:rPr>
          <w:rFonts w:hint="eastAsia" w:ascii="仿宋_GB2312" w:hAnsi="仿宋_GB2312" w:eastAsia="仿宋_GB2312" w:cs="仿宋_GB2312"/>
          <w:sz w:val="32"/>
          <w:highlight w:val="none"/>
        </w:rPr>
        <w:t>。</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347" w:name="_Toc2815"/>
      <w:bookmarkStart w:id="348" w:name="_Toc13823"/>
      <w:bookmarkStart w:id="349" w:name="_Toc227221674"/>
      <w:bookmarkStart w:id="350" w:name="_Toc6782"/>
      <w:bookmarkStart w:id="351" w:name="_Toc19608"/>
      <w:bookmarkStart w:id="352" w:name="_Toc3968"/>
      <w:bookmarkStart w:id="353" w:name="_Toc1426"/>
      <w:bookmarkStart w:id="354" w:name="_Toc3235"/>
      <w:bookmarkStart w:id="355" w:name="_Toc16731"/>
      <w:bookmarkStart w:id="356" w:name="_Toc3273"/>
      <w:r>
        <w:rPr>
          <w:rFonts w:hint="eastAsia" w:ascii="楷体_GB2312" w:hAnsi="黑体" w:eastAsia="楷体_GB2312" w:cs="黑体"/>
          <w:color w:val="auto"/>
          <w:sz w:val="32"/>
          <w:szCs w:val="36"/>
          <w:highlight w:val="none"/>
          <w:lang w:val="en-US" w:eastAsia="zh-CN"/>
        </w:rPr>
        <w:t>（三）模式口历史文化街区古道焕新更新片区</w:t>
      </w:r>
      <w:bookmarkEnd w:id="347"/>
      <w:bookmarkEnd w:id="348"/>
      <w:bookmarkEnd w:id="349"/>
      <w:bookmarkEnd w:id="350"/>
      <w:bookmarkEnd w:id="351"/>
      <w:bookmarkEnd w:id="352"/>
      <w:bookmarkEnd w:id="353"/>
      <w:bookmarkEnd w:id="354"/>
      <w:bookmarkEnd w:id="355"/>
      <w:bookmarkEnd w:id="356"/>
    </w:p>
    <w:p>
      <w:pPr>
        <w:spacing w:line="560" w:lineRule="exact"/>
        <w:ind w:firstLine="640" w:firstLineChars="200"/>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以打造首都历史文化保护“京西样板”为战略目标，淘汰低端低效业态，持续丰富全时业态特色消费，引入首店、旗舰店、特色主题，提升商业能级。因地制宜优化公共服务与生态景观，完善嵌入式服务综合体、</w:t>
      </w:r>
      <w:r>
        <w:rPr>
          <w:rFonts w:hint="eastAsia" w:ascii="仿宋_GB2312" w:hAnsi="仿宋_GB2312" w:eastAsia="仿宋_GB2312" w:cs="仿宋_GB2312"/>
          <w:sz w:val="32"/>
          <w:highlight w:val="none"/>
          <w:lang w:val="en-US" w:eastAsia="zh-CN"/>
        </w:rPr>
        <w:t>停车场等</w:t>
      </w:r>
      <w:r>
        <w:rPr>
          <w:rFonts w:hint="eastAsia" w:ascii="仿宋_GB2312" w:hAnsi="仿宋_GB2312" w:eastAsia="仿宋_GB2312" w:cs="仿宋_GB2312"/>
          <w:sz w:val="32"/>
          <w:highlight w:val="none"/>
        </w:rPr>
        <w:t>建设，结合永定河引水渠打造亲水休闲、户外露营新场景，推动街巷空间风貌提质升级。</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357" w:name="_Toc227221675"/>
      <w:bookmarkStart w:id="358" w:name="_Toc4473"/>
      <w:bookmarkStart w:id="359" w:name="_Toc10804"/>
      <w:bookmarkStart w:id="360" w:name="_Toc17172"/>
      <w:bookmarkStart w:id="361" w:name="_Toc26576"/>
      <w:bookmarkStart w:id="362" w:name="_Toc9878"/>
      <w:bookmarkStart w:id="363" w:name="_Toc30890"/>
      <w:bookmarkStart w:id="364" w:name="_Toc15612"/>
      <w:bookmarkStart w:id="365" w:name="_Toc26678"/>
      <w:bookmarkStart w:id="366" w:name="_Toc26238"/>
      <w:r>
        <w:rPr>
          <w:rFonts w:hint="eastAsia" w:ascii="楷体_GB2312" w:hAnsi="黑体" w:eastAsia="楷体_GB2312" w:cs="黑体"/>
          <w:color w:val="auto"/>
          <w:sz w:val="32"/>
          <w:szCs w:val="36"/>
          <w:highlight w:val="none"/>
          <w:lang w:val="en-US" w:eastAsia="zh-CN"/>
        </w:rPr>
        <w:t>（四）巴威北锅产业转型发展更新片区</w:t>
      </w:r>
      <w:bookmarkEnd w:id="357"/>
      <w:bookmarkEnd w:id="358"/>
      <w:bookmarkEnd w:id="359"/>
      <w:bookmarkEnd w:id="360"/>
      <w:bookmarkEnd w:id="361"/>
      <w:bookmarkEnd w:id="362"/>
      <w:bookmarkEnd w:id="363"/>
      <w:bookmarkEnd w:id="364"/>
      <w:bookmarkEnd w:id="365"/>
      <w:bookmarkEnd w:id="366"/>
    </w:p>
    <w:p>
      <w:pPr>
        <w:spacing w:line="560" w:lineRule="exact"/>
        <w:ind w:firstLine="640" w:firstLineChars="200"/>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lang w:val="en-US" w:eastAsia="zh-CN"/>
        </w:rPr>
        <w:t>综合运用“城中村+一级开发+升级改造”模式实施</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通过</w:t>
      </w:r>
      <w:r>
        <w:rPr>
          <w:rFonts w:hint="eastAsia" w:ascii="仿宋_GB2312" w:hAnsi="仿宋_GB2312" w:eastAsia="仿宋_GB2312" w:cs="仿宋_GB2312"/>
          <w:sz w:val="32"/>
          <w:highlight w:val="none"/>
        </w:rPr>
        <w:t>保护式、生长式修补延续工业文化脉络，向总部经济、科技研发功能转型发展新功能。依托轨道站点的辐射带动作用，引入高端科技研发和商务服务、人才配套等功能。</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367" w:name="_Toc3654"/>
      <w:bookmarkStart w:id="368" w:name="_Toc227221676"/>
      <w:bookmarkStart w:id="369" w:name="_Toc15503"/>
      <w:bookmarkStart w:id="370" w:name="_Toc854"/>
      <w:bookmarkStart w:id="371" w:name="_Toc29708"/>
      <w:bookmarkStart w:id="372" w:name="_Toc22784"/>
      <w:bookmarkStart w:id="373" w:name="_Toc4288"/>
      <w:bookmarkStart w:id="374" w:name="_Toc7236"/>
      <w:bookmarkStart w:id="375" w:name="_Toc14216"/>
      <w:bookmarkStart w:id="376" w:name="_Toc31033"/>
      <w:r>
        <w:rPr>
          <w:rFonts w:hint="eastAsia" w:ascii="楷体_GB2312" w:hAnsi="黑体" w:eastAsia="楷体_GB2312" w:cs="黑体"/>
          <w:color w:val="auto"/>
          <w:sz w:val="32"/>
          <w:szCs w:val="36"/>
          <w:highlight w:val="none"/>
          <w:lang w:val="en-US" w:eastAsia="zh-CN"/>
        </w:rPr>
        <w:t>（五）北京银行保险产业园国家级金融产业更新片区</w:t>
      </w:r>
      <w:bookmarkEnd w:id="367"/>
      <w:bookmarkEnd w:id="368"/>
      <w:bookmarkEnd w:id="369"/>
      <w:bookmarkEnd w:id="370"/>
      <w:bookmarkEnd w:id="371"/>
      <w:bookmarkEnd w:id="372"/>
      <w:bookmarkEnd w:id="373"/>
      <w:bookmarkEnd w:id="374"/>
      <w:bookmarkEnd w:id="375"/>
      <w:bookmarkEnd w:id="376"/>
    </w:p>
    <w:p>
      <w:pPr>
        <w:spacing w:line="560" w:lineRule="exact"/>
        <w:ind w:firstLine="640" w:firstLineChars="200"/>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以银行、保险、金融科技为重点，提升现代金融产业总体实力。围绕核心央企上下游生态圈，强化总部研发、成果转化、产业孵化核心竞争力，持续提升经济贡献度，打造首都新金融、新科技为主导的产业示范高地。</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377" w:name="_Toc5117"/>
      <w:bookmarkStart w:id="378" w:name="_Toc17111"/>
      <w:bookmarkStart w:id="379" w:name="_Toc227221677"/>
      <w:bookmarkStart w:id="380" w:name="_Toc6958"/>
      <w:bookmarkStart w:id="381" w:name="_Toc21577"/>
      <w:bookmarkStart w:id="382" w:name="_Toc19797"/>
      <w:bookmarkStart w:id="383" w:name="_Toc16428"/>
      <w:bookmarkStart w:id="384" w:name="_Toc7412"/>
      <w:bookmarkStart w:id="385" w:name="_Toc2414"/>
      <w:bookmarkStart w:id="386" w:name="_Toc32499"/>
      <w:r>
        <w:rPr>
          <w:rFonts w:hint="eastAsia" w:ascii="楷体_GB2312" w:hAnsi="黑体" w:eastAsia="楷体_GB2312" w:cs="黑体"/>
          <w:color w:val="auto"/>
          <w:sz w:val="32"/>
          <w:szCs w:val="36"/>
          <w:highlight w:val="none"/>
          <w:lang w:val="en-US" w:eastAsia="zh-CN"/>
        </w:rPr>
        <w:t>（六）西部绿色智慧市级高新区</w:t>
      </w:r>
      <w:bookmarkEnd w:id="333"/>
      <w:bookmarkEnd w:id="334"/>
      <w:bookmarkEnd w:id="335"/>
      <w:bookmarkEnd w:id="336"/>
      <w:bookmarkEnd w:id="377"/>
      <w:bookmarkEnd w:id="378"/>
      <w:bookmarkEnd w:id="379"/>
      <w:bookmarkEnd w:id="380"/>
      <w:bookmarkEnd w:id="381"/>
      <w:bookmarkEnd w:id="382"/>
      <w:bookmarkEnd w:id="383"/>
      <w:r>
        <w:rPr>
          <w:rFonts w:hint="eastAsia" w:ascii="楷体_GB2312" w:hAnsi="黑体" w:eastAsia="楷体_GB2312" w:cs="黑体"/>
          <w:color w:val="auto"/>
          <w:sz w:val="32"/>
          <w:szCs w:val="36"/>
          <w:highlight w:val="none"/>
          <w:lang w:val="en-US" w:eastAsia="zh-CN"/>
        </w:rPr>
        <w:t>更新片区</w:t>
      </w:r>
      <w:bookmarkEnd w:id="384"/>
      <w:bookmarkEnd w:id="385"/>
      <w:bookmarkEnd w:id="386"/>
    </w:p>
    <w:p>
      <w:pPr>
        <w:spacing w:line="560" w:lineRule="exact"/>
        <w:ind w:firstLine="640" w:firstLineChars="200"/>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lang w:val="en-US" w:eastAsia="zh-CN"/>
        </w:rPr>
        <w:t>实施永引渠南路西延</w:t>
      </w:r>
      <w:r>
        <w:rPr>
          <w:rFonts w:hint="eastAsia" w:ascii="仿宋_GB2312" w:hAnsi="仿宋_GB2312" w:eastAsia="仿宋_GB2312" w:cs="仿宋_GB2312"/>
          <w:sz w:val="32"/>
          <w:highlight w:val="none"/>
        </w:rPr>
        <w:t>等重大交通</w:t>
      </w:r>
      <w:r>
        <w:rPr>
          <w:rFonts w:hint="eastAsia" w:ascii="仿宋_GB2312" w:hAnsi="仿宋_GB2312" w:eastAsia="仿宋_GB2312" w:cs="仿宋_GB2312"/>
          <w:sz w:val="32"/>
          <w:highlight w:val="none"/>
          <w:lang w:val="en-US" w:eastAsia="zh-CN"/>
        </w:rPr>
        <w:t>工程</w:t>
      </w:r>
      <w:r>
        <w:rPr>
          <w:rFonts w:hint="eastAsia" w:ascii="仿宋_GB2312" w:hAnsi="仿宋_GB2312" w:eastAsia="仿宋_GB2312" w:cs="仿宋_GB2312"/>
          <w:sz w:val="32"/>
          <w:highlight w:val="none"/>
        </w:rPr>
        <w:t>建设</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推动</w:t>
      </w:r>
      <w:r>
        <w:rPr>
          <w:rFonts w:hint="eastAsia" w:ascii="仿宋_GB2312" w:hAnsi="仿宋_GB2312" w:eastAsia="仿宋_GB2312" w:cs="仿宋_GB2312"/>
          <w:sz w:val="32"/>
          <w:highlight w:val="none"/>
        </w:rPr>
        <w:t>永定河流域、</w:t>
      </w:r>
      <w:r>
        <w:rPr>
          <w:rFonts w:hint="eastAsia" w:ascii="仿宋_GB2312" w:hAnsi="仿宋_GB2312" w:eastAsia="仿宋_GB2312" w:cs="仿宋_GB2312"/>
          <w:b w:val="0"/>
          <w:bCs w:val="0"/>
          <w:sz w:val="32"/>
          <w:highlight w:val="none"/>
        </w:rPr>
        <w:t>小西山绿道</w:t>
      </w:r>
      <w:r>
        <w:rPr>
          <w:rFonts w:hint="eastAsia" w:ascii="仿宋_GB2312" w:hAnsi="仿宋_GB2312" w:eastAsia="仿宋_GB2312" w:cs="仿宋_GB2312"/>
          <w:sz w:val="32"/>
          <w:highlight w:val="none"/>
        </w:rPr>
        <w:t>等</w:t>
      </w:r>
      <w:r>
        <w:rPr>
          <w:rFonts w:hint="eastAsia" w:ascii="仿宋_GB2312" w:hAnsi="仿宋_GB2312" w:eastAsia="仿宋_GB2312" w:cs="仿宋_GB2312"/>
          <w:sz w:val="32"/>
          <w:highlight w:val="none"/>
          <w:lang w:val="en-US" w:eastAsia="zh-CN"/>
        </w:rPr>
        <w:t>重点区域生态修复和景观提升</w:t>
      </w:r>
      <w:r>
        <w:rPr>
          <w:rFonts w:hint="eastAsia" w:ascii="仿宋_GB2312" w:hAnsi="仿宋_GB2312" w:eastAsia="仿宋_GB2312" w:cs="仿宋_GB2312"/>
          <w:sz w:val="32"/>
          <w:highlight w:val="none"/>
        </w:rPr>
        <w:t>，推进西部医院、市民服务中心</w:t>
      </w:r>
      <w:r>
        <w:rPr>
          <w:rFonts w:hint="eastAsia" w:ascii="仿宋_GB2312" w:hAnsi="仿宋_GB2312" w:eastAsia="仿宋_GB2312" w:cs="仿宋_GB2312"/>
          <w:sz w:val="32"/>
          <w:highlight w:val="none"/>
          <w:lang w:val="en-US" w:eastAsia="zh-CN"/>
        </w:rPr>
        <w:t>建设</w:t>
      </w:r>
      <w:r>
        <w:rPr>
          <w:rFonts w:hint="eastAsia" w:ascii="仿宋_GB2312" w:hAnsi="仿宋_GB2312" w:eastAsia="仿宋_GB2312" w:cs="仿宋_GB2312"/>
          <w:sz w:val="32"/>
          <w:highlight w:val="none"/>
        </w:rPr>
        <w:t>，提升综合承载能力和民生福祉</w:t>
      </w:r>
      <w:r>
        <w:rPr>
          <w:rFonts w:hint="eastAsia" w:ascii="仿宋_GB2312" w:hAnsi="仿宋_GB2312" w:eastAsia="仿宋_GB2312" w:cs="仿宋_GB2312"/>
          <w:sz w:val="32"/>
          <w:highlight w:val="none"/>
          <w:lang w:val="en-US" w:eastAsia="zh-CN"/>
        </w:rPr>
        <w:t>水平</w:t>
      </w:r>
      <w:r>
        <w:rPr>
          <w:rFonts w:hint="eastAsia" w:ascii="仿宋_GB2312" w:hAnsi="仿宋_GB2312" w:eastAsia="仿宋_GB2312" w:cs="仿宋_GB2312"/>
          <w:sz w:val="32"/>
          <w:highlight w:val="none"/>
        </w:rPr>
        <w:t>。</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387" w:name="_Toc23442"/>
      <w:bookmarkStart w:id="388" w:name="_Toc13525"/>
      <w:bookmarkStart w:id="389" w:name="_Toc9190"/>
      <w:bookmarkStart w:id="390" w:name="_Toc227221678"/>
      <w:bookmarkStart w:id="391" w:name="_Toc21808"/>
      <w:bookmarkStart w:id="392" w:name="_Toc10709"/>
      <w:bookmarkStart w:id="393" w:name="_Toc7457"/>
      <w:bookmarkStart w:id="394" w:name="_Toc27555"/>
      <w:bookmarkStart w:id="395" w:name="_Toc7307"/>
      <w:bookmarkStart w:id="396" w:name="_Toc8896"/>
      <w:r>
        <w:rPr>
          <w:rFonts w:hint="eastAsia" w:ascii="楷体_GB2312" w:hAnsi="黑体" w:eastAsia="楷体_GB2312" w:cs="黑体"/>
          <w:color w:val="auto"/>
          <w:sz w:val="32"/>
          <w:szCs w:val="36"/>
          <w:highlight w:val="none"/>
          <w:lang w:val="en-US" w:eastAsia="zh-CN"/>
        </w:rPr>
        <w:t>（七）老山全龄宜居幸福城</w:t>
      </w:r>
      <w:bookmarkEnd w:id="387"/>
      <w:bookmarkEnd w:id="388"/>
      <w:bookmarkEnd w:id="389"/>
      <w:bookmarkEnd w:id="390"/>
      <w:bookmarkEnd w:id="391"/>
      <w:bookmarkEnd w:id="392"/>
      <w:bookmarkEnd w:id="393"/>
      <w:r>
        <w:rPr>
          <w:rFonts w:hint="eastAsia" w:ascii="楷体_GB2312" w:hAnsi="黑体" w:eastAsia="楷体_GB2312" w:cs="黑体"/>
          <w:color w:val="auto"/>
          <w:sz w:val="32"/>
          <w:szCs w:val="36"/>
          <w:highlight w:val="none"/>
          <w:lang w:val="en-US" w:eastAsia="zh-CN"/>
        </w:rPr>
        <w:t>更新片区</w:t>
      </w:r>
      <w:bookmarkEnd w:id="394"/>
      <w:bookmarkEnd w:id="395"/>
      <w:bookmarkEnd w:id="396"/>
    </w:p>
    <w:p>
      <w:pPr>
        <w:spacing w:line="560" w:lineRule="exact"/>
        <w:ind w:firstLine="640" w:firstLineChars="200"/>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lang w:val="en-US" w:eastAsia="zh-CN"/>
        </w:rPr>
        <w:t>推动自剑中心</w:t>
      </w:r>
      <w:r>
        <w:rPr>
          <w:rFonts w:hint="eastAsia" w:ascii="仿宋_GB2312" w:hAnsi="仿宋_GB2312" w:eastAsia="仿宋_GB2312" w:cs="仿宋_GB2312"/>
          <w:sz w:val="32"/>
          <w:highlight w:val="none"/>
        </w:rPr>
        <w:t>完善体育消费、骑行体验、文创零售业态</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推进</w:t>
      </w:r>
      <w:r>
        <w:rPr>
          <w:rFonts w:hint="eastAsia" w:ascii="仿宋_GB2312" w:hAnsi="仿宋_GB2312" w:eastAsia="仿宋_GB2312" w:cs="仿宋_GB2312"/>
          <w:sz w:val="32"/>
          <w:highlight w:val="none"/>
        </w:rPr>
        <w:t>老山完整社区实施锅炉房改造、</w:t>
      </w:r>
      <w:r>
        <w:rPr>
          <w:rFonts w:hint="eastAsia" w:ascii="仿宋_GB2312" w:hAnsi="仿宋_GB2312" w:eastAsia="仿宋_GB2312" w:cs="仿宋_GB2312"/>
          <w:sz w:val="32"/>
          <w:highlight w:val="none"/>
          <w:lang w:val="en-US" w:eastAsia="zh-CN"/>
        </w:rPr>
        <w:t>养老设施提升</w:t>
      </w:r>
      <w:r>
        <w:rPr>
          <w:rFonts w:hint="eastAsia" w:ascii="仿宋_GB2312" w:hAnsi="仿宋_GB2312" w:eastAsia="仿宋_GB2312" w:cs="仿宋_GB2312"/>
          <w:sz w:val="32"/>
          <w:highlight w:val="none"/>
        </w:rPr>
        <w:t>等项目，完善</w:t>
      </w:r>
      <w:r>
        <w:rPr>
          <w:rFonts w:hint="eastAsia" w:ascii="Times New Roman" w:hAnsi="Times New Roman" w:eastAsia="仿宋_GB2312" w:cs="Times New Roman"/>
          <w:kern w:val="0"/>
          <w:sz w:val="32"/>
          <w:szCs w:val="32"/>
          <w:highlight w:val="none"/>
        </w:rPr>
        <w:t>“15分</w:t>
      </w:r>
      <w:r>
        <w:rPr>
          <w:rFonts w:hint="eastAsia" w:ascii="仿宋_GB2312" w:hAnsi="仿宋_GB2312" w:eastAsia="仿宋_GB2312" w:cs="仿宋_GB2312"/>
          <w:sz w:val="32"/>
          <w:highlight w:val="none"/>
        </w:rPr>
        <w:t>钟生活圈”场景。</w:t>
      </w: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spacing w:after="0" w:line="560" w:lineRule="exact"/>
        <w:ind w:firstLine="640" w:firstLineChars="200"/>
        <w:textAlignment w:val="center"/>
        <w:outlineLvl w:val="0"/>
        <w:rPr>
          <w:rFonts w:hint="eastAsia" w:ascii="黑体" w:hAnsi="黑体" w:eastAsia="黑体" w:cs="黑体"/>
          <w:color w:val="auto"/>
          <w:sz w:val="32"/>
          <w:szCs w:val="36"/>
          <w:highlight w:val="none"/>
          <w:lang w:val="en-US" w:eastAsia="zh-CN"/>
        </w:rPr>
      </w:pPr>
      <w:bookmarkStart w:id="397" w:name="_Toc227221679"/>
      <w:bookmarkStart w:id="398" w:name="_Toc27633"/>
      <w:bookmarkStart w:id="399" w:name="_Toc12300"/>
      <w:bookmarkStart w:id="400" w:name="_Toc3087"/>
      <w:bookmarkStart w:id="401" w:name="_Toc11343"/>
      <w:bookmarkStart w:id="402" w:name="_Toc27878"/>
      <w:bookmarkStart w:id="403" w:name="_Toc29589"/>
      <w:bookmarkStart w:id="404" w:name="_Toc2674"/>
      <w:bookmarkStart w:id="405" w:name="_Toc9577"/>
      <w:bookmarkStart w:id="406" w:name="_Toc12253"/>
      <w:bookmarkStart w:id="407" w:name="_Toc20"/>
      <w:bookmarkStart w:id="408" w:name="_Toc2859"/>
      <w:bookmarkStart w:id="409" w:name="_Toc10522"/>
      <w:r>
        <w:rPr>
          <w:rFonts w:hint="eastAsia" w:ascii="黑体" w:hAnsi="黑体" w:eastAsia="黑体" w:cs="黑体"/>
          <w:color w:val="auto"/>
          <w:sz w:val="32"/>
          <w:szCs w:val="36"/>
          <w:highlight w:val="none"/>
          <w:lang w:val="en-US" w:eastAsia="zh-CN"/>
        </w:rPr>
        <w:t>五、保障措施</w:t>
      </w:r>
      <w:bookmarkEnd w:id="321"/>
      <w:bookmarkEnd w:id="322"/>
      <w:bookmarkEnd w:id="397"/>
      <w:bookmarkEnd w:id="398"/>
      <w:bookmarkEnd w:id="399"/>
      <w:bookmarkEnd w:id="400"/>
      <w:bookmarkEnd w:id="401"/>
      <w:bookmarkEnd w:id="402"/>
      <w:bookmarkEnd w:id="403"/>
      <w:bookmarkEnd w:id="404"/>
      <w:bookmarkEnd w:id="405"/>
      <w:bookmarkEnd w:id="406"/>
      <w:bookmarkEnd w:id="407"/>
      <w:bookmarkEnd w:id="408"/>
      <w:bookmarkEnd w:id="409"/>
    </w:p>
    <w:p>
      <w:pPr>
        <w:spacing w:line="560" w:lineRule="exact"/>
        <w:ind w:firstLine="640" w:firstLineChars="200"/>
        <w:rPr>
          <w:rFonts w:hint="eastAsia" w:ascii="仿宋_GB2312" w:hAnsi="仿宋_GB2312" w:eastAsia="仿宋_GB2312"/>
          <w:sz w:val="32"/>
          <w:szCs w:val="32"/>
          <w:highlight w:val="none"/>
        </w:rPr>
      </w:pPr>
      <w:bookmarkStart w:id="410" w:name="_Toc11465"/>
      <w:bookmarkStart w:id="411" w:name="_Toc13403"/>
      <w:bookmarkStart w:id="412" w:name="_Toc17970"/>
      <w:bookmarkStart w:id="413" w:name="_Toc23465"/>
      <w:bookmarkStart w:id="414" w:name="_Toc227221680"/>
      <w:bookmarkStart w:id="415" w:name="_Toc10843"/>
      <w:bookmarkStart w:id="416" w:name="_Toc19306"/>
      <w:bookmarkStart w:id="417" w:name="_Toc13192"/>
      <w:bookmarkStart w:id="418" w:name="_Toc5214"/>
      <w:bookmarkStart w:id="419" w:name="_Toc1773_WPSOffice_Level2"/>
      <w:bookmarkStart w:id="420" w:name="_Toc24971_WPSOffice_Level2"/>
      <w:bookmarkStart w:id="421" w:name="_Toc28934_WPSOffice_Level2"/>
      <w:r>
        <w:rPr>
          <w:rFonts w:hint="eastAsia" w:ascii="仿宋_GB2312" w:hAnsi="仿宋_GB2312" w:eastAsia="仿宋_GB2312"/>
          <w:sz w:val="32"/>
          <w:szCs w:val="32"/>
          <w:highlight w:val="none"/>
        </w:rPr>
        <w:t>要</w:t>
      </w:r>
      <w:r>
        <w:rPr>
          <w:rFonts w:hint="eastAsia" w:ascii="仿宋_GB2312" w:hAnsi="仿宋_GB2312" w:eastAsia="仿宋_GB2312" w:cs="仿宋_GB2312"/>
          <w:kern w:val="44"/>
          <w:sz w:val="32"/>
          <w:szCs w:val="32"/>
          <w:highlight w:val="none"/>
        </w:rPr>
        <w:t>把城市更新作为做好城市工作的总抓手，</w:t>
      </w:r>
      <w:r>
        <w:rPr>
          <w:rFonts w:hint="eastAsia" w:ascii="仿宋_GB2312" w:hAnsi="仿宋_GB2312" w:eastAsia="仿宋_GB2312"/>
          <w:sz w:val="32"/>
          <w:szCs w:val="32"/>
          <w:highlight w:val="none"/>
        </w:rPr>
        <w:t>坚持党的全面领导，强化各部门主体责任，以问题</w:t>
      </w:r>
      <w:r>
        <w:rPr>
          <w:rFonts w:hint="eastAsia" w:ascii="仿宋_GB2312" w:hAnsi="仿宋_GB2312" w:eastAsia="仿宋_GB2312"/>
          <w:sz w:val="32"/>
          <w:szCs w:val="32"/>
          <w:highlight w:val="none"/>
          <w:lang w:eastAsia="zh-CN"/>
        </w:rPr>
        <w:t>为</w:t>
      </w:r>
      <w:r>
        <w:rPr>
          <w:rFonts w:hint="eastAsia" w:ascii="仿宋_GB2312" w:hAnsi="仿宋_GB2312" w:eastAsia="仿宋_GB2312"/>
          <w:sz w:val="32"/>
          <w:szCs w:val="32"/>
          <w:highlight w:val="none"/>
        </w:rPr>
        <w:t>导向确保项目实效，加强政策保障，确保规划目标如期实现、各项任务圆满完成。</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422" w:name="_Toc10668"/>
      <w:r>
        <w:rPr>
          <w:rFonts w:hint="eastAsia" w:ascii="楷体_GB2312" w:hAnsi="黑体" w:eastAsia="楷体_GB2312" w:cs="黑体"/>
          <w:color w:val="auto"/>
          <w:sz w:val="32"/>
          <w:szCs w:val="36"/>
          <w:highlight w:val="none"/>
          <w:lang w:val="en-US" w:eastAsia="zh-CN"/>
        </w:rPr>
        <w:t>（一）强化统筹协同</w:t>
      </w:r>
      <w:bookmarkEnd w:id="410"/>
      <w:bookmarkEnd w:id="411"/>
      <w:bookmarkEnd w:id="412"/>
      <w:bookmarkEnd w:id="413"/>
      <w:bookmarkEnd w:id="414"/>
      <w:bookmarkEnd w:id="415"/>
      <w:bookmarkEnd w:id="416"/>
      <w:bookmarkEnd w:id="417"/>
      <w:bookmarkEnd w:id="418"/>
      <w:bookmarkEnd w:id="422"/>
    </w:p>
    <w:p>
      <w:pPr>
        <w:spacing w:line="560" w:lineRule="exact"/>
        <w:ind w:firstLine="640" w:firstLineChars="200"/>
        <w:rPr>
          <w:rFonts w:hint="eastAsia" w:ascii="仿宋_GB2312" w:hAnsi="仿宋_GB2312" w:eastAsia="仿宋_GB2312"/>
          <w:sz w:val="32"/>
          <w:szCs w:val="32"/>
          <w:highlight w:val="none"/>
        </w:rPr>
      </w:pPr>
      <w:r>
        <w:rPr>
          <w:rFonts w:hint="eastAsia" w:ascii="Times New Roman" w:hAnsi="Times New Roman" w:eastAsia="仿宋_GB2312"/>
          <w:sz w:val="32"/>
          <w:szCs w:val="32"/>
          <w:highlight w:val="none"/>
        </w:rPr>
        <w:t>坚持全区“一盘棋”，构建上下联动、协同推进格局。</w:t>
      </w:r>
      <w:r>
        <w:rPr>
          <w:rFonts w:hint="eastAsia" w:ascii="Times New Roman" w:hAnsi="Times New Roman" w:eastAsia="仿宋_GB2312"/>
          <w:sz w:val="32"/>
          <w:szCs w:val="32"/>
          <w:highlight w:val="none"/>
          <w:lang w:val="en-US" w:eastAsia="zh-CN"/>
        </w:rPr>
        <w:t>城市更新</w:t>
      </w:r>
      <w:r>
        <w:rPr>
          <w:rFonts w:hint="eastAsia" w:ascii="Times New Roman" w:hAnsi="Times New Roman" w:eastAsia="仿宋_GB2312"/>
          <w:sz w:val="32"/>
          <w:szCs w:val="32"/>
          <w:highlight w:val="none"/>
        </w:rPr>
        <w:t>专班统筹协调，各成员单位各司其职，深化跨部门、跨街道、政企协同，形成政府引导、市场运作、公众参与的可持续模式。</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423" w:name="_Toc17999"/>
      <w:bookmarkStart w:id="424" w:name="_Toc3383"/>
      <w:bookmarkStart w:id="425" w:name="_Toc1897"/>
      <w:bookmarkStart w:id="426" w:name="_Toc17344"/>
      <w:bookmarkStart w:id="427" w:name="_Toc22454"/>
      <w:bookmarkStart w:id="428" w:name="_Toc10366"/>
      <w:bookmarkStart w:id="429" w:name="_Toc31304"/>
      <w:bookmarkStart w:id="430" w:name="_Toc227221681"/>
      <w:bookmarkStart w:id="431" w:name="_Toc21169"/>
      <w:bookmarkStart w:id="432" w:name="_Toc30904"/>
      <w:bookmarkStart w:id="433" w:name="_Toc29338"/>
      <w:bookmarkStart w:id="434" w:name="_Toc5851"/>
      <w:bookmarkStart w:id="435" w:name="_Toc21402"/>
      <w:bookmarkStart w:id="436" w:name="_Toc8976"/>
      <w:bookmarkStart w:id="437" w:name="_Toc4178"/>
      <w:bookmarkStart w:id="438" w:name="_Toc24009"/>
      <w:bookmarkStart w:id="439" w:name="_Toc5849"/>
      <w:bookmarkStart w:id="440" w:name="_Toc5764"/>
      <w:r>
        <w:rPr>
          <w:rFonts w:hint="eastAsia" w:ascii="楷体_GB2312" w:hAnsi="黑体" w:eastAsia="楷体_GB2312" w:cs="黑体"/>
          <w:color w:val="auto"/>
          <w:sz w:val="32"/>
          <w:szCs w:val="36"/>
          <w:highlight w:val="none"/>
          <w:lang w:val="en-US" w:eastAsia="zh-CN"/>
        </w:rPr>
        <w:t>（二）突出</w:t>
      </w:r>
      <w:bookmarkEnd w:id="423"/>
      <w:bookmarkEnd w:id="424"/>
      <w:bookmarkEnd w:id="425"/>
      <w:bookmarkEnd w:id="426"/>
      <w:bookmarkEnd w:id="427"/>
      <w:bookmarkEnd w:id="428"/>
      <w:r>
        <w:rPr>
          <w:rFonts w:hint="eastAsia" w:ascii="楷体_GB2312" w:hAnsi="黑体" w:eastAsia="楷体_GB2312" w:cs="黑体"/>
          <w:color w:val="auto"/>
          <w:sz w:val="32"/>
          <w:szCs w:val="36"/>
          <w:highlight w:val="none"/>
          <w:lang w:val="en-US" w:eastAsia="zh-CN"/>
        </w:rPr>
        <w:t>工作实效</w:t>
      </w:r>
      <w:bookmarkEnd w:id="429"/>
      <w:bookmarkEnd w:id="430"/>
      <w:bookmarkEnd w:id="431"/>
      <w:bookmarkEnd w:id="432"/>
    </w:p>
    <w:p>
      <w:pPr>
        <w:tabs>
          <w:tab w:val="left" w:pos="0"/>
          <w:tab w:val="left" w:pos="1134"/>
        </w:tabs>
        <w:spacing w:line="560" w:lineRule="exact"/>
        <w:ind w:firstLine="640" w:firstLineChars="200"/>
        <w:textAlignment w:val="baseline"/>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以解决实际问题、满足民生需求为导向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实行项目化管理、精准化施策，构建“在建一批、储备一批、谋划一批”良性循环机制，动态完善项目储备库。持续探索更新工作新路径，总结提炼石景山特色模式，形成可复制可推广的经验成果。</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441" w:name="_Toc480"/>
      <w:bookmarkStart w:id="442" w:name="_Toc28782"/>
      <w:bookmarkStart w:id="443" w:name="_Toc227221682"/>
      <w:bookmarkStart w:id="444" w:name="_Toc1258"/>
      <w:bookmarkStart w:id="445" w:name="_Toc15570"/>
      <w:bookmarkStart w:id="446" w:name="_Toc18429"/>
      <w:bookmarkStart w:id="447" w:name="_Toc29517"/>
      <w:bookmarkStart w:id="448" w:name="_Toc13909"/>
      <w:bookmarkStart w:id="449" w:name="_Toc12411"/>
      <w:bookmarkStart w:id="450" w:name="_Toc2624"/>
      <w:r>
        <w:rPr>
          <w:rFonts w:hint="eastAsia" w:ascii="楷体_GB2312" w:hAnsi="黑体" w:eastAsia="楷体_GB2312" w:cs="黑体"/>
          <w:color w:val="auto"/>
          <w:sz w:val="32"/>
          <w:szCs w:val="36"/>
          <w:highlight w:val="none"/>
          <w:lang w:val="en-US" w:eastAsia="zh-CN"/>
        </w:rPr>
        <w:t>（三）完善政策支撑</w:t>
      </w:r>
      <w:bookmarkEnd w:id="441"/>
      <w:bookmarkEnd w:id="442"/>
      <w:bookmarkEnd w:id="443"/>
      <w:bookmarkEnd w:id="444"/>
      <w:bookmarkEnd w:id="445"/>
      <w:bookmarkEnd w:id="446"/>
      <w:bookmarkEnd w:id="447"/>
      <w:bookmarkEnd w:id="448"/>
      <w:bookmarkEnd w:id="449"/>
      <w:bookmarkEnd w:id="450"/>
    </w:p>
    <w:p>
      <w:pPr>
        <w:tabs>
          <w:tab w:val="left" w:pos="0"/>
          <w:tab w:val="left" w:pos="1134"/>
        </w:tabs>
        <w:spacing w:line="560" w:lineRule="exact"/>
        <w:ind w:firstLine="640" w:firstLineChars="200"/>
        <w:textAlignment w:val="baseline"/>
        <w:rPr>
          <w:rFonts w:hint="eastAsia" w:ascii="仿宋_GB2312" w:hAnsi="仿宋_GB2312" w:eastAsia="仿宋_GB2312" w:cs="仿宋_GB2312"/>
          <w:sz w:val="32"/>
          <w:szCs w:val="20"/>
          <w:highlight w:val="none"/>
        </w:rPr>
      </w:pPr>
      <w:r>
        <w:rPr>
          <w:rFonts w:hint="eastAsia" w:ascii="Times New Roman" w:hAnsi="Times New Roman" w:eastAsia="仿宋_GB2312"/>
          <w:sz w:val="32"/>
          <w:szCs w:val="32"/>
          <w:highlight w:val="none"/>
        </w:rPr>
        <w:t>积极争取中央、市级资金及</w:t>
      </w:r>
      <w:r>
        <w:rPr>
          <w:rFonts w:hint="eastAsia" w:ascii="Times New Roman" w:hAnsi="Times New Roman" w:eastAsia="仿宋_GB2312"/>
          <w:sz w:val="32"/>
          <w:szCs w:val="32"/>
          <w:highlight w:val="none"/>
          <w:lang w:val="en-US" w:eastAsia="zh-CN"/>
        </w:rPr>
        <w:t>建筑规模</w:t>
      </w:r>
      <w:r>
        <w:rPr>
          <w:rFonts w:hint="eastAsia" w:ascii="Times New Roman" w:hAnsi="Times New Roman" w:eastAsia="仿宋_GB2312"/>
          <w:sz w:val="32"/>
          <w:szCs w:val="32"/>
          <w:highlight w:val="none"/>
        </w:rPr>
        <w:t>指标支持，精准对接市级城市更新政策激励工具箱，推动财政、金融、土地等各类政策同向发力、形成合力</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形成</w:t>
      </w:r>
      <w:r>
        <w:rPr>
          <w:rFonts w:hint="eastAsia" w:ascii="Times New Roman" w:hAnsi="Times New Roman" w:eastAsia="仿宋_GB2312"/>
          <w:sz w:val="32"/>
          <w:szCs w:val="32"/>
          <w:highlight w:val="none"/>
        </w:rPr>
        <w:t>“政策—项目”匹配台账。深化“先体检、后改造”机制，优化审批服务，营造实干争先氛围。</w:t>
      </w:r>
    </w:p>
    <w:p>
      <w:pPr>
        <w:spacing w:after="0" w:line="560" w:lineRule="exact"/>
        <w:ind w:firstLine="640" w:firstLineChars="200"/>
        <w:textAlignment w:val="center"/>
        <w:outlineLvl w:val="1"/>
        <w:rPr>
          <w:rFonts w:hint="eastAsia" w:ascii="楷体_GB2312" w:hAnsi="黑体" w:eastAsia="楷体_GB2312" w:cs="黑体"/>
          <w:color w:val="auto"/>
          <w:sz w:val="32"/>
          <w:szCs w:val="36"/>
          <w:highlight w:val="none"/>
          <w:lang w:val="en-US" w:eastAsia="zh-CN"/>
        </w:rPr>
      </w:pPr>
      <w:bookmarkStart w:id="451" w:name="_Toc227221683"/>
      <w:bookmarkStart w:id="452" w:name="_Toc6607"/>
      <w:bookmarkStart w:id="453" w:name="_Toc7340"/>
      <w:bookmarkStart w:id="454" w:name="_Toc15904"/>
      <w:bookmarkStart w:id="455" w:name="_Toc1389"/>
      <w:bookmarkStart w:id="456" w:name="_Toc2566"/>
      <w:bookmarkStart w:id="457" w:name="_Toc23828"/>
      <w:bookmarkStart w:id="458" w:name="_Toc6154"/>
      <w:bookmarkStart w:id="459" w:name="_Toc8287"/>
      <w:bookmarkStart w:id="460" w:name="_Toc18683"/>
      <w:r>
        <w:rPr>
          <w:rFonts w:hint="eastAsia" w:ascii="楷体_GB2312" w:hAnsi="黑体" w:eastAsia="楷体_GB2312" w:cs="黑体"/>
          <w:color w:val="auto"/>
          <w:sz w:val="32"/>
          <w:szCs w:val="36"/>
          <w:highlight w:val="none"/>
          <w:lang w:val="en-US" w:eastAsia="zh-CN"/>
        </w:rPr>
        <w:t>（四）加强调度管理</w:t>
      </w:r>
      <w:bookmarkEnd w:id="451"/>
      <w:bookmarkEnd w:id="452"/>
      <w:bookmarkEnd w:id="453"/>
      <w:bookmarkEnd w:id="454"/>
      <w:bookmarkEnd w:id="455"/>
      <w:bookmarkEnd w:id="456"/>
      <w:bookmarkEnd w:id="457"/>
      <w:bookmarkEnd w:id="458"/>
      <w:bookmarkEnd w:id="459"/>
      <w:bookmarkEnd w:id="460"/>
    </w:p>
    <w:p>
      <w:pPr>
        <w:widowControl/>
        <w:tabs>
          <w:tab w:val="left" w:pos="0"/>
          <w:tab w:val="left" w:pos="1134"/>
        </w:tabs>
        <w:spacing w:line="560" w:lineRule="exact"/>
        <w:ind w:firstLine="640" w:firstLineChars="200"/>
        <w:textAlignment w:val="baseline"/>
        <w:rPr>
          <w:rFonts w:hint="eastAsia" w:ascii="仿宋_GB2312" w:hAnsi="仿宋_GB2312" w:eastAsia="仿宋_GB2312" w:cs="仿宋_GB2312"/>
          <w:sz w:val="32"/>
          <w:szCs w:val="20"/>
          <w:highlight w:val="none"/>
          <w:lang w:val="en-US" w:eastAsia="zh-CN"/>
        </w:rPr>
      </w:pPr>
      <w:r>
        <w:rPr>
          <w:rFonts w:hint="eastAsia" w:ascii="Times New Roman" w:hAnsi="Times New Roman" w:eastAsia="仿宋_GB2312"/>
          <w:sz w:val="32"/>
          <w:szCs w:val="32"/>
          <w:highlight w:val="none"/>
        </w:rPr>
        <w:t>建立全流程闭环管理机制，实行一般事项会商、重难点专题调度、重大事项统筹调度的分级分类机制。推行清单化管理、项目化推进，强化全周期管理，推动重点任务落地见效。将更新工作纳入政府绩效考核，强化督查考核与结果运用。</w:t>
      </w:r>
      <w:bookmarkEnd w:id="419"/>
      <w:bookmarkEnd w:id="420"/>
      <w:bookmarkEnd w:id="421"/>
      <w:bookmarkEnd w:id="433"/>
      <w:bookmarkEnd w:id="434"/>
      <w:bookmarkEnd w:id="435"/>
      <w:bookmarkEnd w:id="436"/>
      <w:bookmarkEnd w:id="437"/>
      <w:bookmarkEnd w:id="438"/>
      <w:bookmarkEnd w:id="439"/>
      <w:bookmarkEnd w:id="440"/>
      <w:r>
        <w:rPr>
          <w:rFonts w:hint="eastAsia" w:ascii="Times New Roman" w:hAnsi="Times New Roman" w:eastAsia="仿宋_GB2312"/>
          <w:sz w:val="32"/>
          <w:szCs w:val="32"/>
          <w:highlight w:val="none"/>
          <w:lang w:val="en-US" w:eastAsia="zh-CN"/>
        </w:rPr>
        <w:t xml:space="preserve"> </w:t>
      </w:r>
    </w:p>
    <w:sectPr>
      <w:footerReference r:id="rId4"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11"/>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wMmJjY2FmYzY5OTVmZjJmOWQzZDRjNzNkNTIyYTgifQ=="/>
  </w:docVars>
  <w:rsids>
    <w:rsidRoot w:val="00172A27"/>
    <w:rsid w:val="00001C39"/>
    <w:rsid w:val="000633D0"/>
    <w:rsid w:val="000C0D96"/>
    <w:rsid w:val="000F2DFE"/>
    <w:rsid w:val="00127CDE"/>
    <w:rsid w:val="00156FCC"/>
    <w:rsid w:val="00172A27"/>
    <w:rsid w:val="00186B3F"/>
    <w:rsid w:val="00190738"/>
    <w:rsid w:val="002B384D"/>
    <w:rsid w:val="002F42E8"/>
    <w:rsid w:val="00377268"/>
    <w:rsid w:val="003B7404"/>
    <w:rsid w:val="00440C7A"/>
    <w:rsid w:val="006339D2"/>
    <w:rsid w:val="006954B8"/>
    <w:rsid w:val="00723073"/>
    <w:rsid w:val="00751D80"/>
    <w:rsid w:val="00767E10"/>
    <w:rsid w:val="007C77FF"/>
    <w:rsid w:val="00800047"/>
    <w:rsid w:val="00826C55"/>
    <w:rsid w:val="008B16B7"/>
    <w:rsid w:val="009948BE"/>
    <w:rsid w:val="009A49EF"/>
    <w:rsid w:val="00AD426A"/>
    <w:rsid w:val="00AD4FC4"/>
    <w:rsid w:val="00B43F41"/>
    <w:rsid w:val="00BA5231"/>
    <w:rsid w:val="00BF414F"/>
    <w:rsid w:val="00C35B2C"/>
    <w:rsid w:val="00CB0645"/>
    <w:rsid w:val="00D40C1B"/>
    <w:rsid w:val="00DA487E"/>
    <w:rsid w:val="00DF5F1A"/>
    <w:rsid w:val="00E16FE2"/>
    <w:rsid w:val="00F25605"/>
    <w:rsid w:val="00FE6B21"/>
    <w:rsid w:val="0104120D"/>
    <w:rsid w:val="01320816"/>
    <w:rsid w:val="013A205F"/>
    <w:rsid w:val="015D480A"/>
    <w:rsid w:val="018A58CB"/>
    <w:rsid w:val="01A23544"/>
    <w:rsid w:val="01AB4476"/>
    <w:rsid w:val="021C0261"/>
    <w:rsid w:val="024A18B2"/>
    <w:rsid w:val="02555ED9"/>
    <w:rsid w:val="02B25F30"/>
    <w:rsid w:val="02D83B26"/>
    <w:rsid w:val="032121AE"/>
    <w:rsid w:val="03276F2B"/>
    <w:rsid w:val="03A66BE1"/>
    <w:rsid w:val="03C87CEF"/>
    <w:rsid w:val="03ED586F"/>
    <w:rsid w:val="044D7DB2"/>
    <w:rsid w:val="04644F91"/>
    <w:rsid w:val="05544B2E"/>
    <w:rsid w:val="056F2E0E"/>
    <w:rsid w:val="057B5C57"/>
    <w:rsid w:val="057D7F69"/>
    <w:rsid w:val="05CF1F37"/>
    <w:rsid w:val="05EE3E01"/>
    <w:rsid w:val="05FC440B"/>
    <w:rsid w:val="0624723D"/>
    <w:rsid w:val="066C4DB0"/>
    <w:rsid w:val="06754492"/>
    <w:rsid w:val="06B13BAC"/>
    <w:rsid w:val="0721638A"/>
    <w:rsid w:val="07530DCD"/>
    <w:rsid w:val="07560905"/>
    <w:rsid w:val="077B1AF9"/>
    <w:rsid w:val="07B843EE"/>
    <w:rsid w:val="07CB2B57"/>
    <w:rsid w:val="07D903A5"/>
    <w:rsid w:val="07DD0E6A"/>
    <w:rsid w:val="07FF6B97"/>
    <w:rsid w:val="08270DF9"/>
    <w:rsid w:val="086B4C5E"/>
    <w:rsid w:val="087A18D6"/>
    <w:rsid w:val="08B30ABA"/>
    <w:rsid w:val="08D27A44"/>
    <w:rsid w:val="09115EBB"/>
    <w:rsid w:val="096A703F"/>
    <w:rsid w:val="09A43B83"/>
    <w:rsid w:val="09D64841"/>
    <w:rsid w:val="0A040114"/>
    <w:rsid w:val="0A297AE3"/>
    <w:rsid w:val="0A87717F"/>
    <w:rsid w:val="0A913826"/>
    <w:rsid w:val="0AC27E84"/>
    <w:rsid w:val="0BB26CC6"/>
    <w:rsid w:val="0BB8447D"/>
    <w:rsid w:val="0BE24509"/>
    <w:rsid w:val="0C2226EA"/>
    <w:rsid w:val="0C2B0E1B"/>
    <w:rsid w:val="0C2B577E"/>
    <w:rsid w:val="0C72448D"/>
    <w:rsid w:val="0CA20820"/>
    <w:rsid w:val="0CBA3A9A"/>
    <w:rsid w:val="0CFE3844"/>
    <w:rsid w:val="0D3727A8"/>
    <w:rsid w:val="0D395874"/>
    <w:rsid w:val="0DC46073"/>
    <w:rsid w:val="0DEE7B9E"/>
    <w:rsid w:val="0E1846B8"/>
    <w:rsid w:val="0EA51596"/>
    <w:rsid w:val="0EF666C0"/>
    <w:rsid w:val="0F255409"/>
    <w:rsid w:val="0F361B46"/>
    <w:rsid w:val="0F5A438C"/>
    <w:rsid w:val="0FD3668F"/>
    <w:rsid w:val="10100D53"/>
    <w:rsid w:val="10497BF3"/>
    <w:rsid w:val="10503F84"/>
    <w:rsid w:val="1069324B"/>
    <w:rsid w:val="10774A6F"/>
    <w:rsid w:val="10BC19E2"/>
    <w:rsid w:val="10C34DC6"/>
    <w:rsid w:val="11FF2493"/>
    <w:rsid w:val="121D4763"/>
    <w:rsid w:val="125F7FF5"/>
    <w:rsid w:val="126E2649"/>
    <w:rsid w:val="12F17558"/>
    <w:rsid w:val="135E2EF0"/>
    <w:rsid w:val="13794260"/>
    <w:rsid w:val="13F86F7E"/>
    <w:rsid w:val="14D33B15"/>
    <w:rsid w:val="15C76EBD"/>
    <w:rsid w:val="15CF224B"/>
    <w:rsid w:val="15D14C45"/>
    <w:rsid w:val="15D94609"/>
    <w:rsid w:val="160F5E47"/>
    <w:rsid w:val="16AA2CCB"/>
    <w:rsid w:val="16CD206D"/>
    <w:rsid w:val="16FC68E8"/>
    <w:rsid w:val="176B10D9"/>
    <w:rsid w:val="178C23AD"/>
    <w:rsid w:val="178E3DEE"/>
    <w:rsid w:val="17CA0279"/>
    <w:rsid w:val="17E70043"/>
    <w:rsid w:val="17FA4C91"/>
    <w:rsid w:val="182C006E"/>
    <w:rsid w:val="18C010AA"/>
    <w:rsid w:val="19292A32"/>
    <w:rsid w:val="199E28A8"/>
    <w:rsid w:val="19A114CF"/>
    <w:rsid w:val="19D706F0"/>
    <w:rsid w:val="1B4D7F37"/>
    <w:rsid w:val="1B603F81"/>
    <w:rsid w:val="1B75653F"/>
    <w:rsid w:val="1B7F3408"/>
    <w:rsid w:val="1B941D33"/>
    <w:rsid w:val="1BA47DC7"/>
    <w:rsid w:val="1BBC5511"/>
    <w:rsid w:val="1BFDF8AE"/>
    <w:rsid w:val="1C097495"/>
    <w:rsid w:val="1C433552"/>
    <w:rsid w:val="1C6B0A76"/>
    <w:rsid w:val="1CD959DC"/>
    <w:rsid w:val="1D277B19"/>
    <w:rsid w:val="1D3136F5"/>
    <w:rsid w:val="1D3F1E9F"/>
    <w:rsid w:val="1D6A4D92"/>
    <w:rsid w:val="1D7437D3"/>
    <w:rsid w:val="1DCC746F"/>
    <w:rsid w:val="1DF86A3B"/>
    <w:rsid w:val="1E003659"/>
    <w:rsid w:val="1E0D487F"/>
    <w:rsid w:val="1E805F61"/>
    <w:rsid w:val="1ECD337E"/>
    <w:rsid w:val="1EDD5DB0"/>
    <w:rsid w:val="1F3C2C16"/>
    <w:rsid w:val="1F695F97"/>
    <w:rsid w:val="1F8E509E"/>
    <w:rsid w:val="1FB3452C"/>
    <w:rsid w:val="1FBB5986"/>
    <w:rsid w:val="20297E12"/>
    <w:rsid w:val="20902F07"/>
    <w:rsid w:val="2091297F"/>
    <w:rsid w:val="20967991"/>
    <w:rsid w:val="20997B77"/>
    <w:rsid w:val="209C6DC5"/>
    <w:rsid w:val="20BA777E"/>
    <w:rsid w:val="217E8F92"/>
    <w:rsid w:val="21A8694D"/>
    <w:rsid w:val="21F0564C"/>
    <w:rsid w:val="22895031"/>
    <w:rsid w:val="228A6A75"/>
    <w:rsid w:val="22EB3A83"/>
    <w:rsid w:val="230D0FBD"/>
    <w:rsid w:val="233830CF"/>
    <w:rsid w:val="236553F8"/>
    <w:rsid w:val="23A35D59"/>
    <w:rsid w:val="23BD5763"/>
    <w:rsid w:val="23C14A36"/>
    <w:rsid w:val="23F46A7A"/>
    <w:rsid w:val="244717C1"/>
    <w:rsid w:val="24681519"/>
    <w:rsid w:val="24C344D8"/>
    <w:rsid w:val="24D96DDB"/>
    <w:rsid w:val="25763F92"/>
    <w:rsid w:val="2596059C"/>
    <w:rsid w:val="261C2AFF"/>
    <w:rsid w:val="269E759F"/>
    <w:rsid w:val="26C00D5C"/>
    <w:rsid w:val="26F90547"/>
    <w:rsid w:val="26FA2776"/>
    <w:rsid w:val="27013767"/>
    <w:rsid w:val="27436777"/>
    <w:rsid w:val="276A7481"/>
    <w:rsid w:val="27856E31"/>
    <w:rsid w:val="279F584C"/>
    <w:rsid w:val="284F6F50"/>
    <w:rsid w:val="28963BA5"/>
    <w:rsid w:val="289E3EC6"/>
    <w:rsid w:val="28B5242D"/>
    <w:rsid w:val="28D85C6E"/>
    <w:rsid w:val="28E929E2"/>
    <w:rsid w:val="28FD260E"/>
    <w:rsid w:val="29190BFA"/>
    <w:rsid w:val="2983572B"/>
    <w:rsid w:val="29A0576C"/>
    <w:rsid w:val="29C71EB6"/>
    <w:rsid w:val="29FB11D2"/>
    <w:rsid w:val="2A3A36B2"/>
    <w:rsid w:val="2A571416"/>
    <w:rsid w:val="2A5F4BFE"/>
    <w:rsid w:val="2A7823B1"/>
    <w:rsid w:val="2A91202A"/>
    <w:rsid w:val="2A945956"/>
    <w:rsid w:val="2ADC158A"/>
    <w:rsid w:val="2AF07C9E"/>
    <w:rsid w:val="2B780EB5"/>
    <w:rsid w:val="2BBE65D0"/>
    <w:rsid w:val="2BEB3B76"/>
    <w:rsid w:val="2C2F3CB5"/>
    <w:rsid w:val="2C4250E6"/>
    <w:rsid w:val="2C6365A5"/>
    <w:rsid w:val="2C692B16"/>
    <w:rsid w:val="2C78505A"/>
    <w:rsid w:val="2CD7222C"/>
    <w:rsid w:val="2D315C2B"/>
    <w:rsid w:val="2D5857A3"/>
    <w:rsid w:val="2D755430"/>
    <w:rsid w:val="2D940755"/>
    <w:rsid w:val="2DA03593"/>
    <w:rsid w:val="2DB83AA0"/>
    <w:rsid w:val="2DC242C5"/>
    <w:rsid w:val="2DFC6014"/>
    <w:rsid w:val="2E200C4F"/>
    <w:rsid w:val="2E9B5505"/>
    <w:rsid w:val="2E9B6FA7"/>
    <w:rsid w:val="2EC2570F"/>
    <w:rsid w:val="2EC819E1"/>
    <w:rsid w:val="2F0A4135"/>
    <w:rsid w:val="2F0B3181"/>
    <w:rsid w:val="2F1E5B41"/>
    <w:rsid w:val="2FAD6416"/>
    <w:rsid w:val="2FB411B3"/>
    <w:rsid w:val="2FD709D8"/>
    <w:rsid w:val="2FDA7E82"/>
    <w:rsid w:val="2FEFCD6F"/>
    <w:rsid w:val="300A2746"/>
    <w:rsid w:val="305D5A9A"/>
    <w:rsid w:val="30655662"/>
    <w:rsid w:val="30655AC7"/>
    <w:rsid w:val="30FE3F19"/>
    <w:rsid w:val="310A7814"/>
    <w:rsid w:val="31342B91"/>
    <w:rsid w:val="314F1064"/>
    <w:rsid w:val="31A91DA2"/>
    <w:rsid w:val="31B3663C"/>
    <w:rsid w:val="32002D04"/>
    <w:rsid w:val="32055492"/>
    <w:rsid w:val="3209294E"/>
    <w:rsid w:val="32114C4F"/>
    <w:rsid w:val="321B43C1"/>
    <w:rsid w:val="322077B2"/>
    <w:rsid w:val="32250554"/>
    <w:rsid w:val="325A7729"/>
    <w:rsid w:val="32697D44"/>
    <w:rsid w:val="32EB4C9C"/>
    <w:rsid w:val="32FA056C"/>
    <w:rsid w:val="33072FCB"/>
    <w:rsid w:val="330D0743"/>
    <w:rsid w:val="330E022F"/>
    <w:rsid w:val="333F2B8C"/>
    <w:rsid w:val="33802506"/>
    <w:rsid w:val="339E5C42"/>
    <w:rsid w:val="33B93A72"/>
    <w:rsid w:val="33BF3C61"/>
    <w:rsid w:val="352C3C6D"/>
    <w:rsid w:val="35606F3F"/>
    <w:rsid w:val="35B40059"/>
    <w:rsid w:val="35CC4F38"/>
    <w:rsid w:val="35D40012"/>
    <w:rsid w:val="35D46518"/>
    <w:rsid w:val="362922C7"/>
    <w:rsid w:val="365ED7C8"/>
    <w:rsid w:val="36D34C4B"/>
    <w:rsid w:val="370329C7"/>
    <w:rsid w:val="37C06065"/>
    <w:rsid w:val="37CD384C"/>
    <w:rsid w:val="38AE298F"/>
    <w:rsid w:val="38B35884"/>
    <w:rsid w:val="38E36381"/>
    <w:rsid w:val="3908192D"/>
    <w:rsid w:val="396E5FB4"/>
    <w:rsid w:val="3978729C"/>
    <w:rsid w:val="3981468E"/>
    <w:rsid w:val="39B05CE5"/>
    <w:rsid w:val="39B12CEE"/>
    <w:rsid w:val="39C16656"/>
    <w:rsid w:val="39F01F39"/>
    <w:rsid w:val="3AAB33F3"/>
    <w:rsid w:val="3AD76819"/>
    <w:rsid w:val="3AD862C4"/>
    <w:rsid w:val="3B0C7174"/>
    <w:rsid w:val="3B3A5CB4"/>
    <w:rsid w:val="3B482680"/>
    <w:rsid w:val="3B87482D"/>
    <w:rsid w:val="3BA77DEB"/>
    <w:rsid w:val="3CC27C3F"/>
    <w:rsid w:val="3CC71547"/>
    <w:rsid w:val="3CCC0165"/>
    <w:rsid w:val="3DD11309"/>
    <w:rsid w:val="3E8A1441"/>
    <w:rsid w:val="3F3D6CC0"/>
    <w:rsid w:val="3F5B79BD"/>
    <w:rsid w:val="3FEB66A9"/>
    <w:rsid w:val="3FEFD04C"/>
    <w:rsid w:val="3FFF3CAE"/>
    <w:rsid w:val="40091625"/>
    <w:rsid w:val="407A60D5"/>
    <w:rsid w:val="40C10099"/>
    <w:rsid w:val="40CD0DE4"/>
    <w:rsid w:val="40F15932"/>
    <w:rsid w:val="4151103E"/>
    <w:rsid w:val="416004D2"/>
    <w:rsid w:val="41B83FA5"/>
    <w:rsid w:val="41BE244C"/>
    <w:rsid w:val="42014579"/>
    <w:rsid w:val="42621B9E"/>
    <w:rsid w:val="429F5698"/>
    <w:rsid w:val="42AE728B"/>
    <w:rsid w:val="42B46F9C"/>
    <w:rsid w:val="42C55BF9"/>
    <w:rsid w:val="435024C3"/>
    <w:rsid w:val="43765079"/>
    <w:rsid w:val="438C45B0"/>
    <w:rsid w:val="4399408B"/>
    <w:rsid w:val="440E76BA"/>
    <w:rsid w:val="441415D5"/>
    <w:rsid w:val="44212457"/>
    <w:rsid w:val="444275F3"/>
    <w:rsid w:val="45374426"/>
    <w:rsid w:val="456B4699"/>
    <w:rsid w:val="457F34E7"/>
    <w:rsid w:val="458A4224"/>
    <w:rsid w:val="459520C6"/>
    <w:rsid w:val="45B86244"/>
    <w:rsid w:val="45DA0F0F"/>
    <w:rsid w:val="46024FFD"/>
    <w:rsid w:val="462F5EA0"/>
    <w:rsid w:val="46413FF3"/>
    <w:rsid w:val="464B42E2"/>
    <w:rsid w:val="465E25F1"/>
    <w:rsid w:val="46D06D57"/>
    <w:rsid w:val="475F7E84"/>
    <w:rsid w:val="47605C21"/>
    <w:rsid w:val="47EE4D13"/>
    <w:rsid w:val="48226E2D"/>
    <w:rsid w:val="482E10DD"/>
    <w:rsid w:val="4892621C"/>
    <w:rsid w:val="48E91028"/>
    <w:rsid w:val="48EA3167"/>
    <w:rsid w:val="490524C5"/>
    <w:rsid w:val="49ED0EE9"/>
    <w:rsid w:val="49FD4F13"/>
    <w:rsid w:val="4A1166DC"/>
    <w:rsid w:val="4A256B30"/>
    <w:rsid w:val="4A3D04C8"/>
    <w:rsid w:val="4ADE69AF"/>
    <w:rsid w:val="4AFA1B43"/>
    <w:rsid w:val="4B0561EC"/>
    <w:rsid w:val="4BDA1D7E"/>
    <w:rsid w:val="4BF765DE"/>
    <w:rsid w:val="4C34714A"/>
    <w:rsid w:val="4C4C4430"/>
    <w:rsid w:val="4C7107E7"/>
    <w:rsid w:val="4CA176B2"/>
    <w:rsid w:val="4CA72B4C"/>
    <w:rsid w:val="4D1D096F"/>
    <w:rsid w:val="4D61160B"/>
    <w:rsid w:val="4D8B594F"/>
    <w:rsid w:val="4DEF07E5"/>
    <w:rsid w:val="4EBC62BA"/>
    <w:rsid w:val="4ED74854"/>
    <w:rsid w:val="4EF02170"/>
    <w:rsid w:val="4F603A29"/>
    <w:rsid w:val="4F97344B"/>
    <w:rsid w:val="4FA42C81"/>
    <w:rsid w:val="4FFD208D"/>
    <w:rsid w:val="4FFF06FC"/>
    <w:rsid w:val="503D705A"/>
    <w:rsid w:val="508C1F90"/>
    <w:rsid w:val="511E3007"/>
    <w:rsid w:val="512573DE"/>
    <w:rsid w:val="51477472"/>
    <w:rsid w:val="514D3D71"/>
    <w:rsid w:val="51B7490A"/>
    <w:rsid w:val="51DE6B68"/>
    <w:rsid w:val="52410C5B"/>
    <w:rsid w:val="527A105E"/>
    <w:rsid w:val="5286665C"/>
    <w:rsid w:val="52894D06"/>
    <w:rsid w:val="52B53B2B"/>
    <w:rsid w:val="52B93F84"/>
    <w:rsid w:val="52C23300"/>
    <w:rsid w:val="52C778B3"/>
    <w:rsid w:val="52CF5EAE"/>
    <w:rsid w:val="54181E8F"/>
    <w:rsid w:val="54C16083"/>
    <w:rsid w:val="5502256F"/>
    <w:rsid w:val="554576D9"/>
    <w:rsid w:val="555B4ED6"/>
    <w:rsid w:val="557650C0"/>
    <w:rsid w:val="55855303"/>
    <w:rsid w:val="55A3078C"/>
    <w:rsid w:val="55DF6564"/>
    <w:rsid w:val="55E456DA"/>
    <w:rsid w:val="55EE925C"/>
    <w:rsid w:val="55F13472"/>
    <w:rsid w:val="565A3666"/>
    <w:rsid w:val="56757764"/>
    <w:rsid w:val="56767104"/>
    <w:rsid w:val="569B5857"/>
    <w:rsid w:val="56E74532"/>
    <w:rsid w:val="56EA2D75"/>
    <w:rsid w:val="5701309D"/>
    <w:rsid w:val="573606F5"/>
    <w:rsid w:val="57455939"/>
    <w:rsid w:val="57DFAF16"/>
    <w:rsid w:val="58D86713"/>
    <w:rsid w:val="592E6B17"/>
    <w:rsid w:val="593B4ABC"/>
    <w:rsid w:val="593D096E"/>
    <w:rsid w:val="595F68E6"/>
    <w:rsid w:val="599B6996"/>
    <w:rsid w:val="59E368E0"/>
    <w:rsid w:val="5A490FF5"/>
    <w:rsid w:val="5A672A61"/>
    <w:rsid w:val="5A7412A4"/>
    <w:rsid w:val="5B516B5E"/>
    <w:rsid w:val="5B5E3F76"/>
    <w:rsid w:val="5B8C025A"/>
    <w:rsid w:val="5BB9539B"/>
    <w:rsid w:val="5BBF0925"/>
    <w:rsid w:val="5BDFFE4A"/>
    <w:rsid w:val="5BFD3B1E"/>
    <w:rsid w:val="5C722A8E"/>
    <w:rsid w:val="5C856BFB"/>
    <w:rsid w:val="5CCE5A16"/>
    <w:rsid w:val="5D6C65E4"/>
    <w:rsid w:val="5D717C0C"/>
    <w:rsid w:val="5DB74ECD"/>
    <w:rsid w:val="5DC5270A"/>
    <w:rsid w:val="5DF7497A"/>
    <w:rsid w:val="5DFA43F8"/>
    <w:rsid w:val="5E67042B"/>
    <w:rsid w:val="5E955DF8"/>
    <w:rsid w:val="5ECFD7EE"/>
    <w:rsid w:val="5EDB6E09"/>
    <w:rsid w:val="5F186D86"/>
    <w:rsid w:val="5F587983"/>
    <w:rsid w:val="5F6B4642"/>
    <w:rsid w:val="5FFDCE87"/>
    <w:rsid w:val="60146C26"/>
    <w:rsid w:val="60A5089F"/>
    <w:rsid w:val="60A82487"/>
    <w:rsid w:val="60E53887"/>
    <w:rsid w:val="60EA0295"/>
    <w:rsid w:val="61B6013B"/>
    <w:rsid w:val="61FC5A2C"/>
    <w:rsid w:val="622360A4"/>
    <w:rsid w:val="62833A99"/>
    <w:rsid w:val="62AB5771"/>
    <w:rsid w:val="62AD64AB"/>
    <w:rsid w:val="62D54C8A"/>
    <w:rsid w:val="62D917E7"/>
    <w:rsid w:val="62EE447E"/>
    <w:rsid w:val="631B4C9B"/>
    <w:rsid w:val="635B2C95"/>
    <w:rsid w:val="637349EC"/>
    <w:rsid w:val="638178E6"/>
    <w:rsid w:val="64006260"/>
    <w:rsid w:val="64407D86"/>
    <w:rsid w:val="64C3035F"/>
    <w:rsid w:val="65540F07"/>
    <w:rsid w:val="657D1C36"/>
    <w:rsid w:val="658E02A9"/>
    <w:rsid w:val="663B3020"/>
    <w:rsid w:val="66501015"/>
    <w:rsid w:val="66841EF0"/>
    <w:rsid w:val="66931F25"/>
    <w:rsid w:val="66C005E1"/>
    <w:rsid w:val="66DE5251"/>
    <w:rsid w:val="66E33357"/>
    <w:rsid w:val="66F24A89"/>
    <w:rsid w:val="66FE6199"/>
    <w:rsid w:val="67B528E7"/>
    <w:rsid w:val="67EF62C5"/>
    <w:rsid w:val="680F3E73"/>
    <w:rsid w:val="687317F8"/>
    <w:rsid w:val="689B9F66"/>
    <w:rsid w:val="692140F2"/>
    <w:rsid w:val="69404623"/>
    <w:rsid w:val="69B1626F"/>
    <w:rsid w:val="69B6668F"/>
    <w:rsid w:val="69BA0023"/>
    <w:rsid w:val="69D549E8"/>
    <w:rsid w:val="69D84E7F"/>
    <w:rsid w:val="6A0D3C84"/>
    <w:rsid w:val="6ABC4D0D"/>
    <w:rsid w:val="6ABF0130"/>
    <w:rsid w:val="6ACF42F3"/>
    <w:rsid w:val="6B0542A1"/>
    <w:rsid w:val="6B51459F"/>
    <w:rsid w:val="6B8378A1"/>
    <w:rsid w:val="6BBB1604"/>
    <w:rsid w:val="6BBE27DF"/>
    <w:rsid w:val="6BE704DA"/>
    <w:rsid w:val="6C1B45BD"/>
    <w:rsid w:val="6C931671"/>
    <w:rsid w:val="6D052753"/>
    <w:rsid w:val="6D5B6C9E"/>
    <w:rsid w:val="6D6062A4"/>
    <w:rsid w:val="6D647ECD"/>
    <w:rsid w:val="6D7F9C9A"/>
    <w:rsid w:val="6D89320A"/>
    <w:rsid w:val="6DC50B96"/>
    <w:rsid w:val="6DDF49CF"/>
    <w:rsid w:val="6DF66B4D"/>
    <w:rsid w:val="6E043114"/>
    <w:rsid w:val="6E291F05"/>
    <w:rsid w:val="6E3547F4"/>
    <w:rsid w:val="6E5036C3"/>
    <w:rsid w:val="6E7F01F4"/>
    <w:rsid w:val="6E9B606E"/>
    <w:rsid w:val="6EA22643"/>
    <w:rsid w:val="6F3D0F4B"/>
    <w:rsid w:val="6F7164C5"/>
    <w:rsid w:val="6FCF734A"/>
    <w:rsid w:val="6FD7076C"/>
    <w:rsid w:val="71494DE5"/>
    <w:rsid w:val="71D39A66"/>
    <w:rsid w:val="71E00F47"/>
    <w:rsid w:val="724B5893"/>
    <w:rsid w:val="726A3F91"/>
    <w:rsid w:val="72771E5E"/>
    <w:rsid w:val="728B30E9"/>
    <w:rsid w:val="729A62E7"/>
    <w:rsid w:val="72E90C14"/>
    <w:rsid w:val="73095463"/>
    <w:rsid w:val="731463AE"/>
    <w:rsid w:val="734573B2"/>
    <w:rsid w:val="73D94D40"/>
    <w:rsid w:val="73E368AE"/>
    <w:rsid w:val="73E54257"/>
    <w:rsid w:val="74640AA7"/>
    <w:rsid w:val="746D5730"/>
    <w:rsid w:val="74AD2472"/>
    <w:rsid w:val="74DB76BA"/>
    <w:rsid w:val="75EF25F8"/>
    <w:rsid w:val="75FD08B8"/>
    <w:rsid w:val="76521EAA"/>
    <w:rsid w:val="767EF013"/>
    <w:rsid w:val="768C68C7"/>
    <w:rsid w:val="76D90BB3"/>
    <w:rsid w:val="774439EB"/>
    <w:rsid w:val="77797D32"/>
    <w:rsid w:val="77AF5F2C"/>
    <w:rsid w:val="77BA57F7"/>
    <w:rsid w:val="77BFF9C2"/>
    <w:rsid w:val="77F83F0B"/>
    <w:rsid w:val="780026E5"/>
    <w:rsid w:val="781520BE"/>
    <w:rsid w:val="79305479"/>
    <w:rsid w:val="79C75A3E"/>
    <w:rsid w:val="7AB55270"/>
    <w:rsid w:val="7ADD9D07"/>
    <w:rsid w:val="7AED2E7F"/>
    <w:rsid w:val="7B087A2F"/>
    <w:rsid w:val="7B1A4AFB"/>
    <w:rsid w:val="7B2426F4"/>
    <w:rsid w:val="7B5573A2"/>
    <w:rsid w:val="7B8B7D6C"/>
    <w:rsid w:val="7BFED728"/>
    <w:rsid w:val="7C1158E6"/>
    <w:rsid w:val="7CAD04FC"/>
    <w:rsid w:val="7D3F7019"/>
    <w:rsid w:val="7D6F498B"/>
    <w:rsid w:val="7DB2130E"/>
    <w:rsid w:val="7DEF0CB8"/>
    <w:rsid w:val="7DEF10E8"/>
    <w:rsid w:val="7E9D48DA"/>
    <w:rsid w:val="7ED44B3A"/>
    <w:rsid w:val="7F1DF58C"/>
    <w:rsid w:val="7F2E5475"/>
    <w:rsid w:val="7F3DD868"/>
    <w:rsid w:val="7F930498"/>
    <w:rsid w:val="7F9D57DB"/>
    <w:rsid w:val="7FA8B13A"/>
    <w:rsid w:val="7FB9506E"/>
    <w:rsid w:val="7FEDA3ED"/>
    <w:rsid w:val="7FEFD732"/>
    <w:rsid w:val="7FF701BC"/>
    <w:rsid w:val="7FF8267C"/>
    <w:rsid w:val="7FFB30F4"/>
    <w:rsid w:val="7FFB49E1"/>
    <w:rsid w:val="7FFF9082"/>
    <w:rsid w:val="8DEFAF11"/>
    <w:rsid w:val="96DEFA93"/>
    <w:rsid w:val="9C5D4977"/>
    <w:rsid w:val="9F63BBB0"/>
    <w:rsid w:val="9F7BEBAD"/>
    <w:rsid w:val="9FEA5517"/>
    <w:rsid w:val="9FF7A071"/>
    <w:rsid w:val="B72C46FA"/>
    <w:rsid w:val="B978A82A"/>
    <w:rsid w:val="BA7B23C6"/>
    <w:rsid w:val="BCF590DC"/>
    <w:rsid w:val="BDF335AD"/>
    <w:rsid w:val="BDFFCD6D"/>
    <w:rsid w:val="BE6A0F6D"/>
    <w:rsid w:val="BF7F4408"/>
    <w:rsid w:val="BFBB68EF"/>
    <w:rsid w:val="BFBF7A01"/>
    <w:rsid w:val="CCF770A4"/>
    <w:rsid w:val="CDEFA317"/>
    <w:rsid w:val="D7B7B4E7"/>
    <w:rsid w:val="DE9FB78B"/>
    <w:rsid w:val="DEBC8BB4"/>
    <w:rsid w:val="DEF3008D"/>
    <w:rsid w:val="DEFF05A4"/>
    <w:rsid w:val="DEFFC3B6"/>
    <w:rsid w:val="DF3D75C4"/>
    <w:rsid w:val="DFFDEA6A"/>
    <w:rsid w:val="E7EF7B5C"/>
    <w:rsid w:val="E7FCBFED"/>
    <w:rsid w:val="E7FFC94E"/>
    <w:rsid w:val="EFDF4EBA"/>
    <w:rsid w:val="F47FED16"/>
    <w:rsid w:val="F4BD98D7"/>
    <w:rsid w:val="F6FF9D54"/>
    <w:rsid w:val="F7BF5F7D"/>
    <w:rsid w:val="F96AFE74"/>
    <w:rsid w:val="F9F7FDD1"/>
    <w:rsid w:val="FA69AF7D"/>
    <w:rsid w:val="FA6EE364"/>
    <w:rsid w:val="FB97741D"/>
    <w:rsid w:val="FBFF5397"/>
    <w:rsid w:val="FC5FEEFF"/>
    <w:rsid w:val="FDF302AF"/>
    <w:rsid w:val="FE734873"/>
    <w:rsid w:val="FEBBC512"/>
    <w:rsid w:val="FF0D95A7"/>
    <w:rsid w:val="FF3F1FCF"/>
    <w:rsid w:val="FF9E37E5"/>
    <w:rsid w:val="FFDF192C"/>
    <w:rsid w:val="FFEB42FD"/>
    <w:rsid w:val="FFEE5A06"/>
    <w:rsid w:val="FFEE74BB"/>
    <w:rsid w:val="FFF3D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100" w:afterLines="100" w:line="560" w:lineRule="exact"/>
      <w:jc w:val="center"/>
      <w:outlineLvl w:val="0"/>
    </w:pPr>
    <w:rPr>
      <w:rFonts w:eastAsia="方正小标宋简体"/>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line="560" w:lineRule="exact"/>
      <w:ind w:firstLine="640" w:firstLineChars="200"/>
      <w:outlineLvl w:val="2"/>
    </w:pPr>
    <w:rPr>
      <w:rFonts w:eastAsia="楷体_GB2312"/>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rPr>
  </w:style>
  <w:style w:type="paragraph" w:styleId="6">
    <w:name w:val="annotation text"/>
    <w:basedOn w:val="1"/>
    <w:qFormat/>
    <w:uiPriority w:val="0"/>
    <w:pPr>
      <w:jc w:val="left"/>
    </w:pPr>
  </w:style>
  <w:style w:type="paragraph" w:styleId="7">
    <w:name w:val="Body Text Indent"/>
    <w:basedOn w:val="1"/>
    <w:next w:val="8"/>
    <w:qFormat/>
    <w:uiPriority w:val="99"/>
    <w:pPr>
      <w:spacing w:after="120"/>
      <w:ind w:left="420" w:leftChars="200"/>
    </w:pPr>
  </w:style>
  <w:style w:type="paragraph" w:styleId="8">
    <w:name w:val="Body Text First Indent 2"/>
    <w:basedOn w:val="7"/>
    <w:next w:val="1"/>
    <w:qFormat/>
    <w:uiPriority w:val="99"/>
    <w:pPr>
      <w:spacing w:after="0"/>
      <w:ind w:left="0" w:leftChars="0" w:firstLine="420" w:firstLineChars="200"/>
    </w:pPr>
    <w:rPr>
      <w:rFonts w:ascii="Times New Roman" w:hAnsi="Times New Roman"/>
      <w:sz w:val="30"/>
      <w:szCs w:val="20"/>
    </w:rPr>
  </w:style>
  <w:style w:type="paragraph" w:styleId="9">
    <w:name w:val="toc 3"/>
    <w:basedOn w:val="1"/>
    <w:next w:val="1"/>
    <w:qFormat/>
    <w:uiPriority w:val="0"/>
    <w:pPr>
      <w:ind w:left="840" w:leftChars="400"/>
    </w:pPr>
  </w:style>
  <w:style w:type="paragraph" w:styleId="10">
    <w:name w:val="Plain Text"/>
    <w:basedOn w:val="1"/>
    <w:next w:val="1"/>
    <w:qFormat/>
    <w:uiPriority w:val="0"/>
    <w:pPr>
      <w:spacing w:line="580" w:lineRule="exact"/>
      <w:ind w:firstLine="200" w:firstLineChars="200"/>
    </w:pPr>
    <w:rPr>
      <w:rFonts w:ascii="宋体" w:hAnsi="Courier New" w:eastAsia="仿宋_GB2312" w:cs="Courier New"/>
      <w:sz w:val="32"/>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footnote text"/>
    <w:basedOn w:val="1"/>
    <w:next w:val="8"/>
    <w:qFormat/>
    <w:uiPriority w:val="99"/>
    <w:pPr>
      <w:snapToGrid w:val="0"/>
      <w:jc w:val="left"/>
    </w:pPr>
    <w:rPr>
      <w:sz w:val="18"/>
    </w:rPr>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index 1"/>
    <w:next w:val="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99"/>
    <w:rPr>
      <w:color w:val="0000FF"/>
      <w:u w:val="single"/>
    </w:rPr>
  </w:style>
  <w:style w:type="character" w:styleId="23">
    <w:name w:val="footnote reference"/>
    <w:basedOn w:val="19"/>
    <w:qFormat/>
    <w:uiPriority w:val="99"/>
    <w:rPr>
      <w:vertAlign w:val="superscript"/>
    </w:rPr>
  </w:style>
  <w:style w:type="paragraph" w:customStyle="1" w:styleId="24">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5">
    <w:name w:val="目录 11"/>
    <w:basedOn w:val="1"/>
    <w:next w:val="1"/>
    <w:qFormat/>
    <w:uiPriority w:val="0"/>
    <w:pPr>
      <w:widowControl/>
      <w:wordWrap w:val="0"/>
    </w:pPr>
    <w:rPr>
      <w:rFonts w:cs="Calibri"/>
      <w:kern w:val="0"/>
      <w:szCs w:val="21"/>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列出段落1"/>
    <w:basedOn w:val="1"/>
    <w:qFormat/>
    <w:uiPriority w:val="34"/>
    <w:pPr>
      <w:widowControl/>
      <w:ind w:firstLine="420" w:firstLineChars="200"/>
      <w:jc w:val="left"/>
    </w:pPr>
    <w:rPr>
      <w:rFonts w:ascii="Times New Roman" w:hAnsi="Times New Roman"/>
      <w:kern w:val="0"/>
      <w:sz w:val="20"/>
      <w:szCs w:val="20"/>
    </w:rPr>
  </w:style>
  <w:style w:type="paragraph" w:customStyle="1" w:styleId="28">
    <w:name w:val="BodyText"/>
    <w:basedOn w:val="1"/>
    <w:qFormat/>
    <w:uiPriority w:val="0"/>
    <w:pPr>
      <w:textAlignment w:val="baseline"/>
    </w:pPr>
    <w:rPr>
      <w:rFonts w:eastAsia="仿宋_GB2312"/>
      <w:sz w:val="28"/>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公文"/>
    <w:basedOn w:val="1"/>
    <w:qFormat/>
    <w:uiPriority w:val="0"/>
    <w:pPr>
      <w:spacing w:line="560" w:lineRule="exact"/>
      <w:ind w:firstLine="420" w:firstLineChars="200"/>
    </w:pPr>
    <w:rPr>
      <w:rFonts w:eastAsia="仿宋_GB2312"/>
      <w:sz w:val="32"/>
      <w:szCs w:val="32"/>
    </w:rPr>
  </w:style>
  <w:style w:type="paragraph" w:customStyle="1" w:styleId="31">
    <w:name w:val="Default"/>
    <w:unhideWhenUsed/>
    <w:qFormat/>
    <w:uiPriority w:val="99"/>
    <w:pPr>
      <w:widowControl w:val="0"/>
      <w:autoSpaceDE w:val="0"/>
      <w:autoSpaceDN w:val="0"/>
      <w:adjustRightInd w:val="0"/>
    </w:pPr>
    <w:rPr>
      <w:rFonts w:ascii="微软雅黑" w:hAnsi="微软雅黑" w:eastAsia="微软雅黑" w:cs="Times New Roman"/>
      <w:color w:val="000000"/>
      <w:sz w:val="24"/>
      <w:szCs w:val="24"/>
      <w:lang w:val="en-US" w:eastAsia="zh-CN" w:bidi="ar-SA"/>
    </w:rPr>
  </w:style>
  <w:style w:type="character" w:customStyle="1" w:styleId="32">
    <w:name w:val="font31"/>
    <w:basedOn w:val="19"/>
    <w:qFormat/>
    <w:uiPriority w:val="0"/>
    <w:rPr>
      <w:rFonts w:hint="eastAsia" w:ascii="宋体" w:hAnsi="宋体" w:eastAsia="宋体" w:cs="宋体"/>
      <w:color w:val="000000"/>
      <w:sz w:val="22"/>
      <w:szCs w:val="22"/>
      <w:u w:val="none"/>
    </w:rPr>
  </w:style>
  <w:style w:type="character" w:customStyle="1" w:styleId="33">
    <w:name w:val="font91"/>
    <w:basedOn w:val="19"/>
    <w:qFormat/>
    <w:uiPriority w:val="0"/>
    <w:rPr>
      <w:rFonts w:hint="eastAsia" w:ascii="宋体" w:hAnsi="宋体" w:eastAsia="宋体" w:cs="宋体"/>
      <w:color w:val="FF0000"/>
      <w:sz w:val="22"/>
      <w:szCs w:val="22"/>
      <w:u w:val="none"/>
    </w:rPr>
  </w:style>
  <w:style w:type="paragraph" w:customStyle="1" w:styleId="34">
    <w:name w:val="Revision"/>
    <w:hidden/>
    <w:unhideWhenUsed/>
    <w:qFormat/>
    <w:uiPriority w:val="99"/>
    <w:rPr>
      <w:rFonts w:ascii="Calibri" w:hAnsi="Calibri" w:eastAsia="宋体" w:cs="Times New Roman"/>
      <w:kern w:val="2"/>
      <w:sz w:val="21"/>
      <w:szCs w:val="24"/>
      <w:lang w:val="en-US" w:eastAsia="zh-CN" w:bidi="ar-SA"/>
    </w:rPr>
  </w:style>
  <w:style w:type="table" w:customStyle="1" w:styleId="35">
    <w:name w:val="网格型1"/>
    <w:basedOn w:val="18"/>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4005</Words>
  <Characters>4078</Characters>
  <Lines>580</Lines>
  <Paragraphs>301</Paragraphs>
  <TotalTime>13</TotalTime>
  <ScaleCrop>false</ScaleCrop>
  <LinksUpToDate>false</LinksUpToDate>
  <CharactersWithSpaces>4111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2026-04-19T18:17:00Z</dcterms:created>
  <dc:creator>Administrator</dc:creator>
  <cp:lastModifiedBy>uos</cp:lastModifiedBy>
  <cp:lastPrinted>2026-07-01T17:14:00Z</cp:lastPrinted>
  <dcterms:modified xsi:type="dcterms:W3CDTF">2026-07-01T17:12:39Z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5FC6EF9365CA4DF98B86B9D0F7E3D166_13</vt:lpwstr>
  </property>
  <property fmtid="{D5CDD505-2E9C-101B-9397-08002B2CF9AE}" pid="4" name="KSOTemplateDocerSaveRecord">
    <vt:lpwstr>eyJoZGlkIjoiYjlkOWY4YmUxY2UxZDEyMzQ2NTk1MTc4NmM3YWMzNmQiLCJ1c2VySWQiOiI3NTU4MjUwMjkifQ==</vt:lpwstr>
  </property>
</Properties>
</file>