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78569">
      <w:pPr>
        <w:keepNext w:val="0"/>
        <w:keepLines w:val="0"/>
        <w:pageBreakBefore w:val="0"/>
        <w:widowControl/>
        <w:kinsoku/>
        <w:wordWrap/>
        <w:overflowPunct/>
        <w:topLinePunct w:val="0"/>
        <w:autoSpaceDE/>
        <w:autoSpaceDN/>
        <w:bidi w:val="0"/>
        <w:adjustRightInd/>
        <w:snapToGrid/>
        <w:spacing w:after="0" w:line="560" w:lineRule="exact"/>
        <w:jc w:val="center"/>
        <w:textAlignment w:val="auto"/>
      </w:pPr>
      <w:r>
        <w:rPr>
          <w:rFonts w:ascii="方正小标宋简体" w:hAnsi="方正小标宋简体" w:eastAsia="方正小标宋简体"/>
          <w:color w:val="000000"/>
          <w:sz w:val="44"/>
        </w:rPr>
        <w:t>关于《房山区促进高精尖产业发展</w:t>
      </w:r>
      <w:r>
        <w:rPr>
          <w:rFonts w:hint="eastAsia" w:ascii="方正小标宋简体" w:hAnsi="方正小标宋简体" w:eastAsia="方正小标宋简体"/>
          <w:color w:val="000000"/>
          <w:sz w:val="44"/>
        </w:rPr>
        <w:t>若干</w:t>
      </w:r>
      <w:r>
        <w:rPr>
          <w:rFonts w:ascii="方正小标宋简体" w:hAnsi="方正小标宋简体" w:eastAsia="方正小标宋简体"/>
          <w:color w:val="000000"/>
          <w:sz w:val="44"/>
        </w:rPr>
        <w:t>措施（征求意见稿）》的起草说明</w:t>
      </w:r>
    </w:p>
    <w:p w14:paraId="0FE777F9">
      <w:pPr>
        <w:keepNext w:val="0"/>
        <w:keepLines w:val="0"/>
        <w:pageBreakBefore w:val="0"/>
        <w:widowControl/>
        <w:kinsoku/>
        <w:wordWrap/>
        <w:overflowPunct/>
        <w:topLinePunct w:val="0"/>
        <w:autoSpaceDE/>
        <w:autoSpaceDN/>
        <w:bidi w:val="0"/>
        <w:adjustRightInd/>
        <w:snapToGrid/>
        <w:spacing w:after="0" w:line="560" w:lineRule="exact"/>
        <w:textAlignment w:val="auto"/>
      </w:pPr>
    </w:p>
    <w:p w14:paraId="69078BF1">
      <w:pPr>
        <w:keepNext w:val="0"/>
        <w:keepLines w:val="0"/>
        <w:pageBreakBefore w:val="0"/>
        <w:widowControl/>
        <w:kinsoku/>
        <w:wordWrap/>
        <w:overflowPunct/>
        <w:topLinePunct w:val="0"/>
        <w:autoSpaceDE/>
        <w:autoSpaceDN/>
        <w:bidi w:val="0"/>
        <w:adjustRightInd/>
        <w:snapToGrid/>
        <w:spacing w:after="0" w:line="560" w:lineRule="exact"/>
        <w:ind w:firstLine="643" w:firstLineChars="200"/>
        <w:textAlignment w:val="auto"/>
      </w:pPr>
      <w:r>
        <w:rPr>
          <w:rFonts w:ascii="黑体" w:hAnsi="黑体" w:eastAsia="黑体"/>
          <w:b/>
          <w:color w:val="000000"/>
          <w:sz w:val="32"/>
        </w:rPr>
        <w:t>一、编制背景</w:t>
      </w:r>
    </w:p>
    <w:p w14:paraId="3BAE2988">
      <w:pPr>
        <w:keepNext w:val="0"/>
        <w:keepLines w:val="0"/>
        <w:pageBreakBefore w:val="0"/>
        <w:widowControl/>
        <w:kinsoku/>
        <w:wordWrap/>
        <w:overflowPunct/>
        <w:topLinePunct w:val="0"/>
        <w:autoSpaceDE/>
        <w:autoSpaceDN/>
        <w:bidi w:val="0"/>
        <w:adjustRightInd/>
        <w:snapToGrid/>
        <w:spacing w:after="0" w:line="560" w:lineRule="exact"/>
        <w:ind w:firstLine="576"/>
        <w:jc w:val="both"/>
        <w:textAlignment w:val="auto"/>
        <w:rPr>
          <w:rFonts w:ascii="仿宋_GB2312" w:hAnsi="仿宋_GB2312" w:eastAsia="仿宋_GB2312"/>
          <w:color w:val="000000"/>
          <w:sz w:val="32"/>
        </w:rPr>
      </w:pPr>
      <w:r>
        <w:rPr>
          <w:rFonts w:ascii="仿宋_GB2312" w:hAnsi="仿宋_GB2312" w:eastAsia="仿宋_GB2312"/>
          <w:color w:val="000000"/>
          <w:sz w:val="32"/>
        </w:rPr>
        <w:t>为深入贯彻党的二十大及二十届历次全会精神，落实国家、北京市发展新质生产力、构建现代化产业体系的决策部署</w:t>
      </w:r>
      <w:r>
        <w:rPr>
          <w:rFonts w:hint="eastAsia"/>
          <w:color w:val="000000"/>
          <w:sz w:val="32"/>
          <w:lang w:eastAsia="zh-CN"/>
        </w:rPr>
        <w:t>，</w:t>
      </w:r>
      <w:r>
        <w:rPr>
          <w:rFonts w:hint="eastAsia"/>
          <w:color w:val="000000"/>
          <w:sz w:val="32"/>
          <w:lang w:val="en-US" w:eastAsia="zh-CN"/>
        </w:rPr>
        <w:t>以及国家统一大市场建设相关要求</w:t>
      </w:r>
      <w:r>
        <w:rPr>
          <w:rFonts w:ascii="仿宋_GB2312" w:hAnsi="仿宋_GB2312" w:eastAsia="仿宋_GB2312"/>
          <w:color w:val="000000"/>
          <w:sz w:val="32"/>
        </w:rPr>
        <w:t>，房山区</w:t>
      </w:r>
      <w:r>
        <w:rPr>
          <w:rFonts w:hint="eastAsia"/>
          <w:color w:val="000000"/>
          <w:sz w:val="32"/>
          <w:lang w:val="en-US" w:eastAsia="zh-CN"/>
        </w:rPr>
        <w:t>立足</w:t>
      </w:r>
      <w:r>
        <w:rPr>
          <w:rFonts w:ascii="仿宋_GB2312" w:hAnsi="仿宋_GB2312" w:eastAsia="仿宋_GB2312"/>
          <w:color w:val="000000"/>
          <w:sz w:val="32"/>
        </w:rPr>
        <w:t>现有产业基础，强化市区政策协同配套，引导优质资源向高精尖领域集聚，特制定</w:t>
      </w:r>
      <w:r>
        <w:rPr>
          <w:rFonts w:hint="eastAsia"/>
          <w:color w:val="000000"/>
          <w:sz w:val="32"/>
          <w:lang w:eastAsia="zh-CN"/>
        </w:rPr>
        <w:t>《</w:t>
      </w:r>
      <w:r>
        <w:t>房山区促进高精尖产业发展</w:t>
      </w:r>
      <w:r>
        <w:rPr>
          <w:rFonts w:hint="eastAsia"/>
        </w:rPr>
        <w:t>若干</w:t>
      </w:r>
      <w:r>
        <w:t>措施</w:t>
      </w:r>
      <w:r>
        <w:rPr>
          <w:rFonts w:ascii="仿宋_GB2312" w:hAnsi="仿宋_GB2312" w:eastAsia="仿宋_GB2312" w:cstheme="minorBidi"/>
          <w:color w:val="000000"/>
          <w:sz w:val="32"/>
          <w:szCs w:val="22"/>
          <w:lang w:val="en-US" w:eastAsia="en-US" w:bidi="ar-SA"/>
        </w:rPr>
        <w:t>（征求意见稿）》</w:t>
      </w:r>
      <w:r>
        <w:rPr>
          <w:rFonts w:ascii="仿宋_GB2312" w:hAnsi="仿宋_GB2312" w:eastAsia="仿宋_GB2312"/>
          <w:color w:val="000000"/>
          <w:sz w:val="32"/>
        </w:rPr>
        <w:t>。</w:t>
      </w:r>
    </w:p>
    <w:p w14:paraId="0CD11CC8">
      <w:pPr>
        <w:keepNext w:val="0"/>
        <w:keepLines w:val="0"/>
        <w:pageBreakBefore w:val="0"/>
        <w:widowControl/>
        <w:kinsoku/>
        <w:wordWrap/>
        <w:overflowPunct/>
        <w:topLinePunct w:val="0"/>
        <w:autoSpaceDE/>
        <w:autoSpaceDN/>
        <w:bidi w:val="0"/>
        <w:adjustRightInd/>
        <w:snapToGrid/>
        <w:spacing w:after="0" w:line="560" w:lineRule="exact"/>
        <w:ind w:firstLine="643" w:firstLineChars="200"/>
        <w:textAlignment w:val="auto"/>
        <w:rPr>
          <w:rFonts w:hint="eastAsia" w:eastAsia="黑体"/>
          <w:lang w:eastAsia="zh-CN"/>
        </w:rPr>
      </w:pPr>
      <w:r>
        <w:rPr>
          <w:rFonts w:ascii="黑体" w:hAnsi="黑体" w:eastAsia="黑体"/>
          <w:b/>
          <w:color w:val="000000"/>
          <w:sz w:val="32"/>
        </w:rPr>
        <w:t>二、编制</w:t>
      </w:r>
      <w:r>
        <w:rPr>
          <w:rFonts w:hint="eastAsia" w:ascii="黑体" w:hAnsi="黑体" w:eastAsia="黑体"/>
          <w:b/>
          <w:color w:val="000000"/>
          <w:sz w:val="32"/>
          <w:lang w:val="en-US" w:eastAsia="zh-CN"/>
        </w:rPr>
        <w:t>必要性</w:t>
      </w:r>
    </w:p>
    <w:p w14:paraId="04D943F5">
      <w:pPr>
        <w:keepNext w:val="0"/>
        <w:keepLines w:val="0"/>
        <w:pageBreakBefore w:val="0"/>
        <w:widowControl/>
        <w:kinsoku/>
        <w:wordWrap/>
        <w:overflowPunct/>
        <w:topLinePunct w:val="0"/>
        <w:autoSpaceDE/>
        <w:autoSpaceDN/>
        <w:bidi w:val="0"/>
        <w:adjustRightInd/>
        <w:snapToGrid/>
        <w:spacing w:after="0" w:line="560" w:lineRule="exact"/>
        <w:ind w:firstLine="576"/>
        <w:textAlignment w:val="auto"/>
        <w:rPr>
          <w:rFonts w:ascii="仿宋_GB2312" w:hAnsi="仿宋_GB2312" w:eastAsia="仿宋_GB2312"/>
          <w:color w:val="000000"/>
          <w:sz w:val="32"/>
        </w:rPr>
      </w:pPr>
      <w:r>
        <w:rPr>
          <w:rFonts w:ascii="仿宋_GB2312" w:hAnsi="仿宋_GB2312" w:eastAsia="仿宋_GB2312"/>
          <w:color w:val="000000"/>
          <w:sz w:val="32"/>
        </w:rPr>
        <w:t>本措施是房山区贯彻落实国家、北京市发展新质生产力、推动高精尖产业高质量发展系列部署的具体抓手，能够有效衔接市级各项产业支持政策，强化市区政策协同落地效应。措施精准匹配我区</w:t>
      </w:r>
      <w:r>
        <w:rPr>
          <w:rFonts w:hint="eastAsia"/>
          <w:color w:val="000000"/>
          <w:sz w:val="32"/>
          <w:lang w:val="en-US" w:eastAsia="zh-CN"/>
        </w:rPr>
        <w:t>绿色能源</w:t>
      </w:r>
      <w:r>
        <w:rPr>
          <w:rFonts w:ascii="仿宋_GB2312" w:hAnsi="仿宋_GB2312" w:eastAsia="仿宋_GB2312"/>
          <w:color w:val="000000"/>
          <w:sz w:val="32"/>
        </w:rPr>
        <w:t>、新材料、</w:t>
      </w:r>
      <w:r>
        <w:rPr>
          <w:rFonts w:hint="eastAsia"/>
          <w:color w:val="000000"/>
          <w:sz w:val="32"/>
          <w:lang w:val="en-US" w:eastAsia="zh-CN"/>
        </w:rPr>
        <w:t>智能制造</w:t>
      </w:r>
      <w:r>
        <w:rPr>
          <w:rFonts w:ascii="仿宋_GB2312" w:hAnsi="仿宋_GB2312" w:eastAsia="仿宋_GB2312"/>
          <w:color w:val="000000"/>
          <w:sz w:val="32"/>
        </w:rPr>
        <w:t>、智慧医工等产业需求，助力产业强链补链延链，加速产学研创新成果产业化落地；同时针对性破解企业研发投入压力大、技改转型成本高、算力与场景资源不足等现实难题，进一步完善全链条产业服务生态，切实降低市场主体创新发展门槛，持续激发产业内生动力，为区域经济高质量发展筑牢坚实支撑。</w:t>
      </w:r>
    </w:p>
    <w:p w14:paraId="12CE96C5">
      <w:pPr>
        <w:keepNext w:val="0"/>
        <w:keepLines w:val="0"/>
        <w:pageBreakBefore w:val="0"/>
        <w:widowControl/>
        <w:kinsoku/>
        <w:wordWrap/>
        <w:overflowPunct/>
        <w:topLinePunct w:val="0"/>
        <w:autoSpaceDE/>
        <w:autoSpaceDN/>
        <w:bidi w:val="0"/>
        <w:adjustRightInd/>
        <w:snapToGrid/>
        <w:spacing w:after="0" w:line="560" w:lineRule="exact"/>
        <w:ind w:firstLine="643" w:firstLineChars="200"/>
        <w:textAlignment w:val="auto"/>
      </w:pPr>
      <w:r>
        <w:rPr>
          <w:rFonts w:hint="eastAsia" w:ascii="黑体" w:hAnsi="黑体" w:eastAsia="黑体"/>
          <w:b/>
          <w:color w:val="000000"/>
          <w:sz w:val="32"/>
          <w:lang w:val="en-US" w:eastAsia="zh-CN"/>
        </w:rPr>
        <w:t>三</w:t>
      </w:r>
      <w:r>
        <w:rPr>
          <w:rFonts w:ascii="黑体" w:hAnsi="黑体" w:eastAsia="黑体"/>
          <w:b/>
          <w:color w:val="000000"/>
          <w:sz w:val="32"/>
        </w:rPr>
        <w:t>、编制依据</w:t>
      </w:r>
    </w:p>
    <w:p w14:paraId="1E1D692D">
      <w:pPr>
        <w:keepNext w:val="0"/>
        <w:keepLines w:val="0"/>
        <w:pageBreakBefore w:val="0"/>
        <w:widowControl/>
        <w:kinsoku/>
        <w:wordWrap/>
        <w:overflowPunct/>
        <w:topLinePunct w:val="0"/>
        <w:autoSpaceDE/>
        <w:autoSpaceDN/>
        <w:bidi w:val="0"/>
        <w:adjustRightInd/>
        <w:snapToGrid/>
        <w:spacing w:after="0" w:line="560" w:lineRule="exact"/>
        <w:ind w:firstLine="576"/>
        <w:textAlignment w:val="auto"/>
      </w:pPr>
      <w:r>
        <w:rPr>
          <w:rFonts w:ascii="仿宋_GB2312" w:hAnsi="仿宋_GB2312" w:eastAsia="仿宋_GB2312"/>
          <w:color w:val="000000"/>
          <w:sz w:val="32"/>
        </w:rPr>
        <w:t>主要编制依据包括</w:t>
      </w:r>
      <w:r>
        <w:rPr>
          <w:rFonts w:hint="eastAsia" w:ascii="仿宋_GB2312" w:hAnsi="仿宋_GB2312" w:eastAsia="仿宋_GB2312"/>
          <w:color w:val="000000"/>
          <w:sz w:val="32"/>
        </w:rPr>
        <w:t>《关于加快场景培育和开放推动新场景大规模应用的实施意见》（国办发〔2025〕37号）</w:t>
      </w:r>
      <w:r>
        <w:rPr>
          <w:rFonts w:hint="eastAsia"/>
          <w:color w:val="000000"/>
          <w:sz w:val="32"/>
          <w:lang w:eastAsia="zh-CN"/>
        </w:rPr>
        <w:t>、《工业和信息化部办公厅关于开展普惠算力赋能中小企业发展专项行动的通知》（工信厅通信〔</w:t>
      </w:r>
      <w:bookmarkStart w:id="0" w:name="_GoBack"/>
      <w:bookmarkEnd w:id="0"/>
      <w:r>
        <w:rPr>
          <w:rFonts w:hint="eastAsia"/>
          <w:color w:val="000000"/>
          <w:sz w:val="32"/>
          <w:lang w:eastAsia="zh-CN"/>
        </w:rPr>
        <w:t>2026〕14号）、《关于进一步提升本市中试服务能力促进科技创新和产业创新融合发展的若干措施》（京发改规〔2026〕1号）</w:t>
      </w:r>
      <w:r>
        <w:rPr>
          <w:rFonts w:ascii="仿宋_GB2312" w:hAnsi="仿宋_GB2312" w:eastAsia="仿宋_GB2312"/>
          <w:color w:val="000000"/>
          <w:sz w:val="32"/>
        </w:rPr>
        <w:t>等国家、市级层面的相关政策，以及我区重点产业集群发展的特点和实际需求。</w:t>
      </w:r>
    </w:p>
    <w:p w14:paraId="06FD9668">
      <w:pPr>
        <w:keepNext w:val="0"/>
        <w:keepLines w:val="0"/>
        <w:pageBreakBefore w:val="0"/>
        <w:widowControl/>
        <w:kinsoku/>
        <w:wordWrap/>
        <w:overflowPunct/>
        <w:topLinePunct w:val="0"/>
        <w:autoSpaceDE/>
        <w:autoSpaceDN/>
        <w:bidi w:val="0"/>
        <w:adjustRightInd/>
        <w:snapToGrid/>
        <w:spacing w:after="0" w:line="560" w:lineRule="exact"/>
        <w:ind w:firstLine="643" w:firstLineChars="200"/>
        <w:textAlignment w:val="auto"/>
      </w:pPr>
      <w:r>
        <w:rPr>
          <w:rFonts w:hint="eastAsia" w:ascii="黑体" w:hAnsi="黑体" w:eastAsia="黑体"/>
          <w:b/>
          <w:color w:val="000000"/>
          <w:sz w:val="32"/>
          <w:lang w:val="en-US" w:eastAsia="zh-CN"/>
        </w:rPr>
        <w:t>四</w:t>
      </w:r>
      <w:r>
        <w:rPr>
          <w:rFonts w:ascii="黑体" w:hAnsi="黑体" w:eastAsia="黑体"/>
          <w:b/>
          <w:color w:val="000000"/>
          <w:sz w:val="32"/>
        </w:rPr>
        <w:t>、主要内容</w:t>
      </w:r>
    </w:p>
    <w:p w14:paraId="25301C13">
      <w:pPr>
        <w:keepNext w:val="0"/>
        <w:keepLines w:val="0"/>
        <w:pageBreakBefore w:val="0"/>
        <w:widowControl/>
        <w:kinsoku/>
        <w:wordWrap/>
        <w:overflowPunct/>
        <w:topLinePunct w:val="0"/>
        <w:autoSpaceDE/>
        <w:autoSpaceDN/>
        <w:bidi w:val="0"/>
        <w:adjustRightInd/>
        <w:snapToGrid/>
        <w:spacing w:after="0" w:line="560" w:lineRule="exact"/>
        <w:ind w:firstLine="576" w:firstLineChars="0"/>
        <w:textAlignment w:val="auto"/>
        <w:rPr>
          <w:rFonts w:ascii="仿宋_GB2312" w:hAnsi="仿宋_GB2312" w:eastAsia="仿宋_GB2312" w:cstheme="minorBidi"/>
          <w:sz w:val="32"/>
          <w:szCs w:val="22"/>
          <w:lang w:val="en-US" w:eastAsia="en-US" w:bidi="ar-SA"/>
        </w:rPr>
      </w:pPr>
      <w:r>
        <w:rPr>
          <w:rFonts w:ascii="仿宋_GB2312" w:hAnsi="仿宋_GB2312" w:eastAsia="仿宋_GB2312" w:cstheme="minorBidi"/>
          <w:color w:val="000000"/>
          <w:sz w:val="32"/>
          <w:szCs w:val="22"/>
          <w:lang w:val="en-US" w:eastAsia="zh-CN" w:bidi="ar-SA"/>
        </w:rPr>
        <w:t>《扶持措施》共设</w:t>
      </w:r>
      <w:r>
        <w:rPr>
          <w:rFonts w:hint="eastAsia" w:cstheme="minorBidi"/>
          <w:color w:val="000000"/>
          <w:sz w:val="32"/>
          <w:szCs w:val="22"/>
          <w:lang w:val="en-US" w:eastAsia="zh-CN" w:bidi="ar-SA"/>
        </w:rPr>
        <w:t>6</w:t>
      </w:r>
      <w:r>
        <w:rPr>
          <w:rFonts w:ascii="仿宋_GB2312" w:hAnsi="仿宋_GB2312" w:eastAsia="仿宋_GB2312" w:cstheme="minorBidi"/>
          <w:color w:val="000000"/>
          <w:sz w:val="32"/>
          <w:szCs w:val="22"/>
          <w:lang w:val="en-US" w:eastAsia="zh-CN" w:bidi="ar-SA"/>
        </w:rPr>
        <w:t>个方面、</w:t>
      </w:r>
      <w:r>
        <w:rPr>
          <w:rFonts w:hint="eastAsia" w:cstheme="minorBidi"/>
          <w:color w:val="000000"/>
          <w:sz w:val="32"/>
          <w:szCs w:val="22"/>
          <w:lang w:val="en-US" w:eastAsia="zh-CN" w:bidi="ar-SA"/>
        </w:rPr>
        <w:t>18</w:t>
      </w:r>
      <w:r>
        <w:rPr>
          <w:rFonts w:ascii="仿宋_GB2312" w:hAnsi="仿宋_GB2312" w:eastAsia="仿宋_GB2312" w:cstheme="minorBidi"/>
          <w:color w:val="000000"/>
          <w:sz w:val="32"/>
          <w:szCs w:val="22"/>
          <w:lang w:val="en-US" w:eastAsia="zh-CN" w:bidi="ar-SA"/>
        </w:rPr>
        <w:t>项具体条款，覆盖高精尖产业发展全周期，核心内容如下：</w:t>
      </w:r>
    </w:p>
    <w:p w14:paraId="36B99A65">
      <w:pPr>
        <w:keepNext w:val="0"/>
        <w:keepLines w:val="0"/>
        <w:pageBreakBefore w:val="0"/>
        <w:widowControl/>
        <w:kinsoku/>
        <w:wordWrap/>
        <w:overflowPunct/>
        <w:topLinePunct w:val="0"/>
        <w:autoSpaceDE/>
        <w:autoSpaceDN/>
        <w:bidi w:val="0"/>
        <w:adjustRightInd/>
        <w:snapToGrid/>
        <w:spacing w:after="0" w:line="560" w:lineRule="exact"/>
        <w:ind w:firstLine="576" w:firstLineChars="0"/>
        <w:textAlignment w:val="auto"/>
        <w:rPr>
          <w:rFonts w:hint="eastAsia" w:ascii="仿宋_GB2312" w:hAnsi="仿宋_GB2312" w:eastAsia="仿宋_GB2312" w:cstheme="minorBidi"/>
          <w:color w:val="000000"/>
          <w:sz w:val="32"/>
          <w:szCs w:val="22"/>
          <w:lang w:val="en-US" w:eastAsia="zh-CN" w:bidi="ar-SA"/>
        </w:rPr>
      </w:pPr>
      <w:r>
        <w:rPr>
          <w:rFonts w:hint="eastAsia" w:ascii="仿宋_GB2312" w:hAnsi="仿宋_GB2312" w:eastAsia="仿宋_GB2312" w:cstheme="minorBidi"/>
          <w:b/>
          <w:bCs/>
          <w:color w:val="000000"/>
          <w:sz w:val="32"/>
          <w:szCs w:val="22"/>
          <w:lang w:val="en-US" w:eastAsia="zh-CN" w:bidi="ar-SA"/>
        </w:rPr>
        <w:t>第一条强化科技创新：</w:t>
      </w:r>
      <w:r>
        <w:rPr>
          <w:rFonts w:hint="eastAsia" w:ascii="仿宋_GB2312" w:hAnsi="仿宋_GB2312" w:eastAsia="仿宋_GB2312" w:cstheme="minorBidi"/>
          <w:color w:val="000000"/>
          <w:sz w:val="32"/>
          <w:szCs w:val="22"/>
          <w:lang w:val="en-US" w:eastAsia="zh-CN" w:bidi="ar-SA"/>
        </w:rPr>
        <w:t>加强校企产学研协同创新、培育高质量创新主体、鼓励主导行业标准体系建设、支持重点产业首次规模化示范应用。</w:t>
      </w:r>
    </w:p>
    <w:p w14:paraId="399828B7">
      <w:pPr>
        <w:keepNext w:val="0"/>
        <w:keepLines w:val="0"/>
        <w:pageBreakBefore w:val="0"/>
        <w:widowControl/>
        <w:kinsoku/>
        <w:wordWrap/>
        <w:overflowPunct/>
        <w:topLinePunct w:val="0"/>
        <w:autoSpaceDE/>
        <w:autoSpaceDN/>
        <w:bidi w:val="0"/>
        <w:adjustRightInd/>
        <w:snapToGrid/>
        <w:spacing w:after="0" w:line="560" w:lineRule="exact"/>
        <w:ind w:firstLine="576" w:firstLineChars="0"/>
        <w:textAlignment w:val="auto"/>
        <w:rPr>
          <w:rFonts w:hint="eastAsia" w:ascii="仿宋_GB2312" w:hAnsi="仿宋_GB2312" w:eastAsia="仿宋_GB2312" w:cstheme="minorBidi"/>
          <w:color w:val="000000"/>
          <w:sz w:val="32"/>
          <w:szCs w:val="22"/>
          <w:lang w:val="en-US" w:eastAsia="zh-CN" w:bidi="ar-SA"/>
        </w:rPr>
      </w:pPr>
      <w:r>
        <w:rPr>
          <w:rFonts w:hint="eastAsia" w:ascii="仿宋_GB2312" w:hAnsi="仿宋_GB2312" w:eastAsia="仿宋_GB2312" w:cstheme="minorBidi"/>
          <w:b/>
          <w:bCs/>
          <w:color w:val="000000"/>
          <w:sz w:val="32"/>
          <w:szCs w:val="22"/>
          <w:lang w:val="en-US" w:eastAsia="zh-CN" w:bidi="ar-SA"/>
        </w:rPr>
        <w:t>第二条支持产业转型升级：</w:t>
      </w:r>
      <w:r>
        <w:rPr>
          <w:rFonts w:hint="eastAsia" w:ascii="仿宋_GB2312" w:hAnsi="仿宋_GB2312" w:eastAsia="仿宋_GB2312" w:cstheme="minorBidi"/>
          <w:color w:val="000000"/>
          <w:sz w:val="32"/>
          <w:szCs w:val="22"/>
          <w:lang w:val="en-US" w:eastAsia="zh-CN" w:bidi="ar-SA"/>
        </w:rPr>
        <w:t>支持氢能产业全链条发展、支持新材料产业集聚延伸、壮大安全应急产业、培育智慧医工产业。</w:t>
      </w:r>
    </w:p>
    <w:p w14:paraId="3D2ABB49">
      <w:pPr>
        <w:keepNext w:val="0"/>
        <w:keepLines w:val="0"/>
        <w:pageBreakBefore w:val="0"/>
        <w:widowControl/>
        <w:kinsoku/>
        <w:wordWrap/>
        <w:overflowPunct/>
        <w:topLinePunct w:val="0"/>
        <w:autoSpaceDE/>
        <w:autoSpaceDN/>
        <w:bidi w:val="0"/>
        <w:adjustRightInd/>
        <w:snapToGrid/>
        <w:spacing w:after="0" w:line="560" w:lineRule="exact"/>
        <w:ind w:firstLine="576" w:firstLineChars="0"/>
        <w:textAlignment w:val="auto"/>
        <w:rPr>
          <w:rFonts w:hint="eastAsia" w:ascii="仿宋_GB2312" w:hAnsi="仿宋_GB2312" w:eastAsia="仿宋_GB2312" w:cstheme="minorBidi"/>
          <w:color w:val="000000"/>
          <w:sz w:val="32"/>
          <w:szCs w:val="22"/>
          <w:lang w:val="en-US" w:eastAsia="zh-CN" w:bidi="ar-SA"/>
        </w:rPr>
      </w:pPr>
      <w:r>
        <w:rPr>
          <w:rFonts w:hint="eastAsia" w:ascii="仿宋_GB2312" w:hAnsi="仿宋_GB2312" w:eastAsia="仿宋_GB2312" w:cstheme="minorBidi"/>
          <w:b/>
          <w:bCs/>
          <w:color w:val="000000"/>
          <w:sz w:val="32"/>
          <w:szCs w:val="22"/>
          <w:lang w:val="en-US" w:eastAsia="zh-CN" w:bidi="ar-SA"/>
        </w:rPr>
        <w:t>第三条引导企业转型升级：</w:t>
      </w:r>
      <w:r>
        <w:rPr>
          <w:rFonts w:hint="eastAsia" w:ascii="仿宋_GB2312" w:hAnsi="仿宋_GB2312" w:eastAsia="仿宋_GB2312" w:cstheme="minorBidi"/>
          <w:color w:val="000000"/>
          <w:sz w:val="32"/>
          <w:szCs w:val="22"/>
          <w:lang w:val="en-US" w:eastAsia="zh-CN" w:bidi="ar-SA"/>
        </w:rPr>
        <w:t>支持绿色化提质改造、支持数字化升级改造。</w:t>
      </w:r>
    </w:p>
    <w:p w14:paraId="30224DA4">
      <w:pPr>
        <w:keepNext w:val="0"/>
        <w:keepLines w:val="0"/>
        <w:pageBreakBefore w:val="0"/>
        <w:widowControl/>
        <w:kinsoku/>
        <w:wordWrap/>
        <w:overflowPunct/>
        <w:topLinePunct w:val="0"/>
        <w:autoSpaceDE/>
        <w:autoSpaceDN/>
        <w:bidi w:val="0"/>
        <w:adjustRightInd/>
        <w:snapToGrid/>
        <w:spacing w:after="0" w:line="560" w:lineRule="exact"/>
        <w:ind w:firstLine="576" w:firstLineChars="0"/>
        <w:textAlignment w:val="auto"/>
        <w:rPr>
          <w:rFonts w:hint="eastAsia" w:ascii="仿宋_GB2312" w:hAnsi="仿宋_GB2312" w:eastAsia="仿宋_GB2312" w:cstheme="minorBidi"/>
          <w:color w:val="000000"/>
          <w:sz w:val="32"/>
          <w:szCs w:val="22"/>
          <w:lang w:val="en-US" w:eastAsia="zh-CN" w:bidi="ar-SA"/>
        </w:rPr>
      </w:pPr>
      <w:r>
        <w:rPr>
          <w:rFonts w:hint="eastAsia" w:ascii="仿宋_GB2312" w:hAnsi="仿宋_GB2312" w:eastAsia="仿宋_GB2312" w:cstheme="minorBidi"/>
          <w:b/>
          <w:bCs/>
          <w:color w:val="000000"/>
          <w:sz w:val="32"/>
          <w:szCs w:val="22"/>
          <w:lang w:val="en-US" w:eastAsia="zh-CN" w:bidi="ar-SA"/>
        </w:rPr>
        <w:t>第四条促进科技服务和信息软件产业发展：</w:t>
      </w:r>
      <w:r>
        <w:rPr>
          <w:rFonts w:hint="eastAsia" w:ascii="仿宋_GB2312" w:hAnsi="仿宋_GB2312" w:eastAsia="仿宋_GB2312" w:cstheme="minorBidi"/>
          <w:color w:val="000000"/>
          <w:sz w:val="32"/>
          <w:szCs w:val="22"/>
          <w:lang w:val="en-US" w:eastAsia="zh-CN" w:bidi="ar-SA"/>
        </w:rPr>
        <w:t>强化算力资源保障、支持OPC创业发展、支持科技服务业提质升级。</w:t>
      </w:r>
    </w:p>
    <w:p w14:paraId="12A8BA94">
      <w:pPr>
        <w:keepNext w:val="0"/>
        <w:keepLines w:val="0"/>
        <w:pageBreakBefore w:val="0"/>
        <w:widowControl/>
        <w:kinsoku/>
        <w:wordWrap/>
        <w:overflowPunct/>
        <w:topLinePunct w:val="0"/>
        <w:autoSpaceDE/>
        <w:autoSpaceDN/>
        <w:bidi w:val="0"/>
        <w:adjustRightInd/>
        <w:snapToGrid/>
        <w:spacing w:after="0" w:line="560" w:lineRule="exact"/>
        <w:ind w:firstLine="576" w:firstLineChars="0"/>
        <w:textAlignment w:val="auto"/>
        <w:rPr>
          <w:rFonts w:hint="eastAsia" w:ascii="仿宋_GB2312" w:hAnsi="仿宋_GB2312" w:eastAsia="仿宋_GB2312" w:cstheme="minorBidi"/>
          <w:color w:val="000000"/>
          <w:sz w:val="32"/>
          <w:szCs w:val="22"/>
          <w:lang w:val="en-US" w:eastAsia="zh-CN" w:bidi="ar-SA"/>
        </w:rPr>
      </w:pPr>
      <w:r>
        <w:rPr>
          <w:rFonts w:hint="eastAsia" w:ascii="仿宋_GB2312" w:hAnsi="仿宋_GB2312" w:eastAsia="仿宋_GB2312" w:cstheme="minorBidi"/>
          <w:b/>
          <w:bCs/>
          <w:color w:val="000000"/>
          <w:sz w:val="32"/>
          <w:szCs w:val="22"/>
          <w:lang w:val="en-US" w:eastAsia="zh-CN" w:bidi="ar-SA"/>
        </w:rPr>
        <w:t>第五条优化产业生态：</w:t>
      </w:r>
      <w:r>
        <w:rPr>
          <w:rFonts w:hint="eastAsia" w:ascii="仿宋_GB2312" w:hAnsi="仿宋_GB2312" w:eastAsia="仿宋_GB2312" w:cstheme="minorBidi"/>
          <w:color w:val="000000"/>
          <w:sz w:val="32"/>
          <w:szCs w:val="22"/>
          <w:lang w:val="en-US" w:eastAsia="zh-CN" w:bidi="ar-SA"/>
        </w:rPr>
        <w:t>支持产业专业服务、支持中试平台建设与共享服务、开放应用场景促进技术示范验证。</w:t>
      </w:r>
    </w:p>
    <w:p w14:paraId="324060FB">
      <w:pPr>
        <w:keepNext w:val="0"/>
        <w:keepLines w:val="0"/>
        <w:pageBreakBefore w:val="0"/>
        <w:widowControl/>
        <w:kinsoku/>
        <w:wordWrap/>
        <w:overflowPunct/>
        <w:topLinePunct w:val="0"/>
        <w:autoSpaceDE/>
        <w:autoSpaceDN/>
        <w:bidi w:val="0"/>
        <w:adjustRightInd/>
        <w:snapToGrid/>
        <w:spacing w:after="0" w:line="560" w:lineRule="exact"/>
        <w:ind w:firstLine="576" w:firstLineChars="0"/>
        <w:textAlignment w:val="auto"/>
        <w:rPr>
          <w:rFonts w:hint="eastAsia" w:ascii="仿宋_GB2312" w:hAnsi="仿宋_GB2312" w:eastAsia="仿宋_GB2312" w:cstheme="minorBidi"/>
          <w:color w:val="000000"/>
          <w:sz w:val="32"/>
          <w:szCs w:val="22"/>
          <w:lang w:val="en-US" w:eastAsia="zh-CN" w:bidi="ar-SA"/>
        </w:rPr>
      </w:pPr>
      <w:r>
        <w:rPr>
          <w:rFonts w:hint="eastAsia" w:ascii="仿宋_GB2312" w:hAnsi="仿宋_GB2312" w:eastAsia="仿宋_GB2312" w:cstheme="minorBidi"/>
          <w:b/>
          <w:bCs/>
          <w:color w:val="000000"/>
          <w:sz w:val="32"/>
          <w:szCs w:val="22"/>
          <w:lang w:val="en-US" w:eastAsia="zh-CN" w:bidi="ar-SA"/>
        </w:rPr>
        <w:t>第六条夯实要素保障：</w:t>
      </w:r>
      <w:r>
        <w:rPr>
          <w:rFonts w:hint="eastAsia" w:ascii="仿宋_GB2312" w:hAnsi="仿宋_GB2312" w:eastAsia="仿宋_GB2312" w:cstheme="minorBidi"/>
          <w:color w:val="000000"/>
          <w:sz w:val="32"/>
          <w:szCs w:val="22"/>
          <w:lang w:val="en-US" w:eastAsia="zh-CN" w:bidi="ar-SA"/>
        </w:rPr>
        <w:t>强化人才综合服务保障、支持产业股权投资。</w:t>
      </w:r>
    </w:p>
    <w:p w14:paraId="27640067">
      <w:pPr>
        <w:keepNext w:val="0"/>
        <w:keepLines w:val="0"/>
        <w:pageBreakBefore w:val="0"/>
        <w:widowControl/>
        <w:kinsoku/>
        <w:wordWrap/>
        <w:overflowPunct/>
        <w:topLinePunct w:val="0"/>
        <w:autoSpaceDE/>
        <w:autoSpaceDN/>
        <w:bidi w:val="0"/>
        <w:adjustRightInd/>
        <w:snapToGrid/>
        <w:spacing w:after="0" w:line="560" w:lineRule="exact"/>
        <w:ind w:firstLine="576"/>
        <w:textAlignment w:val="auto"/>
      </w:pP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B54D24A-DE16-4C35-B646-F531237D15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EA94104A-E138-4FB9-A1B8-9E5FC4099F73}"/>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ambria">
    <w:panose1 w:val="02040503050406030204"/>
    <w:charset w:val="00"/>
    <w:family w:val="auto"/>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embedRegular r:id="rId3" w:fontKey="{4D9A8270-8313-4358-BCFF-1F282B4157AD}"/>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70C53C4"/>
    <w:rsid w:val="089B3D20"/>
    <w:rsid w:val="20257F53"/>
    <w:rsid w:val="210B0499"/>
    <w:rsid w:val="21EF55AB"/>
    <w:rsid w:val="23CF4ED3"/>
    <w:rsid w:val="330E7FA6"/>
    <w:rsid w:val="3F3F1BD0"/>
    <w:rsid w:val="41BF3701"/>
    <w:rsid w:val="5ABB2369"/>
    <w:rsid w:val="6784648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仿宋_GB2312" w:hAnsi="仿宋_GB2312" w:eastAsia="仿宋_GB2312" w:cstheme="minorBidi"/>
      <w:sz w:val="3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898</Words>
  <Characters>914</Characters>
  <Lines>0</Lines>
  <Paragraphs>0</Paragraphs>
  <TotalTime>10</TotalTime>
  <ScaleCrop>false</ScaleCrop>
  <LinksUpToDate>false</LinksUpToDate>
  <CharactersWithSpaces>914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angeldaddy</cp:lastModifiedBy>
  <cp:lastPrinted>2026-06-26T03:29:58Z</cp:lastPrinted>
  <dcterms:modified xsi:type="dcterms:W3CDTF">2026-06-26T03:31:01Z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eyJoZGlkIjoiNGEzYTAwNThmYzk1YzM1ZjBhMjA4NDRmYmExODdiNTQiLCJ1c2VySWQiOiIyNzYyNjk4MzUifQ==</vt:lpwstr>
  </property>
  <property fmtid="{D5CDD505-2E9C-101B-9397-08002B2CF9AE}" pid="3" name="KSOProductBuildVer">
    <vt:lpwstr>2052-12.1.0.26895</vt:lpwstr>
  </property>
  <property fmtid="{D5CDD505-2E9C-101B-9397-08002B2CF9AE}" pid="4" name="ICV">
    <vt:lpwstr>3E8558A2F83B4DF49CC133D3BF7590D2_13</vt:lpwstr>
  </property>
</Properties>
</file>