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8392C">
      <w:pPr>
        <w:pStyle w:val="16"/>
        <w:keepLines w:val="0"/>
        <w:pageBreakBefore w:val="0"/>
        <w:widowControl/>
        <w:kinsoku/>
        <w:wordWrap/>
        <w:overflowPunct/>
        <w:topLinePunct w:val="0"/>
        <w:autoSpaceDE/>
        <w:autoSpaceDN/>
        <w:bidi w:val="0"/>
        <w:adjustRightInd/>
        <w:snapToGrid/>
        <w:textAlignment w:val="auto"/>
        <w:rPr>
          <w:rFonts w:hint="eastAsia"/>
        </w:rPr>
      </w:pPr>
      <w:r>
        <w:t>房山区促进高精尖产业发展</w:t>
      </w:r>
      <w:r>
        <w:rPr>
          <w:rFonts w:hint="eastAsia"/>
        </w:rPr>
        <w:t>若干</w:t>
      </w:r>
      <w:r>
        <w:t>措施</w:t>
      </w:r>
    </w:p>
    <w:p w14:paraId="4B16483E">
      <w:pPr>
        <w:pStyle w:val="15"/>
        <w:keepLines w:val="0"/>
        <w:pageBreakBefore w:val="0"/>
        <w:widowControl/>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rPr>
      </w:pPr>
      <w:r>
        <w:rPr>
          <w:rFonts w:hint="eastAsia" w:ascii="楷体_GB2312" w:hAnsi="楷体_GB2312" w:eastAsia="楷体_GB2312" w:cs="楷体_GB2312"/>
        </w:rPr>
        <w:t>（征求意见稿）</w:t>
      </w:r>
    </w:p>
    <w:p w14:paraId="30DE44A5">
      <w:pPr>
        <w:pStyle w:val="12"/>
        <w:keepLines w:val="0"/>
        <w:pageBreakBefore w:val="0"/>
        <w:widowControl/>
        <w:kinsoku/>
        <w:wordWrap/>
        <w:overflowPunct/>
        <w:topLinePunct w:val="0"/>
        <w:autoSpaceDE/>
        <w:autoSpaceDN/>
        <w:bidi w:val="0"/>
        <w:adjustRightInd/>
        <w:snapToGrid/>
        <w:spacing w:line="300" w:lineRule="exact"/>
        <w:ind w:firstLine="628"/>
        <w:textAlignment w:val="auto"/>
      </w:pPr>
    </w:p>
    <w:p w14:paraId="59FC4AC7">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为</w:t>
      </w:r>
      <w:r>
        <w:t>贯彻党的二十大及二十届历次全会精神，落实国家、北京市发展新质生产力、构建现代化产业体系的重大决策部署，依托房山</w:t>
      </w:r>
      <w:r>
        <w:rPr>
          <w:rFonts w:hint="eastAsia"/>
        </w:rPr>
        <w:t>区</w:t>
      </w:r>
      <w:r>
        <w:t>产业基础，推动房山区经济高质量发展，</w:t>
      </w:r>
      <w:r>
        <w:rPr>
          <w:rFonts w:hint="eastAsia"/>
        </w:rPr>
        <w:t>特</w:t>
      </w:r>
      <w:r>
        <w:t>制定本措施。</w:t>
      </w:r>
    </w:p>
    <w:p w14:paraId="3ECD9028">
      <w:pPr>
        <w:pStyle w:val="12"/>
        <w:keepLines w:val="0"/>
        <w:pageBreakBefore w:val="0"/>
        <w:widowControl/>
        <w:kinsoku/>
        <w:wordWrap/>
        <w:overflowPunct/>
        <w:topLinePunct w:val="0"/>
        <w:autoSpaceDE/>
        <w:autoSpaceDN/>
        <w:bidi w:val="0"/>
        <w:adjustRightInd/>
        <w:snapToGrid/>
        <w:ind w:firstLine="640"/>
        <w:textAlignment w:val="auto"/>
        <w:rPr>
          <w:rFonts w:hint="eastAsia" w:ascii="黑体" w:hAnsi="黑体" w:eastAsia="黑体" w:cs="黑体"/>
          <w:spacing w:val="0"/>
          <w:kern w:val="44"/>
        </w:rPr>
      </w:pPr>
      <w:r>
        <w:rPr>
          <w:rFonts w:hint="eastAsia" w:ascii="黑体" w:hAnsi="黑体" w:eastAsia="黑体" w:cs="黑体"/>
          <w:spacing w:val="0"/>
          <w:kern w:val="44"/>
        </w:rPr>
        <w:t>第一条 强化科技创新</w:t>
      </w:r>
    </w:p>
    <w:p w14:paraId="6F201C87">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（一）加强校企产学研协同创新</w:t>
      </w:r>
    </w:p>
    <w:p w14:paraId="3DF36A9E">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eastAsia="仿宋_GB2312"/>
          <w:lang w:eastAsia="zh-CN"/>
        </w:rPr>
      </w:pPr>
      <w:r>
        <w:rPr>
          <w:rFonts w:hint="eastAsia"/>
        </w:rPr>
        <w:t>依托良乡大学城独有资源，统筹全国高校绿色能源区域技术转移转化中心（北京）等平台，支持校企共建协同创新平台，由企业“出资、出题”，高校院所“出团队、出技术”，对推进重大原始创新与技术攻关的项目，给予</w:t>
      </w:r>
      <w:r>
        <w:rPr>
          <w:rFonts w:hint="eastAsia"/>
          <w:lang w:val="en-US" w:eastAsia="zh-CN"/>
        </w:rPr>
        <w:t>最高</w:t>
      </w:r>
      <w:r>
        <w:rPr>
          <w:rFonts w:hint="eastAsia"/>
        </w:rPr>
        <w:t>25万元区级一次性资金奖励。鼓励高校、科研院所及科研人员通过技术转让、作价入股、联合攻关等多元模式推动创新成果在房山落地转化，对成功实现科技成果产业化转化的企业，给予最高500万元一次性资金奖励。</w:t>
      </w:r>
    </w:p>
    <w:p w14:paraId="3E4E07BD">
      <w:pPr>
        <w:pStyle w:val="12"/>
        <w:keepLines w:val="0"/>
        <w:pageBreakBefore w:val="0"/>
        <w:widowControl/>
        <w:kinsoku/>
        <w:wordWrap/>
        <w:overflowPunct/>
        <w:topLinePunct w:val="0"/>
        <w:autoSpaceDE/>
        <w:autoSpaceDN/>
        <w:bidi w:val="0"/>
        <w:adjustRightInd/>
        <w:snapToGrid/>
        <w:ind w:firstLine="628"/>
        <w:textAlignment w:val="auto"/>
        <w:rPr>
          <w:rFonts w:eastAsia="宋体"/>
        </w:rPr>
      </w:pPr>
      <w:r>
        <w:rPr>
          <w:rFonts w:hint="eastAsia" w:ascii="楷体_GB2312" w:hAnsi="楷体_GB2312" w:eastAsia="楷体_GB2312" w:cs="楷体_GB2312"/>
        </w:rPr>
        <w:t>（二）培育高质量创新主体</w:t>
      </w:r>
    </w:p>
    <w:p w14:paraId="1056A921">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rPr>
      </w:pPr>
      <w:r>
        <w:rPr>
          <w:rFonts w:hint="eastAsia"/>
        </w:rPr>
        <w:t>鼓励企业、研发机构根据国家战略需要、高质量发展需求和行业发展趋势，持续加大研发投入。对连续两年研发投入强度超过3%，且上一年度研发投入超过300万元（含）的企业，按其上一年度研发投入增量分档给予资金支持，单家企业年度最高不超过500万元。</w:t>
      </w:r>
    </w:p>
    <w:p w14:paraId="55EE90F4">
      <w:pPr>
        <w:pStyle w:val="12"/>
        <w:keepLines w:val="0"/>
        <w:pageBreakBefore w:val="0"/>
        <w:widowControl/>
        <w:kinsoku/>
        <w:wordWrap/>
        <w:overflowPunct/>
        <w:topLinePunct w:val="0"/>
        <w:autoSpaceDE/>
        <w:autoSpaceDN/>
        <w:bidi w:val="0"/>
        <w:adjustRightInd/>
        <w:snapToGrid/>
        <w:ind w:firstLine="616" w:firstLineChars="0"/>
        <w:textAlignment w:val="auto"/>
      </w:pPr>
      <w:r>
        <w:rPr>
          <w:rFonts w:hint="eastAsia" w:ascii="楷体_GB2312" w:hAnsi="楷体_GB2312" w:eastAsia="楷体_GB2312" w:cs="楷体_GB2312"/>
        </w:rPr>
        <w:t>（三）鼓励主导行业标准体系建设</w:t>
      </w:r>
    </w:p>
    <w:p w14:paraId="1C281847">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eastAsia="仿宋_GB2312"/>
          <w:lang w:eastAsia="zh-CN"/>
        </w:rPr>
      </w:pPr>
      <w:r>
        <w:rPr>
          <w:rFonts w:hint="eastAsia"/>
        </w:rPr>
        <w:t>对牵头编制绿色能源、新材料、安全应急等领域的国际标准、国家标准、行业标准的企业，分别给予25万元、15万元、5万元一次性奖励。</w:t>
      </w:r>
    </w:p>
    <w:p w14:paraId="5D50911E">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（四）支持重点产业首次规模化示范应用</w:t>
      </w:r>
    </w:p>
    <w:p w14:paraId="7D1CD1BF">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eastAsia="仿宋_GB2312"/>
          <w:lang w:eastAsia="zh-CN"/>
        </w:rPr>
      </w:pPr>
      <w:r>
        <w:rPr>
          <w:rFonts w:hint="eastAsia" w:eastAsia="仿宋_GB2312" w:cs="仿宋_GB2312"/>
          <w:spacing w:val="-6"/>
        </w:rPr>
        <w:t>对符合《北京市首台（套）重大技术装备目录》核心技术指标的产品，在本区实现示范应用的，分别给予生产企业、应用企业最高50万元专项扶持，单家企业年度奖励不超过100万元。对符合《北京市重点新材料首批次应用示范指导目录（2026年版）》</w:t>
      </w:r>
      <w:r>
        <w:rPr>
          <w:rFonts w:hint="eastAsia" w:eastAsia="仿宋_GB2312" w:cs="仿宋_GB2312"/>
          <w:spacing w:val="-6"/>
          <w:lang w:val="en-US" w:eastAsia="zh-CN"/>
        </w:rPr>
        <w:t>并申请高精尖资金支持的</w:t>
      </w:r>
      <w:r>
        <w:rPr>
          <w:rFonts w:hint="eastAsia" w:eastAsia="仿宋_GB2312" w:cs="仿宋_GB2312"/>
          <w:spacing w:val="-6"/>
        </w:rPr>
        <w:t>新材料产品，经市级评审通过后，给予</w:t>
      </w:r>
      <w:r>
        <w:rPr>
          <w:rFonts w:hint="eastAsia" w:cs="仿宋_GB2312"/>
          <w:spacing w:val="-6"/>
          <w:lang w:val="en-US" w:eastAsia="zh-CN"/>
        </w:rPr>
        <w:t>不超过</w:t>
      </w:r>
      <w:r>
        <w:rPr>
          <w:rFonts w:hint="eastAsia" w:eastAsia="仿宋_GB2312" w:cs="仿宋_GB2312"/>
          <w:spacing w:val="-6"/>
        </w:rPr>
        <w:t>50%</w:t>
      </w:r>
      <w:r>
        <w:rPr>
          <w:rFonts w:hint="eastAsia" w:cs="仿宋_GB2312"/>
          <w:spacing w:val="-6"/>
          <w:lang w:eastAsia="zh-CN"/>
        </w:rPr>
        <w:t>的</w:t>
      </w:r>
      <w:r>
        <w:rPr>
          <w:rFonts w:hint="eastAsia" w:eastAsia="仿宋_GB2312" w:cs="仿宋_GB2312"/>
          <w:spacing w:val="-6"/>
        </w:rPr>
        <w:t>区级配套支持，单个项目最高不超过100万元。</w:t>
      </w:r>
    </w:p>
    <w:p w14:paraId="74057C1C">
      <w:pPr>
        <w:pStyle w:val="12"/>
        <w:keepLines w:val="0"/>
        <w:pageBreakBefore w:val="0"/>
        <w:widowControl/>
        <w:kinsoku/>
        <w:wordWrap/>
        <w:overflowPunct/>
        <w:topLinePunct w:val="0"/>
        <w:autoSpaceDE/>
        <w:autoSpaceDN/>
        <w:bidi w:val="0"/>
        <w:adjustRightInd/>
        <w:snapToGrid/>
        <w:ind w:firstLine="640"/>
        <w:textAlignment w:val="auto"/>
        <w:rPr>
          <w:rFonts w:hint="eastAsia" w:ascii="黑体" w:hAnsi="黑体" w:eastAsia="黑体" w:cs="黑体"/>
          <w:spacing w:val="0"/>
          <w:kern w:val="44"/>
        </w:rPr>
      </w:pPr>
      <w:r>
        <w:rPr>
          <w:rFonts w:hint="eastAsia" w:ascii="黑体" w:hAnsi="黑体" w:eastAsia="黑体" w:cs="黑体"/>
          <w:spacing w:val="0"/>
          <w:kern w:val="44"/>
        </w:rPr>
        <w:t>第二条  培育产业集群</w:t>
      </w:r>
    </w:p>
    <w:p w14:paraId="11774007">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（五）支持氢能产业全链条发展</w:t>
      </w:r>
    </w:p>
    <w:p w14:paraId="26DFF7C7">
      <w:pPr>
        <w:pStyle w:val="12"/>
        <w:keepLines w:val="0"/>
        <w:pageBreakBefore w:val="0"/>
        <w:widowControl/>
        <w:kinsoku/>
        <w:wordWrap/>
        <w:overflowPunct/>
        <w:topLinePunct w:val="0"/>
        <w:autoSpaceDE/>
        <w:autoSpaceDN/>
        <w:bidi w:val="0"/>
        <w:adjustRightInd/>
        <w:snapToGrid/>
        <w:ind w:firstLine="616" w:firstLineChars="0"/>
        <w:textAlignment w:val="auto"/>
      </w:pPr>
      <w:r>
        <w:rPr>
          <w:rFonts w:hint="eastAsia" w:ascii="仿宋_GB2312" w:hAnsi="仿宋_GB2312"/>
        </w:rPr>
        <w:t>聚焦氢能制储输用关键环节，</w:t>
      </w:r>
      <w:r>
        <w:rPr>
          <w:rFonts w:hint="eastAsia"/>
        </w:rPr>
        <w:t>对纳入京津冀氢能综合应用试点城市群的氢能综合应用试点场景，在国家、市级奖励资金基础上，在示范期第一至第四年，分别按照40%、30%、20%、10%的比例给予配套支持。</w:t>
      </w:r>
    </w:p>
    <w:p w14:paraId="79315FB6">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（六）支持新材料产业集聚延伸</w:t>
      </w:r>
    </w:p>
    <w:p w14:paraId="7631C1D3">
      <w:pPr>
        <w:pStyle w:val="12"/>
        <w:keepNext/>
        <w:keepLines w:val="0"/>
        <w:pageBreakBefore w:val="0"/>
        <w:widowControl/>
        <w:kinsoku/>
        <w:wordWrap/>
        <w:overflowPunct/>
        <w:topLinePunct w:val="0"/>
        <w:autoSpaceDE/>
        <w:autoSpaceDN/>
        <w:bidi w:val="0"/>
        <w:adjustRightInd/>
        <w:snapToGrid/>
        <w:ind w:firstLine="628"/>
        <w:textAlignment w:val="auto"/>
      </w:pPr>
      <w:r>
        <w:rPr>
          <w:rFonts w:hint="eastAsia"/>
        </w:rPr>
        <w:t>推动先进基础材料、前沿新材料跨界协同落地，对集群提质扩容重点项目予以配套资金，对企业对接上下游，落地配套的项目，按照项目</w:t>
      </w:r>
      <w:r>
        <w:rPr>
          <w:rFonts w:hint="eastAsia"/>
          <w:highlight w:val="none"/>
        </w:rPr>
        <w:t>性质给予最高10</w:t>
      </w:r>
      <w:r>
        <w:rPr>
          <w:rFonts w:hint="eastAsia"/>
        </w:rPr>
        <w:t>0</w:t>
      </w:r>
      <w:r>
        <w:rPr>
          <w:rFonts w:hint="eastAsia"/>
          <w:lang w:eastAsia="zh-CN"/>
        </w:rPr>
        <w:t>万元</w:t>
      </w:r>
      <w:r>
        <w:rPr>
          <w:rFonts w:hint="eastAsia"/>
        </w:rPr>
        <w:t>一次性配套资金支持。对首次应用人工智能技术解决新材料应用场景需求并实际落地的优质方案，按市级资金给予</w:t>
      </w:r>
      <w:r>
        <w:rPr>
          <w:rFonts w:hint="eastAsia"/>
          <w:lang w:val="en-US" w:eastAsia="zh-CN"/>
        </w:rPr>
        <w:t>不超过</w:t>
      </w:r>
      <w:r>
        <w:rPr>
          <w:rFonts w:hint="eastAsia"/>
        </w:rPr>
        <w:t>50%</w:t>
      </w:r>
      <w:r>
        <w:rPr>
          <w:rFonts w:hint="eastAsia"/>
          <w:lang w:eastAsia="zh-CN"/>
        </w:rPr>
        <w:t>的</w:t>
      </w:r>
      <w:r>
        <w:rPr>
          <w:rFonts w:hint="eastAsia"/>
        </w:rPr>
        <w:t>区级配套支持，单个项目最高不超过200万元。</w:t>
      </w:r>
    </w:p>
    <w:p w14:paraId="6DE5AD77">
      <w:pPr>
        <w:pStyle w:val="12"/>
        <w:keepLines w:val="0"/>
        <w:pageBreakBefore w:val="0"/>
        <w:widowControl/>
        <w:kinsoku/>
        <w:wordWrap/>
        <w:overflowPunct/>
        <w:topLinePunct w:val="0"/>
        <w:autoSpaceDE/>
        <w:autoSpaceDN/>
        <w:bidi w:val="0"/>
        <w:adjustRightInd/>
        <w:snapToGrid/>
        <w:ind w:firstLine="628"/>
        <w:textAlignment w:val="auto"/>
        <w:rPr>
          <w:rFonts w:hint="eastAsia" w:ascii="楷体_GB2312" w:hAnsi="楷体_GB2312" w:eastAsia="楷体_GB2312" w:cs="楷体_GB2312"/>
        </w:rPr>
      </w:pPr>
      <w:r>
        <w:rPr>
          <w:rFonts w:hint="eastAsia" w:ascii="楷体_GB2312" w:hAnsi="楷体_GB2312" w:eastAsia="楷体_GB2312" w:cs="楷体_GB2312"/>
        </w:rPr>
        <w:t>（七）壮大安全应急产业</w:t>
      </w:r>
    </w:p>
    <w:p w14:paraId="1F3CAB23">
      <w:pPr>
        <w:pStyle w:val="12"/>
        <w:keepLines w:val="0"/>
        <w:pageBreakBefore w:val="0"/>
        <w:widowControl/>
        <w:kinsoku/>
        <w:wordWrap/>
        <w:overflowPunct/>
        <w:topLinePunct w:val="0"/>
        <w:autoSpaceDE/>
        <w:autoSpaceDN/>
        <w:bidi w:val="0"/>
        <w:adjustRightInd/>
        <w:snapToGrid/>
        <w:ind w:firstLine="628"/>
        <w:textAlignment w:val="auto"/>
      </w:pPr>
      <w:bookmarkStart w:id="0" w:name="OLE_LINK2"/>
      <w:r>
        <w:t>实施</w:t>
      </w:r>
      <w:r>
        <w:rPr>
          <w:rFonts w:hint="eastAsia"/>
        </w:rPr>
        <w:t>航空器</w:t>
      </w:r>
      <w:r>
        <w:t>飞行服务券扶持，对开展新型机型试飞验证、前沿技术试验、民航局飞行员执照实操培训</w:t>
      </w:r>
      <w:r>
        <w:rPr>
          <w:rFonts w:hint="eastAsia"/>
        </w:rPr>
        <w:t>、应急保障飞行及飞行航量扩容</w:t>
      </w:r>
      <w:r>
        <w:t>等产业培育类事项予以兑付支持</w:t>
      </w:r>
      <w:r>
        <w:rPr>
          <w:rFonts w:hint="eastAsia"/>
        </w:rPr>
        <w:t>，</w:t>
      </w:r>
      <w:r>
        <w:t>年度</w:t>
      </w:r>
      <w:r>
        <w:rPr>
          <w:rFonts w:hint="eastAsia"/>
        </w:rPr>
        <w:t>航空器</w:t>
      </w:r>
      <w:r>
        <w:t>产业飞行服务券资金总规模 200 万元。对首次开通低空转场航线的企业，按每条航线给予10万元一次性扶持，单</w:t>
      </w:r>
      <w:r>
        <w:rPr>
          <w:rFonts w:hint="eastAsia"/>
        </w:rPr>
        <w:t>家</w:t>
      </w:r>
      <w:r>
        <w:t>企业年度航线扶持最高100万元；每新规划划设一处专用空域，给予20万元专项建设支持</w:t>
      </w:r>
      <w:r>
        <w:rPr>
          <w:rFonts w:hint="eastAsia"/>
        </w:rPr>
        <w:t>。</w:t>
      </w:r>
    </w:p>
    <w:bookmarkEnd w:id="0"/>
    <w:p w14:paraId="757E2FC2">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（八）培育智慧医工产业</w:t>
      </w:r>
    </w:p>
    <w:p w14:paraId="04FB21B6">
      <w:pPr>
        <w:pStyle w:val="12"/>
        <w:keepLines w:val="0"/>
        <w:pageBreakBefore w:val="0"/>
        <w:widowControl/>
        <w:kinsoku/>
        <w:wordWrap/>
        <w:overflowPunct/>
        <w:topLinePunct w:val="0"/>
        <w:autoSpaceDE/>
        <w:autoSpaceDN/>
        <w:bidi w:val="0"/>
        <w:adjustRightInd/>
        <w:snapToGrid/>
        <w:ind w:firstLine="616" w:firstLineChars="0"/>
        <w:textAlignment w:val="auto"/>
      </w:pPr>
      <w:r>
        <w:rPr>
          <w:rFonts w:hint="eastAsia"/>
        </w:rPr>
        <w:t>支持创新药注册落地，新获批1类、2类新药（不含体外诊断试剂）注册并在本区产业化的，单品种最高支持4000万元；支持医疗器械注册落地，新取得三类医疗器械注册证且就地产业化的，单品种最高支持300万元。</w:t>
      </w:r>
    </w:p>
    <w:p w14:paraId="3148FCE3">
      <w:pPr>
        <w:pStyle w:val="12"/>
        <w:keepLines w:val="0"/>
        <w:pageBreakBefore w:val="0"/>
        <w:widowControl/>
        <w:kinsoku/>
        <w:wordWrap/>
        <w:overflowPunct/>
        <w:topLinePunct w:val="0"/>
        <w:autoSpaceDE/>
        <w:autoSpaceDN/>
        <w:bidi w:val="0"/>
        <w:adjustRightInd/>
        <w:snapToGrid/>
        <w:ind w:firstLine="640"/>
        <w:textAlignment w:val="auto"/>
        <w:rPr>
          <w:rFonts w:hint="eastAsia" w:ascii="黑体" w:hAnsi="黑体" w:eastAsia="黑体" w:cs="黑体"/>
          <w:spacing w:val="0"/>
          <w:kern w:val="44"/>
        </w:rPr>
      </w:pPr>
      <w:r>
        <w:rPr>
          <w:rFonts w:hint="eastAsia" w:ascii="黑体" w:hAnsi="黑体" w:eastAsia="黑体" w:cs="黑体"/>
          <w:spacing w:val="0"/>
          <w:kern w:val="44"/>
        </w:rPr>
        <w:t>第三条 引导企业转型升级</w:t>
      </w:r>
    </w:p>
    <w:p w14:paraId="581A6C07">
      <w:pPr>
        <w:pStyle w:val="12"/>
        <w:keepLines w:val="0"/>
        <w:pageBreakBefore w:val="0"/>
        <w:widowControl/>
        <w:kinsoku/>
        <w:wordWrap/>
        <w:overflowPunct/>
        <w:topLinePunct w:val="0"/>
        <w:autoSpaceDE/>
        <w:autoSpaceDN/>
        <w:bidi w:val="0"/>
        <w:adjustRightInd/>
        <w:snapToGrid/>
        <w:ind w:firstLine="628"/>
        <w:textAlignment w:val="auto"/>
        <w:rPr>
          <w:rFonts w:hint="eastAsia" w:ascii="楷体_GB2312" w:hAnsi="楷体_GB2312" w:eastAsia="楷体_GB2312" w:cs="楷体_GB2312"/>
        </w:rPr>
      </w:pPr>
      <w:r>
        <w:rPr>
          <w:rFonts w:hint="eastAsia" w:ascii="楷体_GB2312" w:hAnsi="楷体_GB2312" w:eastAsia="楷体_GB2312" w:cs="楷体_GB2312"/>
        </w:rPr>
        <w:t>（九）支持绿色化提质改造</w:t>
      </w:r>
    </w:p>
    <w:p w14:paraId="08AF2109">
      <w:pPr>
        <w:pStyle w:val="3"/>
        <w:keepLines w:val="0"/>
        <w:pageBreakBefore w:val="0"/>
        <w:widowControl/>
        <w:kinsoku/>
        <w:wordWrap/>
        <w:overflowPunct/>
        <w:topLinePunct w:val="0"/>
        <w:autoSpaceDE/>
        <w:autoSpaceDN/>
        <w:bidi w:val="0"/>
        <w:adjustRightInd/>
        <w:snapToGrid/>
        <w:ind w:firstLine="628"/>
        <w:textAlignment w:val="auto"/>
        <w:rPr>
          <w:rFonts w:eastAsia="仿宋_GB2312" w:cs="仿宋_GB2312"/>
          <w:spacing w:val="-6"/>
        </w:rPr>
      </w:pPr>
      <w:r>
        <w:rPr>
          <w:rFonts w:hint="eastAsia" w:eastAsia="仿宋_GB2312" w:cs="仿宋_GB2312"/>
          <w:spacing w:val="-6"/>
        </w:rPr>
        <w:t>支持企业进行绿色低碳改造</w:t>
      </w:r>
      <w:r>
        <w:rPr>
          <w:rFonts w:eastAsia="仿宋_GB2312" w:cs="仿宋_GB2312"/>
          <w:spacing w:val="-6"/>
        </w:rPr>
        <w:t>，市级评审通过的绿色低碳项目，按市级资金给予</w:t>
      </w:r>
      <w:r>
        <w:rPr>
          <w:rFonts w:hint="eastAsia" w:eastAsia="仿宋_GB2312" w:cs="仿宋_GB2312"/>
          <w:spacing w:val="-6"/>
          <w:lang w:val="en-US" w:eastAsia="zh-CN"/>
        </w:rPr>
        <w:t>不超过</w:t>
      </w:r>
      <w:r>
        <w:rPr>
          <w:rFonts w:eastAsia="仿宋_GB2312" w:cs="仿宋_GB2312"/>
          <w:spacing w:val="-6"/>
        </w:rPr>
        <w:t>20%</w:t>
      </w:r>
      <w:r>
        <w:rPr>
          <w:rFonts w:hint="eastAsia" w:eastAsia="仿宋_GB2312" w:cs="仿宋_GB2312"/>
          <w:spacing w:val="-6"/>
          <w:lang w:eastAsia="zh-CN"/>
        </w:rPr>
        <w:t>的</w:t>
      </w:r>
      <w:r>
        <w:rPr>
          <w:rFonts w:hint="eastAsia" w:eastAsia="仿宋_GB2312" w:cs="仿宋_GB2312"/>
          <w:spacing w:val="-6"/>
          <w:lang w:val="en-US" w:eastAsia="zh-CN"/>
        </w:rPr>
        <w:t>区级</w:t>
      </w:r>
      <w:r>
        <w:rPr>
          <w:rFonts w:eastAsia="仿宋_GB2312" w:cs="仿宋_GB2312"/>
          <w:spacing w:val="-6"/>
        </w:rPr>
        <w:t>配套支持</w:t>
      </w:r>
      <w:r>
        <w:rPr>
          <w:rFonts w:hint="eastAsia" w:eastAsia="仿宋_GB2312" w:cs="仿宋_GB2312"/>
          <w:spacing w:val="-6"/>
        </w:rPr>
        <w:t>，单个项目最高不超过500万元。</w:t>
      </w:r>
    </w:p>
    <w:p w14:paraId="41931D9A">
      <w:pPr>
        <w:pStyle w:val="12"/>
        <w:keepNext w:val="0"/>
        <w:keepLines w:val="0"/>
        <w:pageBreakBefore w:val="0"/>
        <w:widowControl w:val="0"/>
        <w:kinsoku/>
        <w:wordWrap/>
        <w:overflowPunct/>
        <w:topLinePunct w:val="0"/>
        <w:autoSpaceDE/>
        <w:autoSpaceDN/>
        <w:bidi w:val="0"/>
        <w:adjustRightInd/>
        <w:snapToGrid/>
        <w:ind w:firstLine="628"/>
        <w:textAlignment w:val="auto"/>
        <w:rPr>
          <w:rFonts w:hint="eastAsia" w:ascii="楷体_GB2312" w:hAnsi="楷体_GB2312" w:eastAsia="楷体_GB2312" w:cs="楷体_GB2312"/>
        </w:rPr>
      </w:pPr>
      <w:r>
        <w:rPr>
          <w:rFonts w:hint="eastAsia" w:ascii="楷体_GB2312" w:hAnsi="楷体_GB2312" w:eastAsia="楷体_GB2312" w:cs="楷体_GB2312"/>
        </w:rPr>
        <w:t>（十）支持数字化升级改造</w:t>
      </w:r>
    </w:p>
    <w:p w14:paraId="43E373CA">
      <w:pPr>
        <w:pStyle w:val="12"/>
        <w:keepNext w:val="0"/>
        <w:keepLines w:val="0"/>
        <w:pageBreakBefore w:val="0"/>
        <w:widowControl w:val="0"/>
        <w:kinsoku/>
        <w:wordWrap/>
        <w:overflowPunct/>
        <w:topLinePunct w:val="0"/>
        <w:autoSpaceDE/>
        <w:autoSpaceDN/>
        <w:bidi w:val="0"/>
        <w:adjustRightInd/>
        <w:snapToGrid/>
        <w:ind w:firstLine="628"/>
        <w:textAlignment w:val="auto"/>
        <w:rPr>
          <w:rFonts w:hint="eastAsia" w:eastAsia="仿宋_GB2312"/>
          <w:lang w:eastAsia="zh-CN"/>
        </w:rPr>
      </w:pPr>
      <w:r>
        <w:rPr>
          <w:rFonts w:hint="eastAsia"/>
        </w:rPr>
        <w:t>降低企业技改融资成本，对工业企业技术改造贷款，按照贷款本金给予年化1.5个百分点、期限不超过2年的贴息支持，单个项目市区两级贴息不超过项目实际贷款利息的50%，单家企业最高不超过200万元</w:t>
      </w:r>
      <w:r>
        <w:rPr>
          <w:rFonts w:hint="eastAsia"/>
          <w:lang w:eastAsia="zh-CN"/>
        </w:rPr>
        <w:t>。</w:t>
      </w:r>
    </w:p>
    <w:p w14:paraId="4536F2A0">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黑体" w:hAnsi="黑体" w:eastAsia="黑体" w:cs="黑体"/>
          <w:spacing w:val="0"/>
          <w:kern w:val="44"/>
          <w:highlight w:val="yellow"/>
        </w:rPr>
      </w:pPr>
      <w:r>
        <w:rPr>
          <w:rFonts w:hint="eastAsia" w:ascii="黑体" w:hAnsi="黑体" w:eastAsia="黑体" w:cs="黑体"/>
          <w:spacing w:val="0"/>
          <w:kern w:val="44"/>
        </w:rPr>
        <w:t>第四条 促进科技服务和信息软件产业发展</w:t>
      </w:r>
    </w:p>
    <w:p w14:paraId="11E2153A">
      <w:pPr>
        <w:pStyle w:val="12"/>
        <w:keepLines w:val="0"/>
        <w:pageBreakBefore w:val="0"/>
        <w:widowControl/>
        <w:numPr>
          <w:ilvl w:val="255"/>
          <w:numId w:val="0"/>
        </w:numPr>
        <w:kinsoku/>
        <w:wordWrap/>
        <w:overflowPunct/>
        <w:topLinePunct w:val="0"/>
        <w:autoSpaceDE/>
        <w:autoSpaceDN/>
        <w:bidi w:val="0"/>
        <w:adjustRightInd/>
        <w:snapToGrid/>
        <w:ind w:firstLine="628"/>
        <w:textAlignment w:val="auto"/>
        <w:rPr>
          <w:rFonts w:hint="eastAsia" w:ascii="楷体_GB2312" w:hAnsi="楷体_GB2312" w:eastAsia="楷体_GB2312" w:cs="楷体_GB2312"/>
        </w:rPr>
      </w:pPr>
      <w:r>
        <w:rPr>
          <w:rFonts w:hint="eastAsia" w:ascii="楷体_GB2312" w:hAnsi="楷体_GB2312" w:eastAsia="楷体_GB2312" w:cs="楷体_GB2312"/>
        </w:rPr>
        <w:t>（十一）</w:t>
      </w:r>
      <w:r>
        <w:rPr>
          <w:rFonts w:ascii="楷体_GB2312" w:hAnsi="楷体_GB2312" w:eastAsia="楷体_GB2312" w:cs="楷体_GB2312"/>
        </w:rPr>
        <w:t>强化算力资源保障</w:t>
      </w:r>
    </w:p>
    <w:p w14:paraId="549B68F3">
      <w:pPr>
        <w:pStyle w:val="12"/>
        <w:keepLines w:val="0"/>
        <w:pageBreakBefore w:val="0"/>
        <w:widowControl/>
        <w:numPr>
          <w:ilvl w:val="255"/>
          <w:numId w:val="0"/>
        </w:numPr>
        <w:kinsoku/>
        <w:wordWrap/>
        <w:overflowPunct/>
        <w:topLinePunct w:val="0"/>
        <w:autoSpaceDE/>
        <w:autoSpaceDN/>
        <w:bidi w:val="0"/>
        <w:adjustRightInd/>
        <w:snapToGrid/>
        <w:ind w:firstLine="628"/>
        <w:textAlignment w:val="auto"/>
        <w:rPr>
          <w:rFonts w:hint="eastAsia"/>
        </w:rPr>
      </w:pPr>
      <w:r>
        <w:rPr>
          <w:rFonts w:hint="eastAsia"/>
        </w:rPr>
        <w:t>针对企业在算力获取、应用落地和能力提升中的难点，着力优化算力资源部署，丰富算力服务普惠供给。支持市场主体租赁非关联方的智能算力，根据市级算力券评审结果，给予</w:t>
      </w:r>
      <w:r>
        <w:rPr>
          <w:rFonts w:hint="eastAsia"/>
          <w:lang w:val="en-US" w:eastAsia="zh-CN"/>
        </w:rPr>
        <w:t>不超过</w:t>
      </w:r>
      <w:r>
        <w:rPr>
          <w:rFonts w:hint="eastAsia"/>
        </w:rPr>
        <w:t>50%的区级算力券配套支持，单个企业年度不超过500万元。</w:t>
      </w:r>
    </w:p>
    <w:p w14:paraId="42F3830D">
      <w:pPr>
        <w:pStyle w:val="12"/>
        <w:keepLines w:val="0"/>
        <w:pageBreakBefore w:val="0"/>
        <w:widowControl/>
        <w:numPr>
          <w:ilvl w:val="255"/>
          <w:numId w:val="0"/>
        </w:numPr>
        <w:kinsoku/>
        <w:wordWrap/>
        <w:overflowPunct/>
        <w:topLinePunct w:val="0"/>
        <w:autoSpaceDE/>
        <w:autoSpaceDN/>
        <w:bidi w:val="0"/>
        <w:adjustRightInd/>
        <w:snapToGrid/>
        <w:ind w:firstLine="628"/>
        <w:textAlignment w:val="auto"/>
        <w:rPr>
          <w:rFonts w:hint="eastAsia" w:ascii="楷体_GB2312" w:hAnsi="楷体_GB2312" w:eastAsia="楷体_GB2312" w:cs="楷体_GB2312"/>
          <w:highlight w:val="yellow"/>
        </w:rPr>
      </w:pPr>
      <w:r>
        <w:rPr>
          <w:rFonts w:hint="eastAsia" w:ascii="楷体_GB2312" w:hAnsi="楷体_GB2312" w:eastAsia="楷体_GB2312" w:cs="楷体_GB2312"/>
        </w:rPr>
        <w:t>（十二）支持OPC创业发展</w:t>
      </w:r>
    </w:p>
    <w:p w14:paraId="12F75C4C">
      <w:pPr>
        <w:pStyle w:val="12"/>
        <w:keepLines w:val="0"/>
        <w:pageBreakBefore w:val="0"/>
        <w:widowControl/>
        <w:numPr>
          <w:ilvl w:val="255"/>
          <w:numId w:val="0"/>
        </w:numPr>
        <w:kinsoku/>
        <w:wordWrap/>
        <w:overflowPunct/>
        <w:topLinePunct w:val="0"/>
        <w:autoSpaceDE/>
        <w:autoSpaceDN/>
        <w:bidi w:val="0"/>
        <w:adjustRightInd/>
        <w:snapToGrid/>
        <w:ind w:firstLine="616" w:firstLineChars="200"/>
        <w:textAlignment w:val="auto"/>
      </w:pPr>
      <w:r>
        <w:rPr>
          <w:rFonts w:hint="eastAsia"/>
        </w:rPr>
        <w:t>鼓励高端人才依托新业态设立市场主体，对近3年在</w:t>
      </w:r>
      <w:r>
        <w:t>“中国创新创业大赛”“‘创客中国’中小企业创新创业大赛”“中国国际大学生创新大赛”“HICOOL全球创业大赛”“中关村国际前沿科技创新大赛”“‘京彩AI·智汇全球’北京大学生‘超级个体’（OPC）创业大赛”中获奖项目</w:t>
      </w:r>
      <w:r>
        <w:rPr>
          <w:rFonts w:hint="eastAsia"/>
        </w:rPr>
        <w:t>，由其获奖人（团队）在房山创办的OPC，给予</w:t>
      </w:r>
      <w:r>
        <w:rPr>
          <w:rFonts w:ascii="仿宋_GB2312" w:hAnsi="仿宋_GB2312"/>
          <w:bCs/>
        </w:rPr>
        <w:t>最高20万元</w:t>
      </w:r>
      <w:r>
        <w:rPr>
          <w:rFonts w:hint="eastAsia" w:ascii="仿宋_GB2312" w:hAnsi="仿宋_GB2312"/>
          <w:bCs/>
        </w:rPr>
        <w:t>支持。</w:t>
      </w:r>
    </w:p>
    <w:p w14:paraId="4CD9BB0D">
      <w:pPr>
        <w:pStyle w:val="12"/>
        <w:keepLines w:val="0"/>
        <w:pageBreakBefore w:val="0"/>
        <w:widowControl/>
        <w:numPr>
          <w:ilvl w:val="255"/>
          <w:numId w:val="0"/>
        </w:numPr>
        <w:kinsoku/>
        <w:wordWrap/>
        <w:overflowPunct/>
        <w:topLinePunct w:val="0"/>
        <w:autoSpaceDE/>
        <w:autoSpaceDN/>
        <w:bidi w:val="0"/>
        <w:adjustRightInd/>
        <w:snapToGrid/>
        <w:ind w:firstLine="616"/>
        <w:textAlignment w:val="auto"/>
        <w:rPr>
          <w:rFonts w:hint="eastAsia" w:ascii="楷体_GB2312" w:hAnsi="楷体_GB2312" w:eastAsia="楷体_GB2312" w:cs="楷体_GB2312"/>
        </w:rPr>
      </w:pPr>
      <w:r>
        <w:rPr>
          <w:rFonts w:hint="eastAsia" w:ascii="楷体_GB2312" w:hAnsi="楷体_GB2312" w:eastAsia="楷体_GB2312" w:cs="楷体_GB2312"/>
        </w:rPr>
        <w:t>（十三）</w:t>
      </w:r>
      <w:r>
        <w:rPr>
          <w:rFonts w:ascii="楷体_GB2312" w:hAnsi="楷体_GB2312" w:eastAsia="楷体_GB2312" w:cs="楷体_GB2312"/>
        </w:rPr>
        <w:t>支持科技服务业提质升级</w:t>
      </w:r>
    </w:p>
    <w:p w14:paraId="57E9D2B7">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支持区内科技服务业企业效能提升，鼓励企业实施技术含量高、示范带动作用强的科技服务创新项目，培育小微企业快速发展，扶持企业开展研发设施、仪器设备升级改造等项目建设，按市级奖励资金给予</w:t>
      </w:r>
      <w:r>
        <w:rPr>
          <w:rFonts w:hint="eastAsia"/>
          <w:lang w:val="en-US" w:eastAsia="zh-CN"/>
        </w:rPr>
        <w:t>不超过</w:t>
      </w:r>
      <w:r>
        <w:rPr>
          <w:rFonts w:hint="eastAsia"/>
        </w:rPr>
        <w:t>50%</w:t>
      </w:r>
      <w:r>
        <w:rPr>
          <w:rFonts w:hint="eastAsia"/>
          <w:lang w:eastAsia="zh-CN"/>
        </w:rPr>
        <w:t>的</w:t>
      </w:r>
      <w:r>
        <w:rPr>
          <w:rFonts w:hint="eastAsia"/>
        </w:rPr>
        <w:t>区级配套支持，单家企业单个项目奖励金额最高不超过500万元。</w:t>
      </w:r>
    </w:p>
    <w:p w14:paraId="07DDD3DE">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黑体" w:hAnsi="黑体" w:eastAsia="黑体" w:cs="黑体"/>
          <w:spacing w:val="0"/>
          <w:kern w:val="44"/>
        </w:rPr>
      </w:pPr>
      <w:r>
        <w:rPr>
          <w:rFonts w:hint="eastAsia" w:ascii="黑体" w:hAnsi="黑体" w:eastAsia="黑体" w:cs="黑体"/>
          <w:spacing w:val="0"/>
          <w:kern w:val="44"/>
        </w:rPr>
        <w:t>第五条 优化产业生态</w:t>
      </w:r>
    </w:p>
    <w:p w14:paraId="1E51810A">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（十四）</w:t>
      </w:r>
      <w:r>
        <w:rPr>
          <w:rFonts w:ascii="楷体_GB2312" w:hAnsi="楷体_GB2312" w:eastAsia="楷体_GB2312" w:cs="楷体_GB2312"/>
        </w:rPr>
        <w:t>支持产业专业服务</w:t>
      </w:r>
    </w:p>
    <w:p w14:paraId="37D014D4">
      <w:pPr>
        <w:pStyle w:val="12"/>
        <w:keepLines w:val="0"/>
        <w:pageBreakBefore w:val="0"/>
        <w:widowControl/>
        <w:kinsoku/>
        <w:wordWrap/>
        <w:overflowPunct/>
        <w:topLinePunct w:val="0"/>
        <w:autoSpaceDE/>
        <w:autoSpaceDN/>
        <w:bidi w:val="0"/>
        <w:adjustRightInd/>
        <w:snapToGrid/>
        <w:ind w:firstLine="628"/>
        <w:textAlignment w:val="auto"/>
        <w:rPr>
          <w:strike/>
          <w:dstrike w:val="0"/>
        </w:rPr>
      </w:pPr>
      <w:r>
        <w:rPr>
          <w:rFonts w:hint="eastAsia"/>
        </w:rPr>
        <w:t>培育专业化检验检测服务机构，积极搭建供需协同对接平台，提高产业服务整体供给能力与配套支撑水平。</w:t>
      </w:r>
    </w:p>
    <w:p w14:paraId="44BBEBB2">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（十五）</w:t>
      </w:r>
      <w:r>
        <w:rPr>
          <w:rFonts w:ascii="楷体_GB2312" w:hAnsi="楷体_GB2312" w:eastAsia="楷体_GB2312" w:cs="楷体_GB2312"/>
        </w:rPr>
        <w:t>支持中试平台建设与共享服务</w:t>
      </w:r>
    </w:p>
    <w:p w14:paraId="784DEDF8">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支持制造业中试平台开放运行、提升服务能力，对</w:t>
      </w:r>
      <w:r>
        <w:rPr>
          <w:rFonts w:hint="eastAsia"/>
          <w:lang w:val="en-US" w:eastAsia="zh-CN"/>
        </w:rPr>
        <w:t>获得</w:t>
      </w:r>
      <w:r>
        <w:rPr>
          <w:rFonts w:hint="eastAsia"/>
        </w:rPr>
        <w:t>市级支持资金的新建专业中试平台、中试产线等项目，根据对外服务成效，给予平台服务奖励，单个平台年度奖励不超过50万元。</w:t>
      </w:r>
    </w:p>
    <w:p w14:paraId="60AF28EB">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（十六）开放应用场景促进技术示范验证</w:t>
      </w:r>
    </w:p>
    <w:p w14:paraId="3AC1B9E1">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围绕绿色能源、新材料、智能制造、智慧医工、安全应急等主导产业集群建设需求，引导区级部门、市场主体有序开放应用场景，支撑关键核心技术、前沿颠覆性技术开展示范落地与迭代试验。对企业自主开放应用场景，如入选“人工智能+”能源高价值场景试点等达到示范效果，单个场景予以2万元奖励，单家企业年度奖励总额不超过10万元。</w:t>
      </w:r>
    </w:p>
    <w:p w14:paraId="070F0F3E">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黑体" w:hAnsi="黑体" w:eastAsia="黑体" w:cs="黑体"/>
          <w:spacing w:val="0"/>
          <w:kern w:val="44"/>
        </w:rPr>
      </w:pPr>
      <w:r>
        <w:rPr>
          <w:rFonts w:hint="eastAsia" w:ascii="黑体" w:hAnsi="黑体" w:eastAsia="黑体" w:cs="黑体"/>
          <w:spacing w:val="0"/>
          <w:kern w:val="44"/>
        </w:rPr>
        <w:t>第六条 夯实</w:t>
      </w:r>
      <w:r>
        <w:rPr>
          <w:rFonts w:ascii="黑体" w:hAnsi="黑体" w:eastAsia="黑体" w:cs="黑体"/>
          <w:spacing w:val="0"/>
          <w:kern w:val="44"/>
        </w:rPr>
        <w:t>要素保障</w:t>
      </w:r>
    </w:p>
    <w:p w14:paraId="67C87352">
      <w:pPr>
        <w:pStyle w:val="12"/>
        <w:keepLines w:val="0"/>
        <w:pageBreakBefore w:val="0"/>
        <w:widowControl/>
        <w:kinsoku/>
        <w:wordWrap/>
        <w:overflowPunct/>
        <w:topLinePunct w:val="0"/>
        <w:autoSpaceDE/>
        <w:autoSpaceDN/>
        <w:bidi w:val="0"/>
        <w:adjustRightInd/>
        <w:snapToGrid/>
        <w:ind w:firstLine="616" w:firstLineChars="0"/>
        <w:textAlignment w:val="auto"/>
        <w:rPr>
          <w:rFonts w:hint="eastAsia" w:ascii="楷体_GB2312" w:hAnsi="楷体_GB2312" w:eastAsia="楷体_GB2312" w:cs="楷体_GB2312"/>
        </w:rPr>
      </w:pPr>
      <w:r>
        <w:rPr>
          <w:rFonts w:hint="eastAsia" w:ascii="楷体_GB2312" w:hAnsi="楷体_GB2312" w:eastAsia="楷体_GB2312" w:cs="楷体_GB2312"/>
        </w:rPr>
        <w:t>（十七）</w:t>
      </w:r>
      <w:r>
        <w:rPr>
          <w:rFonts w:ascii="楷体_GB2312" w:hAnsi="楷体_GB2312" w:eastAsia="楷体_GB2312" w:cs="楷体_GB2312"/>
        </w:rPr>
        <w:t>强化人才综合服务保障</w:t>
      </w:r>
    </w:p>
    <w:p w14:paraId="0FFD11A9">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依托“房山聚源计划”，健全人才引进、培育、服务、激励全链条政策体系，在人才落户、工作居住证办理、安居住房、医疗保障等方面提供全方位配套服务，打造阶梯式、多维度人才发展保障生态。</w:t>
      </w:r>
    </w:p>
    <w:p w14:paraId="7A9B34C4">
      <w:pPr>
        <w:pStyle w:val="12"/>
        <w:keepLines w:val="0"/>
        <w:pageBreakBefore w:val="0"/>
        <w:widowControl/>
        <w:kinsoku/>
        <w:wordWrap/>
        <w:overflowPunct/>
        <w:topLinePunct w:val="0"/>
        <w:autoSpaceDE/>
        <w:autoSpaceDN/>
        <w:bidi w:val="0"/>
        <w:adjustRightInd/>
        <w:snapToGrid/>
        <w:ind w:firstLine="628" w:firstLineChars="0"/>
        <w:textAlignment w:val="auto"/>
        <w:rPr>
          <w:rFonts w:hint="eastAsia" w:ascii="楷体_GB2312" w:hAnsi="楷体_GB2312" w:eastAsia="楷体_GB2312" w:cs="楷体_GB2312"/>
        </w:rPr>
      </w:pPr>
      <w:r>
        <w:rPr>
          <w:rFonts w:hint="eastAsia" w:ascii="楷体_GB2312" w:hAnsi="楷体_GB2312" w:eastAsia="楷体_GB2312" w:cs="楷体_GB2312"/>
        </w:rPr>
        <w:t>（十八）</w:t>
      </w:r>
      <w:r>
        <w:rPr>
          <w:rFonts w:ascii="楷体_GB2312" w:hAnsi="楷体_GB2312" w:eastAsia="楷体_GB2312" w:cs="楷体_GB2312"/>
        </w:rPr>
        <w:t>支持产业股权投资</w:t>
      </w:r>
    </w:p>
    <w:p w14:paraId="1D91D797">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对助力房山产业高质量发展、获得市级产业投资基金股权投资的项目，</w:t>
      </w:r>
      <w:r>
        <w:t>区级基金可跟进投资，给予最高</w:t>
      </w:r>
      <w:r>
        <w:t>1000万元股权投资支持</w:t>
      </w:r>
      <w:r>
        <w:rPr>
          <w:rFonts w:hint="eastAsia"/>
        </w:rPr>
        <w:t>。</w:t>
      </w:r>
    </w:p>
    <w:p w14:paraId="68A9E0CD">
      <w:pPr>
        <w:pStyle w:val="12"/>
        <w:keepLines w:val="0"/>
        <w:pageBreakBefore w:val="0"/>
        <w:widowControl/>
        <w:kinsoku/>
        <w:wordWrap/>
        <w:overflowPunct/>
        <w:topLinePunct w:val="0"/>
        <w:autoSpaceDE/>
        <w:autoSpaceDN/>
        <w:bidi w:val="0"/>
        <w:adjustRightInd/>
        <w:snapToGrid/>
        <w:ind w:firstLine="628"/>
        <w:textAlignment w:val="auto"/>
        <w:rPr>
          <w:rFonts w:hint="eastAsia" w:ascii="黑体" w:hAnsi="黑体" w:eastAsia="黑体" w:cs="黑体"/>
        </w:rPr>
      </w:pPr>
      <w:r>
        <w:rPr>
          <w:rFonts w:hint="eastAsia" w:ascii="黑体" w:hAnsi="黑体" w:eastAsia="黑体" w:cs="黑体"/>
        </w:rPr>
        <w:t>附则</w:t>
      </w:r>
    </w:p>
    <w:p w14:paraId="5821F921">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同一企业、同一事项同时符合本区其他扶持政策</w:t>
      </w:r>
      <w:bookmarkStart w:id="1" w:name="_GoBack"/>
      <w:bookmarkEnd w:id="1"/>
      <w:r>
        <w:rPr>
          <w:rFonts w:hint="eastAsia"/>
        </w:rPr>
        <w:t>规定的，按照“就高不重复”原则给予支持。</w:t>
      </w:r>
    </w:p>
    <w:p w14:paraId="2A5F4CF8">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本措施自发布之日起施行，有效期三年，</w:t>
      </w:r>
      <w:r>
        <w:rPr>
          <w:rFonts w:hint="eastAsia"/>
          <w:lang w:eastAsia="zh-CN"/>
        </w:rPr>
        <w:t>其间</w:t>
      </w:r>
      <w:r>
        <w:rPr>
          <w:rFonts w:hint="eastAsia"/>
        </w:rPr>
        <w:t>如遇国家、北京市和房山区政策变动，将做相应调整。</w:t>
      </w:r>
    </w:p>
    <w:p w14:paraId="251881BD">
      <w:pPr>
        <w:pStyle w:val="12"/>
        <w:keepLines w:val="0"/>
        <w:pageBreakBefore w:val="0"/>
        <w:widowControl/>
        <w:kinsoku/>
        <w:wordWrap/>
        <w:overflowPunct/>
        <w:topLinePunct w:val="0"/>
        <w:autoSpaceDE/>
        <w:autoSpaceDN/>
        <w:bidi w:val="0"/>
        <w:adjustRightInd/>
        <w:snapToGrid/>
        <w:ind w:firstLine="628"/>
        <w:textAlignment w:val="auto"/>
      </w:pPr>
      <w:r>
        <w:rPr>
          <w:rFonts w:hint="eastAsia"/>
        </w:rPr>
        <w:t>本措施由房山区经济和信息化局牵头组织实施并负责解释。</w:t>
      </w:r>
    </w:p>
    <w:sectPr>
      <w:footerReference r:id="rId3" w:type="default"/>
      <w:footerReference r:id="rId4" w:type="even"/>
      <w:pgSz w:w="11905" w:h="16840"/>
      <w:pgMar w:top="2098" w:right="1474" w:bottom="1984" w:left="1587" w:header="851" w:footer="1417" w:gutter="0"/>
      <w:pgNumType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1C534">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098"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CB97370">
                          <w:pPr>
                            <w:pStyle w:val="13"/>
                            <w:rPr>
                              <w:rFonts w:hint="eastAsia"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xml:space="preserve"> </w:t>
                          </w:r>
                          <w:r>
                            <w:rPr>
                              <w:rFonts w:ascii="宋体" w:hAnsi="宋体"/>
                              <w:sz w:val="28"/>
                            </w:rPr>
                            <w:t>—</w:t>
                          </w:r>
                        </w:p>
                      </w:txbxContent>
                    </wps:txbx>
                    <wps:bodyPr wrap="none" lIns="203200" tIns="0" rIns="203200" bIns="0">
                      <a:spAutoFit/>
                    </wps:bodyPr>
                  </wps:wsp>
                </a:graphicData>
              </a:graphic>
            </wp:anchor>
          </w:drawing>
        </mc:Choice>
        <mc:Fallback>
          <w:pict>
            <v:rect id="文本框 1025" o:spid="_x0000_s1026" o:spt="1"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zvw6H1QAAAAYBAAAPAAAAAAAAAAEAIAAAACIAAABkcnMvZG93bnJldi54&#10;bWxQSwECFAAUAAAACACHTuJA0dL9RcQBAACIAwAADgAAAAAAAAABACAAAAAkAQAAZHJzL2Uyb0Rv&#10;Yy54bWxQSwUGAAAAAAYABgBZAQAAWgUAAAAA&#10;">
              <v:fill on="f" focussize="0,0"/>
              <v:stroke on="f"/>
              <v:imagedata o:title=""/>
              <o:lock v:ext="edit" aspectratio="f"/>
              <v:textbox inset="16pt,0mm,16pt,0mm" style="mso-fit-shape-to-text:t;">
                <w:txbxContent>
                  <w:p w14:paraId="1CB97370">
                    <w:pPr>
                      <w:pStyle w:val="13"/>
                      <w:rPr>
                        <w:rFonts w:hint="eastAsia"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xml:space="preserve"> </w:t>
                    </w:r>
                    <w:r>
                      <w:rPr>
                        <w:rFonts w:ascii="宋体" w:hAnsi="宋体"/>
                        <w:sz w:val="28"/>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BFB09">
    <w:pPr>
      <w:pStyle w:val="13"/>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097" name="文本框 102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E28A097">
                          <w:pPr>
                            <w:pStyle w:val="13"/>
                            <w:rPr>
                              <w:rFonts w:hint="eastAsia"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4"/>
                            </w:rPr>
                            <w:t xml:space="preserve"> </w:t>
                          </w:r>
                          <w:r>
                            <w:rPr>
                              <w:rFonts w:ascii="宋体" w:hAnsi="宋体"/>
                              <w:sz w:val="28"/>
                            </w:rPr>
                            <w:t>—</w:t>
                          </w:r>
                        </w:p>
                      </w:txbxContent>
                    </wps:txbx>
                    <wps:bodyPr wrap="none" lIns="203200" tIns="0" rIns="203200" bIns="0">
                      <a:spAutoFit/>
                    </wps:bodyPr>
                  </wps:wsp>
                </a:graphicData>
              </a:graphic>
            </wp:anchor>
          </w:drawing>
        </mc:Choice>
        <mc:Fallback>
          <w:pict>
            <v:rect id="文本框 1026" o:spid="_x0000_s1026" o:spt="1"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zvw6H1QAAAAYBAAAPAAAAAAAAAAEAIAAAACIAAABkcnMvZG93bnJldi54&#10;bWxQSwECFAAUAAAACACHTuJAzHeIDsQBAACIAwAADgAAAAAAAAABACAAAAAkAQAAZHJzL2Uyb0Rv&#10;Yy54bWxQSwUGAAAAAAYABgBZAQAAWgUAAAAA&#10;">
              <v:fill on="f" focussize="0,0"/>
              <v:stroke on="f"/>
              <v:imagedata o:title=""/>
              <o:lock v:ext="edit" aspectratio="f"/>
              <v:textbox inset="16pt,0mm,16pt,0mm" style="mso-fit-shape-to-text:t;">
                <w:txbxContent>
                  <w:p w14:paraId="1E28A097">
                    <w:pPr>
                      <w:pStyle w:val="13"/>
                      <w:rPr>
                        <w:rFonts w:hint="eastAsia" w:ascii="宋体" w:hAnsi="宋体"/>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4"/>
                      </w:rPr>
                      <w:t xml:space="preserve"> </w:t>
                    </w:r>
                    <w:r>
                      <w:rPr>
                        <w:rFonts w:ascii="宋体" w:hAnsi="宋体"/>
                        <w:sz w:val="28"/>
                      </w:rPr>
                      <w:t>—</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evenAndOddHeaders w:val="1"/>
  <w:drawingGridHorizontalSpacing w:val="158"/>
  <w:drawingGridVerticalSpacing w:val="29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340"/>
    <w:rsid w:val="00092EAE"/>
    <w:rsid w:val="00094E87"/>
    <w:rsid w:val="000C3BEF"/>
    <w:rsid w:val="000E68E7"/>
    <w:rsid w:val="001214F2"/>
    <w:rsid w:val="001379EC"/>
    <w:rsid w:val="00147D2B"/>
    <w:rsid w:val="00157232"/>
    <w:rsid w:val="001A35F6"/>
    <w:rsid w:val="001C6448"/>
    <w:rsid w:val="001D5A5C"/>
    <w:rsid w:val="00211340"/>
    <w:rsid w:val="002537CE"/>
    <w:rsid w:val="002572AB"/>
    <w:rsid w:val="00263633"/>
    <w:rsid w:val="00295637"/>
    <w:rsid w:val="00297B20"/>
    <w:rsid w:val="002A22A1"/>
    <w:rsid w:val="002F7740"/>
    <w:rsid w:val="00301FF3"/>
    <w:rsid w:val="003221DF"/>
    <w:rsid w:val="00387B30"/>
    <w:rsid w:val="004115FB"/>
    <w:rsid w:val="00450B41"/>
    <w:rsid w:val="00461371"/>
    <w:rsid w:val="004C08BE"/>
    <w:rsid w:val="004E508E"/>
    <w:rsid w:val="004F1E2A"/>
    <w:rsid w:val="004F4BD0"/>
    <w:rsid w:val="005318BD"/>
    <w:rsid w:val="00587132"/>
    <w:rsid w:val="005B2397"/>
    <w:rsid w:val="005C3C7A"/>
    <w:rsid w:val="005F3BF7"/>
    <w:rsid w:val="00607402"/>
    <w:rsid w:val="006142C5"/>
    <w:rsid w:val="00622949"/>
    <w:rsid w:val="006541B9"/>
    <w:rsid w:val="006747CA"/>
    <w:rsid w:val="006809ED"/>
    <w:rsid w:val="006A4364"/>
    <w:rsid w:val="006A6A6A"/>
    <w:rsid w:val="006B226E"/>
    <w:rsid w:val="006C6BCF"/>
    <w:rsid w:val="006D58C4"/>
    <w:rsid w:val="006F4600"/>
    <w:rsid w:val="0071368A"/>
    <w:rsid w:val="00725CF1"/>
    <w:rsid w:val="007528EE"/>
    <w:rsid w:val="007C36FC"/>
    <w:rsid w:val="007F0191"/>
    <w:rsid w:val="007F7725"/>
    <w:rsid w:val="00823F4C"/>
    <w:rsid w:val="00843299"/>
    <w:rsid w:val="00854311"/>
    <w:rsid w:val="008953CF"/>
    <w:rsid w:val="008D46B1"/>
    <w:rsid w:val="008E00C4"/>
    <w:rsid w:val="009D7C5E"/>
    <w:rsid w:val="00A9640F"/>
    <w:rsid w:val="00B1092C"/>
    <w:rsid w:val="00B1246B"/>
    <w:rsid w:val="00B56B61"/>
    <w:rsid w:val="00B72DCC"/>
    <w:rsid w:val="00B8545D"/>
    <w:rsid w:val="00B94961"/>
    <w:rsid w:val="00C3483B"/>
    <w:rsid w:val="00C722DC"/>
    <w:rsid w:val="00C74D92"/>
    <w:rsid w:val="00CC5BAB"/>
    <w:rsid w:val="00CE5850"/>
    <w:rsid w:val="00D21DF8"/>
    <w:rsid w:val="00D451F6"/>
    <w:rsid w:val="00D71294"/>
    <w:rsid w:val="00D866F7"/>
    <w:rsid w:val="00DF49BD"/>
    <w:rsid w:val="00E14CF2"/>
    <w:rsid w:val="00E36615"/>
    <w:rsid w:val="00E62DF7"/>
    <w:rsid w:val="00E84C40"/>
    <w:rsid w:val="00EE1DCA"/>
    <w:rsid w:val="00F03914"/>
    <w:rsid w:val="00FB71A9"/>
    <w:rsid w:val="00FC4CED"/>
    <w:rsid w:val="00FE542B"/>
    <w:rsid w:val="00FF29A5"/>
    <w:rsid w:val="08450F01"/>
    <w:rsid w:val="239F0A87"/>
    <w:rsid w:val="2EA50F05"/>
    <w:rsid w:val="2F696ACC"/>
    <w:rsid w:val="32B860BB"/>
    <w:rsid w:val="406B2D68"/>
    <w:rsid w:val="4253528A"/>
    <w:rsid w:val="428574F6"/>
    <w:rsid w:val="48FF3FFC"/>
    <w:rsid w:val="59573EEB"/>
    <w:rsid w:val="626E1C7F"/>
    <w:rsid w:val="6636719A"/>
    <w:rsid w:val="6F177F4F"/>
    <w:rsid w:val="77031CB7"/>
    <w:rsid w:val="77324E93"/>
    <w:rsid w:val="787E1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lang w:val="en-US" w:eastAsia="zh-CN" w:bidi="ar-SA"/>
    </w:rPr>
  </w:style>
  <w:style w:type="paragraph" w:styleId="2">
    <w:name w:val="heading 1"/>
    <w:next w:val="1"/>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basedOn w:val="1"/>
    <w:next w:val="1"/>
    <w:qFormat/>
    <w:uiPriority w:val="0"/>
    <w:pPr>
      <w:keepNext/>
      <w:keepLines/>
      <w:spacing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qFormat/>
    <w:uiPriority w:val="0"/>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qFormat/>
    <w:uiPriority w:val="0"/>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qFormat/>
    <w:uiPriority w:val="0"/>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qFormat/>
    <w:uiPriority w:val="0"/>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18">
    <w:name w:val="Default Paragraph Font"/>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Subtitle"/>
    <w:qFormat/>
    <w:uiPriority w:val="0"/>
    <w:pPr>
      <w:spacing w:line="720" w:lineRule="exact"/>
      <w:jc w:val="center"/>
    </w:pPr>
    <w:rPr>
      <w:rFonts w:ascii="Times New Roman" w:hAnsi="Times New Roman" w:eastAsia="仿宋_GB2312" w:cs="仿宋_GB2312"/>
      <w:kern w:val="28"/>
      <w:sz w:val="32"/>
      <w:szCs w:val="32"/>
      <w:lang w:val="en-US" w:eastAsia="zh-CN" w:bidi="ar-SA"/>
    </w:rPr>
  </w:style>
  <w:style w:type="paragraph" w:styleId="16">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19">
    <w:name w:val="Strong"/>
    <w:basedOn w:val="18"/>
    <w:qFormat/>
    <w:uiPriority w:val="0"/>
    <w:rPr>
      <w:b/>
    </w:rPr>
  </w:style>
  <w:style w:type="character" w:styleId="20">
    <w:name w:val="Emphasis"/>
    <w:basedOn w:val="18"/>
    <w:qFormat/>
    <w:uiPriority w:val="0"/>
    <w:rPr>
      <w:i/>
    </w:rPr>
  </w:style>
  <w:style w:type="paragraph" w:customStyle="1" w:styleId="21">
    <w:name w:val="修订1"/>
    <w:qFormat/>
    <w:uiPriority w:val="99"/>
    <w:rPr>
      <w:rFonts w:ascii="Calibri" w:hAnsi="Calibri" w:eastAsia="宋体" w:cs="宋体"/>
      <w:sz w:val="21"/>
      <w:szCs w:val="22"/>
      <w:lang w:val="en-US" w:eastAsia="zh-CN" w:bidi="ar-SA"/>
    </w:rPr>
  </w:style>
  <w:style w:type="paragraph" w:customStyle="1" w:styleId="22">
    <w:name w:val="Revision_4a699177-1f54-4363-8ceb-5814d637a807"/>
    <w:qFormat/>
    <w:uiPriority w:val="99"/>
    <w:rPr>
      <w:rFonts w:ascii="Calibri" w:hAnsi="Calibri" w:eastAsia="宋体" w:cs="宋体"/>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c37b4df0-2f19-46a2-a242-ed479d0b3fd8</errorID>
      <errorWord>党的二十大及二十届历次全会精神</errorWord>
      <group>L1_Political</group>
      <groupName>政治性问题</groupName>
      <ability>L2_Unpolitical</ability>
      <abilityName>政治敏感错误</abilityName>
      <candidateList>
        <item>党的二十大和二十届历次全会精神</item>
      </candidateList>
      <explain/>
      <paraID>59FC4AC7</paraID>
      <start>3</start>
      <end>18</end>
      <status>ignored</status>
      <modifiedWord/>
      <trackRevisions>false</trackRevisions>
    </reviewItem>
    <reviewItem>
      <errorID>52ce315e-1733-4576-ad47-c7fea4541b48</errorID>
      <errorWord>，</errorWord>
      <group>L1_Punc</group>
      <groupName>标点问题</groupName>
      <ability>L2_Punc_CN</ability>
      <abilityName>标点符号问题</abilityName>
      <candidateList>
        <item>、</item>
      </candidateList>
      <explain/>
      <paraID>7631C1D3</paraID>
      <start>47</start>
      <end>48</end>
      <status>ignored</status>
      <modifiedWord/>
      <trackRevisions>false</trackRevisions>
    </reviewItem>
    <reviewItem>
      <errorID>fb017426-53a8-4799-99f9-13cfbbe2bae5</errorID>
      <errorWord>万</errorWord>
      <group>L1_Word</group>
      <groupName>字词问题</groupName>
      <ability>L2_Typo</ability>
      <abilityName>字词错误</abilityName>
      <candidateList>
        <item>万元</item>
      </candidateList>
      <explain/>
      <paraID>7631C1D3</paraID>
      <start>69</start>
      <end>71</end>
      <status>modified</status>
      <modifiedWord>万元</modifiedWord>
      <trackRevisions>false</trackRevisions>
    </reviewItem>
    <reviewItem>
      <errorID>722d04e0-0236-46a1-8022-1915fb281cb9</errorID>
      <errorWord> </errorWord>
      <group>L1_Punc</group>
      <groupName>标点问题</groupName>
      <ability>L2_Punc_CN</ability>
      <abilityName>标点符号问题</abilityName>
      <candidateList>
        <item/>
      </candidateList>
      <explain>此处空格冗余，建议删除。</explain>
      <paraID>549B68F3</paraID>
      <start>84</start>
      <end>84</end>
      <status>modified</status>
      <modifiedWord/>
      <trackRevisions>false</trackRevisions>
    </reviewItem>
    <reviewItem>
      <errorID>a470a8b2-6e48-4839-b79d-4fc43e0b91b1</errorID>
      <errorWord> </errorWord>
      <group>L1_Punc</group>
      <groupName>标点问题</groupName>
      <ability>L2_Punc_CN</ability>
      <abilityName>标点符号问题</abilityName>
      <candidateList>
        <item/>
      </candidateList>
      <explain>此处空格冗余，建议删除。</explain>
      <paraID>12F75C4C</paraID>
      <start>92</start>
      <end>92</end>
      <status>modified</status>
      <modifiedWord/>
      <trackRevisions>false</trackRevisions>
    </reviewItem>
    <reviewItem>
      <errorID>a3a320d4-1911-4a09-88f6-6c43adf702f0</errorID>
      <errorWord>，</errorWord>
      <group>L1_Punc</group>
      <groupName>标点问题</groupName>
      <ability>L2_Punc_CN</ability>
      <abilityName>标点符号问题</abilityName>
      <candidateList>
        <item/>
      </candidateList>
      <explain/>
      <paraID>57E9D2B7</paraID>
      <start>88</start>
      <end>88</end>
      <status>modified</status>
      <modifiedWord/>
      <trackRevisions>false</trackRevisions>
    </reviewItem>
    <reviewItem>
      <errorID>9a98f136-533a-4149-b47b-6bff0152fc1a</errorID>
      <errorWord> </errorWord>
      <group>L1_Punc</group>
      <groupName>标点问题</groupName>
      <ability>L2_Punc_CN</ability>
      <abilityName>标点符号问题</abilityName>
      <candidateList>
        <item/>
      </candidateList>
      <explain>此处空格冗余，建议删除。</explain>
      <paraID>1D91D797</paraID>
      <start>45</start>
      <end>45</end>
      <status>modified</status>
      <modifiedWord/>
      <trackRevisions>false</trackRevisions>
    </reviewItem>
    <reviewItem>
      <errorID>7704afbf-d80b-499a-8287-53048fe68dcf</errorID>
      <errorWord> </errorWord>
      <group>L1_Punc</group>
      <groupName>标点问题</groupName>
      <ability>L2_Punc_CN</ability>
      <abilityName>标点符号问题</abilityName>
      <candidateList>
        <item/>
      </candidateList>
      <explain>此处空格冗余，建议删除。</explain>
      <paraID>1D91D797</paraID>
      <start>49</start>
      <end>49</end>
      <status>modified</status>
      <modifiedWord/>
      <trackRevisions>false</trackRevisions>
    </reviewItem>
    <reviewItem>
      <errorID>7d7dd28e-a6e3-4362-968d-018280f0d25f</errorID>
      <errorWord> </errorWord>
      <group>L1_Punc</group>
      <groupName>标点问题</groupName>
      <ability>L2_Punc_CN</ability>
      <abilityName>标点符号问题</abilityName>
      <candidateList>
        <item/>
      </candidateList>
      <explain>此处空格冗余，建议删除。</explain>
      <paraID>5821F921</paraID>
      <start>27</start>
      <end>27</end>
      <status>modified</status>
      <modifiedWord/>
      <trackRevisions>false</trackRevisions>
    </reviewItem>
    <reviewItem>
      <errorID>c9cec73a-87db-4509-bc9e-67e18275cf15</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2A5F4CF8</paraID>
      <start>18</start>
      <end>20</end>
      <status>modified</status>
      <modifiedWord>其间</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27AC0F-8CE9-4629-91B6-42F594E3AD45}">
  <ds:schemaRefs/>
</ds:datastoreItem>
</file>

<file path=customXml/itemProps3.xml><?xml version="1.0" encoding="utf-8"?>
<ds:datastoreItem xmlns:ds="http://schemas.openxmlformats.org/officeDocument/2006/customXml" ds:itemID="{89b40054-74e4-4d32-affe-2c34bec1482f}">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2494</Words>
  <Characters>2584</Characters>
  <Lines>64</Lines>
  <Paragraphs>49</Paragraphs>
  <TotalTime>3</TotalTime>
  <ScaleCrop>false</ScaleCrop>
  <LinksUpToDate>false</LinksUpToDate>
  <CharactersWithSpaces>2593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2026-06-15T05:44:00Z</dcterms:created>
  <dc:creator>Apache POI</dc:creator>
  <cp:lastModifiedBy>小冉</cp:lastModifiedBy>
  <cp:lastPrinted>2026-06-15T06:17:00Z</cp:lastPrinted>
  <dcterms:modified xsi:type="dcterms:W3CDTF">2026-06-26T08:38:48Z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eyJoZGlkIjoiYzM0ZjlhYWY2Yjg5ZDQzMmFiZGQwY2RiYTc3ZDBjZTciLCJ1c2VySWQiOiI0MTk0Nzc0ODgifQ==</vt:lpwstr>
  </property>
  <property fmtid="{D5CDD505-2E9C-101B-9397-08002B2CF9AE}" pid="3" name="KSOProductBuildVer">
    <vt:lpwstr>2052-12.1.0.26895</vt:lpwstr>
  </property>
  <property fmtid="{D5CDD505-2E9C-101B-9397-08002B2CF9AE}" pid="4" name="ICV">
    <vt:lpwstr>9F2EC6A0A2384D9EAC4781BC7E634763_13</vt:lpwstr>
  </property>
</Properties>
</file>